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Default Extension="png" ContentType="image/png"/>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10"/>
        <w:rPr>
          <w:rFonts w:ascii="Times New Roman"/>
          <w:sz w:val="18"/>
        </w:rPr>
      </w:pPr>
    </w:p>
    <w:p>
      <w:pPr>
        <w:spacing w:line="280" w:lineRule="auto" w:before="52"/>
        <w:ind w:left="315" w:right="570" w:firstLine="0"/>
        <w:jc w:val="center"/>
        <w:rPr>
          <w:b/>
          <w:sz w:val="42"/>
        </w:rPr>
      </w:pPr>
      <w:r>
        <w:rPr>
          <w:b/>
          <w:sz w:val="42"/>
        </w:rPr>
        <w:t>LA EMIGRACIÓN INTERNACIONAL, LAS REMESAS Y EL DESARROLLO ECONÓMICO EN</w:t>
      </w:r>
      <w:r>
        <w:rPr>
          <w:b/>
          <w:spacing w:val="92"/>
          <w:sz w:val="42"/>
        </w:rPr>
        <w:t> </w:t>
      </w:r>
      <w:r>
        <w:rPr>
          <w:b/>
          <w:sz w:val="42"/>
        </w:rPr>
        <w:t>MÉXICO</w:t>
      </w:r>
    </w:p>
    <w:p>
      <w:pPr>
        <w:pStyle w:val="BodyText"/>
        <w:spacing w:before="5"/>
        <w:rPr>
          <w:b/>
          <w:sz w:val="13"/>
        </w:rPr>
      </w:pPr>
      <w:r>
        <w:rPr/>
        <w:drawing>
          <wp:anchor distT="0" distB="0" distL="0" distR="0" allowOverlap="1" layoutInCell="1" locked="0" behindDoc="0" simplePos="0" relativeHeight="0">
            <wp:simplePos x="0" y="0"/>
            <wp:positionH relativeFrom="page">
              <wp:posOffset>1071372</wp:posOffset>
            </wp:positionH>
            <wp:positionV relativeFrom="paragraph">
              <wp:posOffset>122946</wp:posOffset>
            </wp:positionV>
            <wp:extent cx="5572611" cy="2545079"/>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572611" cy="2545079"/>
                    </a:xfrm>
                    <a:prstGeom prst="rect">
                      <a:avLst/>
                    </a:prstGeom>
                  </pic:spPr>
                </pic:pic>
              </a:graphicData>
            </a:graphic>
          </wp:anchor>
        </w:drawing>
      </w:r>
    </w:p>
    <w:p>
      <w:pPr>
        <w:pStyle w:val="Heading3"/>
        <w:spacing w:before="229"/>
        <w:ind w:left="315" w:right="564"/>
        <w:jc w:val="center"/>
      </w:pPr>
      <w:r>
        <w:rPr/>
        <w:t>Editores</w:t>
      </w:r>
    </w:p>
    <w:p>
      <w:pPr>
        <w:pStyle w:val="BodyText"/>
        <w:spacing w:before="2"/>
        <w:rPr>
          <w:b/>
          <w:sz w:val="21"/>
        </w:rPr>
      </w:pPr>
    </w:p>
    <w:p>
      <w:pPr>
        <w:spacing w:line="278" w:lineRule="auto" w:before="0"/>
        <w:ind w:left="100" w:right="354" w:firstLine="81"/>
        <w:jc w:val="center"/>
        <w:rPr>
          <w:b/>
          <w:sz w:val="27"/>
        </w:rPr>
      </w:pPr>
      <w:r>
        <w:rPr>
          <w:b/>
          <w:sz w:val="27"/>
        </w:rPr>
        <w:t>Esther Figueroa Hernández, Gerónimo Barrios Puente, Francisco Pérez Soto, Orsohe Ramírez Abarca, Jesús Loera Martínez, Daniel Sepúlveda Jiménez</w:t>
      </w:r>
    </w:p>
    <w:p>
      <w:pPr>
        <w:pStyle w:val="BodyText"/>
        <w:rPr>
          <w:b/>
          <w:sz w:val="20"/>
        </w:rPr>
      </w:pPr>
    </w:p>
    <w:p>
      <w:pPr>
        <w:pStyle w:val="BodyText"/>
        <w:rPr>
          <w:b/>
          <w:sz w:val="20"/>
        </w:rPr>
      </w:pPr>
    </w:p>
    <w:p>
      <w:pPr>
        <w:pStyle w:val="BodyText"/>
        <w:spacing w:before="1"/>
        <w:rPr>
          <w:b/>
          <w:sz w:val="22"/>
        </w:rPr>
      </w:pPr>
      <w:r>
        <w:rPr/>
        <w:pict>
          <v:group style="position:absolute;margin-left:84.360001pt;margin-top:14.687452pt;width:424.1pt;height:169.45pt;mso-position-horizontal-relative:page;mso-position-vertical-relative:paragraph;z-index:1048;mso-wrap-distance-left:0;mso-wrap-distance-right:0" coordorigin="1687,294" coordsize="8482,3389">
            <v:shape style="position:absolute;left:1687;top:294;width:2904;height:3389" type="#_x0000_t75" stroked="false">
              <v:imagedata r:id="rId6" o:title=""/>
            </v:shape>
            <v:shape style="position:absolute;left:4634;top:294;width:2702;height:3389" type="#_x0000_t75" stroked="false">
              <v:imagedata r:id="rId7" o:title=""/>
            </v:shape>
            <v:shape style="position:absolute;left:7380;top:294;width:2789;height:3389" type="#_x0000_t75" stroked="false">
              <v:imagedata r:id="rId8" o:title=""/>
            </v:shape>
            <w10:wrap type="topAndBottom"/>
          </v:group>
        </w:pict>
      </w:r>
    </w:p>
    <w:p>
      <w:pPr>
        <w:spacing w:before="201"/>
        <w:ind w:left="0" w:right="344" w:firstLine="0"/>
        <w:jc w:val="right"/>
        <w:rPr>
          <w:b/>
          <w:sz w:val="21"/>
        </w:rPr>
      </w:pPr>
      <w:r>
        <w:rPr>
          <w:b/>
          <w:sz w:val="21"/>
        </w:rPr>
        <w:t>Otoño 2010</w:t>
      </w:r>
    </w:p>
    <w:p>
      <w:pPr>
        <w:spacing w:after="0"/>
        <w:jc w:val="right"/>
        <w:rPr>
          <w:sz w:val="21"/>
        </w:rPr>
        <w:sectPr>
          <w:type w:val="continuous"/>
          <w:pgSz w:w="11900" w:h="16840"/>
          <w:pgMar w:top="1600" w:bottom="280" w:left="1560" w:right="1340"/>
        </w:sectPr>
      </w:pPr>
    </w:p>
    <w:p>
      <w:pPr>
        <w:pStyle w:val="BodyText"/>
        <w:rPr>
          <w:b/>
          <w:sz w:val="20"/>
        </w:rPr>
      </w:pPr>
    </w:p>
    <w:p>
      <w:pPr>
        <w:pStyle w:val="BodyText"/>
        <w:spacing w:before="7"/>
        <w:rPr>
          <w:b/>
          <w:sz w:val="17"/>
        </w:rPr>
      </w:pPr>
    </w:p>
    <w:p>
      <w:pPr>
        <w:pStyle w:val="Heading1"/>
        <w:spacing w:line="362" w:lineRule="auto" w:before="56"/>
        <w:ind w:left="115" w:right="101"/>
        <w:jc w:val="center"/>
      </w:pPr>
      <w:r>
        <w:rPr/>
        <w:t>LA EMIGRACIÓN INTERNACIONAL, LAS REMESAS Y EL DESARROLLO ECONÓMICO EN MÉXICO</w:t>
      </w:r>
    </w:p>
    <w:p>
      <w:pPr>
        <w:pStyle w:val="BodyText"/>
        <w:rPr>
          <w:b/>
          <w:sz w:val="34"/>
        </w:rPr>
      </w:pPr>
    </w:p>
    <w:p>
      <w:pPr>
        <w:pStyle w:val="BodyText"/>
        <w:rPr>
          <w:b/>
          <w:sz w:val="34"/>
        </w:rPr>
      </w:pPr>
    </w:p>
    <w:p>
      <w:pPr>
        <w:pStyle w:val="BodyText"/>
        <w:rPr>
          <w:b/>
          <w:sz w:val="34"/>
        </w:rPr>
      </w:pPr>
    </w:p>
    <w:p>
      <w:pPr>
        <w:pStyle w:val="BodyText"/>
        <w:rPr>
          <w:b/>
          <w:sz w:val="34"/>
        </w:rPr>
      </w:pPr>
    </w:p>
    <w:p>
      <w:pPr>
        <w:pStyle w:val="BodyText"/>
        <w:rPr>
          <w:b/>
          <w:sz w:val="34"/>
        </w:rPr>
      </w:pPr>
    </w:p>
    <w:p>
      <w:pPr>
        <w:pStyle w:val="BodyText"/>
        <w:spacing w:before="4"/>
        <w:rPr>
          <w:b/>
          <w:sz w:val="34"/>
        </w:rPr>
      </w:pPr>
    </w:p>
    <w:p>
      <w:pPr>
        <w:pStyle w:val="Heading3"/>
        <w:spacing w:line="278" w:lineRule="auto" w:before="1"/>
        <w:ind w:left="124" w:right="110" w:hanging="1"/>
        <w:jc w:val="center"/>
      </w:pPr>
      <w:r>
        <w:rPr/>
        <w:t>Esther Figueroa Hernández, Gerónimo Barrios Puente, Francisco Pérez Soto, Orsohe Ramírez Abarca, Jesús Loera Martínez, Daniel Sepúlveda Jiménez</w:t>
      </w:r>
    </w:p>
    <w:p>
      <w:pPr>
        <w:spacing w:after="0" w:line="278" w:lineRule="auto"/>
        <w:jc w:val="center"/>
        <w:sectPr>
          <w:pgSz w:w="11900" w:h="16840"/>
          <w:pgMar w:top="1600" w:bottom="280" w:left="1560" w:right="15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rPr>
      </w:pPr>
    </w:p>
    <w:p>
      <w:pPr>
        <w:spacing w:before="74"/>
        <w:ind w:left="115" w:right="3273" w:firstLine="0"/>
        <w:jc w:val="left"/>
        <w:rPr>
          <w:i/>
          <w:sz w:val="23"/>
        </w:rPr>
      </w:pPr>
      <w:r>
        <w:rPr>
          <w:i/>
          <w:sz w:val="23"/>
        </w:rPr>
        <w:t>Primera edición en español, septiembre de</w:t>
      </w:r>
      <w:r>
        <w:rPr>
          <w:i/>
          <w:spacing w:val="55"/>
          <w:sz w:val="23"/>
        </w:rPr>
        <w:t> </w:t>
      </w:r>
      <w:r>
        <w:rPr>
          <w:i/>
          <w:sz w:val="23"/>
        </w:rPr>
        <w:t>2010</w:t>
      </w:r>
    </w:p>
    <w:p>
      <w:pPr>
        <w:pStyle w:val="BodyText"/>
        <w:spacing w:before="8"/>
        <w:rPr>
          <w:i/>
        </w:rPr>
      </w:pPr>
    </w:p>
    <w:p>
      <w:pPr>
        <w:spacing w:before="0"/>
        <w:ind w:left="115" w:right="3273" w:firstLine="0"/>
        <w:jc w:val="left"/>
        <w:rPr>
          <w:sz w:val="23"/>
        </w:rPr>
      </w:pPr>
      <w:r>
        <w:rPr>
          <w:i/>
          <w:sz w:val="23"/>
        </w:rPr>
        <w:t>ISBN:</w:t>
      </w:r>
      <w:r>
        <w:rPr>
          <w:sz w:val="23"/>
        </w:rPr>
        <w:t>978-607-12-0159-1</w:t>
      </w:r>
    </w:p>
    <w:p>
      <w:pPr>
        <w:pStyle w:val="BodyText"/>
        <w:spacing w:line="244" w:lineRule="auto" w:before="6"/>
        <w:ind w:left="115" w:right="4395"/>
      </w:pPr>
      <w:r>
        <w:rPr/>
        <w:t>DR ® Universidad Autónoma Chapingo Km 38.5 carretera México-Texcoco</w:t>
      </w:r>
    </w:p>
    <w:p>
      <w:pPr>
        <w:pStyle w:val="BodyText"/>
        <w:spacing w:line="484" w:lineRule="auto"/>
        <w:ind w:left="115" w:right="3273"/>
      </w:pPr>
      <w:r>
        <w:rPr/>
        <w:t>Chapingo, Texcoco, Estado de México, CP 56230 Tél: 01(595)9521500 ext. 5897</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6"/>
        <w:rPr>
          <w:sz w:val="32"/>
        </w:rPr>
      </w:pPr>
    </w:p>
    <w:p>
      <w:pPr>
        <w:pStyle w:val="BodyText"/>
        <w:ind w:left="115" w:right="3273"/>
      </w:pPr>
      <w:r>
        <w:rPr/>
        <w:t>Impreso en México</w:t>
      </w:r>
    </w:p>
    <w:p>
      <w:pPr>
        <w:pStyle w:val="BodyText"/>
        <w:rPr>
          <w:sz w:val="22"/>
        </w:rPr>
      </w:pPr>
    </w:p>
    <w:p>
      <w:pPr>
        <w:pStyle w:val="BodyText"/>
        <w:rPr>
          <w:sz w:val="22"/>
        </w:rPr>
      </w:pPr>
    </w:p>
    <w:p>
      <w:pPr>
        <w:pStyle w:val="BodyText"/>
        <w:spacing w:before="7"/>
        <w:rPr>
          <w:sz w:val="26"/>
        </w:rPr>
      </w:pPr>
    </w:p>
    <w:p>
      <w:pPr>
        <w:spacing w:line="244" w:lineRule="auto" w:before="0"/>
        <w:ind w:left="115" w:right="180" w:firstLine="0"/>
        <w:jc w:val="left"/>
        <w:rPr>
          <w:sz w:val="19"/>
        </w:rPr>
      </w:pPr>
      <w:r>
        <w:rPr>
          <w:sz w:val="19"/>
        </w:rPr>
        <w:t>La reproducción total o parcial de esta publicación, ya sea mediante fotocopias o cualquier otra  forma, requiere  la autorización por escrito del representante legal de la  </w:t>
      </w:r>
      <w:r>
        <w:rPr>
          <w:spacing w:val="23"/>
          <w:sz w:val="19"/>
        </w:rPr>
        <w:t> </w:t>
      </w:r>
      <w:r>
        <w:rPr>
          <w:sz w:val="19"/>
        </w:rPr>
        <w:t>UACh.</w:t>
      </w:r>
    </w:p>
    <w:p>
      <w:pPr>
        <w:spacing w:after="0" w:line="244" w:lineRule="auto"/>
        <w:jc w:val="left"/>
        <w:rPr>
          <w:sz w:val="19"/>
        </w:rPr>
        <w:sectPr>
          <w:footerReference w:type="default" r:id="rId9"/>
          <w:pgSz w:w="11900" w:h="16840"/>
          <w:pgMar w:footer="1679" w:header="0" w:top="1600" w:bottom="1860" w:left="1540" w:right="1520"/>
          <w:pgNumType w:start="2"/>
        </w:sectPr>
      </w:pPr>
    </w:p>
    <w:p>
      <w:pPr>
        <w:pStyle w:val="BodyText"/>
        <w:rPr>
          <w:sz w:val="20"/>
        </w:rPr>
      </w:pPr>
    </w:p>
    <w:p>
      <w:pPr>
        <w:pStyle w:val="BodyText"/>
        <w:spacing w:before="5"/>
        <w:rPr>
          <w:sz w:val="16"/>
        </w:rPr>
      </w:pPr>
    </w:p>
    <w:p>
      <w:pPr>
        <w:pStyle w:val="Heading4"/>
        <w:spacing w:before="74"/>
        <w:ind w:left="115"/>
      </w:pPr>
      <w:r>
        <w:rPr/>
        <w:t>UNIVERSIDAD AUTÓNOMA</w:t>
      </w:r>
      <w:r>
        <w:rPr>
          <w:spacing w:val="51"/>
        </w:rPr>
        <w:t> </w:t>
      </w:r>
      <w:r>
        <w:rPr/>
        <w:t>CHAPINGO</w:t>
      </w:r>
    </w:p>
    <w:p>
      <w:pPr>
        <w:pStyle w:val="BodyText"/>
        <w:spacing w:before="11"/>
        <w:rPr>
          <w:b/>
          <w:sz w:val="28"/>
        </w:rPr>
      </w:pPr>
    </w:p>
    <w:p>
      <w:pPr>
        <w:pStyle w:val="BodyText"/>
        <w:ind w:left="115"/>
      </w:pPr>
      <w:r>
        <w:rPr/>
        <w:t>Dr. Aureliano Peña Lomelí</w:t>
      </w:r>
    </w:p>
    <w:p>
      <w:pPr>
        <w:spacing w:before="2"/>
        <w:ind w:left="115" w:right="0" w:firstLine="0"/>
        <w:jc w:val="left"/>
        <w:rPr>
          <w:i/>
          <w:sz w:val="23"/>
        </w:rPr>
      </w:pPr>
      <w:r>
        <w:rPr>
          <w:i/>
          <w:sz w:val="23"/>
        </w:rPr>
        <w:t>Rector</w:t>
      </w:r>
    </w:p>
    <w:p>
      <w:pPr>
        <w:spacing w:line="244" w:lineRule="auto" w:before="6"/>
        <w:ind w:left="115" w:right="5768" w:firstLine="0"/>
        <w:jc w:val="both"/>
        <w:rPr>
          <w:sz w:val="23"/>
        </w:rPr>
      </w:pPr>
      <w:r>
        <w:rPr>
          <w:sz w:val="23"/>
        </w:rPr>
        <w:t>Dr. Marcos Portillo Vázquez </w:t>
      </w:r>
      <w:r>
        <w:rPr>
          <w:i/>
          <w:sz w:val="23"/>
        </w:rPr>
        <w:t>Director General Académico </w:t>
      </w:r>
      <w:r>
        <w:rPr>
          <w:sz w:val="23"/>
        </w:rPr>
        <w:t>Dr. Héctor Lozoya Saldaña</w:t>
      </w:r>
    </w:p>
    <w:p>
      <w:pPr>
        <w:spacing w:line="261" w:lineRule="exact" w:before="0"/>
        <w:ind w:left="115" w:right="0" w:firstLine="0"/>
        <w:jc w:val="left"/>
        <w:rPr>
          <w:i/>
          <w:sz w:val="23"/>
        </w:rPr>
      </w:pPr>
      <w:r>
        <w:rPr>
          <w:i/>
          <w:sz w:val="23"/>
        </w:rPr>
        <w:t>Director General de Investigación y</w:t>
      </w:r>
      <w:r>
        <w:rPr>
          <w:i/>
          <w:spacing w:val="52"/>
          <w:sz w:val="23"/>
        </w:rPr>
        <w:t> </w:t>
      </w:r>
      <w:r>
        <w:rPr>
          <w:i/>
          <w:sz w:val="23"/>
        </w:rPr>
        <w:t>Posgrado</w:t>
      </w:r>
    </w:p>
    <w:p>
      <w:pPr>
        <w:pStyle w:val="BodyText"/>
        <w:spacing w:before="6"/>
        <w:ind w:left="115"/>
      </w:pPr>
      <w:r>
        <w:rPr/>
        <w:t>Dr. Jesús María Garza López</w:t>
      </w:r>
    </w:p>
    <w:p>
      <w:pPr>
        <w:spacing w:before="2"/>
        <w:ind w:left="115" w:right="0" w:firstLine="0"/>
        <w:jc w:val="left"/>
        <w:rPr>
          <w:i/>
          <w:sz w:val="23"/>
        </w:rPr>
      </w:pPr>
      <w:r>
        <w:rPr>
          <w:i/>
          <w:sz w:val="23"/>
        </w:rPr>
        <w:t>Director General de Administración</w:t>
      </w:r>
    </w:p>
    <w:p>
      <w:pPr>
        <w:pStyle w:val="BodyText"/>
        <w:spacing w:before="4"/>
        <w:ind w:left="115"/>
      </w:pPr>
      <w:r>
        <w:rPr/>
        <w:t>M.C. Ignacio Miranda Velázquez</w:t>
      </w:r>
    </w:p>
    <w:p>
      <w:pPr>
        <w:spacing w:before="2"/>
        <w:ind w:left="115" w:right="0" w:firstLine="0"/>
        <w:jc w:val="left"/>
        <w:rPr>
          <w:i/>
          <w:sz w:val="23"/>
        </w:rPr>
      </w:pPr>
      <w:r>
        <w:rPr>
          <w:i/>
          <w:sz w:val="23"/>
        </w:rPr>
        <w:t>Director General de Patronato Universitario</w:t>
      </w:r>
    </w:p>
    <w:p>
      <w:pPr>
        <w:pStyle w:val="BodyText"/>
        <w:spacing w:before="6"/>
        <w:ind w:left="115"/>
      </w:pPr>
      <w:r>
        <w:rPr/>
        <w:t>M.I. Martín Soto Escobar</w:t>
      </w:r>
    </w:p>
    <w:p>
      <w:pPr>
        <w:spacing w:before="2"/>
        <w:ind w:left="115" w:right="0" w:firstLine="0"/>
        <w:jc w:val="left"/>
        <w:rPr>
          <w:i/>
          <w:sz w:val="23"/>
        </w:rPr>
      </w:pPr>
      <w:r>
        <w:rPr>
          <w:i/>
          <w:sz w:val="23"/>
        </w:rPr>
        <w:t>Director General de Difusión Cultural y</w:t>
      </w:r>
      <w:r>
        <w:rPr>
          <w:i/>
          <w:spacing w:val="55"/>
          <w:sz w:val="23"/>
        </w:rPr>
        <w:t> </w:t>
      </w:r>
      <w:r>
        <w:rPr>
          <w:i/>
          <w:sz w:val="23"/>
        </w:rPr>
        <w:t>Servicio</w:t>
      </w:r>
    </w:p>
    <w:p>
      <w:pPr>
        <w:spacing w:line="242" w:lineRule="auto" w:before="6"/>
        <w:ind w:left="115" w:right="4698" w:firstLine="0"/>
        <w:jc w:val="left"/>
        <w:rPr>
          <w:i/>
          <w:sz w:val="23"/>
        </w:rPr>
      </w:pPr>
      <w:r>
        <w:rPr>
          <w:sz w:val="23"/>
        </w:rPr>
        <w:t>M.C. Ofelia Hernández Ordóñez </w:t>
      </w:r>
      <w:r>
        <w:rPr>
          <w:i/>
          <w:sz w:val="23"/>
        </w:rPr>
        <w:t>Responsable del ISBN por la UACH </w:t>
      </w:r>
      <w:r>
        <w:rPr>
          <w:i/>
          <w:sz w:val="23"/>
        </w:rPr>
        <w:t>Lic. Fabiola García Hernández</w:t>
      </w:r>
    </w:p>
    <w:p>
      <w:pPr>
        <w:spacing w:before="1"/>
        <w:ind w:left="115" w:right="0" w:firstLine="0"/>
        <w:jc w:val="left"/>
        <w:rPr>
          <w:i/>
          <w:sz w:val="23"/>
        </w:rPr>
      </w:pPr>
      <w:r>
        <w:rPr>
          <w:i/>
          <w:sz w:val="23"/>
        </w:rPr>
        <w:t>Jefa del Departamento de Publicaciones</w:t>
      </w: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pStyle w:val="BodyText"/>
        <w:spacing w:before="7"/>
        <w:rPr>
          <w:i/>
          <w:sz w:val="25"/>
        </w:rPr>
      </w:pPr>
    </w:p>
    <w:p>
      <w:pPr>
        <w:pStyle w:val="BodyText"/>
        <w:ind w:left="115"/>
      </w:pPr>
      <w:r>
        <w:rPr/>
        <w:t>Comité de arbitraje</w:t>
      </w:r>
    </w:p>
    <w:p>
      <w:pPr>
        <w:pStyle w:val="BodyText"/>
        <w:spacing w:before="8"/>
      </w:pPr>
    </w:p>
    <w:p>
      <w:pPr>
        <w:pStyle w:val="BodyText"/>
        <w:spacing w:line="244" w:lineRule="auto"/>
        <w:ind w:left="115" w:right="5130"/>
      </w:pPr>
      <w:r>
        <w:rPr/>
        <w:t>Dra. Laura Elena Garza Bueno  Dr. Miguel Ángel Martínez Damián Dr. Miguel Ángel Díaz</w:t>
      </w:r>
      <w:r>
        <w:rPr>
          <w:spacing w:val="33"/>
        </w:rPr>
        <w:t> </w:t>
      </w:r>
      <w:r>
        <w:rPr/>
        <w:t>Carreño</w:t>
      </w:r>
    </w:p>
    <w:p>
      <w:pPr>
        <w:pStyle w:val="BodyText"/>
        <w:spacing w:line="244" w:lineRule="auto"/>
        <w:ind w:left="115" w:right="6130"/>
      </w:pPr>
      <w:r>
        <w:rPr/>
        <w:t>Dr. Artemio Cruz León Dr. Antonio Kido Cruz</w:t>
      </w:r>
    </w:p>
    <w:p>
      <w:pPr>
        <w:spacing w:after="0" w:line="244" w:lineRule="auto"/>
        <w:sectPr>
          <w:pgSz w:w="11900" w:h="16840"/>
          <w:pgMar w:header="0" w:footer="1679" w:top="1600" w:bottom="1860" w:left="1540" w:right="1540"/>
        </w:sectPr>
      </w:pPr>
    </w:p>
    <w:p>
      <w:pPr>
        <w:pStyle w:val="BodyText"/>
        <w:rPr>
          <w:sz w:val="20"/>
        </w:rPr>
      </w:pPr>
    </w:p>
    <w:p>
      <w:pPr>
        <w:pStyle w:val="BodyText"/>
        <w:spacing w:before="6"/>
        <w:rPr>
          <w:sz w:val="16"/>
        </w:rPr>
      </w:pPr>
    </w:p>
    <w:p>
      <w:pPr>
        <w:pStyle w:val="Heading3"/>
        <w:spacing w:line="364" w:lineRule="auto" w:before="69"/>
        <w:ind w:left="735" w:right="1029"/>
        <w:jc w:val="center"/>
      </w:pPr>
      <w:r>
        <w:rPr/>
        <w:t>LA EMIGRACIÓN INTERNACIONAL, LAS REMESAS Y EL DESARROLLO ECONÓMICO EN MÉXICO</w:t>
      </w:r>
    </w:p>
    <w:p>
      <w:pPr>
        <w:spacing w:before="195"/>
        <w:ind w:left="735" w:right="1025" w:firstLine="0"/>
        <w:jc w:val="center"/>
        <w:rPr>
          <w:b/>
          <w:sz w:val="27"/>
        </w:rPr>
      </w:pPr>
      <w:r>
        <w:rPr>
          <w:b/>
          <w:sz w:val="27"/>
        </w:rPr>
        <w:t>ÍNDICE</w:t>
      </w:r>
    </w:p>
    <w:p>
      <w:pPr>
        <w:pStyle w:val="BodyText"/>
        <w:spacing w:before="9"/>
        <w:rPr>
          <w:b/>
          <w:sz w:val="30"/>
        </w:rPr>
      </w:pPr>
    </w:p>
    <w:p>
      <w:pPr>
        <w:tabs>
          <w:tab w:pos="4179" w:val="left" w:leader="none"/>
          <w:tab w:pos="8364" w:val="left" w:leader="none"/>
        </w:tabs>
        <w:spacing w:before="0"/>
        <w:ind w:left="115" w:right="99" w:firstLine="0"/>
        <w:jc w:val="left"/>
        <w:rPr>
          <w:b/>
          <w:i/>
          <w:sz w:val="21"/>
        </w:rPr>
      </w:pPr>
      <w:r>
        <w:rPr>
          <w:b/>
          <w:i/>
          <w:position w:val="-10"/>
          <w:sz w:val="21"/>
        </w:rPr>
        <w:t>CAP.</w:t>
        <w:tab/>
      </w:r>
      <w:r>
        <w:rPr>
          <w:b/>
          <w:i/>
          <w:sz w:val="23"/>
        </w:rPr>
        <w:t>TITULO</w:t>
        <w:tab/>
      </w:r>
      <w:r>
        <w:rPr>
          <w:b/>
          <w:i/>
          <w:position w:val="2"/>
          <w:sz w:val="21"/>
        </w:rPr>
        <w:t>PÁG.</w:t>
      </w:r>
    </w:p>
    <w:p>
      <w:pPr>
        <w:pStyle w:val="Heading5"/>
        <w:numPr>
          <w:ilvl w:val="0"/>
          <w:numId w:val="1"/>
        </w:numPr>
        <w:tabs>
          <w:tab w:pos="1047" w:val="left" w:leader="none"/>
          <w:tab w:pos="1048" w:val="left" w:leader="none"/>
        </w:tabs>
        <w:spacing w:line="278" w:lineRule="auto" w:before="125" w:after="0"/>
        <w:ind w:left="1047" w:right="926" w:hanging="931"/>
        <w:jc w:val="left"/>
      </w:pPr>
      <w:r>
        <w:rPr>
          <w:i/>
        </w:rPr>
        <w:t>MOVILIDAD DEMOGRÁFICA, EL NUEVO ENFOQUE DE LA </w:t>
      </w:r>
      <w:r>
        <w:rPr/>
        <w:t>EMIGRACIÓN</w:t>
      </w:r>
    </w:p>
    <w:p>
      <w:pPr>
        <w:tabs>
          <w:tab w:pos="8978" w:val="right" w:leader="none"/>
        </w:tabs>
        <w:spacing w:line="280" w:lineRule="auto" w:before="4"/>
        <w:ind w:left="1047" w:right="99" w:firstLine="0"/>
        <w:jc w:val="left"/>
        <w:rPr>
          <w:b/>
          <w:i/>
          <w:sz w:val="21"/>
        </w:rPr>
      </w:pPr>
      <w:r>
        <w:rPr>
          <w:i/>
          <w:sz w:val="23"/>
        </w:rPr>
        <w:t>Gerónimo   Barrios   Puente,   Esther   Figueroa   Hernández,   Orsohe </w:t>
      </w:r>
      <w:r>
        <w:rPr>
          <w:i/>
          <w:sz w:val="23"/>
        </w:rPr>
        <w:t>Ramírez   Abarca,   Francisco   Pérez   Soto,   Jesús   Loera   Martínez, Hernán Efraín</w:t>
      </w:r>
      <w:r>
        <w:rPr>
          <w:i/>
          <w:spacing w:val="1"/>
          <w:sz w:val="23"/>
        </w:rPr>
        <w:t> </w:t>
      </w:r>
      <w:r>
        <w:rPr>
          <w:i/>
          <w:sz w:val="23"/>
        </w:rPr>
        <w:t>Pérez</w:t>
      </w:r>
      <w:r>
        <w:rPr>
          <w:i/>
          <w:spacing w:val="-4"/>
          <w:sz w:val="23"/>
        </w:rPr>
        <w:t> </w:t>
      </w:r>
      <w:r>
        <w:rPr>
          <w:i/>
          <w:sz w:val="23"/>
        </w:rPr>
        <w:t>Camargo</w:t>
      </w:r>
      <w:r>
        <w:rPr>
          <w:b/>
          <w:i/>
          <w:position w:val="2"/>
          <w:sz w:val="21"/>
        </w:rPr>
        <w:tab/>
        <w:t>1</w:t>
      </w:r>
    </w:p>
    <w:p>
      <w:pPr>
        <w:spacing w:after="0" w:line="280" w:lineRule="auto"/>
        <w:jc w:val="left"/>
        <w:rPr>
          <w:sz w:val="21"/>
        </w:rPr>
        <w:sectPr>
          <w:footerReference w:type="default" r:id="rId10"/>
          <w:pgSz w:w="11900" w:h="16840"/>
          <w:pgMar w:footer="0" w:header="0" w:top="1600" w:bottom="280" w:left="1540" w:right="1280"/>
        </w:sectPr>
      </w:pPr>
    </w:p>
    <w:p>
      <w:pPr>
        <w:pStyle w:val="Heading5"/>
        <w:numPr>
          <w:ilvl w:val="0"/>
          <w:numId w:val="1"/>
        </w:numPr>
        <w:tabs>
          <w:tab w:pos="1047" w:val="left" w:leader="none"/>
          <w:tab w:pos="1048" w:val="left" w:leader="none"/>
        </w:tabs>
        <w:spacing w:line="244" w:lineRule="auto" w:before="240" w:after="0"/>
        <w:ind w:left="1047" w:right="629" w:hanging="931"/>
        <w:jc w:val="left"/>
      </w:pPr>
      <w:r>
        <w:rPr>
          <w:i/>
        </w:rPr>
        <w:t>PANORAMA INTERNACIONAL DE LA EMIGRACIÓN Y LAS </w:t>
      </w:r>
      <w:r>
        <w:rPr/>
        <w:t>REMESAS EN</w:t>
      </w:r>
      <w:r>
        <w:rPr>
          <w:spacing w:val="35"/>
        </w:rPr>
        <w:t> </w:t>
      </w:r>
      <w:r>
        <w:rPr/>
        <w:t>MÉXICO</w:t>
      </w:r>
    </w:p>
    <w:p>
      <w:pPr>
        <w:spacing w:line="244" w:lineRule="auto" w:before="116"/>
        <w:ind w:left="1047" w:right="0" w:firstLine="0"/>
        <w:jc w:val="both"/>
        <w:rPr>
          <w:i/>
          <w:sz w:val="23"/>
        </w:rPr>
      </w:pPr>
      <w:r>
        <w:rPr>
          <w:i/>
          <w:sz w:val="23"/>
        </w:rPr>
        <w:t>Francisco Pérez Soto, Esther Figueroa  Hernández,  Gerónimo </w:t>
      </w:r>
      <w:r>
        <w:rPr>
          <w:i/>
          <w:sz w:val="23"/>
        </w:rPr>
        <w:t>Barrios Puente, Daniel Sepúlveda Jiménez, Marcos  Portillo  Vázquez, Jesús Loera</w:t>
      </w:r>
      <w:r>
        <w:rPr>
          <w:i/>
          <w:spacing w:val="39"/>
          <w:sz w:val="23"/>
        </w:rPr>
        <w:t> </w:t>
      </w:r>
      <w:r>
        <w:rPr>
          <w:i/>
          <w:sz w:val="23"/>
        </w:rPr>
        <w:t>Martínez</w:t>
      </w:r>
    </w:p>
    <w:p>
      <w:pPr>
        <w:pStyle w:val="BodyText"/>
        <w:rPr>
          <w:i/>
          <w:sz w:val="20"/>
        </w:rPr>
      </w:pPr>
      <w:r>
        <w:rPr/>
        <w:br w:type="column"/>
      </w:r>
      <w:r>
        <w:rPr>
          <w:i/>
          <w:sz w:val="20"/>
        </w:rPr>
      </w:r>
    </w:p>
    <w:p>
      <w:pPr>
        <w:pStyle w:val="BodyText"/>
        <w:rPr>
          <w:i/>
          <w:sz w:val="20"/>
        </w:rPr>
      </w:pPr>
    </w:p>
    <w:p>
      <w:pPr>
        <w:pStyle w:val="BodyText"/>
        <w:rPr>
          <w:i/>
          <w:sz w:val="20"/>
        </w:rPr>
      </w:pPr>
    </w:p>
    <w:p>
      <w:pPr>
        <w:pStyle w:val="BodyText"/>
        <w:rPr>
          <w:i/>
          <w:sz w:val="20"/>
        </w:rPr>
      </w:pPr>
    </w:p>
    <w:p>
      <w:pPr>
        <w:pStyle w:val="BodyText"/>
        <w:spacing w:before="10"/>
        <w:rPr>
          <w:i/>
          <w:sz w:val="26"/>
        </w:rPr>
      </w:pPr>
    </w:p>
    <w:p>
      <w:pPr>
        <w:spacing w:before="0"/>
        <w:ind w:left="115" w:right="0" w:firstLine="0"/>
        <w:jc w:val="left"/>
        <w:rPr>
          <w:b/>
          <w:i/>
          <w:sz w:val="21"/>
        </w:rPr>
      </w:pPr>
      <w:r>
        <w:rPr>
          <w:b/>
          <w:i/>
          <w:sz w:val="21"/>
        </w:rPr>
        <w:t>101</w:t>
      </w:r>
    </w:p>
    <w:p>
      <w:pPr>
        <w:spacing w:after="0"/>
        <w:jc w:val="left"/>
        <w:rPr>
          <w:sz w:val="21"/>
        </w:rPr>
        <w:sectPr>
          <w:type w:val="continuous"/>
          <w:pgSz w:w="11900" w:h="16840"/>
          <w:pgMar w:top="1600" w:bottom="280" w:left="1540" w:right="1280"/>
          <w:cols w:num="2" w:equalWidth="0">
            <w:col w:w="8154" w:space="351"/>
            <w:col w:w="575"/>
          </w:cols>
        </w:sectPr>
      </w:pPr>
    </w:p>
    <w:p>
      <w:pPr>
        <w:pStyle w:val="BodyText"/>
        <w:rPr>
          <w:b/>
          <w:i/>
          <w:sz w:val="20"/>
        </w:rPr>
      </w:pPr>
    </w:p>
    <w:p>
      <w:pPr>
        <w:pStyle w:val="BodyText"/>
        <w:spacing w:before="4"/>
        <w:rPr>
          <w:b/>
          <w:i/>
          <w:sz w:val="16"/>
        </w:rPr>
      </w:pPr>
    </w:p>
    <w:p>
      <w:pPr>
        <w:pStyle w:val="Heading5"/>
        <w:numPr>
          <w:ilvl w:val="0"/>
          <w:numId w:val="1"/>
        </w:numPr>
        <w:tabs>
          <w:tab w:pos="1047" w:val="left" w:leader="none"/>
          <w:tab w:pos="1048" w:val="left" w:leader="none"/>
        </w:tabs>
        <w:spacing w:line="240" w:lineRule="auto" w:before="74" w:after="0"/>
        <w:ind w:left="1047" w:right="0" w:hanging="931"/>
        <w:jc w:val="left"/>
        <w:rPr>
          <w:i/>
        </w:rPr>
      </w:pPr>
      <w:r>
        <w:rPr>
          <w:i/>
        </w:rPr>
        <w:t>ANÁLISIS  DE LA MIGRACIÓN MÉXICO- ESTADOS </w:t>
      </w:r>
      <w:r>
        <w:rPr>
          <w:i/>
          <w:spacing w:val="13"/>
        </w:rPr>
        <w:t> </w:t>
      </w:r>
      <w:r>
        <w:rPr>
          <w:i/>
        </w:rPr>
        <w:t>UNIDOS</w:t>
      </w:r>
    </w:p>
    <w:p>
      <w:pPr>
        <w:spacing w:before="122"/>
        <w:ind w:left="1047" w:right="99" w:firstLine="0"/>
        <w:jc w:val="left"/>
        <w:rPr>
          <w:i/>
          <w:sz w:val="23"/>
        </w:rPr>
      </w:pPr>
      <w:r>
        <w:rPr>
          <w:i/>
          <w:sz w:val="23"/>
        </w:rPr>
        <w:t>Esther   Figueroa   Hernández,   Francisco   Pérez   Soto,   Gerónimo</w:t>
      </w:r>
    </w:p>
    <w:p>
      <w:pPr>
        <w:tabs>
          <w:tab w:pos="8978" w:val="right" w:leader="none"/>
        </w:tabs>
        <w:spacing w:before="2"/>
        <w:ind w:left="1047" w:right="0" w:firstLine="0"/>
        <w:jc w:val="left"/>
        <w:rPr>
          <w:b/>
          <w:i/>
          <w:sz w:val="21"/>
        </w:rPr>
      </w:pPr>
      <w:r>
        <w:rPr>
          <w:i/>
          <w:sz w:val="23"/>
        </w:rPr>
        <w:t>Barrios Puente, Orsohe Ramírez Abarca, Jesús</w:t>
      </w:r>
      <w:r>
        <w:rPr>
          <w:i/>
          <w:spacing w:val="19"/>
          <w:sz w:val="23"/>
        </w:rPr>
        <w:t> </w:t>
      </w:r>
      <w:r>
        <w:rPr>
          <w:i/>
          <w:sz w:val="23"/>
        </w:rPr>
        <w:t>Loera</w:t>
      </w:r>
      <w:r>
        <w:rPr>
          <w:i/>
          <w:spacing w:val="3"/>
          <w:sz w:val="23"/>
        </w:rPr>
        <w:t> </w:t>
      </w:r>
      <w:r>
        <w:rPr>
          <w:i/>
          <w:sz w:val="23"/>
        </w:rPr>
        <w:t>Martìnez</w:t>
      </w:r>
      <w:r>
        <w:rPr>
          <w:b/>
          <w:i/>
          <w:position w:val="-6"/>
          <w:sz w:val="21"/>
        </w:rPr>
        <w:tab/>
        <w:t>139</w:t>
      </w:r>
    </w:p>
    <w:p>
      <w:pPr>
        <w:pStyle w:val="BodyText"/>
        <w:spacing w:before="8"/>
        <w:rPr>
          <w:b/>
          <w:i/>
          <w:sz w:val="21"/>
        </w:rPr>
      </w:pPr>
    </w:p>
    <w:p>
      <w:pPr>
        <w:spacing w:line="237" w:lineRule="exact" w:before="0"/>
        <w:ind w:left="115" w:right="0" w:firstLine="0"/>
        <w:jc w:val="left"/>
        <w:rPr>
          <w:b/>
          <w:i/>
          <w:sz w:val="21"/>
        </w:rPr>
      </w:pPr>
      <w:r>
        <w:rPr>
          <w:b/>
          <w:i/>
          <w:w w:val="102"/>
          <w:sz w:val="21"/>
        </w:rPr>
        <w:t>4</w:t>
      </w:r>
    </w:p>
    <w:p>
      <w:pPr>
        <w:pStyle w:val="Heading5"/>
        <w:spacing w:line="280" w:lineRule="auto" w:before="0"/>
        <w:ind w:right="894"/>
      </w:pPr>
      <w:r>
        <w:rPr>
          <w:i/>
        </w:rPr>
        <w:t>ANÁLISIS DE LAS REMESAS FAMILIARES EN EL CONTEXTO </w:t>
      </w:r>
      <w:r>
        <w:rPr/>
        <w:t>MUNDIAL Y EN MÉXICO</w:t>
      </w:r>
    </w:p>
    <w:p>
      <w:pPr>
        <w:spacing w:line="280" w:lineRule="auto" w:before="1"/>
        <w:ind w:left="1047" w:right="894" w:firstLine="0"/>
        <w:jc w:val="left"/>
        <w:rPr>
          <w:i/>
          <w:sz w:val="23"/>
        </w:rPr>
      </w:pPr>
      <w:r>
        <w:rPr>
          <w:i/>
          <w:sz w:val="23"/>
        </w:rPr>
        <w:t>Orsohe Ramírez Abarca, Esther Figueroa Hernández, Gerónimo </w:t>
      </w:r>
      <w:r>
        <w:rPr>
          <w:i/>
          <w:sz w:val="23"/>
        </w:rPr>
        <w:t>Barrios Puente, Jesús  Loera Martínez, Francisco Pérez Soto,     Luis</w:t>
      </w:r>
    </w:p>
    <w:p>
      <w:pPr>
        <w:tabs>
          <w:tab w:pos="8621" w:val="left" w:leader="none"/>
        </w:tabs>
        <w:spacing w:line="264" w:lineRule="exact" w:before="0"/>
        <w:ind w:left="1047" w:right="0" w:firstLine="0"/>
        <w:jc w:val="left"/>
        <w:rPr>
          <w:b/>
          <w:i/>
          <w:sz w:val="21"/>
        </w:rPr>
      </w:pPr>
      <w:r>
        <w:rPr>
          <w:i/>
          <w:sz w:val="23"/>
        </w:rPr>
        <w:t>Enrique</w:t>
      </w:r>
      <w:r>
        <w:rPr>
          <w:i/>
          <w:spacing w:val="7"/>
          <w:sz w:val="23"/>
        </w:rPr>
        <w:t> </w:t>
      </w:r>
      <w:r>
        <w:rPr>
          <w:i/>
          <w:sz w:val="23"/>
        </w:rPr>
        <w:t>Espinosa</w:t>
      </w:r>
      <w:r>
        <w:rPr>
          <w:i/>
          <w:spacing w:val="7"/>
          <w:sz w:val="23"/>
        </w:rPr>
        <w:t> </w:t>
      </w:r>
      <w:r>
        <w:rPr>
          <w:i/>
          <w:sz w:val="23"/>
        </w:rPr>
        <w:t>Torres</w:t>
      </w:r>
      <w:r>
        <w:rPr>
          <w:b/>
          <w:i/>
          <w:position w:val="1"/>
          <w:sz w:val="21"/>
        </w:rPr>
        <w:tab/>
        <w:t>167</w:t>
      </w:r>
    </w:p>
    <w:p>
      <w:pPr>
        <w:pStyle w:val="BodyText"/>
        <w:spacing w:before="7"/>
        <w:rPr>
          <w:b/>
          <w:i/>
          <w:sz w:val="18"/>
        </w:rPr>
      </w:pPr>
    </w:p>
    <w:p>
      <w:pPr>
        <w:pStyle w:val="Heading5"/>
        <w:numPr>
          <w:ilvl w:val="0"/>
          <w:numId w:val="2"/>
        </w:numPr>
        <w:tabs>
          <w:tab w:pos="1047" w:val="left" w:leader="none"/>
          <w:tab w:pos="1048" w:val="left" w:leader="none"/>
          <w:tab w:pos="2244" w:val="left" w:leader="none"/>
          <w:tab w:pos="2611" w:val="left" w:leader="none"/>
          <w:tab w:pos="3924" w:val="left" w:leader="none"/>
          <w:tab w:pos="4459" w:val="left" w:leader="none"/>
          <w:tab w:pos="4983" w:val="left" w:leader="none"/>
          <w:tab w:pos="6552" w:val="left" w:leader="none"/>
          <w:tab w:pos="6917" w:val="left" w:leader="none"/>
        </w:tabs>
        <w:spacing w:line="244" w:lineRule="auto" w:before="74" w:after="0"/>
        <w:ind w:left="1047" w:right="925" w:hanging="931"/>
        <w:jc w:val="left"/>
        <w:rPr>
          <w:sz w:val="21"/>
        </w:rPr>
      </w:pPr>
      <w:r>
        <w:rPr>
          <w:i/>
        </w:rPr>
        <w:t>CAUSAS</w:t>
        <w:tab/>
        <w:t>Y</w:t>
        <w:tab/>
        <w:t>EFECTOS</w:t>
        <w:tab/>
        <w:t>DE</w:t>
        <w:tab/>
        <w:t>LA</w:t>
        <w:tab/>
        <w:t>MIGRACIÓN</w:t>
        <w:tab/>
        <w:t>Y</w:t>
        <w:tab/>
        <w:t>REMESAS: </w:t>
      </w:r>
      <w:r>
        <w:rPr/>
        <w:t>ASPECTOS ECONÓMICOS Y</w:t>
      </w:r>
      <w:r>
        <w:rPr>
          <w:spacing w:val="55"/>
        </w:rPr>
        <w:t> </w:t>
      </w:r>
      <w:r>
        <w:rPr/>
        <w:t>SOCIALES</w:t>
      </w:r>
    </w:p>
    <w:p>
      <w:pPr>
        <w:spacing w:line="244" w:lineRule="auto" w:before="0"/>
        <w:ind w:left="1047" w:right="894" w:firstLine="0"/>
        <w:jc w:val="left"/>
        <w:rPr>
          <w:i/>
          <w:sz w:val="23"/>
        </w:rPr>
      </w:pPr>
      <w:r>
        <w:rPr>
          <w:i/>
          <w:sz w:val="23"/>
        </w:rPr>
        <w:t>Esther Figueroa Hernández, Orsohe Ramírez Abarca, Francisco </w:t>
      </w:r>
      <w:r>
        <w:rPr>
          <w:i/>
          <w:sz w:val="23"/>
        </w:rPr>
        <w:t>Pérez   Soto,   Gerónimo   Barrios   Puente,   Luis   Enrique Espinosa</w:t>
      </w:r>
    </w:p>
    <w:p>
      <w:pPr>
        <w:tabs>
          <w:tab w:pos="8978" w:val="right" w:leader="none"/>
        </w:tabs>
        <w:spacing w:line="261" w:lineRule="exact" w:before="0"/>
        <w:ind w:left="1047" w:right="0" w:firstLine="0"/>
        <w:jc w:val="left"/>
        <w:rPr>
          <w:b/>
          <w:i/>
          <w:sz w:val="21"/>
        </w:rPr>
      </w:pPr>
      <w:r>
        <w:rPr>
          <w:i/>
          <w:sz w:val="23"/>
        </w:rPr>
        <w:t>Torres</w:t>
      </w:r>
      <w:r>
        <w:rPr>
          <w:b/>
          <w:i/>
          <w:position w:val="11"/>
          <w:sz w:val="21"/>
        </w:rPr>
        <w:tab/>
        <w:t>193</w:t>
      </w:r>
    </w:p>
    <w:p>
      <w:pPr>
        <w:spacing w:after="0" w:line="261" w:lineRule="exact"/>
        <w:jc w:val="left"/>
        <w:rPr>
          <w:sz w:val="21"/>
        </w:rPr>
        <w:sectPr>
          <w:type w:val="continuous"/>
          <w:pgSz w:w="11900" w:h="16840"/>
          <w:pgMar w:top="1600" w:bottom="280" w:left="1540" w:right="1280"/>
        </w:sectPr>
      </w:pPr>
    </w:p>
    <w:p>
      <w:pPr>
        <w:pStyle w:val="Heading5"/>
        <w:numPr>
          <w:ilvl w:val="0"/>
          <w:numId w:val="2"/>
        </w:numPr>
        <w:tabs>
          <w:tab w:pos="1047" w:val="left" w:leader="none"/>
          <w:tab w:pos="1048" w:val="left" w:leader="none"/>
          <w:tab w:pos="2818" w:val="left" w:leader="none"/>
          <w:tab w:pos="3233" w:val="left" w:leader="none"/>
          <w:tab w:pos="4721" w:val="left" w:leader="none"/>
          <w:tab w:pos="6144" w:val="left" w:leader="none"/>
          <w:tab w:pos="7685" w:val="left" w:leader="none"/>
        </w:tabs>
        <w:spacing w:line="247" w:lineRule="auto" w:before="250" w:after="0"/>
        <w:ind w:left="1047" w:right="3" w:hanging="931"/>
        <w:jc w:val="left"/>
        <w:rPr>
          <w:sz w:val="21"/>
        </w:rPr>
      </w:pPr>
      <w:r>
        <w:rPr>
          <w:i/>
        </w:rPr>
        <w:t>EMIGRACIÓN</w:t>
        <w:tab/>
        <w:t>Y</w:t>
        <w:tab/>
        <w:t>REMESAS:</w:t>
        <w:tab/>
        <w:t>ALGUNOS</w:t>
        <w:tab/>
        <w:t>ASPECTOS</w:t>
        <w:tab/>
        <w:t>DEL </w:t>
      </w:r>
      <w:r>
        <w:rPr/>
        <w:t>IMPACTO MICRO Y MACROECONÓMICO EN </w:t>
      </w:r>
      <w:r>
        <w:rPr>
          <w:spacing w:val="13"/>
        </w:rPr>
        <w:t> </w:t>
      </w:r>
      <w:r>
        <w:rPr/>
        <w:t>MÉXICO</w:t>
      </w:r>
    </w:p>
    <w:p>
      <w:pPr>
        <w:spacing w:line="244" w:lineRule="auto" w:before="186"/>
        <w:ind w:left="1047" w:right="0" w:firstLine="0"/>
        <w:jc w:val="both"/>
        <w:rPr>
          <w:i/>
          <w:sz w:val="23"/>
        </w:rPr>
      </w:pPr>
      <w:r>
        <w:rPr>
          <w:i/>
          <w:sz w:val="23"/>
        </w:rPr>
        <w:t>Jesús Loera Martínez, Esther Figueroa  Hernández,  Daniel </w:t>
      </w:r>
      <w:r>
        <w:rPr>
          <w:i/>
          <w:sz w:val="23"/>
        </w:rPr>
        <w:t>Sepúlveda Jiménez, Francisco Pérez Soto,  Orsohe  Ramírez  Abarca, Gerónimo Barrios</w:t>
      </w:r>
      <w:r>
        <w:rPr>
          <w:i/>
          <w:spacing w:val="41"/>
          <w:sz w:val="23"/>
        </w:rPr>
        <w:t> </w:t>
      </w:r>
      <w:r>
        <w:rPr>
          <w:i/>
          <w:sz w:val="23"/>
        </w:rPr>
        <w:t>Puente</w:t>
      </w:r>
    </w:p>
    <w:p>
      <w:pPr>
        <w:pStyle w:val="BodyText"/>
        <w:rPr>
          <w:i/>
          <w:sz w:val="20"/>
        </w:rPr>
      </w:pPr>
      <w:r>
        <w:rPr/>
        <w:br w:type="column"/>
      </w:r>
      <w:r>
        <w:rPr>
          <w:i/>
          <w:sz w:val="20"/>
        </w:rPr>
      </w:r>
    </w:p>
    <w:p>
      <w:pPr>
        <w:pStyle w:val="BodyText"/>
        <w:rPr>
          <w:i/>
          <w:sz w:val="20"/>
        </w:rPr>
      </w:pPr>
    </w:p>
    <w:p>
      <w:pPr>
        <w:pStyle w:val="BodyText"/>
        <w:rPr>
          <w:i/>
          <w:sz w:val="20"/>
        </w:rPr>
      </w:pPr>
    </w:p>
    <w:p>
      <w:pPr>
        <w:pStyle w:val="BodyText"/>
        <w:rPr>
          <w:i/>
          <w:sz w:val="20"/>
        </w:rPr>
      </w:pPr>
    </w:p>
    <w:p>
      <w:pPr>
        <w:pStyle w:val="BodyText"/>
        <w:spacing w:before="9"/>
        <w:rPr>
          <w:i/>
          <w:sz w:val="27"/>
        </w:rPr>
      </w:pPr>
    </w:p>
    <w:p>
      <w:pPr>
        <w:spacing w:before="0"/>
        <w:ind w:left="115" w:right="0" w:firstLine="0"/>
        <w:jc w:val="left"/>
        <w:rPr>
          <w:b/>
          <w:i/>
          <w:sz w:val="21"/>
        </w:rPr>
      </w:pPr>
      <w:r>
        <w:rPr>
          <w:b/>
          <w:i/>
          <w:sz w:val="21"/>
        </w:rPr>
        <w:t>231</w:t>
      </w:r>
    </w:p>
    <w:p>
      <w:pPr>
        <w:spacing w:after="0"/>
        <w:jc w:val="left"/>
        <w:rPr>
          <w:sz w:val="21"/>
        </w:rPr>
        <w:sectPr>
          <w:type w:val="continuous"/>
          <w:pgSz w:w="11900" w:h="16840"/>
          <w:pgMar w:top="1600" w:bottom="280" w:left="1540" w:right="1280"/>
          <w:cols w:num="2" w:equalWidth="0">
            <w:col w:w="8158" w:space="348"/>
            <w:col w:w="574"/>
          </w:cols>
        </w:sectPr>
      </w:pPr>
    </w:p>
    <w:p>
      <w:pPr>
        <w:pStyle w:val="BodyText"/>
        <w:rPr>
          <w:b/>
          <w:i/>
          <w:sz w:val="20"/>
        </w:rPr>
      </w:pPr>
    </w:p>
    <w:p>
      <w:pPr>
        <w:pStyle w:val="BodyText"/>
        <w:spacing w:before="1"/>
        <w:rPr>
          <w:b/>
          <w:i/>
          <w:sz w:val="16"/>
        </w:rPr>
      </w:pPr>
    </w:p>
    <w:p>
      <w:pPr>
        <w:pStyle w:val="Heading5"/>
        <w:numPr>
          <w:ilvl w:val="0"/>
          <w:numId w:val="2"/>
        </w:numPr>
        <w:tabs>
          <w:tab w:pos="1047" w:val="left" w:leader="none"/>
          <w:tab w:pos="1048" w:val="left" w:leader="none"/>
        </w:tabs>
        <w:spacing w:line="244" w:lineRule="auto" w:before="74" w:after="0"/>
        <w:ind w:left="1047" w:right="1114" w:hanging="931"/>
        <w:jc w:val="left"/>
        <w:rPr>
          <w:sz w:val="21"/>
        </w:rPr>
      </w:pPr>
      <w:r>
        <w:rPr>
          <w:i/>
        </w:rPr>
        <w:t>LA MIGRACIÓN Y LAS VARIABLES MACROECONÓMICAS DE </w:t>
      </w:r>
      <w:r>
        <w:rPr/>
        <w:t>MÉXICO</w:t>
      </w:r>
    </w:p>
    <w:p>
      <w:pPr>
        <w:pStyle w:val="BodyText"/>
        <w:spacing w:before="3"/>
        <w:rPr>
          <w:b/>
          <w:i/>
        </w:rPr>
      </w:pPr>
    </w:p>
    <w:p>
      <w:pPr>
        <w:spacing w:line="221" w:lineRule="exact" w:before="0"/>
        <w:ind w:left="1047" w:right="99" w:firstLine="0"/>
        <w:jc w:val="left"/>
        <w:rPr>
          <w:i/>
          <w:sz w:val="23"/>
        </w:rPr>
      </w:pPr>
      <w:r>
        <w:rPr>
          <w:i/>
          <w:sz w:val="23"/>
        </w:rPr>
        <w:t>Esther Figueroa Hernández, Jesús Loera Martínez, Francisco  Pérez</w:t>
      </w:r>
    </w:p>
    <w:p>
      <w:pPr>
        <w:tabs>
          <w:tab w:pos="8978" w:val="right" w:leader="none"/>
        </w:tabs>
        <w:spacing w:line="312" w:lineRule="exact" w:before="0"/>
        <w:ind w:left="1047" w:right="0" w:firstLine="0"/>
        <w:jc w:val="left"/>
        <w:rPr>
          <w:b/>
          <w:i/>
          <w:sz w:val="21"/>
        </w:rPr>
      </w:pPr>
      <w:r>
        <w:rPr>
          <w:i/>
          <w:sz w:val="23"/>
        </w:rPr>
        <w:t>Soto, Gerónimo Barrios Puente, Orsohe</w:t>
      </w:r>
      <w:r>
        <w:rPr>
          <w:i/>
          <w:spacing w:val="16"/>
          <w:sz w:val="23"/>
        </w:rPr>
        <w:t> </w:t>
      </w:r>
      <w:r>
        <w:rPr>
          <w:i/>
          <w:sz w:val="23"/>
        </w:rPr>
        <w:t>Ramírez</w:t>
      </w:r>
      <w:r>
        <w:rPr>
          <w:i/>
          <w:spacing w:val="-4"/>
          <w:sz w:val="23"/>
        </w:rPr>
        <w:t> </w:t>
      </w:r>
      <w:r>
        <w:rPr>
          <w:i/>
          <w:sz w:val="23"/>
        </w:rPr>
        <w:t>Abarca</w:t>
      </w:r>
      <w:r>
        <w:rPr>
          <w:b/>
          <w:i/>
          <w:position w:val="11"/>
          <w:sz w:val="21"/>
        </w:rPr>
        <w:tab/>
        <w:t>267</w:t>
      </w:r>
    </w:p>
    <w:p>
      <w:pPr>
        <w:pStyle w:val="Heading5"/>
        <w:numPr>
          <w:ilvl w:val="0"/>
          <w:numId w:val="2"/>
        </w:numPr>
        <w:tabs>
          <w:tab w:pos="1047" w:val="left" w:leader="none"/>
          <w:tab w:pos="1048" w:val="left" w:leader="none"/>
        </w:tabs>
        <w:spacing w:line="244" w:lineRule="auto" w:before="249" w:after="0"/>
        <w:ind w:left="1047" w:right="924" w:hanging="931"/>
        <w:jc w:val="both"/>
        <w:rPr>
          <w:sz w:val="21"/>
        </w:rPr>
      </w:pPr>
      <w:r>
        <w:rPr>
          <w:i/>
        </w:rPr>
        <w:t>EL EFECTO DE LAS REMESAS DE EE.UU. EN EL BIENESTAR  </w:t>
      </w:r>
      <w:r>
        <w:rPr/>
        <w:t>DE LOS HABITANTES DE SANTO DOMINGO TEPUXTEPEC  MIXE,</w:t>
      </w:r>
      <w:r>
        <w:rPr>
          <w:spacing w:val="20"/>
        </w:rPr>
        <w:t> </w:t>
      </w:r>
      <w:r>
        <w:rPr/>
        <w:t>OAXACA</w:t>
      </w:r>
    </w:p>
    <w:p>
      <w:pPr>
        <w:spacing w:after="0" w:line="244" w:lineRule="auto"/>
        <w:jc w:val="both"/>
        <w:rPr>
          <w:sz w:val="21"/>
        </w:rPr>
        <w:sectPr>
          <w:footerReference w:type="default" r:id="rId11"/>
          <w:pgSz w:w="11900" w:h="16840"/>
          <w:pgMar w:footer="0" w:header="0" w:top="1600" w:bottom="280" w:left="1540" w:right="1280"/>
        </w:sectPr>
      </w:pPr>
    </w:p>
    <w:p>
      <w:pPr>
        <w:spacing w:line="244" w:lineRule="auto" w:before="268"/>
        <w:ind w:left="1047" w:right="0" w:firstLine="0"/>
        <w:jc w:val="both"/>
        <w:rPr>
          <w:i/>
          <w:sz w:val="23"/>
        </w:rPr>
      </w:pPr>
      <w:r>
        <w:rPr>
          <w:i/>
          <w:sz w:val="23"/>
        </w:rPr>
        <w:t>Francisco Pérez Soto, Esther Figueroa Hernndez, Gerónimo Barrios </w:t>
      </w:r>
      <w:r>
        <w:rPr>
          <w:i/>
          <w:sz w:val="23"/>
        </w:rPr>
        <w:t>Puente, Orsohe Ramírez Abarca, Marcos Portillo Vázquez, Jesús Loera Martínez</w:t>
      </w:r>
    </w:p>
    <w:p>
      <w:pPr>
        <w:spacing w:before="651"/>
        <w:ind w:left="428" w:right="0" w:firstLine="0"/>
        <w:jc w:val="left"/>
        <w:rPr>
          <w:b/>
          <w:i/>
          <w:sz w:val="21"/>
        </w:rPr>
      </w:pPr>
      <w:r>
        <w:rPr/>
        <w:br w:type="column"/>
      </w:r>
      <w:r>
        <w:rPr>
          <w:b/>
          <w:i/>
          <w:sz w:val="21"/>
        </w:rPr>
        <w:t>293</w:t>
      </w:r>
    </w:p>
    <w:p>
      <w:pPr>
        <w:spacing w:after="0"/>
        <w:jc w:val="left"/>
        <w:rPr>
          <w:sz w:val="21"/>
        </w:rPr>
        <w:sectPr>
          <w:type w:val="continuous"/>
          <w:pgSz w:w="11900" w:h="16840"/>
          <w:pgMar w:top="1600" w:bottom="280" w:left="1540" w:right="1280"/>
          <w:cols w:num="2" w:equalWidth="0">
            <w:col w:w="8153" w:space="40"/>
            <w:col w:w="887"/>
          </w:cols>
        </w:sectPr>
      </w:pPr>
    </w:p>
    <w:sdt>
      <w:sdtPr>
        <w:docPartObj>
          <w:docPartGallery w:val="Table of Contents"/>
          <w:docPartUnique/>
        </w:docPartObj>
      </w:sdtPr>
      <w:sdtEndPr/>
      <w:sdtContent>
        <w:p>
          <w:pPr>
            <w:pStyle w:val="TOC1"/>
            <w:numPr>
              <w:ilvl w:val="0"/>
              <w:numId w:val="2"/>
            </w:numPr>
            <w:tabs>
              <w:tab w:pos="1047" w:val="left" w:leader="none"/>
              <w:tab w:pos="1048" w:val="left" w:leader="none"/>
            </w:tabs>
            <w:spacing w:line="244" w:lineRule="auto" w:before="245" w:after="0"/>
            <w:ind w:left="1047" w:right="925" w:hanging="931"/>
            <w:jc w:val="both"/>
            <w:rPr>
              <w:sz w:val="21"/>
            </w:rPr>
          </w:pPr>
          <w:r>
            <w:rPr>
              <w:i/>
            </w:rPr>
            <w:t>LAS REMESAS SOBRE EL TIPO DE CAMBIO, LA INFLACIÓN,   </w:t>
          </w:r>
          <w:r>
            <w:rPr/>
            <w:t>EL DESEMPLEO, TASA DE INTERÉS, EL SALARIO Y NÚMERO DE EMIGRANTES EN MÉXICO:</w:t>
          </w:r>
          <w:r>
            <w:rPr>
              <w:spacing w:val="57"/>
            </w:rPr>
            <w:t> </w:t>
          </w:r>
          <w:r>
            <w:rPr/>
            <w:t>1980-2009</w:t>
          </w:r>
        </w:p>
        <w:p>
          <w:pPr>
            <w:pStyle w:val="TOC2"/>
            <w:spacing w:before="116"/>
            <w:ind w:right="99"/>
            <w:rPr>
              <w:i/>
            </w:rPr>
          </w:pPr>
          <w:r>
            <w:rPr>
              <w:i/>
            </w:rPr>
            <w:t>Esther   Figueroa   Hernández,   Francisco   Pérez   Soto,   Gerónimo</w:t>
          </w:r>
        </w:p>
        <w:p>
          <w:pPr>
            <w:pStyle w:val="TOC2"/>
            <w:tabs>
              <w:tab w:pos="8621" w:val="left" w:leader="none"/>
            </w:tabs>
            <w:spacing w:before="4"/>
            <w:rPr>
              <w:b/>
              <w:i/>
              <w:sz w:val="21"/>
            </w:rPr>
          </w:pPr>
          <w:r>
            <w:rPr>
              <w:i/>
            </w:rPr>
            <w:t>Barrios Puente, Orsohe Ramírez Abarca, Daniel</w:t>
          </w:r>
          <w:r>
            <w:rPr>
              <w:i/>
              <w:spacing w:val="54"/>
            </w:rPr>
            <w:t> </w:t>
          </w:r>
          <w:r>
            <w:rPr>
              <w:i/>
            </w:rPr>
            <w:t>Sepúlveda</w:t>
          </w:r>
          <w:r>
            <w:rPr>
              <w:i/>
              <w:spacing w:val="8"/>
            </w:rPr>
            <w:t> </w:t>
          </w:r>
          <w:r>
            <w:rPr>
              <w:i/>
            </w:rPr>
            <w:t>Jiménez</w:t>
          </w:r>
          <w:r>
            <w:rPr>
              <w:b/>
              <w:i/>
              <w:position w:val="-1"/>
              <w:sz w:val="21"/>
            </w:rPr>
            <w:tab/>
            <w:t>311</w:t>
          </w:r>
        </w:p>
        <w:p>
          <w:pPr>
            <w:pStyle w:val="TOC1"/>
            <w:numPr>
              <w:ilvl w:val="0"/>
              <w:numId w:val="2"/>
            </w:numPr>
            <w:tabs>
              <w:tab w:pos="1047" w:val="left" w:leader="none"/>
              <w:tab w:pos="1048" w:val="left" w:leader="none"/>
            </w:tabs>
            <w:spacing w:line="240" w:lineRule="auto" w:before="481" w:after="0"/>
            <w:ind w:left="1047" w:right="0" w:hanging="931"/>
            <w:jc w:val="left"/>
            <w:rPr>
              <w:i/>
              <w:sz w:val="21"/>
            </w:rPr>
          </w:pPr>
          <w:hyperlink w:history="true" w:anchor="_TOC_250002">
            <w:r>
              <w:rPr>
                <w:i/>
              </w:rPr>
              <w:t>REMESAS Y DESARROLLO ECONÓMICO EN </w:t>
            </w:r>
            <w:r>
              <w:rPr>
                <w:i/>
                <w:spacing w:val="13"/>
              </w:rPr>
              <w:t> </w:t>
            </w:r>
            <w:r>
              <w:rPr>
                <w:i/>
              </w:rPr>
              <w:t>MÉXICO</w:t>
            </w:r>
          </w:hyperlink>
        </w:p>
        <w:p>
          <w:pPr>
            <w:pStyle w:val="TOC2"/>
            <w:spacing w:before="119"/>
            <w:ind w:right="99"/>
            <w:rPr>
              <w:i/>
            </w:rPr>
          </w:pPr>
          <w:r>
            <w:rPr>
              <w:i/>
            </w:rPr>
            <w:t>Francisco   Pérez   Soto,   Esther   Figueroa   Hernández,   Gerónimo</w:t>
          </w:r>
        </w:p>
        <w:p>
          <w:pPr>
            <w:pStyle w:val="TOC2"/>
            <w:tabs>
              <w:tab w:pos="8621" w:val="left" w:leader="none"/>
            </w:tabs>
            <w:spacing w:before="4"/>
            <w:rPr>
              <w:b/>
              <w:i/>
              <w:sz w:val="21"/>
            </w:rPr>
          </w:pPr>
          <w:r>
            <w:rPr>
              <w:i/>
            </w:rPr>
            <w:t>Barrios Puente, Marcos Portillo Vázquez, Jesús</w:t>
          </w:r>
          <w:r>
            <w:rPr>
              <w:i/>
              <w:spacing w:val="50"/>
            </w:rPr>
            <w:t> </w:t>
          </w:r>
          <w:r>
            <w:rPr>
              <w:i/>
            </w:rPr>
            <w:t>Loera</w:t>
          </w:r>
          <w:r>
            <w:rPr>
              <w:i/>
              <w:spacing w:val="8"/>
            </w:rPr>
            <w:t> </w:t>
          </w:r>
          <w:r>
            <w:rPr>
              <w:i/>
            </w:rPr>
            <w:t>Martínez</w:t>
          </w:r>
          <w:r>
            <w:rPr>
              <w:b/>
              <w:i/>
              <w:position w:val="-6"/>
              <w:sz w:val="21"/>
            </w:rPr>
            <w:tab/>
            <w:t>329</w:t>
          </w:r>
        </w:p>
        <w:p>
          <w:pPr>
            <w:pStyle w:val="TOC1"/>
            <w:numPr>
              <w:ilvl w:val="0"/>
              <w:numId w:val="2"/>
            </w:numPr>
            <w:tabs>
              <w:tab w:pos="1047" w:val="left" w:leader="none"/>
              <w:tab w:pos="1048" w:val="left" w:leader="none"/>
            </w:tabs>
            <w:spacing w:line="244" w:lineRule="auto" w:before="434" w:after="0"/>
            <w:ind w:left="1047" w:right="926" w:hanging="931"/>
            <w:jc w:val="both"/>
            <w:rPr>
              <w:sz w:val="21"/>
            </w:rPr>
          </w:pPr>
          <w:r>
            <w:rPr>
              <w:i/>
            </w:rPr>
            <w:t>LAS REMESAS EN LA DISMINUCIÓN DE LA POBREZA EN </w:t>
          </w:r>
          <w:r>
            <w:rPr/>
            <w:t>TEOTIHUACÁN, ESTADO DE</w:t>
          </w:r>
          <w:r>
            <w:rPr>
              <w:spacing w:val="53"/>
            </w:rPr>
            <w:t> </w:t>
          </w:r>
          <w:r>
            <w:rPr/>
            <w:t>MÉXICO</w:t>
          </w:r>
        </w:p>
        <w:p>
          <w:pPr>
            <w:pStyle w:val="TOC2"/>
            <w:spacing w:line="221" w:lineRule="exact" w:before="265"/>
            <w:ind w:right="99"/>
            <w:rPr>
              <w:i/>
            </w:rPr>
          </w:pPr>
          <w:r>
            <w:rPr>
              <w:i/>
            </w:rPr>
            <w:t>Esther  Figueroa  Hernández,  Gerónimo  Barrios  Puente,  Francisco</w:t>
          </w:r>
        </w:p>
        <w:p>
          <w:pPr>
            <w:pStyle w:val="TOC2"/>
            <w:tabs>
              <w:tab w:pos="8621" w:val="left" w:leader="none"/>
            </w:tabs>
            <w:spacing w:line="312" w:lineRule="exact"/>
            <w:rPr>
              <w:b/>
              <w:i/>
              <w:sz w:val="21"/>
            </w:rPr>
          </w:pPr>
          <w:r>
            <w:rPr>
              <w:i/>
            </w:rPr>
            <w:t>Pérez Soto, Orsohe Ramírez Abarca, Luis Enrique</w:t>
          </w:r>
          <w:r>
            <w:rPr>
              <w:i/>
              <w:spacing w:val="52"/>
            </w:rPr>
            <w:t> </w:t>
          </w:r>
          <w:r>
            <w:rPr>
              <w:i/>
            </w:rPr>
            <w:t>Espinosa</w:t>
          </w:r>
          <w:r>
            <w:rPr>
              <w:i/>
              <w:spacing w:val="6"/>
            </w:rPr>
            <w:t> </w:t>
          </w:r>
          <w:r>
            <w:rPr>
              <w:i/>
            </w:rPr>
            <w:t>Torres</w:t>
          </w:r>
          <w:r>
            <w:rPr>
              <w:b/>
              <w:i/>
              <w:position w:val="11"/>
              <w:sz w:val="21"/>
            </w:rPr>
            <w:tab/>
            <w:t>351</w:t>
          </w:r>
        </w:p>
        <w:p>
          <w:pPr>
            <w:pStyle w:val="TOC1"/>
            <w:numPr>
              <w:ilvl w:val="0"/>
              <w:numId w:val="2"/>
            </w:numPr>
            <w:tabs>
              <w:tab w:pos="1047" w:val="left" w:leader="none"/>
              <w:tab w:pos="1048" w:val="left" w:leader="none"/>
            </w:tabs>
            <w:spacing w:line="244" w:lineRule="auto" w:before="272" w:after="0"/>
            <w:ind w:left="1047" w:right="923" w:hanging="931"/>
            <w:jc w:val="both"/>
            <w:rPr>
              <w:sz w:val="21"/>
            </w:rPr>
          </w:pPr>
          <w:hyperlink w:history="true" w:anchor="_TOC_250001">
            <w:r>
              <w:rPr>
                <w:i/>
              </w:rPr>
              <w:t>CAÍDA DE LAS REMESAS E INCREMENTO DE LA POBREZA EN </w:t>
            </w:r>
            <w:r>
              <w:rPr/>
              <w:t>MÉXICO</w:t>
            </w:r>
          </w:hyperlink>
        </w:p>
        <w:p>
          <w:pPr>
            <w:pStyle w:val="TOC2"/>
            <w:tabs>
              <w:tab w:pos="8621" w:val="left" w:leader="none"/>
            </w:tabs>
            <w:spacing w:before="206"/>
            <w:rPr>
              <w:b/>
              <w:i/>
              <w:sz w:val="21"/>
            </w:rPr>
          </w:pPr>
          <w:r>
            <w:rPr>
              <w:i/>
            </w:rPr>
            <w:t>Mario Piña Cano, Jesús Loera Martínez, Lorenzo</w:t>
          </w:r>
          <w:r>
            <w:rPr>
              <w:i/>
              <w:spacing w:val="47"/>
            </w:rPr>
            <w:t> </w:t>
          </w:r>
          <w:r>
            <w:rPr>
              <w:i/>
            </w:rPr>
            <w:t>Reyes</w:t>
          </w:r>
          <w:r>
            <w:rPr>
              <w:i/>
              <w:spacing w:val="10"/>
            </w:rPr>
            <w:t> </w:t>
          </w:r>
          <w:r>
            <w:rPr>
              <w:i/>
            </w:rPr>
            <w:t>Reyes</w:t>
          </w:r>
          <w:r>
            <w:rPr>
              <w:b/>
              <w:i/>
              <w:position w:val="8"/>
              <w:sz w:val="21"/>
            </w:rPr>
            <w:tab/>
            <w:t>367</w:t>
          </w:r>
        </w:p>
        <w:p>
          <w:pPr>
            <w:pStyle w:val="TOC1"/>
            <w:numPr>
              <w:ilvl w:val="0"/>
              <w:numId w:val="2"/>
            </w:numPr>
            <w:tabs>
              <w:tab w:pos="1047" w:val="left" w:leader="none"/>
              <w:tab w:pos="1048" w:val="left" w:leader="none"/>
            </w:tabs>
            <w:spacing w:line="244" w:lineRule="auto" w:before="159" w:after="0"/>
            <w:ind w:left="1047" w:right="924" w:hanging="931"/>
            <w:jc w:val="both"/>
            <w:rPr>
              <w:sz w:val="21"/>
            </w:rPr>
          </w:pPr>
          <w:hyperlink w:history="true" w:anchor="_TOC_250000">
            <w:r>
              <w:rPr>
                <w:i/>
              </w:rPr>
              <w:t>EDUCACIÓN Y EMIGRACIÓN INTERNACIONAL EN AMAYUCA, </w:t>
            </w:r>
            <w:r>
              <w:rPr/>
              <w:t>MORELOS</w:t>
            </w:r>
          </w:hyperlink>
        </w:p>
        <w:p>
          <w:pPr>
            <w:pStyle w:val="TOC2"/>
            <w:spacing w:line="270" w:lineRule="atLeast" w:before="262"/>
            <w:ind w:right="894"/>
          </w:pPr>
          <w:r>
            <w:rPr>
              <w:i/>
            </w:rPr>
            <w:t>Gerónimo Barrios Puente, Esther Figueroa Hernández, Francisco </w:t>
          </w:r>
          <w:r>
            <w:rPr/>
            <w:t>Pérez Soto, Orsohe Ramírez Abarca, Jesús Loera Martínez, </w:t>
          </w:r>
          <w:r>
            <w:rPr>
              <w:spacing w:val="50"/>
            </w:rPr>
            <w:t> </w:t>
          </w:r>
          <w:r>
            <w:rPr/>
            <w:t>Hernán</w:t>
          </w:r>
        </w:p>
        <w:p>
          <w:pPr>
            <w:pStyle w:val="TOC2"/>
            <w:tabs>
              <w:tab w:pos="8621" w:val="left" w:leader="none"/>
            </w:tabs>
            <w:spacing w:line="269" w:lineRule="exact"/>
            <w:rPr>
              <w:b/>
              <w:i/>
              <w:sz w:val="21"/>
            </w:rPr>
          </w:pPr>
          <w:r>
            <w:rPr>
              <w:i/>
            </w:rPr>
            <w:t>Efraín</w:t>
          </w:r>
          <w:r>
            <w:rPr>
              <w:i/>
              <w:spacing w:val="6"/>
            </w:rPr>
            <w:t> </w:t>
          </w:r>
          <w:r>
            <w:rPr>
              <w:i/>
            </w:rPr>
            <w:t>Pérez</w:t>
          </w:r>
          <w:r>
            <w:rPr>
              <w:i/>
              <w:spacing w:val="1"/>
            </w:rPr>
            <w:t> </w:t>
          </w:r>
          <w:r>
            <w:rPr>
              <w:i/>
            </w:rPr>
            <w:t>Camargo</w:t>
          </w:r>
          <w:r>
            <w:rPr>
              <w:b/>
              <w:i/>
              <w:position w:val="13"/>
              <w:sz w:val="21"/>
            </w:rPr>
            <w:tab/>
            <w:t>383</w:t>
          </w:r>
        </w:p>
      </w:sdtContent>
    </w:sdt>
    <w:p>
      <w:pPr>
        <w:spacing w:after="0" w:line="269" w:lineRule="exact"/>
        <w:rPr>
          <w:sz w:val="21"/>
        </w:rPr>
        <w:sectPr>
          <w:type w:val="continuous"/>
          <w:pgSz w:w="11900" w:h="16840"/>
          <w:pgMar w:top="1600" w:bottom="280" w:left="1540" w:right="1280"/>
        </w:sectPr>
      </w:pPr>
    </w:p>
    <w:p>
      <w:pPr>
        <w:pStyle w:val="BodyText"/>
        <w:rPr>
          <w:b/>
          <w:i/>
          <w:sz w:val="22"/>
        </w:rPr>
      </w:pPr>
    </w:p>
    <w:p>
      <w:pPr>
        <w:pStyle w:val="BodyText"/>
        <w:spacing w:before="10"/>
        <w:rPr>
          <w:b/>
          <w:i/>
          <w:sz w:val="20"/>
        </w:rPr>
      </w:pPr>
    </w:p>
    <w:p>
      <w:pPr>
        <w:spacing w:before="0"/>
        <w:ind w:left="110" w:right="101" w:firstLine="0"/>
        <w:jc w:val="center"/>
        <w:rPr>
          <w:b/>
          <w:sz w:val="23"/>
        </w:rPr>
      </w:pPr>
      <w:r>
        <w:rPr>
          <w:b/>
          <w:sz w:val="23"/>
        </w:rPr>
        <w:t>PRÓLOGO</w:t>
      </w:r>
    </w:p>
    <w:p>
      <w:pPr>
        <w:pStyle w:val="BodyText"/>
        <w:rPr>
          <w:b/>
          <w:sz w:val="22"/>
        </w:rPr>
      </w:pPr>
    </w:p>
    <w:p>
      <w:pPr>
        <w:pStyle w:val="BodyText"/>
        <w:rPr>
          <w:b/>
          <w:sz w:val="22"/>
        </w:rPr>
      </w:pPr>
    </w:p>
    <w:p>
      <w:pPr>
        <w:pStyle w:val="BodyText"/>
        <w:spacing w:before="10"/>
        <w:rPr>
          <w:b/>
          <w:sz w:val="20"/>
        </w:rPr>
      </w:pPr>
    </w:p>
    <w:p>
      <w:pPr>
        <w:pStyle w:val="BodyText"/>
        <w:spacing w:line="280" w:lineRule="auto"/>
        <w:ind w:left="116" w:right="103"/>
        <w:jc w:val="both"/>
      </w:pPr>
      <w:r>
        <w:rPr/>
        <w:t>La migración es un fenómeno que ocurre desde el momento en que el hombre busca nuevas alternativas para mejorar su bienestar social, su aspecto benéfico radica en el flujo de remesas captadas en las regiones expulsoras de mano  de obra, las cuales se encuentran concentradas principalmente en las zonas rurales. La tendencia en el uso de las remesas está encaminada hacia la satisfacción de   las necesidades básicas, así como a la adquisición de bienes de consumo y a la compra y mejora de la vivienda de las familias de los migrantes. Existen países  que tienen flujos migratorios masivos, motivo por el cual reciben flujos importantes de remesas para su contabilidad nacional y en este trabajo se analizan desde la perspectiva de países expulsores y de destino de la mano de obra migrante. Por facilidad de análisis de esta obra los países se agrupan en cinco regiones,  a  saber; África, Asia,  Europa, Latinoamérica y</w:t>
      </w:r>
      <w:r>
        <w:rPr>
          <w:spacing w:val="63"/>
        </w:rPr>
        <w:t> </w:t>
      </w:r>
      <w:r>
        <w:rPr/>
        <w:t>Oceanía.</w:t>
      </w:r>
    </w:p>
    <w:p>
      <w:pPr>
        <w:pStyle w:val="BodyText"/>
        <w:spacing w:line="280" w:lineRule="auto" w:before="196"/>
        <w:ind w:left="116" w:right="104"/>
        <w:jc w:val="both"/>
      </w:pPr>
      <w:r>
        <w:rPr/>
        <w:t>Existen países en Europa que obtienen flujos monetarios por concepto  de  remesas muy superiores a los demás, tales como España, Grecia y Portugal, por  lo que los emigrantes ven a estas naciones como generadoras de mano de obra. Por otro lado, Asia tiene como pilares en captación de remesas a la India, China y Filipinas en tanto que en Latinoamérica México y Brasil obtienen los  mayores  flujos. En lo concerniente a Oceanía, los países más relevantes en captación de remesas son Australia y nueva Zelanda. Finalmente, África obtiene los mayores flujos de remesas de países petroleros cuyos destinos son Marruecos, Egipto y Argelia. Los países que captan la atención de los migrantes son aquellos que se encuentran clasificados como industriales y de primer mundo. En el continente Europeo Alemania y Francia son los primeros destinos, aunque también España capta la atención de los migrantes, por lo que es un país que tanto expulsa a la   vez que recibe flujos migratorios muy fuertes. En Asia Japón es el destino que los migrantes han fijado como meta para instalarse, principalmente los que provienen de Brasil y Ecuador dado que fueron países con gran descendencia Nipona. Finalmente, se tiene a los migrantes de Latinoamérica y América del norte que buscan incursionar en los Estados Unidos, país que recibe grandes flujos de migrantes, pues tan solo en el año 2005 se instalaron alrededor de 10,000 migrantes provenientes de</w:t>
      </w:r>
      <w:r>
        <w:rPr>
          <w:spacing w:val="40"/>
        </w:rPr>
        <w:t> </w:t>
      </w:r>
      <w:r>
        <w:rPr/>
        <w:t>México.</w:t>
      </w:r>
    </w:p>
    <w:p>
      <w:pPr>
        <w:pStyle w:val="BodyText"/>
        <w:spacing w:before="2"/>
        <w:rPr>
          <w:sz w:val="17"/>
        </w:rPr>
      </w:pPr>
    </w:p>
    <w:p>
      <w:pPr>
        <w:pStyle w:val="BodyText"/>
        <w:spacing w:line="280" w:lineRule="auto"/>
        <w:ind w:left="116" w:right="106"/>
        <w:jc w:val="both"/>
      </w:pPr>
      <w:r>
        <w:rPr/>
        <w:t>Parte esencial de que los migrantes quieran incursionar a los Estados Unidos se debe a las dilaciones estructurales que tiene nuestro país con  el país del norte,   de ahí que busquen una mejora en sus formas de vida, traduciéndose en mayores ingresos, lo que conlleva siempre a una mejora personal,  tanto  en  consumo, salud,</w:t>
      </w:r>
      <w:r>
        <w:rPr>
          <w:spacing w:val="44"/>
        </w:rPr>
        <w:t> </w:t>
      </w:r>
      <w:r>
        <w:rPr/>
        <w:t>vivienda,</w:t>
      </w:r>
      <w:r>
        <w:rPr>
          <w:spacing w:val="44"/>
        </w:rPr>
        <w:t> </w:t>
      </w:r>
      <w:r>
        <w:rPr/>
        <w:t>vestido</w:t>
      </w:r>
      <w:r>
        <w:rPr>
          <w:spacing w:val="44"/>
        </w:rPr>
        <w:t> </w:t>
      </w:r>
      <w:r>
        <w:rPr/>
        <w:t>y</w:t>
      </w:r>
      <w:r>
        <w:rPr>
          <w:spacing w:val="40"/>
        </w:rPr>
        <w:t> </w:t>
      </w:r>
      <w:r>
        <w:rPr/>
        <w:t>ocio.  </w:t>
      </w:r>
      <w:r>
        <w:rPr>
          <w:spacing w:val="24"/>
        </w:rPr>
        <w:t> </w:t>
      </w:r>
      <w:r>
        <w:rPr/>
        <w:t>De</w:t>
      </w:r>
      <w:r>
        <w:rPr>
          <w:spacing w:val="44"/>
        </w:rPr>
        <w:t> </w:t>
      </w:r>
      <w:r>
        <w:rPr/>
        <w:t>esta</w:t>
      </w:r>
      <w:r>
        <w:rPr>
          <w:spacing w:val="41"/>
        </w:rPr>
        <w:t> </w:t>
      </w:r>
      <w:r>
        <w:rPr/>
        <w:t>forma</w:t>
      </w:r>
      <w:r>
        <w:rPr>
          <w:spacing w:val="41"/>
        </w:rPr>
        <w:t> </w:t>
      </w:r>
      <w:r>
        <w:rPr/>
        <w:t>es</w:t>
      </w:r>
      <w:r>
        <w:rPr>
          <w:spacing w:val="42"/>
        </w:rPr>
        <w:t> </w:t>
      </w:r>
      <w:r>
        <w:rPr/>
        <w:t>que</w:t>
      </w:r>
      <w:r>
        <w:rPr>
          <w:spacing w:val="44"/>
        </w:rPr>
        <w:t> </w:t>
      </w:r>
      <w:r>
        <w:rPr/>
        <w:t>la</w:t>
      </w:r>
      <w:r>
        <w:rPr>
          <w:spacing w:val="41"/>
        </w:rPr>
        <w:t> </w:t>
      </w:r>
      <w:r>
        <w:rPr/>
        <w:t>atención</w:t>
      </w:r>
      <w:r>
        <w:rPr>
          <w:spacing w:val="41"/>
        </w:rPr>
        <w:t> </w:t>
      </w:r>
      <w:r>
        <w:rPr/>
        <w:t>por</w:t>
      </w:r>
      <w:r>
        <w:rPr>
          <w:spacing w:val="43"/>
        </w:rPr>
        <w:t> </w:t>
      </w:r>
      <w:r>
        <w:rPr/>
        <w:t>distintas</w:t>
      </w:r>
    </w:p>
    <w:p>
      <w:pPr>
        <w:spacing w:after="0" w:line="280" w:lineRule="auto"/>
        <w:jc w:val="both"/>
        <w:sectPr>
          <w:footerReference w:type="default" r:id="rId12"/>
          <w:pgSz w:w="11900" w:h="16840"/>
          <w:pgMar w:footer="0" w:header="0" w:top="1600" w:bottom="280" w:left="1540" w:right="1580"/>
        </w:sectPr>
      </w:pPr>
    </w:p>
    <w:p>
      <w:pPr>
        <w:pStyle w:val="BodyText"/>
        <w:rPr>
          <w:sz w:val="20"/>
        </w:rPr>
      </w:pPr>
    </w:p>
    <w:p>
      <w:pPr>
        <w:pStyle w:val="BodyText"/>
        <w:spacing w:before="7"/>
        <w:rPr>
          <w:sz w:val="16"/>
        </w:rPr>
      </w:pPr>
    </w:p>
    <w:p>
      <w:pPr>
        <w:pStyle w:val="BodyText"/>
        <w:spacing w:line="280" w:lineRule="auto" w:before="74"/>
        <w:ind w:left="115" w:right="105"/>
        <w:jc w:val="both"/>
      </w:pPr>
      <w:r>
        <w:rPr/>
        <w:t>entidades  gubernamentales  está centrada en el  tema de las remesas, pues en   las últimas décadas, los cambios de nivel parecen estar relacionados con el comportamiento cíclico de la economía  mexicana,  aumentando  considerablemente en 1982-1983,  posteriormente en 1995  y a últimas fechas en el año 2007 donde se registra un flujo de remesas a México del orden de 25,000 millones de dólares, constituyéndose en el máximo histórico para el país y lo que  lo situó, en ese año como el principal captador de remesas a nivel mundial, desplazando a países como India y China. Que tradicionalmente son los  principales captadores de remesas a nivel mundial. Para nuestro país la captación de divisas por concepto de las exportaciones petroleras es  la  más  importante, pero a partir del año 2000, éstas constantemente se ven amenazadas  por los  flujos monetarios que ingresan al país por concepto de remesas y que desde el  año 2003 se colocaron como la segunda fuente más importante de divisas para México.</w:t>
      </w:r>
    </w:p>
    <w:p>
      <w:pPr>
        <w:pStyle w:val="BodyText"/>
        <w:spacing w:line="280" w:lineRule="auto" w:before="193"/>
        <w:ind w:left="115" w:right="107"/>
        <w:jc w:val="both"/>
      </w:pPr>
      <w:r>
        <w:rPr/>
        <w:t>La necesidad de conocer los efectos de las remesas sobre la economía mexicana se debe a que representan un flujo monetario que en más del 80% es destinado al autoconsumo y el resto a la inversión o ahorro, lo que sin duda genera burbujas inflacionarias para las regiones que mayoritariamente reciben tales ingresos como en el caso de los estados de Jalisco, Michoacán, Zacatecas, o el mismo Estado   de</w:t>
      </w:r>
      <w:r>
        <w:rPr>
          <w:spacing w:val="11"/>
        </w:rPr>
        <w:t> </w:t>
      </w:r>
      <w:r>
        <w:rPr/>
        <w:t>México.</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line="458" w:lineRule="auto" w:before="189"/>
        <w:ind w:left="5619" w:right="108" w:firstLine="1778"/>
        <w:jc w:val="right"/>
      </w:pPr>
      <w:r>
        <w:rPr/>
        <w:t>Los editores</w:t>
      </w:r>
      <w:r>
        <w:rPr>
          <w:w w:val="101"/>
        </w:rPr>
        <w:t> </w:t>
      </w:r>
      <w:r>
        <w:rPr/>
        <w:t>Chapingo, Estado de México,</w:t>
      </w:r>
    </w:p>
    <w:p>
      <w:pPr>
        <w:pStyle w:val="BodyText"/>
        <w:spacing w:before="3"/>
        <w:ind w:right="110"/>
        <w:jc w:val="right"/>
      </w:pPr>
      <w:r>
        <w:rPr/>
        <w:t>Otoño de 2010.</w:t>
      </w:r>
    </w:p>
    <w:p>
      <w:pPr>
        <w:spacing w:after="0"/>
        <w:jc w:val="right"/>
        <w:sectPr>
          <w:footerReference w:type="default" r:id="rId13"/>
          <w:pgSz w:w="11900" w:h="16840"/>
          <w:pgMar w:footer="0" w:header="0" w:top="1600" w:bottom="280" w:left="1540" w:right="1580"/>
        </w:sectPr>
      </w:pPr>
    </w:p>
    <w:p>
      <w:pPr>
        <w:pStyle w:val="BodyText"/>
        <w:spacing w:before="4"/>
        <w:rPr>
          <w:rFonts w:ascii="Times New Roman"/>
          <w:sz w:val="17"/>
        </w:rPr>
      </w:pPr>
    </w:p>
    <w:p>
      <w:pPr>
        <w:spacing w:after="0"/>
        <w:rPr>
          <w:rFonts w:ascii="Times New Roman"/>
          <w:sz w:val="17"/>
        </w:rPr>
        <w:sectPr>
          <w:footerReference w:type="default" r:id="rId14"/>
          <w:pgSz w:w="11900" w:h="16840"/>
          <w:pgMar w:footer="0" w:header="0" w:top="1600" w:bottom="280" w:left="1680" w:right="1680"/>
        </w:sectPr>
      </w:pPr>
    </w:p>
    <w:p>
      <w:pPr>
        <w:pStyle w:val="BodyText"/>
        <w:rPr>
          <w:rFonts w:ascii="Times New Roman"/>
          <w:sz w:val="20"/>
        </w:rPr>
      </w:pPr>
    </w:p>
    <w:p>
      <w:pPr>
        <w:pStyle w:val="BodyText"/>
        <w:spacing w:before="7"/>
        <w:rPr>
          <w:rFonts w:ascii="Times New Roman"/>
          <w:sz w:val="17"/>
        </w:rPr>
      </w:pPr>
    </w:p>
    <w:p>
      <w:pPr>
        <w:pStyle w:val="Heading1"/>
        <w:numPr>
          <w:ilvl w:val="1"/>
          <w:numId w:val="2"/>
        </w:numPr>
        <w:tabs>
          <w:tab w:pos="1590" w:val="left" w:leader="none"/>
        </w:tabs>
        <w:spacing w:line="276" w:lineRule="auto" w:before="56" w:after="0"/>
        <w:ind w:left="2112" w:right="493" w:hanging="912"/>
        <w:jc w:val="left"/>
      </w:pPr>
      <w:r>
        <w:rPr/>
        <w:t>MOVILIDAD DEMOGRÁFICA, EL NUEVO ENFOQUE DE LA EMIGRACIÓN</w:t>
      </w:r>
    </w:p>
    <w:p>
      <w:pPr>
        <w:pStyle w:val="Heading4"/>
        <w:spacing w:before="201"/>
        <w:ind w:left="106" w:right="101"/>
        <w:jc w:val="center"/>
      </w:pPr>
      <w:r>
        <w:rPr/>
        <w:t>Gerónimo Barrios Puente</w:t>
      </w:r>
    </w:p>
    <w:p>
      <w:pPr>
        <w:pStyle w:val="BodyText"/>
        <w:spacing w:before="4"/>
        <w:rPr>
          <w:b/>
          <w:sz w:val="22"/>
        </w:rPr>
      </w:pPr>
    </w:p>
    <w:p>
      <w:pPr>
        <w:spacing w:before="1"/>
        <w:ind w:left="107" w:right="101" w:firstLine="0"/>
        <w:jc w:val="center"/>
        <w:rPr>
          <w:sz w:val="19"/>
        </w:rPr>
      </w:pPr>
      <w:r>
        <w:rPr>
          <w:sz w:val="19"/>
        </w:rPr>
        <w:t>Universidad  Autónoma  Chapingo. </w:t>
      </w:r>
      <w:hyperlink r:id="rId16">
        <w:r>
          <w:rPr>
            <w:sz w:val="19"/>
          </w:rPr>
          <w:t>gbarrios_puente@yahoo.com.mx</w:t>
        </w:r>
      </w:hyperlink>
    </w:p>
    <w:p>
      <w:pPr>
        <w:pStyle w:val="BodyText"/>
        <w:spacing w:before="3"/>
        <w:rPr>
          <w:sz w:val="20"/>
        </w:rPr>
      </w:pPr>
    </w:p>
    <w:p>
      <w:pPr>
        <w:pStyle w:val="Heading4"/>
        <w:ind w:left="104" w:right="101"/>
        <w:jc w:val="center"/>
      </w:pPr>
      <w:r>
        <w:rPr/>
        <w:t>Esther Figueroa Hernández.</w:t>
      </w:r>
    </w:p>
    <w:p>
      <w:pPr>
        <w:pStyle w:val="BodyText"/>
        <w:spacing w:before="2"/>
        <w:rPr>
          <w:b/>
          <w:sz w:val="22"/>
        </w:rPr>
      </w:pPr>
    </w:p>
    <w:p>
      <w:pPr>
        <w:spacing w:before="0"/>
        <w:ind w:left="102" w:right="101" w:firstLine="0"/>
        <w:jc w:val="center"/>
        <w:rPr>
          <w:sz w:val="19"/>
        </w:rPr>
      </w:pPr>
      <w:r>
        <w:rPr>
          <w:sz w:val="19"/>
        </w:rPr>
        <w:t>Universidad Autónoma del Estado de México.   </w:t>
      </w:r>
      <w:hyperlink r:id="rId17">
        <w:r>
          <w:rPr>
            <w:sz w:val="19"/>
          </w:rPr>
          <w:t>esfigue_3@yahoo.com.mx</w:t>
        </w:r>
      </w:hyperlink>
    </w:p>
    <w:p>
      <w:pPr>
        <w:pStyle w:val="BodyText"/>
        <w:spacing w:before="3"/>
        <w:rPr>
          <w:sz w:val="20"/>
        </w:rPr>
      </w:pPr>
    </w:p>
    <w:p>
      <w:pPr>
        <w:pStyle w:val="Heading4"/>
        <w:ind w:left="107" w:right="101"/>
        <w:jc w:val="center"/>
      </w:pPr>
      <w:r>
        <w:rPr/>
        <w:t>Orsohe Ramírez Abarca</w:t>
      </w:r>
    </w:p>
    <w:p>
      <w:pPr>
        <w:pStyle w:val="BodyText"/>
        <w:spacing w:before="2"/>
        <w:rPr>
          <w:b/>
          <w:sz w:val="22"/>
        </w:rPr>
      </w:pPr>
    </w:p>
    <w:p>
      <w:pPr>
        <w:spacing w:before="0"/>
        <w:ind w:left="104" w:right="101" w:firstLine="0"/>
        <w:jc w:val="center"/>
        <w:rPr>
          <w:sz w:val="19"/>
        </w:rPr>
      </w:pPr>
      <w:r>
        <w:rPr>
          <w:sz w:val="19"/>
        </w:rPr>
        <w:t>Universidad Autónoma del Estado de México.   </w:t>
      </w:r>
      <w:hyperlink r:id="rId18">
        <w:r>
          <w:rPr>
            <w:sz w:val="19"/>
          </w:rPr>
          <w:t>orsohe@yahoo.com</w:t>
        </w:r>
      </w:hyperlink>
    </w:p>
    <w:p>
      <w:pPr>
        <w:pStyle w:val="BodyText"/>
        <w:spacing w:before="3"/>
        <w:rPr>
          <w:sz w:val="20"/>
        </w:rPr>
      </w:pPr>
    </w:p>
    <w:p>
      <w:pPr>
        <w:pStyle w:val="Heading4"/>
        <w:ind w:left="102" w:right="101"/>
        <w:jc w:val="center"/>
      </w:pPr>
      <w:r>
        <w:rPr/>
        <w:t>Francisco Pérez Soto</w:t>
      </w:r>
    </w:p>
    <w:p>
      <w:pPr>
        <w:pStyle w:val="BodyText"/>
        <w:spacing w:before="4"/>
        <w:rPr>
          <w:b/>
          <w:sz w:val="22"/>
        </w:rPr>
      </w:pPr>
    </w:p>
    <w:p>
      <w:pPr>
        <w:spacing w:before="1"/>
        <w:ind w:left="109" w:right="101" w:firstLine="0"/>
        <w:jc w:val="center"/>
        <w:rPr>
          <w:sz w:val="19"/>
        </w:rPr>
      </w:pPr>
      <w:r>
        <w:rPr>
          <w:sz w:val="19"/>
        </w:rPr>
        <w:t>Universidad  Autónoma  Chapingo. </w:t>
      </w:r>
      <w:hyperlink r:id="rId19">
        <w:r>
          <w:rPr>
            <w:sz w:val="19"/>
          </w:rPr>
          <w:t>perezsotof@hotmail.com</w:t>
        </w:r>
      </w:hyperlink>
    </w:p>
    <w:p>
      <w:pPr>
        <w:pStyle w:val="BodyText"/>
        <w:spacing w:before="10"/>
        <w:rPr>
          <w:sz w:val="19"/>
        </w:rPr>
      </w:pPr>
    </w:p>
    <w:p>
      <w:pPr>
        <w:pStyle w:val="Heading4"/>
        <w:ind w:left="105" w:right="101"/>
        <w:jc w:val="center"/>
      </w:pPr>
      <w:r>
        <w:rPr/>
        <w:t>Jesús Loera Martínez</w:t>
      </w:r>
    </w:p>
    <w:p>
      <w:pPr>
        <w:spacing w:before="126"/>
        <w:ind w:left="105" w:right="101" w:firstLine="0"/>
        <w:jc w:val="center"/>
        <w:rPr>
          <w:sz w:val="19"/>
        </w:rPr>
      </w:pPr>
      <w:r>
        <w:rPr>
          <w:sz w:val="19"/>
        </w:rPr>
        <w:t>Universidad  Autónoma  Chapingo.  jloeramtz2004@yahoo.com.mx; </w:t>
      </w:r>
      <w:hyperlink r:id="rId20">
        <w:r>
          <w:rPr>
            <w:sz w:val="19"/>
          </w:rPr>
          <w:t>jloeramtz2004@gmail.com</w:t>
        </w:r>
      </w:hyperlink>
    </w:p>
    <w:p>
      <w:pPr>
        <w:pStyle w:val="Heading4"/>
        <w:spacing w:before="118"/>
        <w:ind w:left="103" w:right="101"/>
        <w:jc w:val="center"/>
      </w:pPr>
      <w:r>
        <w:rPr/>
        <w:t>Hernán Efraín Pérez Camargo</w:t>
      </w:r>
    </w:p>
    <w:p>
      <w:pPr>
        <w:spacing w:before="143"/>
        <w:ind w:left="108" w:right="101" w:firstLine="0"/>
        <w:jc w:val="center"/>
        <w:rPr>
          <w:sz w:val="21"/>
        </w:rPr>
      </w:pPr>
      <w:r>
        <w:rPr>
          <w:sz w:val="21"/>
        </w:rPr>
        <w:t>Universidad Autónoma Chapingo,  UACH</w:t>
      </w:r>
    </w:p>
    <w:p>
      <w:pPr>
        <w:pStyle w:val="BodyText"/>
        <w:rPr>
          <w:sz w:val="20"/>
        </w:rPr>
      </w:pPr>
    </w:p>
    <w:p>
      <w:pPr>
        <w:pStyle w:val="BodyText"/>
        <w:rPr>
          <w:sz w:val="20"/>
        </w:rPr>
      </w:pPr>
    </w:p>
    <w:p>
      <w:pPr>
        <w:pStyle w:val="BodyText"/>
        <w:spacing w:before="7"/>
        <w:rPr>
          <w:sz w:val="21"/>
        </w:rPr>
      </w:pPr>
    </w:p>
    <w:p>
      <w:pPr>
        <w:pStyle w:val="ListParagraph"/>
        <w:numPr>
          <w:ilvl w:val="0"/>
          <w:numId w:val="3"/>
        </w:numPr>
        <w:tabs>
          <w:tab w:pos="1166" w:val="left" w:leader="none"/>
          <w:tab w:pos="1168" w:val="left" w:leader="none"/>
        </w:tabs>
        <w:spacing w:line="240" w:lineRule="auto" w:before="0" w:after="0"/>
        <w:ind w:left="116" w:right="0" w:firstLine="350"/>
        <w:jc w:val="left"/>
        <w:rPr>
          <w:b/>
          <w:sz w:val="31"/>
        </w:rPr>
      </w:pPr>
      <w:r>
        <w:rPr>
          <w:b/>
          <w:sz w:val="31"/>
        </w:rPr>
        <w:t>INTRODUCCIÓN</w:t>
      </w:r>
    </w:p>
    <w:p>
      <w:pPr>
        <w:pStyle w:val="BodyText"/>
        <w:rPr>
          <w:b/>
          <w:sz w:val="30"/>
        </w:rPr>
      </w:pPr>
    </w:p>
    <w:p>
      <w:pPr>
        <w:pStyle w:val="BodyText"/>
        <w:spacing w:before="10"/>
        <w:rPr>
          <w:b/>
          <w:sz w:val="35"/>
        </w:rPr>
      </w:pPr>
    </w:p>
    <w:p>
      <w:pPr>
        <w:pStyle w:val="BodyText"/>
        <w:spacing w:line="364" w:lineRule="auto"/>
        <w:ind w:left="115" w:right="106"/>
        <w:jc w:val="both"/>
      </w:pPr>
      <w:r>
        <w:rPr/>
        <w:t>La antigüedad de los desplazamientos demográficos, la magnitud de los contingentes que se ven involucrados en dichos movimientos y el papel que éstos juegan en el funcionamiento de la economía mundial, hacen de la emigración un fenómeno de actualidad que atrae el interés</w:t>
      </w:r>
      <w:r>
        <w:rPr>
          <w:spacing w:val="59"/>
        </w:rPr>
        <w:t> </w:t>
      </w:r>
      <w:r>
        <w:rPr/>
        <w:t>general.</w:t>
      </w:r>
    </w:p>
    <w:p>
      <w:pPr>
        <w:pStyle w:val="BodyText"/>
        <w:spacing w:before="6"/>
        <w:rPr>
          <w:sz w:val="17"/>
        </w:rPr>
      </w:pPr>
    </w:p>
    <w:p>
      <w:pPr>
        <w:pStyle w:val="BodyText"/>
        <w:spacing w:line="364" w:lineRule="auto"/>
        <w:ind w:left="115" w:right="105"/>
        <w:jc w:val="both"/>
      </w:pPr>
      <w:r>
        <w:rPr/>
        <w:t>Este interés se ve acrecentado en la época contemporánea debido al proceso de globalización de la economía, cuyos requisitos de productividad implican que las empresas deban de contar, entre otras cosas, con cierta flexibilidad y polivalencia del factor trabajo para estar en condiciones de enfrentar los  continuos  y  repentinos  cambios  en  la  demanda  mundial.  En  este  contexto,  la    </w:t>
      </w:r>
      <w:r>
        <w:rPr>
          <w:spacing w:val="53"/>
        </w:rPr>
        <w:t> </w:t>
      </w:r>
      <w:r>
        <w:rPr/>
        <w:t>movilidad</w:t>
      </w:r>
    </w:p>
    <w:p>
      <w:pPr>
        <w:spacing w:after="0" w:line="364" w:lineRule="auto"/>
        <w:jc w:val="both"/>
        <w:sectPr>
          <w:footerReference w:type="default" r:id="rId15"/>
          <w:pgSz w:w="11900" w:h="16840"/>
          <w:pgMar w:footer="1679" w:header="0" w:top="1600" w:bottom="1860" w:left="1540" w:right="1580"/>
          <w:pgNumType w:start="1"/>
        </w:sectPr>
      </w:pPr>
    </w:p>
    <w:p>
      <w:pPr>
        <w:pStyle w:val="BodyText"/>
        <w:rPr>
          <w:sz w:val="20"/>
        </w:rPr>
      </w:pPr>
    </w:p>
    <w:p>
      <w:pPr>
        <w:pStyle w:val="BodyText"/>
        <w:spacing w:before="7"/>
        <w:rPr>
          <w:sz w:val="16"/>
        </w:rPr>
      </w:pPr>
    </w:p>
    <w:p>
      <w:pPr>
        <w:pStyle w:val="BodyText"/>
        <w:spacing w:line="333" w:lineRule="auto" w:before="74"/>
        <w:ind w:left="115" w:right="105"/>
        <w:jc w:val="both"/>
      </w:pPr>
      <w:r>
        <w:rPr/>
        <w:t>internacional de la mano de obra contribuye notablemente a la ductilidad  requerida</w:t>
      </w:r>
      <w:r>
        <w:rPr>
          <w:position w:val="11"/>
          <w:sz w:val="15"/>
        </w:rPr>
        <w:t>1</w:t>
      </w:r>
      <w:r>
        <w:rPr/>
        <w:t>.</w:t>
      </w:r>
    </w:p>
    <w:p>
      <w:pPr>
        <w:pStyle w:val="BodyText"/>
        <w:spacing w:line="364" w:lineRule="auto" w:before="218"/>
        <w:ind w:left="115" w:right="104"/>
        <w:jc w:val="both"/>
      </w:pPr>
      <w:r>
        <w:rPr/>
        <w:t>Los Estados Unidos, el país de más alta productividad, es a la vez el principal demandante de fuerza de trabajo migratoria a nivel mundial y a él ingresan trabajadores procedentes de un amplio conjunto de naciones. Hacia ese país se dirige  el  grueso  de  la  emigración  internacional  mexicana,  la  cual  también</w:t>
      </w:r>
    </w:p>
    <w:p>
      <w:pPr>
        <w:pStyle w:val="BodyText"/>
        <w:spacing w:line="331" w:lineRule="auto" w:before="5"/>
        <w:ind w:left="115" w:right="104"/>
        <w:jc w:val="both"/>
      </w:pPr>
      <w:r>
        <w:rPr/>
        <w:t>sobresale actualmente entre los mayores movimientos demográficos internacionales</w:t>
      </w:r>
      <w:r>
        <w:rPr>
          <w:position w:val="11"/>
          <w:sz w:val="15"/>
        </w:rPr>
        <w:t>2</w:t>
      </w:r>
      <w:r>
        <w:rPr/>
        <w:t>.</w:t>
      </w:r>
    </w:p>
    <w:p>
      <w:pPr>
        <w:pStyle w:val="BodyText"/>
        <w:spacing w:line="355" w:lineRule="auto" w:before="223"/>
        <w:ind w:left="115" w:right="105"/>
        <w:jc w:val="both"/>
      </w:pPr>
      <w:r>
        <w:rPr/>
        <w:t>Si bien actualmente la migración mexicana hacia los Estados Unidos ya no es un fenómeno de carácter exclusivamente rural, los flujos migratorios rurales que  parten de nuestro país siguen siendo un hecho trascendente para las economías locales y regionales del campo mexicano, así como para la economía </w:t>
      </w:r>
      <w:r>
        <w:rPr>
          <w:spacing w:val="28"/>
        </w:rPr>
        <w:t> </w:t>
      </w:r>
      <w:r>
        <w:rPr/>
        <w:t>nacional</w:t>
      </w:r>
      <w:r>
        <w:rPr>
          <w:position w:val="11"/>
          <w:sz w:val="15"/>
        </w:rPr>
        <w:t>3</w:t>
      </w:r>
      <w:r>
        <w:rPr/>
        <w:t>.</w:t>
      </w:r>
    </w:p>
    <w:p>
      <w:pPr>
        <w:pStyle w:val="BodyText"/>
        <w:spacing w:line="357" w:lineRule="auto" w:before="230"/>
        <w:ind w:left="115" w:right="104"/>
        <w:jc w:val="both"/>
      </w:pPr>
      <w:r>
        <w:rPr/>
        <w:t>Sus antecedentes se remontan al siglo XIX, adquiere relevancia durante las décadas iniciales del siglo XX y se intensifica de 1942 a 1964. El Crack de 1929 y la terminación del segundo Programa Bracero la reducen al mínimo, pero se refuerza con la Immigration Reform and Control Act (IRCA), bajo la tradicional ambivalencia de la política migratoria de los Estados </w:t>
      </w:r>
      <w:r>
        <w:rPr>
          <w:spacing w:val="2"/>
        </w:rPr>
        <w:t> </w:t>
      </w:r>
      <w:r>
        <w:rPr/>
        <w:t>Unidos</w:t>
      </w:r>
      <w:r>
        <w:rPr>
          <w:position w:val="11"/>
          <w:sz w:val="15"/>
        </w:rPr>
        <w:t>4</w:t>
      </w:r>
      <w:r>
        <w:rPr/>
        <w:t>.</w:t>
      </w:r>
    </w:p>
    <w:p>
      <w:pPr>
        <w:pStyle w:val="BodyText"/>
        <w:spacing w:line="355" w:lineRule="auto" w:before="227"/>
        <w:ind w:left="115" w:right="105"/>
        <w:jc w:val="both"/>
      </w:pPr>
      <w:r>
        <w:rPr/>
        <w:t>La migración mexicana hacia los Estados Unidos provoca efectos variados sobre las economías de ambos países a diverso niveles de la misma</w:t>
      </w:r>
      <w:r>
        <w:rPr>
          <w:position w:val="11"/>
          <w:sz w:val="15"/>
        </w:rPr>
        <w:t>5</w:t>
      </w:r>
      <w:r>
        <w:rPr/>
        <w:t>, cada uno de los cuales reclama su particular atención. Es en ese contexto en el que  se  circunscribe el propósito fundamental de esta</w:t>
      </w:r>
      <w:r>
        <w:rPr>
          <w:spacing w:val="53"/>
        </w:rPr>
        <w:t> </w:t>
      </w:r>
      <w:r>
        <w:rPr/>
        <w:t>obra.</w:t>
      </w:r>
    </w:p>
    <w:p>
      <w:pPr>
        <w:pStyle w:val="BodyText"/>
        <w:spacing w:before="2"/>
        <w:rPr>
          <w:sz w:val="18"/>
        </w:rPr>
      </w:pPr>
    </w:p>
    <w:p>
      <w:pPr>
        <w:pStyle w:val="BodyText"/>
        <w:spacing w:line="364" w:lineRule="auto" w:before="1"/>
        <w:ind w:left="115" w:right="103"/>
        <w:jc w:val="both"/>
      </w:pPr>
      <w:r>
        <w:rPr/>
        <w:t>Para cumplimentar este propósito se requirió en primer lugar del esclarecimiento  de</w:t>
      </w:r>
      <w:r>
        <w:rPr>
          <w:spacing w:val="18"/>
        </w:rPr>
        <w:t> </w:t>
      </w:r>
      <w:r>
        <w:rPr/>
        <w:t>los</w:t>
      </w:r>
      <w:r>
        <w:rPr>
          <w:spacing w:val="22"/>
        </w:rPr>
        <w:t> </w:t>
      </w:r>
      <w:r>
        <w:rPr/>
        <w:t>factores</w:t>
      </w:r>
      <w:r>
        <w:rPr>
          <w:spacing w:val="24"/>
        </w:rPr>
        <w:t> </w:t>
      </w:r>
      <w:r>
        <w:rPr/>
        <w:t>que</w:t>
      </w:r>
      <w:r>
        <w:rPr>
          <w:spacing w:val="18"/>
        </w:rPr>
        <w:t> </w:t>
      </w:r>
      <w:r>
        <w:rPr/>
        <w:t>inciden</w:t>
      </w:r>
      <w:r>
        <w:rPr>
          <w:spacing w:val="23"/>
        </w:rPr>
        <w:t> </w:t>
      </w:r>
      <w:r>
        <w:rPr/>
        <w:t>en</w:t>
      </w:r>
      <w:r>
        <w:rPr>
          <w:spacing w:val="23"/>
        </w:rPr>
        <w:t> </w:t>
      </w:r>
      <w:r>
        <w:rPr/>
        <w:t>el</w:t>
      </w:r>
      <w:r>
        <w:rPr>
          <w:spacing w:val="24"/>
        </w:rPr>
        <w:t> </w:t>
      </w:r>
      <w:r>
        <w:rPr/>
        <w:t>proceso</w:t>
      </w:r>
      <w:r>
        <w:rPr>
          <w:spacing w:val="21"/>
        </w:rPr>
        <w:t> </w:t>
      </w:r>
      <w:r>
        <w:rPr/>
        <w:t>migratorio</w:t>
      </w:r>
      <w:r>
        <w:rPr>
          <w:spacing w:val="23"/>
        </w:rPr>
        <w:t> </w:t>
      </w:r>
      <w:r>
        <w:rPr/>
        <w:t>rural,</w:t>
      </w:r>
      <w:r>
        <w:rPr>
          <w:spacing w:val="23"/>
        </w:rPr>
        <w:t> </w:t>
      </w:r>
      <w:r>
        <w:rPr/>
        <w:t>desde</w:t>
      </w:r>
      <w:r>
        <w:rPr>
          <w:spacing w:val="21"/>
        </w:rPr>
        <w:t> </w:t>
      </w:r>
      <w:r>
        <w:rPr/>
        <w:t>cuyo</w:t>
      </w:r>
      <w:r>
        <w:rPr>
          <w:spacing w:val="23"/>
        </w:rPr>
        <w:t> </w:t>
      </w:r>
      <w:r>
        <w:rPr/>
        <w:t>análisis</w:t>
      </w:r>
      <w:r>
        <w:rPr>
          <w:spacing w:val="22"/>
        </w:rPr>
        <w:t> </w:t>
      </w:r>
      <w:r>
        <w:rPr/>
        <w:t>se</w:t>
      </w:r>
    </w:p>
    <w:p>
      <w:pPr>
        <w:pStyle w:val="BodyText"/>
        <w:spacing w:before="1"/>
        <w:rPr>
          <w:sz w:val="15"/>
        </w:rPr>
      </w:pPr>
      <w:r>
        <w:rPr/>
        <w:pict>
          <v:line style="position:absolute;mso-position-horizontal-relative:page;mso-position-vertical-relative:paragraph;z-index:1072;mso-wrap-distance-left:0;mso-wrap-distance-right:0" from="82.799995pt,11.041726pt" to="222.959992pt,11.041726pt" stroked="true" strokeweight=".72pt" strokecolor="#000000">
            <w10:wrap type="topAndBottom"/>
          </v:line>
        </w:pict>
      </w:r>
    </w:p>
    <w:p>
      <w:pPr>
        <w:spacing w:line="238" w:lineRule="exact" w:before="39"/>
        <w:ind w:left="115" w:right="100" w:firstLine="0"/>
        <w:jc w:val="left"/>
        <w:rPr>
          <w:sz w:val="19"/>
        </w:rPr>
      </w:pPr>
      <w:r>
        <w:rPr>
          <w:w w:val="105"/>
          <w:position w:val="10"/>
          <w:sz w:val="12"/>
        </w:rPr>
        <w:t>1 </w:t>
      </w:r>
      <w:r>
        <w:rPr>
          <w:w w:val="105"/>
          <w:sz w:val="19"/>
        </w:rPr>
        <w:t>Ver Lara (1998: 19,22,23).</w:t>
      </w:r>
    </w:p>
    <w:p>
      <w:pPr>
        <w:spacing w:line="238" w:lineRule="exact" w:before="0"/>
        <w:ind w:left="115" w:right="100" w:firstLine="0"/>
        <w:jc w:val="left"/>
        <w:rPr>
          <w:sz w:val="19"/>
        </w:rPr>
      </w:pPr>
      <w:r>
        <w:rPr>
          <w:position w:val="10"/>
          <w:sz w:val="12"/>
        </w:rPr>
        <w:t>2  </w:t>
      </w:r>
      <w:r>
        <w:rPr>
          <w:sz w:val="19"/>
        </w:rPr>
        <w:t>Ver OECD (1999: 38), OECD (2001:63) y El Financiero   (30-04-2002:16).</w:t>
      </w:r>
    </w:p>
    <w:p>
      <w:pPr>
        <w:spacing w:before="196"/>
        <w:ind w:left="115" w:right="100" w:firstLine="0"/>
        <w:jc w:val="left"/>
        <w:rPr>
          <w:sz w:val="19"/>
        </w:rPr>
      </w:pPr>
      <w:r>
        <w:rPr>
          <w:position w:val="10"/>
          <w:sz w:val="12"/>
        </w:rPr>
        <w:t>3  </w:t>
      </w:r>
      <w:r>
        <w:rPr>
          <w:sz w:val="19"/>
        </w:rPr>
        <w:t>Alba (2001:10) y Arroyo, Winnie y Velázquez  (1986:32).</w:t>
      </w:r>
    </w:p>
    <w:p>
      <w:pPr>
        <w:spacing w:before="193"/>
        <w:ind w:left="115" w:right="100" w:firstLine="0"/>
        <w:jc w:val="left"/>
        <w:rPr>
          <w:sz w:val="19"/>
        </w:rPr>
      </w:pPr>
      <w:r>
        <w:rPr>
          <w:position w:val="10"/>
          <w:sz w:val="12"/>
        </w:rPr>
        <w:t>4    </w:t>
      </w:r>
      <w:r>
        <w:rPr>
          <w:sz w:val="19"/>
        </w:rPr>
        <w:t>Ver  Hamann  (2001:2),  Gómez-Q  (1977),  Verea  (1982:162),  Rionda  (1992:89,90),     Preibisch</w:t>
      </w:r>
    </w:p>
    <w:p>
      <w:pPr>
        <w:spacing w:before="4"/>
        <w:ind w:left="115" w:right="100" w:firstLine="0"/>
        <w:jc w:val="left"/>
        <w:rPr>
          <w:sz w:val="19"/>
        </w:rPr>
      </w:pPr>
      <w:r>
        <w:rPr>
          <w:sz w:val="19"/>
        </w:rPr>
        <w:t>(1996:79) y La Jornada  (05-04-2002:21).</w:t>
      </w:r>
    </w:p>
    <w:p>
      <w:pPr>
        <w:pStyle w:val="BodyText"/>
        <w:rPr>
          <w:sz w:val="17"/>
        </w:rPr>
      </w:pPr>
    </w:p>
    <w:p>
      <w:pPr>
        <w:spacing w:before="0"/>
        <w:ind w:left="115" w:right="100" w:firstLine="0"/>
        <w:jc w:val="left"/>
        <w:rPr>
          <w:sz w:val="19"/>
        </w:rPr>
      </w:pPr>
      <w:r>
        <w:rPr>
          <w:w w:val="105"/>
          <w:position w:val="10"/>
          <w:sz w:val="12"/>
        </w:rPr>
        <w:t>5 </w:t>
      </w:r>
      <w:r>
        <w:rPr>
          <w:w w:val="105"/>
          <w:sz w:val="19"/>
        </w:rPr>
        <w:t>Verduzco y Unger (1998:424,425)</w:t>
      </w:r>
    </w:p>
    <w:p>
      <w:pPr>
        <w:spacing w:after="0"/>
        <w:jc w:val="left"/>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8"/>
        <w:jc w:val="both"/>
      </w:pPr>
      <w:r>
        <w:rPr/>
        <w:t>han derivado las consecuencias que dicho movimiento ocasiona a nivel de las comunidades de origen.</w:t>
      </w:r>
    </w:p>
    <w:p>
      <w:pPr>
        <w:pStyle w:val="BodyText"/>
        <w:spacing w:before="4"/>
        <w:rPr>
          <w:sz w:val="17"/>
        </w:rPr>
      </w:pPr>
    </w:p>
    <w:p>
      <w:pPr>
        <w:pStyle w:val="BodyText"/>
        <w:spacing w:line="355" w:lineRule="auto"/>
        <w:ind w:left="115" w:right="104"/>
        <w:jc w:val="both"/>
      </w:pPr>
      <w:r>
        <w:rPr/>
        <w:t>En este proceder se realizó en primer lugar una revisión de las diversas explicaciones generales de los movimientos migratorios poniendo un énfasis especial a la emigración rural mexicana que se dirige al extranjero la cual tiene como  destino  predominante  a  los  Estados  Unidos  (96%)</w:t>
      </w:r>
      <w:r>
        <w:rPr>
          <w:position w:val="11"/>
          <w:sz w:val="15"/>
        </w:rPr>
        <w:t>6</w:t>
      </w:r>
      <w:r>
        <w:rPr/>
        <w:t>.  Así,  el        examen</w:t>
      </w:r>
    </w:p>
    <w:p>
      <w:pPr>
        <w:pStyle w:val="BodyText"/>
        <w:spacing w:line="364" w:lineRule="auto"/>
        <w:ind w:left="116" w:right="108"/>
        <w:jc w:val="both"/>
      </w:pPr>
      <w:r>
        <w:rPr/>
        <w:t>realizado a este nivel de análisis permitió apreciar un espacio teórico importante, escasamente explorado, el cual permite proponer algunos elementos explicatorios distintos a los que se han abordado con anterioridad o que habían sido tratados bajo otras perspectivas teóricas.</w:t>
      </w:r>
    </w:p>
    <w:p>
      <w:pPr>
        <w:pStyle w:val="BodyText"/>
        <w:spacing w:before="4"/>
        <w:rPr>
          <w:sz w:val="17"/>
        </w:rPr>
      </w:pPr>
    </w:p>
    <w:p>
      <w:pPr>
        <w:pStyle w:val="BodyText"/>
        <w:spacing w:line="355" w:lineRule="auto"/>
        <w:ind w:left="115" w:right="103"/>
        <w:jc w:val="both"/>
      </w:pPr>
      <w:r>
        <w:rPr>
          <w:spacing w:val="-3"/>
        </w:rPr>
        <w:t>Precisamente, </w:t>
      </w:r>
      <w:r>
        <w:rPr/>
        <w:t>en este </w:t>
      </w:r>
      <w:r>
        <w:rPr>
          <w:spacing w:val="-3"/>
        </w:rPr>
        <w:t>sentido, </w:t>
      </w:r>
      <w:r>
        <w:rPr/>
        <w:t>a </w:t>
      </w:r>
      <w:r>
        <w:rPr>
          <w:spacing w:val="-3"/>
        </w:rPr>
        <w:t>partir </w:t>
      </w:r>
      <w:r>
        <w:rPr/>
        <w:t>de la </w:t>
      </w:r>
      <w:r>
        <w:rPr>
          <w:spacing w:val="-3"/>
        </w:rPr>
        <w:t>reconsideración de las necesidades según </w:t>
      </w:r>
      <w:r>
        <w:rPr/>
        <w:t>la </w:t>
      </w:r>
      <w:r>
        <w:rPr>
          <w:spacing w:val="-3"/>
        </w:rPr>
        <w:t>Pirámide de Máslow</w:t>
      </w:r>
      <w:r>
        <w:rPr>
          <w:spacing w:val="-3"/>
          <w:position w:val="11"/>
          <w:sz w:val="15"/>
        </w:rPr>
        <w:t>7</w:t>
      </w:r>
      <w:r>
        <w:rPr>
          <w:spacing w:val="-3"/>
        </w:rPr>
        <w:t>, resulta que </w:t>
      </w:r>
      <w:r>
        <w:rPr/>
        <w:t>las </w:t>
      </w:r>
      <w:r>
        <w:rPr>
          <w:spacing w:val="-3"/>
        </w:rPr>
        <w:t>necesidades afectivas </w:t>
      </w:r>
      <w:r>
        <w:rPr>
          <w:spacing w:val="-4"/>
        </w:rPr>
        <w:t>(procedentes </w:t>
      </w:r>
      <w:r>
        <w:rPr>
          <w:spacing w:val="55"/>
        </w:rPr>
        <w:t> </w:t>
      </w:r>
      <w:r>
        <w:rPr/>
        <w:t>de la forma en que los </w:t>
      </w:r>
      <w:r>
        <w:rPr>
          <w:spacing w:val="-3"/>
        </w:rPr>
        <w:t>emigrantes conciben </w:t>
      </w:r>
      <w:r>
        <w:rPr/>
        <w:t>su </w:t>
      </w:r>
      <w:r>
        <w:rPr>
          <w:spacing w:val="-3"/>
        </w:rPr>
        <w:t>inserción </w:t>
      </w:r>
      <w:r>
        <w:rPr/>
        <w:t>en la </w:t>
      </w:r>
      <w:r>
        <w:rPr>
          <w:spacing w:val="-3"/>
        </w:rPr>
        <w:t>sociedad </w:t>
      </w:r>
      <w:r>
        <w:rPr>
          <w:spacing w:val="-4"/>
        </w:rPr>
        <w:t>mayor), </w:t>
      </w:r>
      <w:r>
        <w:rPr>
          <w:spacing w:val="-3"/>
        </w:rPr>
        <w:t>aparecen </w:t>
      </w:r>
      <w:r>
        <w:rPr/>
        <w:t>como un </w:t>
      </w:r>
      <w:r>
        <w:rPr>
          <w:spacing w:val="-3"/>
        </w:rPr>
        <w:t>factor </w:t>
      </w:r>
      <w:r>
        <w:rPr/>
        <w:t>de suma </w:t>
      </w:r>
      <w:r>
        <w:rPr>
          <w:spacing w:val="-3"/>
        </w:rPr>
        <w:t>importancia </w:t>
      </w:r>
      <w:r>
        <w:rPr/>
        <w:t>en la </w:t>
      </w:r>
      <w:r>
        <w:rPr>
          <w:spacing w:val="-3"/>
        </w:rPr>
        <w:t>explicación </w:t>
      </w:r>
      <w:r>
        <w:rPr/>
        <w:t>de la </w:t>
      </w:r>
      <w:r>
        <w:rPr>
          <w:spacing w:val="-3"/>
        </w:rPr>
        <w:t>migración.  </w:t>
      </w:r>
      <w:r>
        <w:rPr>
          <w:spacing w:val="1"/>
        </w:rPr>
        <w:t> </w:t>
      </w:r>
      <w:r>
        <w:rPr/>
        <w:t>De</w:t>
      </w:r>
    </w:p>
    <w:p>
      <w:pPr>
        <w:pStyle w:val="BodyText"/>
        <w:spacing w:line="364" w:lineRule="auto" w:before="15"/>
        <w:ind w:left="115" w:right="105"/>
        <w:jc w:val="both"/>
      </w:pPr>
      <w:r>
        <w:rPr/>
        <w:t>igual manera, la distribución del ingreso, relacionada al mundo de los migrantes,  es otro escenario un poco más explorado que el  anterior  aunque  bajo perspectivas distintas a las que aquí se postulan. Este es también un fenómeno multifactorial que resume las distintas variables que influyen en la participación relativa de los diferentes sectores de la población en el uso y consumo de la producción</w:t>
      </w:r>
      <w:r>
        <w:rPr>
          <w:spacing w:val="19"/>
        </w:rPr>
        <w:t> </w:t>
      </w:r>
      <w:r>
        <w:rPr/>
        <w:t>nacional.</w:t>
      </w:r>
    </w:p>
    <w:p>
      <w:pPr>
        <w:pStyle w:val="BodyText"/>
        <w:spacing w:before="4"/>
        <w:rPr>
          <w:sz w:val="17"/>
        </w:rPr>
      </w:pPr>
    </w:p>
    <w:p>
      <w:pPr>
        <w:pStyle w:val="BodyText"/>
        <w:spacing w:line="364" w:lineRule="auto"/>
        <w:ind w:left="115" w:right="105"/>
        <w:jc w:val="both"/>
      </w:pPr>
      <w:r>
        <w:rPr/>
        <w:t>Por otra parte y a pesar de que entre las naciones en vías de desarrollo México    ha sido considerado como un país emergente, que sobresale entre la mayoría de los países en desarrollo, el desempeño de la economía mexicana ha estado caracterizado durante ya un largo periodo por la presencia de ciertos niveles de desigualdad (diferenciales también para cada entidad </w:t>
      </w:r>
      <w:r>
        <w:rPr>
          <w:spacing w:val="1"/>
        </w:rPr>
        <w:t> </w:t>
      </w:r>
      <w:r>
        <w:rPr/>
        <w:t>federativa).</w:t>
      </w:r>
    </w:p>
    <w:p>
      <w:pPr>
        <w:pStyle w:val="BodyText"/>
        <w:rPr>
          <w:sz w:val="20"/>
        </w:rPr>
      </w:pPr>
    </w:p>
    <w:p>
      <w:pPr>
        <w:pStyle w:val="BodyText"/>
        <w:rPr>
          <w:sz w:val="20"/>
        </w:rPr>
      </w:pPr>
    </w:p>
    <w:p>
      <w:pPr>
        <w:pStyle w:val="BodyText"/>
        <w:rPr>
          <w:sz w:val="20"/>
        </w:rPr>
      </w:pPr>
    </w:p>
    <w:p>
      <w:pPr>
        <w:pStyle w:val="BodyText"/>
        <w:spacing w:before="4"/>
        <w:rPr>
          <w:sz w:val="21"/>
        </w:rPr>
      </w:pPr>
      <w:r>
        <w:rPr/>
        <w:pict>
          <v:line style="position:absolute;mso-position-horizontal-relative:page;mso-position-vertical-relative:paragraph;z-index:1096;mso-wrap-distance-left:0;mso-wrap-distance-right:0" from="82.799995pt,14.524656pt" to="222.959992pt,14.524656pt" stroked="true" strokeweight=".6pt" strokecolor="#000000">
            <w10:wrap type="topAndBottom"/>
          </v:line>
        </w:pict>
      </w:r>
    </w:p>
    <w:p>
      <w:pPr>
        <w:spacing w:before="39"/>
        <w:ind w:left="115" w:right="100" w:firstLine="0"/>
        <w:jc w:val="left"/>
        <w:rPr>
          <w:sz w:val="19"/>
        </w:rPr>
      </w:pPr>
      <w:r>
        <w:rPr>
          <w:w w:val="105"/>
          <w:position w:val="10"/>
          <w:sz w:val="12"/>
        </w:rPr>
        <w:t>6 </w:t>
      </w:r>
      <w:r>
        <w:rPr>
          <w:w w:val="105"/>
          <w:sz w:val="19"/>
        </w:rPr>
        <w:t>Alba (2001:10)</w:t>
      </w:r>
    </w:p>
    <w:p>
      <w:pPr>
        <w:spacing w:before="193"/>
        <w:ind w:left="115" w:right="100" w:firstLine="0"/>
        <w:jc w:val="left"/>
        <w:rPr>
          <w:sz w:val="19"/>
        </w:rPr>
      </w:pPr>
      <w:r>
        <w:rPr>
          <w:w w:val="105"/>
          <w:position w:val="10"/>
          <w:sz w:val="12"/>
        </w:rPr>
        <w:t>7 </w:t>
      </w:r>
      <w:r>
        <w:rPr>
          <w:w w:val="105"/>
          <w:sz w:val="19"/>
        </w:rPr>
        <w:t>Chiavenato (1989: 408-412)</w:t>
      </w:r>
    </w:p>
    <w:p>
      <w:pPr>
        <w:spacing w:after="0"/>
        <w:jc w:val="left"/>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33" w:lineRule="auto" w:before="74"/>
        <w:ind w:left="115" w:right="107"/>
        <w:jc w:val="both"/>
      </w:pPr>
      <w:r>
        <w:rPr/>
        <w:t>Las mediciones de la desigualdad en la distribución del ingreso que abarcan la última mitad del siglo XX permiten confirmar lo complejo de dicha  situación</w:t>
      </w:r>
      <w:r>
        <w:rPr>
          <w:position w:val="11"/>
          <w:sz w:val="15"/>
        </w:rPr>
        <w:t>8</w:t>
      </w:r>
      <w:r>
        <w:rPr/>
        <w:t>.</w:t>
      </w:r>
    </w:p>
    <w:p>
      <w:pPr>
        <w:pStyle w:val="BodyText"/>
        <w:spacing w:line="364" w:lineRule="auto" w:before="218"/>
        <w:ind w:left="115" w:right="105"/>
        <w:jc w:val="both"/>
      </w:pPr>
      <w:r>
        <w:rPr/>
        <w:t>En atención a todo lo antes dicho, este trabajo pone un especial acento en la valoración de la importancia de las necesidades afectivas y la desigualdad en la distribución del ingreso (que inevitablemente redunda en las crisis de la economía familiar) como factores explicativos de las decisiones migratorias; de donde se desprenden los siguientes objetivos:</w:t>
      </w:r>
    </w:p>
    <w:p>
      <w:pPr>
        <w:pStyle w:val="BodyText"/>
        <w:spacing w:line="364" w:lineRule="auto" w:before="197"/>
        <w:ind w:left="115" w:right="103"/>
        <w:jc w:val="both"/>
      </w:pPr>
      <w:r>
        <w:rPr/>
        <w:t>Primero, dado que el funcionamiento de la economía mexicana ha estado acompañado por una alta desigualdad en la distribución del ingreso resulta importante verificar si las condiciones relacionadas con la distribución del ingreso, por entidad federativa, influyen en las corrientes migratorias internacionales de mexicanos y en qué magnitud lo hacen.</w:t>
      </w:r>
    </w:p>
    <w:p>
      <w:pPr>
        <w:pStyle w:val="BodyText"/>
        <w:spacing w:before="4"/>
        <w:rPr>
          <w:sz w:val="17"/>
        </w:rPr>
      </w:pPr>
    </w:p>
    <w:p>
      <w:pPr>
        <w:pStyle w:val="BodyText"/>
        <w:spacing w:line="364" w:lineRule="auto"/>
        <w:ind w:left="115" w:right="104"/>
        <w:jc w:val="both"/>
      </w:pPr>
      <w:r>
        <w:rPr/>
        <w:t>Segundo, como un probable efecto importante de la remisión de divisas, es necesario probar si el impacto de la emigración conduce a mejorías en algunos indicadores de la distribución del ingreso, a nivel municipal, relacionadas con las actividades productivas y de prestigio social como pueden serlo la posesión de tractores agrícolas.</w:t>
      </w:r>
    </w:p>
    <w:p>
      <w:pPr>
        <w:pStyle w:val="BodyText"/>
        <w:spacing w:before="4"/>
        <w:rPr>
          <w:sz w:val="17"/>
        </w:rPr>
      </w:pPr>
    </w:p>
    <w:p>
      <w:pPr>
        <w:pStyle w:val="BodyText"/>
        <w:spacing w:line="364" w:lineRule="auto"/>
        <w:ind w:left="115" w:right="104"/>
        <w:jc w:val="both"/>
      </w:pPr>
      <w:r>
        <w:rPr/>
        <w:t>Tercero, examinar si, a nivel comunitario, algunas condiciones personales y familiares (productivas, de consumo, demográficas, etc.) que podrían formar parte de un modelo proto-holístico, relacionadas con la distribución del ingreso, inducen  a las familias y a los individuos en sus decisiones de migrar a los Estados </w:t>
      </w:r>
      <w:r>
        <w:rPr>
          <w:spacing w:val="22"/>
        </w:rPr>
        <w:t> </w:t>
      </w:r>
      <w:r>
        <w:rPr/>
        <w:t>Unidos.</w:t>
      </w:r>
    </w:p>
    <w:p>
      <w:pPr>
        <w:pStyle w:val="BodyText"/>
        <w:spacing w:before="4"/>
        <w:rPr>
          <w:sz w:val="17"/>
        </w:rPr>
      </w:pPr>
    </w:p>
    <w:p>
      <w:pPr>
        <w:pStyle w:val="BodyText"/>
        <w:spacing w:line="364" w:lineRule="auto"/>
        <w:ind w:left="115" w:right="105"/>
        <w:jc w:val="both"/>
      </w:pPr>
      <w:r>
        <w:rPr/>
        <w:t>La consecución de estos objetivos permitirá corroborar que la consideración de la iniquidad en la distribución del ingreso, producto de un paradigma empresarial inadecuado y del errático desempeño de la economía mexicana, y la valoración    de las variables socioafectivas, como partes de  un  modelo  proto-holístico, permiten comprender otras dimensiones trascendentes del proceso migratorio internacional y de sus efectos en las comunidades de </w:t>
      </w:r>
      <w:r>
        <w:rPr>
          <w:spacing w:val="1"/>
        </w:rPr>
        <w:t> </w:t>
      </w:r>
      <w:r>
        <w:rPr/>
        <w:t>origen.</w:t>
      </w:r>
    </w:p>
    <w:p>
      <w:pPr>
        <w:pStyle w:val="BodyText"/>
        <w:rPr>
          <w:sz w:val="20"/>
        </w:rPr>
      </w:pPr>
    </w:p>
    <w:p>
      <w:pPr>
        <w:pStyle w:val="BodyText"/>
        <w:spacing w:before="7"/>
        <w:rPr>
          <w:sz w:val="15"/>
        </w:rPr>
      </w:pPr>
      <w:r>
        <w:rPr/>
        <w:pict>
          <v:line style="position:absolute;mso-position-horizontal-relative:page;mso-position-vertical-relative:paragraph;z-index:1120;mso-wrap-distance-left:0;mso-wrap-distance-right:0" from="82.799995pt,11.302724pt" to="222.959992pt,11.302724pt" stroked="true" strokeweight=".72pt" strokecolor="#000000">
            <w10:wrap type="topAndBottom"/>
          </v:line>
        </w:pict>
      </w:r>
    </w:p>
    <w:p>
      <w:pPr>
        <w:spacing w:before="46"/>
        <w:ind w:left="115" w:right="100" w:firstLine="0"/>
        <w:jc w:val="left"/>
        <w:rPr>
          <w:sz w:val="19"/>
        </w:rPr>
      </w:pPr>
      <w:r>
        <w:rPr>
          <w:position w:val="10"/>
          <w:sz w:val="13"/>
        </w:rPr>
        <w:t>8  </w:t>
      </w:r>
      <w:r>
        <w:rPr>
          <w:sz w:val="19"/>
        </w:rPr>
        <w:t>Ver Gollás (1982: 204) y Hernández L. (2000ª:  869).</w:t>
      </w:r>
    </w:p>
    <w:p>
      <w:pPr>
        <w:spacing w:after="0"/>
        <w:jc w:val="left"/>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4"/>
        <w:jc w:val="both"/>
      </w:pPr>
      <w:r>
        <w:rPr/>
        <w:t>Como parte esencial de la senda que conduce a cumplir con los objetivos planteados se ha considerado conveniente partir de los siguientes  supuestos:</w:t>
      </w:r>
    </w:p>
    <w:p>
      <w:pPr>
        <w:pStyle w:val="BodyText"/>
        <w:spacing w:before="4"/>
        <w:rPr>
          <w:sz w:val="17"/>
        </w:rPr>
      </w:pPr>
    </w:p>
    <w:p>
      <w:pPr>
        <w:pStyle w:val="BodyText"/>
        <w:spacing w:line="364" w:lineRule="auto"/>
        <w:ind w:left="115" w:right="106"/>
        <w:jc w:val="both"/>
      </w:pPr>
      <w:r>
        <w:rPr/>
        <w:t>A nivel nacional las desigualdades en la distribución del ingreso resultantes del desempeño económico y la evolución demográfica observada en las entidades federativas son elementos determinantes en los flujos estatales de emigración internacional.</w:t>
      </w:r>
    </w:p>
    <w:p>
      <w:pPr>
        <w:pStyle w:val="BodyText"/>
        <w:spacing w:before="4"/>
        <w:rPr>
          <w:sz w:val="17"/>
        </w:rPr>
      </w:pPr>
    </w:p>
    <w:p>
      <w:pPr>
        <w:pStyle w:val="BodyText"/>
        <w:spacing w:line="364" w:lineRule="auto"/>
        <w:ind w:left="115" w:right="105"/>
        <w:jc w:val="both"/>
      </w:pPr>
      <w:r>
        <w:rPr/>
        <w:t>Si bien al interior de las comunidades emisoras de migrantes internacionales, algunos estudios han arrojado conclusiones disímbolas, puesto que en algunos casos muestran mejorías en la distribución personal del ingreso y en otras ocasiones evidencian lo contrario, después de un periodo de cuando menos 20 años, la distribución de activos físicos tales como la posesión de  tractores  agrícolas mejora a nivel de entidad federativa, cuando se toma como unidad de análisis a los municipios que las</w:t>
      </w:r>
      <w:r>
        <w:rPr>
          <w:spacing w:val="42"/>
        </w:rPr>
        <w:t> </w:t>
      </w:r>
      <w:r>
        <w:rPr/>
        <w:t>integran.</w:t>
      </w:r>
    </w:p>
    <w:p>
      <w:pPr>
        <w:pStyle w:val="BodyText"/>
        <w:spacing w:before="4"/>
        <w:rPr>
          <w:sz w:val="17"/>
        </w:rPr>
      </w:pPr>
    </w:p>
    <w:p>
      <w:pPr>
        <w:pStyle w:val="BodyText"/>
        <w:spacing w:line="364" w:lineRule="auto"/>
        <w:ind w:left="115" w:right="105"/>
        <w:jc w:val="both"/>
      </w:pPr>
      <w:r>
        <w:rPr/>
        <w:t>Mediante la consideración de algunas variables hasta ahora no exploradas, o insuficientemente analizadas bajo esta perspectiva, es posible mostrar que a nivel comunitario, las condiciones personales y familiares asociadas a la desigualdad   en la distribución del ingreso, están relacionadas significativamente  con  el  volumen de la emigración hacia los Estados</w:t>
      </w:r>
      <w:r>
        <w:rPr>
          <w:spacing w:val="56"/>
        </w:rPr>
        <w:t> </w:t>
      </w:r>
      <w:r>
        <w:rPr/>
        <w:t>Unidos.</w:t>
      </w:r>
    </w:p>
    <w:p>
      <w:pPr>
        <w:pStyle w:val="BodyText"/>
        <w:spacing w:line="364" w:lineRule="auto" w:before="197"/>
        <w:ind w:left="115" w:right="105"/>
        <w:jc w:val="both"/>
      </w:pPr>
      <w:r>
        <w:rPr/>
        <w:t>La comprobación de estas proposiciones se torna un factor importante puesto que proporcionan una visión distinta de la concepción tradicional que se ha tenido de   la emigración internacional, y por lo tanto, puede constituirse en el fundamento de una nueva política migratoria mexicana en la que se tomen en cuenta las expectativas de los emigrantes mexicanos, los obstáculos que tienen  que  franquear en su desempeño cotidiano y la forma en que pueden contribuir en el desarrollo de sus comunidades y regiones sin omitir las contribuciones que los emigrantes internacionales hacen al desarrollo</w:t>
      </w:r>
      <w:r>
        <w:rPr>
          <w:spacing w:val="60"/>
        </w:rPr>
        <w:t> </w:t>
      </w:r>
      <w:r>
        <w:rPr/>
        <w:t>nacional.</w:t>
      </w:r>
    </w:p>
    <w:p>
      <w:pPr>
        <w:pStyle w:val="BodyText"/>
        <w:spacing w:before="4"/>
        <w:rPr>
          <w:sz w:val="17"/>
        </w:rPr>
      </w:pPr>
    </w:p>
    <w:p>
      <w:pPr>
        <w:pStyle w:val="BodyText"/>
        <w:spacing w:line="364" w:lineRule="auto"/>
        <w:ind w:left="115" w:right="107"/>
        <w:jc w:val="both"/>
      </w:pPr>
      <w:r>
        <w:rPr/>
        <w:t>En este contexto, pueden presentarse dos relaciones básicas entre la emigración   y la distribución del ingreso: Una es que la desigualdad puede constituir un  estímulo  para  la  emigración  y  otra  es  que  la  emigración,  particularmente    </w:t>
      </w:r>
      <w:r>
        <w:rPr>
          <w:spacing w:val="20"/>
        </w:rPr>
        <w:t> </w:t>
      </w:r>
      <w:r>
        <w:rPr/>
        <w:t>la</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8"/>
        <w:jc w:val="both"/>
      </w:pPr>
      <w:r>
        <w:rPr/>
        <w:t>internacional, puede tener efectos de corto y largo plazo sobre la distribución del ingreso.</w:t>
      </w:r>
    </w:p>
    <w:p>
      <w:pPr>
        <w:pStyle w:val="BodyText"/>
        <w:spacing w:before="4"/>
        <w:rPr>
          <w:sz w:val="17"/>
        </w:rPr>
      </w:pPr>
    </w:p>
    <w:p>
      <w:pPr>
        <w:pStyle w:val="BodyText"/>
        <w:spacing w:line="364" w:lineRule="auto"/>
        <w:ind w:left="115" w:right="107"/>
        <w:jc w:val="both"/>
      </w:pPr>
      <w:r>
        <w:rPr/>
        <w:t>El primer caso es de singular importancia puesto que ha sido supuesto, por algún tiempo, que la emigración es un movimiento demográfico que intenta subsanar la escasez de empleo. Como ha sido puesto de manifiesto por Bustamante (2000:</w:t>
      </w:r>
    </w:p>
    <w:p>
      <w:pPr>
        <w:pStyle w:val="BodyText"/>
        <w:spacing w:line="364" w:lineRule="auto" w:before="5"/>
        <w:ind w:left="115" w:right="106"/>
        <w:jc w:val="both"/>
      </w:pPr>
      <w:r>
        <w:rPr/>
        <w:t>35) esto no se cumple en la mayoría de los casos referentes a la emigración internacional de origen mexicano, siendo el caso más frecuente que  los  emigrantes mexicanos han estado empleados antes de su partida a los Estados Unidos, entonces la explicación que subyace a ese movimiento es que los migrantes no están satisfechos con el nivel  de vida que llevaban en sus lugares   de origen antes de</w:t>
      </w:r>
      <w:r>
        <w:rPr>
          <w:spacing w:val="29"/>
        </w:rPr>
        <w:t> </w:t>
      </w:r>
      <w:r>
        <w:rPr/>
        <w:t>emigrar.</w:t>
      </w:r>
    </w:p>
    <w:p>
      <w:pPr>
        <w:pStyle w:val="BodyText"/>
        <w:spacing w:line="364" w:lineRule="auto" w:before="197"/>
        <w:ind w:left="115" w:right="101"/>
        <w:jc w:val="both"/>
      </w:pPr>
      <w:r>
        <w:rPr/>
        <w:t>En un perfil de carácter histórico podría sugerirse que si en una determinada comunidad rural se da un alto índice de desigualdad económica, esto puede constituirse en una causa que genere un flujo migratorio. Como un posible resultado de la emigración en una segunda etapa se podrían presentar  dos  efectos: a) la posición de la comunidad mejora económicamente a nivel regional, </w:t>
      </w:r>
      <w:r>
        <w:rPr>
          <w:spacing w:val="42"/>
        </w:rPr>
        <w:t> </w:t>
      </w:r>
      <w:r>
        <w:rPr/>
        <w:t>y</w:t>
      </w:r>
    </w:p>
    <w:p>
      <w:pPr>
        <w:pStyle w:val="BodyText"/>
        <w:spacing w:line="364" w:lineRule="auto" w:before="7"/>
        <w:ind w:left="115" w:right="106"/>
        <w:jc w:val="both"/>
      </w:pPr>
      <w:r>
        <w:rPr/>
        <w:t>b) al interior de la comunidad se registra una mayor desigualdad con efectos inflacionarios especialmente en el mercado de</w:t>
      </w:r>
      <w:r>
        <w:rPr>
          <w:spacing w:val="54"/>
        </w:rPr>
        <w:t> </w:t>
      </w:r>
      <w:r>
        <w:rPr/>
        <w:t>tierras.</w:t>
      </w:r>
    </w:p>
    <w:p>
      <w:pPr>
        <w:pStyle w:val="BodyText"/>
        <w:spacing w:before="4"/>
        <w:rPr>
          <w:sz w:val="17"/>
        </w:rPr>
      </w:pPr>
    </w:p>
    <w:p>
      <w:pPr>
        <w:pStyle w:val="BodyText"/>
        <w:spacing w:line="364" w:lineRule="auto"/>
        <w:ind w:left="115" w:right="107"/>
        <w:jc w:val="both"/>
      </w:pPr>
      <w:r>
        <w:rPr/>
        <w:t>En una tercera etapa la masificación de la emigración, apoyada quizá en las redes migratorias, conduciría a una reducción de los términos de la desigualdad en un plazo más largo.</w:t>
      </w:r>
    </w:p>
    <w:p>
      <w:pPr>
        <w:pStyle w:val="BodyText"/>
        <w:rPr>
          <w:sz w:val="22"/>
        </w:rPr>
      </w:pPr>
    </w:p>
    <w:p>
      <w:pPr>
        <w:pStyle w:val="BodyText"/>
        <w:rPr>
          <w:sz w:val="22"/>
        </w:rPr>
      </w:pPr>
    </w:p>
    <w:p>
      <w:pPr>
        <w:pStyle w:val="BodyText"/>
        <w:spacing w:before="8"/>
        <w:rPr>
          <w:sz w:val="31"/>
        </w:rPr>
      </w:pPr>
    </w:p>
    <w:p>
      <w:pPr>
        <w:pStyle w:val="Heading2"/>
        <w:numPr>
          <w:ilvl w:val="0"/>
          <w:numId w:val="3"/>
        </w:numPr>
        <w:tabs>
          <w:tab w:pos="462" w:val="left" w:leader="none"/>
        </w:tabs>
        <w:spacing w:line="240" w:lineRule="auto" w:before="0" w:after="0"/>
        <w:ind w:left="116" w:right="672" w:firstLine="0"/>
        <w:jc w:val="left"/>
      </w:pPr>
      <w:r>
        <w:rPr/>
        <w:t>EVOLUCIÓN DE LA EMIGRACIÓN INTERNACIONAL MEXICANA</w:t>
      </w:r>
    </w:p>
    <w:p>
      <w:pPr>
        <w:pStyle w:val="BodyText"/>
        <w:spacing w:before="4"/>
        <w:rPr>
          <w:b/>
          <w:sz w:val="24"/>
        </w:rPr>
      </w:pPr>
    </w:p>
    <w:p>
      <w:pPr>
        <w:pStyle w:val="BodyText"/>
        <w:spacing w:line="367" w:lineRule="auto"/>
        <w:ind w:left="115" w:right="105"/>
        <w:jc w:val="both"/>
      </w:pPr>
      <w:r>
        <w:rPr/>
        <w:t>La cuantificación de la migración es un tema controvertido en cuanto a su  definición y las fuentes de información, las cuales pueden diferir en cuanto a objetivos y método. Por ejemplo, para las autoridades estadounidenses, el  concepto de inmigrantes incluye a las personas autorizadas para residir o  </w:t>
      </w:r>
      <w:r>
        <w:rPr>
          <w:spacing w:val="37"/>
        </w:rPr>
        <w:t> </w:t>
      </w:r>
      <w:r>
        <w:rPr/>
        <w:t>trabajar</w:t>
      </w:r>
    </w:p>
    <w:p>
      <w:pPr>
        <w:spacing w:after="0" w:line="367"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57" w:lineRule="auto" w:before="74"/>
        <w:ind w:left="115" w:right="106"/>
        <w:jc w:val="both"/>
      </w:pPr>
      <w:r>
        <w:rPr/>
        <w:t>en su territorio pero no a los visitantes (turistas, estudiantes, pasajeros en tránsito, etc.) ni los que entran o permanecen de manera subrepticia como extranjeros ilegales (illegal aliens)</w:t>
      </w:r>
      <w:r>
        <w:rPr>
          <w:position w:val="11"/>
          <w:sz w:val="15"/>
        </w:rPr>
        <w:t>9</w:t>
      </w:r>
      <w:r>
        <w:rPr/>
        <w:t>. En contraste, en México, a excepción de los censos decenales de población de 1970 y 1980, las mediciones sistemáticas continuas de la emigración se remontan cuando mucho a mediados de los años  1980’s.</w:t>
      </w:r>
    </w:p>
    <w:p>
      <w:pPr>
        <w:pStyle w:val="BodyText"/>
        <w:spacing w:before="2"/>
        <w:rPr>
          <w:sz w:val="18"/>
        </w:rPr>
      </w:pPr>
    </w:p>
    <w:p>
      <w:pPr>
        <w:pStyle w:val="BodyText"/>
        <w:spacing w:line="355" w:lineRule="auto"/>
        <w:ind w:left="115" w:right="104"/>
        <w:jc w:val="both"/>
      </w:pPr>
      <w:r>
        <w:rPr/>
        <w:t>En cuanto al origen histórico de la emigración internacional mexicana puede aseverarse que es un fenómeno bastante antiguo. Hay evidencia de que desde la primera mitad del siglo XIX ya tenían lugar los  desplazamientos  laborales  hacia los Estados Unidos (Gómez-Q., 1977:463)</w:t>
      </w:r>
      <w:r>
        <w:rPr>
          <w:position w:val="11"/>
          <w:sz w:val="15"/>
        </w:rPr>
        <w:t>10</w:t>
      </w:r>
      <w:r>
        <w:rPr/>
        <w:t>. En su evolución han influido los procesos históricos y el desempeño de la economía mexicana así como el desenvolvimiento de la economía estadounidense y en consecuencia los cambios en la Política Migratoria de dicho país</w:t>
      </w:r>
      <w:r>
        <w:rPr>
          <w:position w:val="11"/>
          <w:sz w:val="15"/>
        </w:rPr>
        <w:t>11</w:t>
      </w:r>
      <w:r>
        <w:rPr/>
        <w:t>. Por ello, en la evolución de los flujos</w:t>
      </w:r>
    </w:p>
    <w:p>
      <w:pPr>
        <w:pStyle w:val="BodyText"/>
        <w:spacing w:line="364" w:lineRule="auto"/>
        <w:ind w:left="116" w:right="107"/>
        <w:jc w:val="both"/>
      </w:pPr>
      <w:r>
        <w:rPr/>
        <w:t>migratorios mexicanos, más que  la mexicana, la política migratoria trascendente  ha sido la de los Estados</w:t>
      </w:r>
      <w:r>
        <w:rPr>
          <w:spacing w:val="34"/>
        </w:rPr>
        <w:t> </w:t>
      </w:r>
      <w:r>
        <w:rPr/>
        <w:t>Unidos.</w:t>
      </w:r>
    </w:p>
    <w:p>
      <w:pPr>
        <w:pStyle w:val="BodyText"/>
        <w:spacing w:before="4"/>
        <w:rPr>
          <w:sz w:val="17"/>
        </w:rPr>
      </w:pPr>
    </w:p>
    <w:p>
      <w:pPr>
        <w:pStyle w:val="BodyText"/>
        <w:spacing w:line="364" w:lineRule="auto"/>
        <w:ind w:left="116" w:right="104"/>
        <w:jc w:val="both"/>
      </w:pPr>
      <w:r>
        <w:rPr/>
        <w:t>La política migratoria de apoyo a los emigrantes mexicanos hacia los Estados Unidos (96%, según Alba, 2001) se ha distinguido por un carácter limitado, o pasivo. Haciendo excepción de la participación en la concertación del segundo Programa Bracero (1942-1964) y de los cambios ocurridos en los dos últimos periodos presidenciales, durante el periodo entre guerras y de 1964 a 1992 la política del Estado mexicano en apoyo a los connacionales se constriñó  a  protestar  de  cuando  en  cuando  por  el  trato  que  recibieron  los    </w:t>
      </w:r>
      <w:r>
        <w:rPr>
          <w:spacing w:val="50"/>
        </w:rPr>
        <w:t> </w:t>
      </w:r>
      <w:r>
        <w:rPr/>
        <w:t>trabajadores</w:t>
      </w:r>
    </w:p>
    <w:p>
      <w:pPr>
        <w:pStyle w:val="BodyText"/>
        <w:rPr>
          <w:sz w:val="20"/>
        </w:rPr>
      </w:pPr>
    </w:p>
    <w:p>
      <w:pPr>
        <w:pStyle w:val="BodyText"/>
        <w:spacing w:before="8"/>
      </w:pPr>
      <w:r>
        <w:rPr/>
        <w:pict>
          <v:line style="position:absolute;mso-position-horizontal-relative:page;mso-position-vertical-relative:paragraph;z-index:1144;mso-wrap-distance-left:0;mso-wrap-distance-right:0" from="82.799995pt,15.982677pt" to="222.959992pt,15.982677pt" stroked="true" strokeweight=".72pt" strokecolor="#000000">
            <w10:wrap type="topAndBottom"/>
          </v:line>
        </w:pict>
      </w:r>
    </w:p>
    <w:p>
      <w:pPr>
        <w:spacing w:line="247" w:lineRule="auto" w:before="46"/>
        <w:ind w:left="115" w:right="108" w:firstLine="0"/>
        <w:jc w:val="both"/>
        <w:rPr>
          <w:sz w:val="19"/>
        </w:rPr>
      </w:pPr>
      <w:r>
        <w:rPr>
          <w:position w:val="10"/>
          <w:sz w:val="13"/>
        </w:rPr>
        <w:t>9 </w:t>
      </w:r>
      <w:r>
        <w:rPr>
          <w:sz w:val="19"/>
        </w:rPr>
        <w:t>El concepto de migrante indocumentado abarca un amplio  grupo,  caracterizado  por  haber entrado a los Estados Unidos, en alguna de las modalidades siguientes: a) sin documentos de autorización para ingresar al país; b) con un permiso de estancia temporal, pero cuya estancia fue por más tiempo del autorizado; c) con permisos fraudulentos, para entrar al país o para trabajar; d) sin permiso para trabajar, aún cuando hayan ingresado al país con documentos (CONAPO, 1997; citado por Santiago:</w:t>
      </w:r>
      <w:r>
        <w:rPr>
          <w:spacing w:val="51"/>
          <w:sz w:val="19"/>
        </w:rPr>
        <w:t> </w:t>
      </w:r>
      <w:r>
        <w:rPr>
          <w:sz w:val="19"/>
        </w:rPr>
        <w:t>2001a:2).</w:t>
      </w:r>
    </w:p>
    <w:p>
      <w:pPr>
        <w:pStyle w:val="BodyText"/>
        <w:spacing w:before="5"/>
        <w:rPr>
          <w:sz w:val="16"/>
        </w:rPr>
      </w:pPr>
    </w:p>
    <w:p>
      <w:pPr>
        <w:spacing w:line="244" w:lineRule="auto" w:before="0"/>
        <w:ind w:left="116" w:right="105" w:firstLine="0"/>
        <w:jc w:val="both"/>
        <w:rPr>
          <w:sz w:val="19"/>
        </w:rPr>
      </w:pPr>
      <w:r>
        <w:rPr>
          <w:position w:val="10"/>
          <w:sz w:val="12"/>
        </w:rPr>
        <w:t>10 </w:t>
      </w:r>
      <w:r>
        <w:rPr>
          <w:sz w:val="19"/>
        </w:rPr>
        <w:t>A nivel internacional, Alba (1981:215) señala que existe un hiato en el proceso mundial de la migración el cual se presenta hacia el periodo de la I Guerra Mundial, fenómeno que modifica la esencia de los flujos migratorios. En esta etapa, según dicha fuente, la emigración mundial cambia de naturaleza pues pierde su predominante carácter  </w:t>
      </w:r>
      <w:r>
        <w:rPr>
          <w:spacing w:val="5"/>
          <w:sz w:val="19"/>
        </w:rPr>
        <w:t> </w:t>
      </w:r>
      <w:r>
        <w:rPr>
          <w:sz w:val="19"/>
        </w:rPr>
        <w:t>colonizador.</w:t>
      </w:r>
    </w:p>
    <w:p>
      <w:pPr>
        <w:pStyle w:val="BodyText"/>
        <w:spacing w:before="7"/>
        <w:rPr>
          <w:sz w:val="16"/>
        </w:rPr>
      </w:pPr>
    </w:p>
    <w:p>
      <w:pPr>
        <w:spacing w:line="244" w:lineRule="auto" w:before="0"/>
        <w:ind w:left="116" w:right="100" w:firstLine="0"/>
        <w:jc w:val="left"/>
        <w:rPr>
          <w:sz w:val="19"/>
        </w:rPr>
      </w:pPr>
      <w:r>
        <w:rPr>
          <w:position w:val="10"/>
          <w:sz w:val="12"/>
        </w:rPr>
        <w:t>11 </w:t>
      </w:r>
      <w:r>
        <w:rPr>
          <w:sz w:val="19"/>
        </w:rPr>
        <w:t>En 1974 fue firmado el acuerdo migratorio bilateral con Canadá, el cual a pesar de que ha sido renovado y ampliado en varias ocasiones, aún puede considerarse como   incipiente.</w:t>
      </w:r>
    </w:p>
    <w:p>
      <w:pPr>
        <w:spacing w:after="0" w:line="244" w:lineRule="auto"/>
        <w:jc w:val="left"/>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migrantes en el territorio estadounidense, y en 1990 se creó  el  Programa  de Apoyo a las Comunidades en el exterior.</w:t>
      </w:r>
    </w:p>
    <w:p>
      <w:pPr>
        <w:pStyle w:val="BodyText"/>
        <w:spacing w:before="4"/>
        <w:rPr>
          <w:sz w:val="17"/>
        </w:rPr>
      </w:pPr>
    </w:p>
    <w:p>
      <w:pPr>
        <w:pStyle w:val="BodyText"/>
        <w:spacing w:line="364" w:lineRule="auto"/>
        <w:ind w:left="115" w:right="107"/>
        <w:jc w:val="both"/>
      </w:pPr>
      <w:r>
        <w:rPr/>
        <w:t>Además de eso son realmente pocos los hechos notables que pueden haber favorecido a los emigrantes. El acuerdo paralelo (al NAFTA) en materia laboral firmado en 1993 tan sólo permite la entrada temporal de trabajadores altamente calificados, en particular, visitantes en plan de negocios, clientes comerciales e inversionistas, personal transferido intracompañía y  profesionales.</w:t>
      </w:r>
    </w:p>
    <w:p>
      <w:pPr>
        <w:pStyle w:val="BodyText"/>
        <w:spacing w:before="7"/>
        <w:rPr>
          <w:sz w:val="20"/>
        </w:rPr>
      </w:pPr>
    </w:p>
    <w:p>
      <w:pPr>
        <w:pStyle w:val="BodyText"/>
        <w:spacing w:line="364" w:lineRule="auto" w:before="1"/>
        <w:ind w:left="115" w:right="105"/>
        <w:jc w:val="both"/>
      </w:pPr>
      <w:r>
        <w:rPr/>
        <w:t>En cambio, los cambios en la Ley de Población que entraron en vigor en 1998 habilitan a los emigrantes a tomar la doble nacionalidad, lo cual puede ser  favorable para que los emigrantes en los Estados Unidos estén en capacidad de actuar con mayor libertad a favor de sus intereses. También destaca durante el sexenio de Ernesto Zedillo la creación de nueve Grupos Beta dentro del programa para proteger a los migrantes de abusos y acciones delictivas, así como de las inclemencias y de los riesgos de algunas zonas geográficas; el apoyo gubernamental a la iniciativas de los clubes de emigrantes para aprovechar los envíos de las remesas colectivas a través de los programas Mi Comunidad, Dos  por Uno y FIDERAZA en las principales entidades expulsoras de migrantes, y la asistencia y firma de acuerdos relativos en foros internacionales correspondientes incluyendo el acuerdo de repatriación ordenada y segura de indocumentados firmado con el gobierno de los Estados Unidos; programas que han  sido  renovados a la</w:t>
      </w:r>
      <w:r>
        <w:rPr>
          <w:spacing w:val="21"/>
        </w:rPr>
        <w:t> </w:t>
      </w:r>
      <w:r>
        <w:rPr/>
        <w:t>postre.</w:t>
      </w:r>
    </w:p>
    <w:p>
      <w:pPr>
        <w:pStyle w:val="BodyText"/>
        <w:spacing w:before="10"/>
        <w:rPr>
          <w:sz w:val="20"/>
        </w:rPr>
      </w:pPr>
    </w:p>
    <w:p>
      <w:pPr>
        <w:pStyle w:val="BodyText"/>
        <w:spacing w:line="364" w:lineRule="auto"/>
        <w:ind w:left="115" w:right="104"/>
        <w:jc w:val="both"/>
      </w:pPr>
      <w:r>
        <w:rPr/>
        <w:t>En el sexenio de Vicente Fox fueron notables los esfuerzos que se realizaron para tratar de llegar a un acuerdo migratorio con los Estados Unidos. Numerosas reuniones de trabajo fueron realizadas al respecto y es indudable el interés del representante del Ejecutivo Federal por el mejoramiento de las condiciones de los trabajadores mexicanos en los Estados Unidos. Los grupos Beta aumentaron a 12 y se puso en operación el “Programa Observador Paisano”. Además, el programa Tres por Uno para obras de beneficio colectivo se extendió de Zacatecas a todas las entidades de la república unificando los programas existentes de remesas colectivas.</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A pesar de lo limitado de algunas acciones hay esfuerzos particulares que pueden tener alguna trascendencia. La educación ha tomado cierta importancia con el envío de libros e intercambio de maestros para atender la educación en español   de los migrantes y la alfabetización en español en algunas comunidades de Texas (del cual no se conoce evaluación alguna ni de las políticas tratadas con universidades estadounidenses para recibir a los hijos de los indocumentados). La educación a menores de edad emigrantes en zonas de origen y el acuerdo de protección de la salud “Vete sano, regresa sano” son también de llamar la  atención.</w:t>
      </w:r>
    </w:p>
    <w:p>
      <w:pPr>
        <w:pStyle w:val="BodyText"/>
        <w:rPr>
          <w:sz w:val="22"/>
        </w:rPr>
      </w:pPr>
    </w:p>
    <w:p>
      <w:pPr>
        <w:pStyle w:val="BodyText"/>
        <w:spacing w:line="364" w:lineRule="auto" w:before="155"/>
        <w:ind w:left="115" w:right="105"/>
        <w:jc w:val="both"/>
      </w:pPr>
      <w:r>
        <w:rPr/>
        <w:t>Un “avance” a notar, posterior al 11 de septiembre de 2001 es el Acta 245 de la  Ley Migratoria estadounidense que contempla la regularización de 500,000 indocumentados a través de los trámites consulares, el cual de haberse llevado a cabo, sólo constituirían un paliativo pues habría beneficiado a una cantidad menor del 15% de los indocumentados. Sin embargo, como consecuencia de los acontecimientos trágicos del 2001, el gobierno mexicano se comprometió en el programa de Seguridad Fronteriza colaborando en la vigilancia de la frontera sur,   y puesto que esos hechos cambiaron las prioridades  del  gobierno  estadounidense, con ello la política migratoria mexicana de apoyo a sus connacionales cayó de nueva cuenta en la parsimonia </w:t>
      </w:r>
      <w:r>
        <w:rPr>
          <w:spacing w:val="6"/>
        </w:rPr>
        <w:t> </w:t>
      </w:r>
      <w:r>
        <w:rPr/>
        <w:t>tradicional.</w:t>
      </w:r>
    </w:p>
    <w:p>
      <w:pPr>
        <w:pStyle w:val="BodyText"/>
        <w:rPr>
          <w:sz w:val="22"/>
        </w:rPr>
      </w:pPr>
    </w:p>
    <w:p>
      <w:pPr>
        <w:pStyle w:val="BodyText"/>
        <w:spacing w:line="364" w:lineRule="auto" w:before="155"/>
        <w:ind w:left="115" w:right="105"/>
        <w:jc w:val="both"/>
      </w:pPr>
      <w:r>
        <w:rPr/>
        <w:t>En conclusión, a excepción del primer año del más reciente sexenio, desde 1964    a la fecha la política migratoria mexicana se ha caracterizado por la dependencia desde la política migratoria estadounidense, y no parece haber la suficiente fuerza política y la cohesión social necesaria para hacer que las cosas  cambien  de rumbo.</w:t>
      </w:r>
    </w:p>
    <w:p>
      <w:pPr>
        <w:pStyle w:val="BodyText"/>
        <w:rPr>
          <w:sz w:val="22"/>
        </w:rPr>
      </w:pPr>
    </w:p>
    <w:p>
      <w:pPr>
        <w:pStyle w:val="BodyText"/>
        <w:spacing w:line="364" w:lineRule="auto" w:before="155"/>
        <w:ind w:left="115" w:right="105"/>
        <w:jc w:val="both"/>
      </w:pPr>
      <w:r>
        <w:rPr/>
        <w:t>En cuanto a la política estadounidense en materia migratoria es importante hacer notar que ésta ha adolecido de una flexibilidad histórica. Prácticamente este carácter es adoptado desde que se inicia la Guerra de Secesión, cuya política migratoria de ‘puertas abiertas’ predominante después de esa guerra civil atrajo    a</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55" w:lineRule="auto" w:before="74"/>
        <w:ind w:left="115" w:right="105"/>
        <w:jc w:val="both"/>
      </w:pPr>
      <w:r>
        <w:rPr/>
        <w:t>casi un millón de inmigrantes por año a Estados Unidos durante la última parte del siglo XIX. En 1864 el Congreso había aprobado la Ley para Promover la Inmigración en respuesta a las quejas del sector industrial  por  la  escasez  de mano de obra a raíz de la Guerra Civil y la reducción del flujo  migratorio</w:t>
      </w:r>
      <w:r>
        <w:rPr>
          <w:position w:val="11"/>
          <w:sz w:val="15"/>
        </w:rPr>
        <w:t>12</w:t>
      </w:r>
      <w:r>
        <w:rPr/>
        <w:t>.</w:t>
      </w:r>
    </w:p>
    <w:p>
      <w:pPr>
        <w:pStyle w:val="BodyText"/>
        <w:spacing w:before="9"/>
        <w:rPr>
          <w:sz w:val="34"/>
        </w:rPr>
      </w:pPr>
    </w:p>
    <w:p>
      <w:pPr>
        <w:pStyle w:val="BodyText"/>
        <w:spacing w:line="352" w:lineRule="auto"/>
        <w:ind w:left="116" w:right="103"/>
        <w:jc w:val="both"/>
      </w:pPr>
      <w:r>
        <w:rPr/>
        <w:t>La inestabilidad política previa a la Revolución Mexicana y la política estadounidense de puertas abiertas, prevaleciente en ese entonces, incentivaron  la emigración hacia ese país</w:t>
      </w:r>
      <w:r>
        <w:rPr>
          <w:position w:val="11"/>
          <w:sz w:val="15"/>
        </w:rPr>
        <w:t>13,14</w:t>
      </w:r>
      <w:r>
        <w:rPr/>
        <w:t>. Pero además, en la evolución  y características  de la emigración internacional mexicana, también han influido las políticas económico-laborales de los Estados Unidos, tal como lo fueron los “Programas Bracero”</w:t>
      </w:r>
      <w:r>
        <w:rPr>
          <w:position w:val="11"/>
          <w:sz w:val="15"/>
        </w:rPr>
        <w:t>15</w:t>
      </w:r>
      <w:r>
        <w:rPr/>
        <w:t>.</w:t>
      </w:r>
    </w:p>
    <w:p>
      <w:pPr>
        <w:pStyle w:val="BodyText"/>
        <w:rPr>
          <w:sz w:val="20"/>
        </w:rPr>
      </w:pPr>
    </w:p>
    <w:p>
      <w:pPr>
        <w:pStyle w:val="BodyText"/>
        <w:rPr>
          <w:sz w:val="20"/>
        </w:rPr>
      </w:pPr>
    </w:p>
    <w:p>
      <w:pPr>
        <w:pStyle w:val="BodyText"/>
        <w:rPr>
          <w:sz w:val="20"/>
        </w:rPr>
      </w:pPr>
    </w:p>
    <w:p>
      <w:pPr>
        <w:pStyle w:val="BodyText"/>
        <w:spacing w:before="3"/>
        <w:rPr>
          <w:sz w:val="26"/>
        </w:rPr>
      </w:pPr>
      <w:r>
        <w:rPr/>
        <w:pict>
          <v:line style="position:absolute;mso-position-horizontal-relative:page;mso-position-vertical-relative:paragraph;z-index:1168;mso-wrap-distance-left:0;mso-wrap-distance-right:0" from="82.799995pt,17.463821pt" to="222.959992pt,17.463821pt" stroked="true" strokeweight=".72pt" strokecolor="#000000">
            <w10:wrap type="topAndBottom"/>
          </v:line>
        </w:pict>
      </w:r>
    </w:p>
    <w:p>
      <w:pPr>
        <w:spacing w:line="283" w:lineRule="auto" w:before="41"/>
        <w:ind w:left="116" w:right="108" w:firstLine="0"/>
        <w:jc w:val="both"/>
        <w:rPr>
          <w:sz w:val="19"/>
        </w:rPr>
      </w:pPr>
      <w:r>
        <w:rPr>
          <w:position w:val="10"/>
          <w:sz w:val="12"/>
        </w:rPr>
        <w:t>12</w:t>
      </w:r>
      <w:r>
        <w:rPr>
          <w:sz w:val="19"/>
        </w:rPr>
        <w:t>Una política impulsora de las corrientes de inmigrantes resolvería la falta de trabajadores. En palabras de los industriales, terminaría con el encarecimiento de la  mano de obra (Hutchinson   citado por Cuamea,</w:t>
      </w:r>
      <w:r>
        <w:rPr>
          <w:spacing w:val="50"/>
          <w:sz w:val="19"/>
        </w:rPr>
        <w:t> </w:t>
      </w:r>
      <w:r>
        <w:rPr>
          <w:sz w:val="19"/>
        </w:rPr>
        <w:t>2001:334)</w:t>
      </w:r>
    </w:p>
    <w:p>
      <w:pPr>
        <w:spacing w:line="283" w:lineRule="auto" w:before="160"/>
        <w:ind w:left="116" w:right="105" w:firstLine="0"/>
        <w:jc w:val="both"/>
        <w:rPr>
          <w:sz w:val="19"/>
        </w:rPr>
      </w:pPr>
      <w:r>
        <w:rPr>
          <w:position w:val="10"/>
          <w:sz w:val="12"/>
        </w:rPr>
        <w:t>13 </w:t>
      </w:r>
      <w:r>
        <w:rPr>
          <w:sz w:val="19"/>
        </w:rPr>
        <w:t>Al respecto Hamann (2001:2) dice que la Revolución Mexicana “...posibilitó la  liberación  de grandes contingentes de trabajadores que, a la postre, desencadenarían una fuerte oleada de migrantes internacionales. A ello contribuyó también la modernización de la actividad minera y la inestabilidad económica y política propia del periodo revolucionario y  posrevolucionario.  Es  así como, desde el inicio de la revolución y hasta el año de 1930, un número muy significativo de mexicanos cruzó la frontera en busca de mejores condiciones de vida”. Una gran parte de ellos se estableció en los estados fronterizos del norte, donde fueron reclutados por las compañías estadounidenses (Driscoll citado por Cuamea,  2001:334).</w:t>
      </w:r>
    </w:p>
    <w:p>
      <w:pPr>
        <w:pStyle w:val="BodyText"/>
        <w:spacing w:before="1"/>
        <w:rPr>
          <w:sz w:val="17"/>
        </w:rPr>
      </w:pPr>
    </w:p>
    <w:p>
      <w:pPr>
        <w:spacing w:line="283" w:lineRule="auto" w:before="0"/>
        <w:ind w:left="116" w:right="105" w:firstLine="0"/>
        <w:jc w:val="both"/>
        <w:rPr>
          <w:sz w:val="19"/>
        </w:rPr>
      </w:pPr>
      <w:r>
        <w:rPr>
          <w:sz w:val="19"/>
        </w:rPr>
        <w:t>A lo anterior se suma la tradicional actividad de los arrieros de Michoacán, Jalisco y Zacatecas, estados mexicanos preponderantes en la emigración hacia los Estados Unidos; la construcción del ferrocarril durante el porfiriato, actividad en la cual algunos arrieros trabajaron y que a la postre los dejaría sin trabajo; les proporcionaría el medio de transporte a la  frontera  norte  y los  habilitaría para trabajar en la construcción del ferrocarril del suroeste estadounidense a Illinois, lugar donde     se fundó una de las primeras colonias de </w:t>
      </w:r>
      <w:r>
        <w:rPr>
          <w:spacing w:val="37"/>
          <w:sz w:val="19"/>
        </w:rPr>
        <w:t> </w:t>
      </w:r>
      <w:r>
        <w:rPr>
          <w:sz w:val="19"/>
        </w:rPr>
        <w:t>mexicanos.</w:t>
      </w:r>
    </w:p>
    <w:p>
      <w:pPr>
        <w:spacing w:line="247" w:lineRule="auto" w:before="157"/>
        <w:ind w:left="116" w:right="105" w:firstLine="0"/>
        <w:jc w:val="both"/>
        <w:rPr>
          <w:sz w:val="19"/>
        </w:rPr>
      </w:pPr>
      <w:r>
        <w:rPr>
          <w:position w:val="10"/>
          <w:sz w:val="12"/>
        </w:rPr>
        <w:t>14  </w:t>
      </w:r>
      <w:r>
        <w:rPr>
          <w:sz w:val="19"/>
        </w:rPr>
        <w:t>Castillo, P. (1977:517) muestran que en 1880, el grueso de la emigración de mexicanos hacia    Los Ángeles, Ca. estaba constituida por trabajadores no calificados (72.3%), aunque éstos no eran los únicos que emigraban hacia dicho </w:t>
      </w:r>
      <w:r>
        <w:rPr>
          <w:spacing w:val="18"/>
          <w:sz w:val="19"/>
        </w:rPr>
        <w:t> </w:t>
      </w:r>
      <w:r>
        <w:rPr>
          <w:sz w:val="19"/>
        </w:rPr>
        <w:t>lugar.</w:t>
      </w:r>
    </w:p>
    <w:p>
      <w:pPr>
        <w:pStyle w:val="BodyText"/>
        <w:spacing w:before="5"/>
        <w:rPr>
          <w:sz w:val="16"/>
        </w:rPr>
      </w:pPr>
    </w:p>
    <w:p>
      <w:pPr>
        <w:spacing w:line="283" w:lineRule="auto" w:before="0"/>
        <w:ind w:left="116" w:right="108" w:firstLine="0"/>
        <w:jc w:val="both"/>
        <w:rPr>
          <w:sz w:val="19"/>
        </w:rPr>
      </w:pPr>
      <w:r>
        <w:rPr>
          <w:position w:val="10"/>
          <w:sz w:val="12"/>
        </w:rPr>
        <w:t>15  </w:t>
      </w:r>
      <w:r>
        <w:rPr>
          <w:sz w:val="19"/>
        </w:rPr>
        <w:t>Como un resultado del estado de la correlación de fuerzas políticas a nivel mundial, producto de   la sobreacumulación de capital en los países desarrollados, se fortalece notablemente y de esa manera, la exportación de mano de obra la cual se dirige predominantemente a las áreas económicas que poseen una mayor dotación de </w:t>
      </w:r>
      <w:r>
        <w:rPr>
          <w:spacing w:val="41"/>
          <w:sz w:val="19"/>
        </w:rPr>
        <w:t> </w:t>
      </w:r>
      <w:r>
        <w:rPr>
          <w:sz w:val="19"/>
        </w:rPr>
        <w:t>capital.</w:t>
      </w:r>
    </w:p>
    <w:p>
      <w:pPr>
        <w:spacing w:after="0" w:line="283" w:lineRule="auto"/>
        <w:jc w:val="both"/>
        <w:rPr>
          <w:sz w:val="19"/>
        </w:rPr>
        <w:sectPr>
          <w:footerReference w:type="default" r:id="rId21"/>
          <w:pgSz w:w="11900" w:h="16840"/>
          <w:pgMar w:footer="1679" w:header="0" w:top="1600" w:bottom="1860" w:left="1540" w:right="1580"/>
          <w:pgNumType w:start="10"/>
        </w:sectPr>
      </w:pPr>
    </w:p>
    <w:p>
      <w:pPr>
        <w:pStyle w:val="BodyText"/>
        <w:rPr>
          <w:sz w:val="20"/>
        </w:rPr>
      </w:pPr>
    </w:p>
    <w:p>
      <w:pPr>
        <w:pStyle w:val="BodyText"/>
        <w:spacing w:before="7"/>
        <w:rPr>
          <w:sz w:val="16"/>
        </w:rPr>
      </w:pPr>
    </w:p>
    <w:p>
      <w:pPr>
        <w:pStyle w:val="BodyText"/>
        <w:spacing w:line="360" w:lineRule="auto" w:before="74"/>
        <w:ind w:left="115" w:right="105"/>
        <w:jc w:val="both"/>
      </w:pPr>
      <w:r>
        <w:rPr/>
        <w:t>El primero de ellos surgió evidentemente, debido a “la urgencia de dar respuesta    a la repentina escasez de fuerza de trabajo en los Estados Unidos ante la circunstancia de la Primera Guerra Mundial (1914-1918) la cual impulsó al  gobierno de ese país a implementar, de manera unilateral, </w:t>
      </w:r>
      <w:r>
        <w:rPr>
          <w:i/>
        </w:rPr>
        <w:t>el primer programa </w:t>
      </w:r>
      <w:r>
        <w:rPr>
          <w:i/>
        </w:rPr>
        <w:t>organizado </w:t>
      </w:r>
      <w:r>
        <w:rPr/>
        <w:t>de enganchamiento y contratación de fuerza de trabajo  mexicana  (Kiser y Woody, 1979:9-12),</w:t>
      </w:r>
      <w:r>
        <w:rPr>
          <w:position w:val="11"/>
          <w:sz w:val="15"/>
        </w:rPr>
        <w:t>16 </w:t>
      </w:r>
      <w:r>
        <w:rPr/>
        <w:t>el cual fortaleció la incipiente tradición de los trabajadores mexicanos de emigrar frecuentemente a los Estados </w:t>
      </w:r>
      <w:r>
        <w:rPr>
          <w:spacing w:val="17"/>
        </w:rPr>
        <w:t> </w:t>
      </w:r>
      <w:r>
        <w:rPr/>
        <w:t>Unidos.</w:t>
      </w:r>
    </w:p>
    <w:p>
      <w:pPr>
        <w:pStyle w:val="BodyText"/>
        <w:rPr>
          <w:sz w:val="22"/>
        </w:rPr>
      </w:pPr>
    </w:p>
    <w:p>
      <w:pPr>
        <w:pStyle w:val="BodyText"/>
        <w:spacing w:line="364" w:lineRule="auto" w:before="160"/>
        <w:ind w:left="115" w:right="105"/>
        <w:jc w:val="both"/>
      </w:pPr>
      <w:r>
        <w:rPr/>
        <w:t>Para Rionda (1992:89-90) resulta curioso que este programa se concretara “tres meses después de que el Congreso estadounidense aprobara la Ley de Inmigración </w:t>
      </w:r>
      <w:r>
        <w:rPr>
          <w:rFonts w:ascii="Symbol" w:hAnsi="Symbol"/>
        </w:rPr>
        <w:t></w:t>
      </w:r>
      <w:r>
        <w:rPr/>
        <w:t>en ese entonces</w:t>
      </w:r>
      <w:r>
        <w:rPr>
          <w:rFonts w:ascii="Symbol" w:hAnsi="Symbol"/>
        </w:rPr>
        <w:t></w:t>
      </w:r>
      <w:r>
        <w:rPr>
          <w:rFonts w:ascii="Times New Roman" w:hAnsi="Times New Roman"/>
        </w:rPr>
        <w:t> </w:t>
      </w:r>
      <w:r>
        <w:rPr/>
        <w:t>más restrictiva de la historia de ese país..... La situación de guerra y las presiones de los agricultores obligaron a aprobar el </w:t>
      </w:r>
      <w:r>
        <w:rPr>
          <w:i/>
        </w:rPr>
        <w:t>(Primer) Programa Bracero </w:t>
      </w:r>
      <w:r>
        <w:rPr/>
        <w:t>con título de excepción. Este tendría una duración de cinco años (1917-1922).... Al pasar la emergencia de la guerra los agricultores clamaron por la permanencia del </w:t>
      </w:r>
      <w:r>
        <w:rPr>
          <w:i/>
        </w:rPr>
        <w:t>Programa </w:t>
      </w:r>
      <w:r>
        <w:rPr/>
        <w:t>y consiguieron que se  extendiera cuatro años después del</w:t>
      </w:r>
      <w:r>
        <w:rPr>
          <w:spacing w:val="39"/>
        </w:rPr>
        <w:t> </w:t>
      </w:r>
      <w:r>
        <w:rPr/>
        <w:t>conflicto”.</w:t>
      </w:r>
    </w:p>
    <w:p>
      <w:pPr>
        <w:pStyle w:val="BodyText"/>
        <w:rPr>
          <w:sz w:val="22"/>
        </w:rPr>
      </w:pPr>
    </w:p>
    <w:p>
      <w:pPr>
        <w:pStyle w:val="BodyText"/>
        <w:spacing w:line="364" w:lineRule="auto" w:before="153"/>
        <w:ind w:left="115" w:right="105"/>
        <w:jc w:val="both"/>
      </w:pPr>
      <w:r>
        <w:rPr/>
        <w:t>De todo esto resulta según Verea (1982: 164), que en 1924, el volumen de inmigrantes de origen mexicano admitidos legalmente en los Estados Unidos era  de 87,648 personas. Al tiempo que esa corriente migratoria se desarrollaba, también la inmigración indocumentada se tornaba </w:t>
      </w:r>
      <w:r>
        <w:rPr>
          <w:spacing w:val="5"/>
        </w:rPr>
        <w:t> </w:t>
      </w:r>
      <w:r>
        <w:rPr/>
        <w:t>importante.</w:t>
      </w:r>
    </w:p>
    <w:p>
      <w:pPr>
        <w:pStyle w:val="BodyText"/>
        <w:rPr>
          <w:sz w:val="22"/>
        </w:rPr>
      </w:pPr>
    </w:p>
    <w:p>
      <w:pPr>
        <w:pStyle w:val="BodyText"/>
        <w:spacing w:line="367" w:lineRule="auto" w:before="153"/>
        <w:ind w:left="115" w:right="105"/>
        <w:jc w:val="both"/>
      </w:pPr>
      <w:r>
        <w:rPr/>
        <w:t>Reflejo de ello es el número de mexicanos indocumentados  aprehendidos  en 1924, cuyo monto alcanzó las 4,614 personas, cifra que tan sólo en un periodo de cinco años aumentó a casi el doble (8,538 personas) y casi cuatro veces (18,319) en un periodo de tan sólo seis años, y según lo reflejan las cifras de emigrantes</w:t>
      </w:r>
    </w:p>
    <w:p>
      <w:pPr>
        <w:pStyle w:val="BodyText"/>
        <w:spacing w:before="11"/>
        <w:rPr>
          <w:sz w:val="20"/>
        </w:rPr>
      </w:pPr>
      <w:r>
        <w:rPr/>
        <w:pict>
          <v:line style="position:absolute;mso-position-horizontal-relative:page;mso-position-vertical-relative:paragraph;z-index:1192;mso-wrap-distance-left:0;mso-wrap-distance-right:0" from="82.799995pt,14.393244pt" to="222.959992pt,14.393244pt" stroked="true" strokeweight=".72pt" strokecolor="#000000">
            <w10:wrap type="topAndBottom"/>
          </v:line>
        </w:pict>
      </w:r>
    </w:p>
    <w:p>
      <w:pPr>
        <w:spacing w:line="283" w:lineRule="auto" w:before="46"/>
        <w:ind w:left="116" w:right="103" w:firstLine="0"/>
        <w:jc w:val="both"/>
        <w:rPr>
          <w:sz w:val="19"/>
        </w:rPr>
      </w:pPr>
      <w:r>
        <w:rPr>
          <w:position w:val="10"/>
          <w:sz w:val="13"/>
        </w:rPr>
        <w:t>16  </w:t>
      </w:r>
      <w:r>
        <w:rPr>
          <w:sz w:val="19"/>
        </w:rPr>
        <w:t>El sector rural del suroeste de los Estados Unidos se vio despojado de sus brazos por la milicia      y por las repentinas oportunidades de trabajo en el sector industrial del  noreste.  Los  huecos abiertos de esta manera tenían que ser  subsanados  urgentemente  ante  un  mercado  creciente para los productos agrícolas, gracias a la propia guerra”. Así, el desarrollo dinámico del suroeste     de los Estados Unidos durante y después de la introducción del ferrocarril atrajo y dio empleo y por ello se constituyó en el principal destino de los emigrantes mexicanos (Rionda,  </w:t>
      </w:r>
      <w:r>
        <w:rPr>
          <w:spacing w:val="50"/>
          <w:sz w:val="19"/>
        </w:rPr>
        <w:t> </w:t>
      </w:r>
      <w:r>
        <w:rPr>
          <w:sz w:val="19"/>
        </w:rPr>
        <w:t>1992:25,89).</w:t>
      </w:r>
    </w:p>
    <w:p>
      <w:pPr>
        <w:spacing w:after="0" w:line="283"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7"/>
        <w:jc w:val="both"/>
      </w:pPr>
      <w:r>
        <w:rPr/>
        <w:t>aprehendidos y deportados, la crisis generalizada de 1929 fue devastadora  para  los mexicanos indocumentados (Verea,</w:t>
      </w:r>
      <w:r>
        <w:rPr>
          <w:spacing w:val="60"/>
        </w:rPr>
        <w:t> </w:t>
      </w:r>
      <w:r>
        <w:rPr/>
        <w:t>1982:165).</w:t>
      </w:r>
    </w:p>
    <w:p>
      <w:pPr>
        <w:pStyle w:val="BodyText"/>
        <w:rPr>
          <w:sz w:val="22"/>
        </w:rPr>
      </w:pPr>
    </w:p>
    <w:p>
      <w:pPr>
        <w:pStyle w:val="BodyText"/>
        <w:spacing w:line="364" w:lineRule="auto" w:before="155"/>
        <w:ind w:left="115" w:right="105"/>
        <w:jc w:val="both"/>
      </w:pPr>
      <w:r>
        <w:rPr/>
        <w:t>Fue hasta el año de 1942, cuando nuevamente, dada la escasez de mano de obra en los Estados Unidos, esta vez ocasionada por la Segunda Guerra Mundial, se instrumentó entre ambos países el segundo Programa Bracero. Este programa tenía la finalidad de proveer a los estados sureños de la  llamada  Unión  Americana,  de  mano  de  obra  suficiente  y  barata  para  la  recolección  de     </w:t>
      </w:r>
      <w:r>
        <w:rPr>
          <w:spacing w:val="45"/>
        </w:rPr>
        <w:t> </w:t>
      </w:r>
      <w:r>
        <w:rPr/>
        <w:t>la</w:t>
      </w:r>
    </w:p>
    <w:p>
      <w:pPr>
        <w:pStyle w:val="BodyText"/>
        <w:spacing w:line="267" w:lineRule="exact"/>
        <w:ind w:left="115"/>
        <w:jc w:val="both"/>
      </w:pPr>
      <w:r>
        <w:rPr/>
        <w:t>producción agrícola en dicha región</w:t>
      </w:r>
      <w:r>
        <w:rPr>
          <w:position w:val="11"/>
          <w:sz w:val="15"/>
        </w:rPr>
        <w:t>17</w:t>
      </w:r>
      <w:r>
        <w:rPr/>
        <w:t>.</w:t>
      </w:r>
    </w:p>
    <w:p>
      <w:pPr>
        <w:pStyle w:val="BodyText"/>
        <w:rPr>
          <w:sz w:val="28"/>
        </w:rPr>
      </w:pPr>
    </w:p>
    <w:p>
      <w:pPr>
        <w:pStyle w:val="BodyText"/>
        <w:spacing w:line="364" w:lineRule="auto" w:before="220"/>
        <w:ind w:left="115" w:right="105"/>
        <w:jc w:val="both"/>
      </w:pPr>
      <w:r>
        <w:rPr/>
        <w:t>En un segundo episodio de la política migratoria de los Estados Unidos, en 1952 fue aprobada la Ley McCarran-Walter la cual permitía a los patrones contratar sin  el menor riesgo a trabajadores indocumentados.  Ocupar trabajadores  no estaba de ninguna manera condicionado al estatus migratorio o de entrada al territorio estadounidense. Ello era resultado de la Cláusula Texas o Texas Proviso, la cual estipulaba que “el contratar (incluidas las prácticas normales y usuales  relacionadas con el empleo) no deberá considerarse como configuración del delito de ‘dar refugio, albergar o encubrir” (Cuamea,</w:t>
      </w:r>
      <w:r>
        <w:rPr>
          <w:spacing w:val="63"/>
        </w:rPr>
        <w:t> </w:t>
      </w:r>
      <w:r>
        <w:rPr/>
        <w:t>2001:36).</w:t>
      </w:r>
    </w:p>
    <w:p>
      <w:pPr>
        <w:pStyle w:val="BodyText"/>
        <w:rPr>
          <w:sz w:val="22"/>
        </w:rPr>
      </w:pPr>
    </w:p>
    <w:p>
      <w:pPr>
        <w:pStyle w:val="BodyText"/>
        <w:spacing w:line="364" w:lineRule="auto" w:before="153"/>
        <w:ind w:left="115" w:right="107"/>
        <w:jc w:val="both"/>
      </w:pPr>
      <w:r>
        <w:rPr/>
        <w:t>Este tipo de políticas podría estar relacionado con el hecho de que los patrones estadounidenses  habían descubierto las ventajas del empleo de fuerza de </w:t>
      </w:r>
      <w:r>
        <w:rPr>
          <w:spacing w:val="53"/>
        </w:rPr>
        <w:t> </w:t>
      </w:r>
      <w:r>
        <w:rPr/>
        <w:t>trabajo</w:t>
      </w:r>
    </w:p>
    <w:p>
      <w:pPr>
        <w:pStyle w:val="BodyText"/>
        <w:rPr>
          <w:sz w:val="20"/>
        </w:rPr>
      </w:pPr>
    </w:p>
    <w:p>
      <w:pPr>
        <w:pStyle w:val="BodyText"/>
        <w:rPr>
          <w:sz w:val="20"/>
        </w:rPr>
      </w:pPr>
    </w:p>
    <w:p>
      <w:pPr>
        <w:pStyle w:val="BodyText"/>
        <w:spacing w:before="5"/>
        <w:rPr>
          <w:sz w:val="21"/>
        </w:rPr>
      </w:pPr>
      <w:r>
        <w:rPr/>
        <w:pict>
          <v:line style="position:absolute;mso-position-horizontal-relative:page;mso-position-vertical-relative:paragraph;z-index:1216;mso-wrap-distance-left:0;mso-wrap-distance-right:0" from="82.799995pt,14.683624pt" to="222.959992pt,14.683624pt" stroked="true" strokeweight=".72pt" strokecolor="#000000">
            <w10:wrap type="topAndBottom"/>
          </v:line>
        </w:pict>
      </w:r>
    </w:p>
    <w:p>
      <w:pPr>
        <w:spacing w:line="283" w:lineRule="auto" w:before="48"/>
        <w:ind w:left="115" w:right="104" w:firstLine="0"/>
        <w:jc w:val="both"/>
        <w:rPr>
          <w:sz w:val="19"/>
        </w:rPr>
      </w:pPr>
      <w:r>
        <w:rPr>
          <w:position w:val="10"/>
          <w:sz w:val="13"/>
        </w:rPr>
        <w:t>17 </w:t>
      </w:r>
      <w:r>
        <w:rPr>
          <w:sz w:val="19"/>
        </w:rPr>
        <w:t>Entre las características más notables del mencionado programa se pueden destacar que al principio, fue el resultado de una concertación binacional en el cual: las finalidades, la vigencia de   los contratos </w:t>
      </w:r>
      <w:r>
        <w:rPr>
          <w:rFonts w:ascii="Symbol" w:hAnsi="Symbol"/>
          <w:sz w:val="19"/>
        </w:rPr>
        <w:t></w:t>
      </w:r>
      <w:r>
        <w:rPr>
          <w:sz w:val="19"/>
        </w:rPr>
        <w:t>escrito y sin discriminación</w:t>
      </w:r>
      <w:r>
        <w:rPr>
          <w:rFonts w:ascii="Symbol" w:hAnsi="Symbol"/>
          <w:sz w:val="19"/>
        </w:rPr>
        <w:t></w:t>
      </w:r>
      <w:r>
        <w:rPr>
          <w:sz w:val="19"/>
        </w:rPr>
        <w:t>, el contratante debería ser el gobierno de los Estados Unidos </w:t>
      </w:r>
      <w:r>
        <w:rPr>
          <w:rFonts w:ascii="Symbol" w:hAnsi="Symbol"/>
          <w:sz w:val="19"/>
        </w:rPr>
        <w:t></w:t>
      </w:r>
      <w:r>
        <w:rPr>
          <w:sz w:val="19"/>
        </w:rPr>
        <w:t>esto sólo se cumplió hasta 1947</w:t>
      </w:r>
      <w:r>
        <w:rPr>
          <w:rFonts w:ascii="Symbol" w:hAnsi="Symbol"/>
          <w:sz w:val="19"/>
        </w:rPr>
        <w:t></w:t>
      </w:r>
      <w:r>
        <w:rPr>
          <w:sz w:val="19"/>
        </w:rPr>
        <w:t>, que no se repitiera una deportación masiva como en alguna temporada anterior, y otras condiciones laborales que fueron establecidas con anticipación (México estuvo en posibilidades de negociar todas esas condiciones en virtud de que era un aliado de guerra). Tales condiciones se mantuvieron activas durante un periodo relativamente breve, ya  que a la postre fueron cayendo poco a poco en desuso. Además, aunque también sólo persistieron durante los primeros años, los braceros tenían derecho a algunas prestaciones económicas  entre  las cuales se contaban con: transporte desde y hasta su lugar de origen, gastos mientras durase el viaje, vivienda apropiada, salario imperante en la zona de destino, etc. Estas, al igual que las otras condiciones de trabajo, se fueron erosionando  </w:t>
      </w:r>
      <w:r>
        <w:rPr>
          <w:spacing w:val="2"/>
          <w:sz w:val="19"/>
        </w:rPr>
        <w:t> </w:t>
      </w:r>
      <w:r>
        <w:rPr>
          <w:sz w:val="19"/>
        </w:rPr>
        <w:t>paulatinamente.</w:t>
      </w:r>
    </w:p>
    <w:p>
      <w:pPr>
        <w:spacing w:after="0" w:line="283"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indocumentada, y en consecuencia propugnaban por  su  esparcimiento  geográfico.</w:t>
      </w:r>
    </w:p>
    <w:p>
      <w:pPr>
        <w:pStyle w:val="BodyText"/>
        <w:rPr>
          <w:sz w:val="22"/>
        </w:rPr>
      </w:pPr>
    </w:p>
    <w:p>
      <w:pPr>
        <w:pStyle w:val="BodyText"/>
        <w:spacing w:line="364" w:lineRule="auto" w:before="155"/>
        <w:ind w:left="115" w:right="106"/>
        <w:jc w:val="both"/>
      </w:pPr>
      <w:r>
        <w:rPr/>
        <w:t>En el ínterin, ante la circunstancia inesperada de la Guerra de Corea, el gobierno mexicano adoptó una posición más firme en las negociaciones para extender el Programa Bracero “...en una medida extrema, tratando de proteger los intereses   de los connacionales, llegó incluso a utilizar la fuerza pública para evitar que los mexicanos fueran contratados en la frontera y no en los centros que se habían establecido  de  común  acuerdo  con  el  gobierno  de  Estados  Unidos”</w:t>
      </w:r>
      <w:r>
        <w:rPr>
          <w:spacing w:val="32"/>
        </w:rPr>
        <w:t> </w:t>
      </w:r>
      <w:r>
        <w:rPr/>
        <w:t>(Cuamea,</w:t>
      </w:r>
    </w:p>
    <w:p>
      <w:pPr>
        <w:pStyle w:val="BodyText"/>
        <w:spacing w:line="270" w:lineRule="exact"/>
        <w:ind w:left="115"/>
        <w:jc w:val="both"/>
      </w:pPr>
      <w:r>
        <w:rPr/>
        <w:t>2001:336)</w:t>
      </w:r>
      <w:r>
        <w:rPr>
          <w:position w:val="11"/>
          <w:sz w:val="15"/>
        </w:rPr>
        <w:t>18</w:t>
      </w:r>
      <w:r>
        <w:rPr/>
        <w:t>.</w:t>
      </w:r>
    </w:p>
    <w:p>
      <w:pPr>
        <w:pStyle w:val="BodyText"/>
        <w:rPr>
          <w:sz w:val="28"/>
        </w:rPr>
      </w:pPr>
    </w:p>
    <w:p>
      <w:pPr>
        <w:pStyle w:val="BodyText"/>
        <w:spacing w:line="355" w:lineRule="auto" w:before="220"/>
        <w:ind w:left="115" w:right="105"/>
        <w:jc w:val="both"/>
      </w:pPr>
      <w:r>
        <w:rPr/>
        <w:t>Junto con el segundo Programa Bracero siguió persistiendo la  inmigración legal  de mexicanos que entraron a los Estados Unidos fuera de dicho programa, retornando en 1955-1957 a niveles comparables a los registrados inmediatamente antes  del  Crack  de  1929</w:t>
      </w:r>
      <w:r>
        <w:rPr>
          <w:position w:val="11"/>
          <w:sz w:val="15"/>
        </w:rPr>
        <w:t>19</w:t>
      </w:r>
      <w:r>
        <w:rPr/>
        <w:t>.  Fue  en  ese  mismo  período  cuando  el    </w:t>
      </w:r>
      <w:r>
        <w:rPr>
          <w:spacing w:val="33"/>
        </w:rPr>
        <w:t> </w:t>
      </w:r>
      <w:r>
        <w:rPr/>
        <w:t>segundo</w:t>
      </w:r>
    </w:p>
    <w:p>
      <w:pPr>
        <w:pStyle w:val="BodyText"/>
        <w:spacing w:line="355" w:lineRule="auto"/>
        <w:ind w:left="115" w:right="105"/>
        <w:jc w:val="both"/>
      </w:pPr>
      <w:r>
        <w:rPr/>
        <w:t>Programa Bracero alcanzó su máxima expresión, en tanto que la aprehensión de indocumentados entró en una etapa de franco receso, pero ya en cifras mayores, apenas semejantes a las que se registraron al inicio de la Posguerra, reflejo de la pasividad implícita en la Ley Migratoria estadounidense </w:t>
      </w:r>
      <w:r>
        <w:rPr>
          <w:position w:val="11"/>
          <w:sz w:val="15"/>
        </w:rPr>
        <w:t>20</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2"/>
        </w:rPr>
      </w:pPr>
      <w:r>
        <w:rPr/>
        <w:pict>
          <v:line style="position:absolute;mso-position-horizontal-relative:page;mso-position-vertical-relative:paragraph;z-index:1240;mso-wrap-distance-left:0;mso-wrap-distance-right:0" from="82.799995pt,9.777617pt" to="222.959992pt,9.777617pt" stroked="true" strokeweight=".72pt" strokecolor="#000000">
            <w10:wrap type="topAndBottom"/>
          </v:line>
        </w:pict>
      </w:r>
    </w:p>
    <w:p>
      <w:pPr>
        <w:spacing w:line="247" w:lineRule="auto" w:before="48"/>
        <w:ind w:left="115" w:right="104" w:firstLine="0"/>
        <w:jc w:val="both"/>
        <w:rPr>
          <w:sz w:val="19"/>
        </w:rPr>
      </w:pPr>
      <w:r>
        <w:rPr>
          <w:position w:val="10"/>
          <w:sz w:val="13"/>
        </w:rPr>
        <w:t>18  </w:t>
      </w:r>
      <w:r>
        <w:rPr>
          <w:sz w:val="19"/>
        </w:rPr>
        <w:t>Todos  estos hechos, de una u otra manera, impactaron la economía de los  Estados Unidos  y  por ello fueron importantes para la migración rural </w:t>
      </w:r>
      <w:r>
        <w:rPr>
          <w:spacing w:val="48"/>
          <w:sz w:val="19"/>
        </w:rPr>
        <w:t> </w:t>
      </w:r>
      <w:r>
        <w:rPr>
          <w:sz w:val="19"/>
        </w:rPr>
        <w:t>mexicana.</w:t>
      </w:r>
    </w:p>
    <w:p>
      <w:pPr>
        <w:pStyle w:val="BodyText"/>
        <w:spacing w:before="8"/>
        <w:rPr>
          <w:sz w:val="16"/>
        </w:rPr>
      </w:pPr>
    </w:p>
    <w:p>
      <w:pPr>
        <w:spacing w:line="283" w:lineRule="auto" w:before="0"/>
        <w:ind w:left="116" w:right="105" w:firstLine="0"/>
        <w:jc w:val="both"/>
        <w:rPr>
          <w:sz w:val="19"/>
        </w:rPr>
      </w:pPr>
      <w:r>
        <w:rPr>
          <w:position w:val="10"/>
          <w:sz w:val="12"/>
        </w:rPr>
        <w:t>19 </w:t>
      </w:r>
      <w:r>
        <w:rPr>
          <w:sz w:val="19"/>
        </w:rPr>
        <w:t>Posiblemente relacionado con La Guerra de Corea, en 1956 la aceptación de braceros llegó a la cifra récord de 445,167 individuos que sumados a los  migrantes  aceptados  por la vía tradicional  (65 047, también la máxima cantidad de trabajadores que ingresaron a los Estados Unidos por esa vía, en esa época) dieron como resultado una inmigración total de 510 214 mexicanos. Al finalizar    el programa bracero la aprehensión de mexicanos indocumentados se incrementó nuevamente, de 30,272 personas en 1962 hasta 55,340 en 1965 y 108,327 individuos en  </w:t>
      </w:r>
      <w:r>
        <w:rPr>
          <w:spacing w:val="28"/>
          <w:sz w:val="19"/>
        </w:rPr>
        <w:t> </w:t>
      </w:r>
      <w:r>
        <w:rPr>
          <w:sz w:val="19"/>
        </w:rPr>
        <w:t>1967.</w:t>
      </w:r>
    </w:p>
    <w:p>
      <w:pPr>
        <w:spacing w:line="244" w:lineRule="auto" w:before="160"/>
        <w:ind w:left="116" w:right="105" w:firstLine="0"/>
        <w:jc w:val="both"/>
        <w:rPr>
          <w:sz w:val="19"/>
        </w:rPr>
      </w:pPr>
      <w:r>
        <w:rPr>
          <w:position w:val="10"/>
          <w:sz w:val="12"/>
        </w:rPr>
        <w:t>20  </w:t>
      </w:r>
      <w:r>
        <w:rPr>
          <w:sz w:val="19"/>
        </w:rPr>
        <w:t>Con respecto a la Segunda Guerra Mundial, una característica que Alba (1981:216) atribuye a  esta etapa de la migración, es que, a diferencia del “viejo contingente”, el “nuevo contingente” está constituido por dos tipos de trabajadores: los trabajadores calificados o con entrenamiento  profesional quienes desean establecer definitivamente su domicilio en los Estados Unidos (lo cual implica una mayor emigración de mujeres) y los trabajadores semicalificados  que  solamente  quieren ser trabajadores </w:t>
      </w:r>
      <w:r>
        <w:rPr>
          <w:spacing w:val="8"/>
          <w:sz w:val="19"/>
        </w:rPr>
        <w:t> </w:t>
      </w:r>
      <w:r>
        <w:rPr>
          <w:sz w:val="19"/>
        </w:rPr>
        <w:t>temporales.</w:t>
      </w:r>
    </w:p>
    <w:p>
      <w:pPr>
        <w:spacing w:after="0" w:line="244"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Por su parte el gobierno mexicano determinó también, cuáles serían los centros   de contratación de acuerdo a las entidades federativas que quisiera ver beneficiadas (López, 1986b). A la par que en México, por este medio, se  estimulaba formalmente la emigración temporal de la mano de obra, en algunos otros estados de la república crecía un contingente de trabajadores que querían cruzar la frontera pero que pertenecían a estados que no habían sido seleccionados por el gobierno mexicano como beneficiarios de tal programa. Poco a poco se fue conformando un flujo paralelo de migrantes que pertenecían a entidades no seleccionadas o a trabajadores que por una u otra razón no habían podido ingresar a tal programa, o que francamente habían sido rechazados por el mismo, hasta conformar un contingente mayor que el flujo de migrantes </w:t>
      </w:r>
      <w:r>
        <w:rPr>
          <w:spacing w:val="24"/>
        </w:rPr>
        <w:t> </w:t>
      </w:r>
      <w:r>
        <w:rPr/>
        <w:t>legales.</w:t>
      </w:r>
    </w:p>
    <w:p>
      <w:pPr>
        <w:pStyle w:val="BodyText"/>
        <w:rPr>
          <w:sz w:val="22"/>
        </w:rPr>
      </w:pPr>
    </w:p>
    <w:p>
      <w:pPr>
        <w:pStyle w:val="BodyText"/>
        <w:spacing w:line="350" w:lineRule="auto" w:before="155"/>
        <w:ind w:left="115" w:right="104"/>
        <w:jc w:val="both"/>
      </w:pPr>
      <w:r>
        <w:rPr/>
        <w:t>Ambos flujos se vieron alimentados por un número cada vez mayor de  trabajadores agrícolas, situación que coincide con la reducción del índice de mortalidad rural (ocasionando, según Rionda, 1992:43; presiones sobre la tierra nunca antes vistas</w:t>
      </w:r>
      <w:r>
        <w:rPr>
          <w:position w:val="11"/>
          <w:sz w:val="15"/>
        </w:rPr>
        <w:t>21</w:t>
      </w:r>
      <w:r>
        <w:rPr/>
        <w:t>) y la caída sistemática de los precios reales de los productos agrícolas</w:t>
      </w:r>
      <w:r>
        <w:rPr>
          <w:spacing w:val="33"/>
        </w:rPr>
        <w:t> </w:t>
      </w:r>
      <w:r>
        <w:rPr/>
        <w:t>básicos</w:t>
      </w:r>
      <w:r>
        <w:rPr>
          <w:position w:val="11"/>
          <w:sz w:val="15"/>
        </w:rPr>
        <w:t>22</w:t>
      </w:r>
      <w:r>
        <w:rPr/>
        <w:t>.</w:t>
      </w:r>
      <w:r>
        <w:rPr>
          <w:spacing w:val="35"/>
        </w:rPr>
        <w:t> </w:t>
      </w:r>
      <w:r>
        <w:rPr/>
        <w:t>Aquí</w:t>
      </w:r>
      <w:r>
        <w:rPr>
          <w:spacing w:val="32"/>
        </w:rPr>
        <w:t> </w:t>
      </w:r>
      <w:r>
        <w:rPr/>
        <w:t>no</w:t>
      </w:r>
      <w:r>
        <w:rPr>
          <w:spacing w:val="29"/>
        </w:rPr>
        <w:t> </w:t>
      </w:r>
      <w:r>
        <w:rPr/>
        <w:t>corresponde</w:t>
      </w:r>
      <w:r>
        <w:rPr>
          <w:spacing w:val="29"/>
        </w:rPr>
        <w:t> </w:t>
      </w:r>
      <w:r>
        <w:rPr/>
        <w:t>juzgar</w:t>
      </w:r>
      <w:r>
        <w:rPr>
          <w:spacing w:val="30"/>
        </w:rPr>
        <w:t> </w:t>
      </w:r>
      <w:r>
        <w:rPr/>
        <w:t>si</w:t>
      </w:r>
      <w:r>
        <w:rPr>
          <w:spacing w:val="33"/>
        </w:rPr>
        <w:t> </w:t>
      </w:r>
      <w:r>
        <w:rPr/>
        <w:t>el</w:t>
      </w:r>
      <w:r>
        <w:rPr>
          <w:spacing w:val="33"/>
        </w:rPr>
        <w:t> </w:t>
      </w:r>
      <w:r>
        <w:rPr/>
        <w:t>resultado</w:t>
      </w:r>
      <w:r>
        <w:rPr>
          <w:spacing w:val="35"/>
        </w:rPr>
        <w:t> </w:t>
      </w:r>
      <w:r>
        <w:rPr/>
        <w:t>de</w:t>
      </w:r>
      <w:r>
        <w:rPr>
          <w:spacing w:val="35"/>
        </w:rPr>
        <w:t> </w:t>
      </w:r>
      <w:r>
        <w:rPr/>
        <w:t>esas</w:t>
      </w:r>
      <w:r>
        <w:rPr>
          <w:spacing w:val="33"/>
        </w:rPr>
        <w:t> </w:t>
      </w:r>
      <w:r>
        <w:rPr/>
        <w:t>políticas</w:t>
      </w:r>
    </w:p>
    <w:p>
      <w:pPr>
        <w:pStyle w:val="BodyText"/>
        <w:spacing w:before="7"/>
        <w:rPr>
          <w:sz w:val="20"/>
        </w:rPr>
      </w:pPr>
      <w:r>
        <w:rPr/>
        <w:pict>
          <v:line style="position:absolute;mso-position-horizontal-relative:page;mso-position-vertical-relative:paragraph;z-index:1264;mso-wrap-distance-left:0;mso-wrap-distance-right:0" from="82.799995pt,14.188221pt" to="222.959992pt,14.188221pt" stroked="true" strokeweight=".72pt" strokecolor="#000000">
            <w10:wrap type="topAndBottom"/>
          </v:line>
        </w:pict>
      </w:r>
    </w:p>
    <w:p>
      <w:pPr>
        <w:spacing w:line="283" w:lineRule="auto" w:before="41"/>
        <w:ind w:left="115" w:right="105" w:firstLine="0"/>
        <w:jc w:val="both"/>
        <w:rPr>
          <w:sz w:val="19"/>
        </w:rPr>
      </w:pPr>
      <w:r>
        <w:rPr>
          <w:position w:val="10"/>
          <w:sz w:val="12"/>
        </w:rPr>
        <w:t>21 </w:t>
      </w:r>
      <w:r>
        <w:rPr>
          <w:sz w:val="19"/>
        </w:rPr>
        <w:t>Por ello, “las regiones de economía campesina se ven incapacitadas para absorber su propio crecimiento demográfico, a lo que se agrega que el </w:t>
      </w:r>
      <w:r>
        <w:rPr>
          <w:rFonts w:ascii="Symbol" w:hAnsi="Symbol"/>
          <w:sz w:val="19"/>
        </w:rPr>
        <w:t></w:t>
      </w:r>
      <w:r>
        <w:rPr>
          <w:sz w:val="19"/>
        </w:rPr>
        <w:t>los</w:t>
      </w:r>
      <w:r>
        <w:rPr>
          <w:rFonts w:ascii="Symbol" w:hAnsi="Symbol"/>
          <w:sz w:val="19"/>
        </w:rPr>
        <w:t></w:t>
      </w:r>
      <w:r>
        <w:rPr>
          <w:rFonts w:ascii="Times New Roman" w:hAnsi="Times New Roman"/>
          <w:sz w:val="19"/>
        </w:rPr>
        <w:t> </w:t>
      </w:r>
      <w:r>
        <w:rPr>
          <w:rFonts w:ascii="Symbol" w:hAnsi="Symbol"/>
          <w:sz w:val="19"/>
        </w:rPr>
        <w:t></w:t>
      </w:r>
      <w:r>
        <w:rPr>
          <w:sz w:val="19"/>
        </w:rPr>
        <w:t>términos de</w:t>
      </w:r>
      <w:r>
        <w:rPr>
          <w:rFonts w:ascii="Symbol" w:hAnsi="Symbol"/>
          <w:sz w:val="19"/>
        </w:rPr>
        <w:t></w:t>
      </w:r>
      <w:r>
        <w:rPr>
          <w:rFonts w:ascii="Times New Roman" w:hAnsi="Times New Roman"/>
          <w:sz w:val="19"/>
        </w:rPr>
        <w:t> </w:t>
      </w:r>
      <w:r>
        <w:rPr>
          <w:sz w:val="19"/>
        </w:rPr>
        <w:t>intercambio desigual de productos entre el campo y la ciudad descapitaliza y arrebata autosuficiencia a la economía campesina; todo lo cual empuja a un considerable flujo de migrantes  hacia los  sectores y zonas  más favorecidas” (Rionda,1992:53-55). Pero, frente  a  esa  situación  sistemáticamente  desfavorable, sin la válvula de escape que constituyó la emigración internacional, no podría entenderse cabalmente el mutismo de los agricultores mexicanos  </w:t>
      </w:r>
      <w:r>
        <w:rPr>
          <w:spacing w:val="19"/>
          <w:sz w:val="19"/>
        </w:rPr>
        <w:t> </w:t>
      </w:r>
      <w:r>
        <w:rPr>
          <w:sz w:val="19"/>
        </w:rPr>
        <w:t>pobres.</w:t>
      </w:r>
    </w:p>
    <w:p>
      <w:pPr>
        <w:spacing w:line="283" w:lineRule="auto" w:before="160"/>
        <w:ind w:left="116" w:right="104" w:firstLine="0"/>
        <w:jc w:val="both"/>
        <w:rPr>
          <w:sz w:val="19"/>
        </w:rPr>
      </w:pPr>
      <w:r>
        <w:rPr>
          <w:position w:val="10"/>
          <w:sz w:val="12"/>
        </w:rPr>
        <w:t>22 </w:t>
      </w:r>
      <w:r>
        <w:rPr>
          <w:sz w:val="19"/>
        </w:rPr>
        <w:t>A partir de la década de los 40`s se instrumentó en México el denominado modelo de desarrollo estabilizador cuyos objetivos eran favorecer el desarrollo económico nacional en base a la  sustitución de las importaciones.  A partir de 1955,  este régimen se caracterizó entre otras cosas  por el sostenimiento de un tipo de cambio fijo, una política depresiva de precios agrícolas y un proteccionismo industrial frente a la competencia exterior dando lugar entre otras cosas a la crisis   de producción de los cultivos básicos. Como resultado de la política económica general y sectorial, los términos de intercambio agricultura/industria se deterioraron notablemente dando lugar a una exacción de excedente económico por parte del sector industrial a costa del sector agropecuario, cuyo objetivo final era incrementar la tasa de acumulación  </w:t>
      </w:r>
      <w:r>
        <w:rPr>
          <w:spacing w:val="7"/>
          <w:sz w:val="19"/>
        </w:rPr>
        <w:t> </w:t>
      </w:r>
      <w:r>
        <w:rPr>
          <w:sz w:val="19"/>
        </w:rPr>
        <w:t>industrial.</w:t>
      </w:r>
    </w:p>
    <w:p>
      <w:pPr>
        <w:pStyle w:val="BodyText"/>
        <w:spacing w:before="8"/>
        <w:rPr>
          <w:sz w:val="16"/>
        </w:rPr>
      </w:pPr>
    </w:p>
    <w:p>
      <w:pPr>
        <w:spacing w:line="247" w:lineRule="auto" w:before="0"/>
        <w:ind w:left="116" w:right="105" w:firstLine="0"/>
        <w:jc w:val="both"/>
        <w:rPr>
          <w:sz w:val="19"/>
        </w:rPr>
      </w:pPr>
      <w:r>
        <w:rPr>
          <w:sz w:val="19"/>
        </w:rPr>
        <w:t>Al respecto Muñoz y Oliveira (1980: 20) refiriéndose a la migración interna, señalan que dentro del llamado modelo estabilizador,  “... la migración fue importante para :  a) ampliar la oferta de fuerza  de trabajo y b) realimentar el ejército industrial de reserva. Como consecuencia fue importante     para c) mantener  bajos los salarios;  así  como para d)  facilitar  el  desarrollo en la capital por   </w:t>
      </w:r>
      <w:r>
        <w:rPr>
          <w:spacing w:val="47"/>
          <w:sz w:val="19"/>
        </w:rPr>
        <w:t> </w:t>
      </w:r>
      <w:r>
        <w:rPr>
          <w:sz w:val="19"/>
        </w:rPr>
        <w:t>una</w:t>
      </w:r>
    </w:p>
    <w:p>
      <w:pPr>
        <w:spacing w:after="0" w:line="247"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fue benéfico o no. Sin embargo, no se debe pasar por alto que en términos de la vinculación sectorial de la economía, tal modelo afectó el desempeño del sector agropecuario.</w:t>
      </w:r>
    </w:p>
    <w:p>
      <w:pPr>
        <w:pStyle w:val="BodyText"/>
        <w:rPr>
          <w:sz w:val="22"/>
        </w:rPr>
      </w:pPr>
    </w:p>
    <w:p>
      <w:pPr>
        <w:pStyle w:val="BodyText"/>
        <w:spacing w:line="364" w:lineRule="auto" w:before="153"/>
        <w:ind w:left="115" w:right="105"/>
        <w:jc w:val="both"/>
      </w:pPr>
      <w:r>
        <w:rPr/>
        <w:t>Según Rionda (1992:102), “El cancelamiento del (segundo) Programa Bracero en 1964 redujo la corriente migratoria hacia el país del norte. La razón es  muy sencilla: gran parte de los migrantes legales, contratados, contaban con el financiamiento de su traslado hasta su centro de trabajo por parte del patrón; además, el paso hacia el otro lado no implicaba ningún costo adicional por su calidad legal. Al término de las contrataciones la mayor parte de los migrantes siguieron su movimiento pero ahora de forma ilegal, por lo que debían financiar ellos mismos los costos de su traslado, pero sobre todo el costo de su paso hacia el otro lado, generalmente ayudado por un</w:t>
      </w:r>
      <w:r>
        <w:rPr>
          <w:spacing w:val="60"/>
        </w:rPr>
        <w:t> </w:t>
      </w:r>
      <w:r>
        <w:rPr/>
        <w:t>‘coyote’”.</w:t>
      </w:r>
    </w:p>
    <w:p>
      <w:pPr>
        <w:pStyle w:val="BodyText"/>
        <w:rPr>
          <w:sz w:val="22"/>
        </w:rPr>
      </w:pPr>
    </w:p>
    <w:p>
      <w:pPr>
        <w:pStyle w:val="BodyText"/>
        <w:spacing w:line="364" w:lineRule="auto" w:before="154"/>
        <w:ind w:left="116" w:right="105"/>
        <w:jc w:val="both"/>
      </w:pPr>
      <w:r>
        <w:rPr/>
        <w:t>Con la crisis económica </w:t>
      </w:r>
      <w:r>
        <w:rPr>
          <w:rFonts w:ascii="Symbol" w:hAnsi="Symbol"/>
        </w:rPr>
        <w:t></w:t>
      </w:r>
      <w:r>
        <w:rPr/>
        <w:t>petrolera</w:t>
      </w:r>
      <w:r>
        <w:rPr>
          <w:rFonts w:ascii="Symbol" w:hAnsi="Symbol"/>
        </w:rPr>
        <w:t></w:t>
      </w:r>
      <w:r>
        <w:rPr>
          <w:rFonts w:ascii="Times New Roman" w:hAnsi="Times New Roman"/>
        </w:rPr>
        <w:t> </w:t>
      </w:r>
      <w:r>
        <w:rPr/>
        <w:t>de 1973-1974 se da un cambio temporal de perspectiva en este proceso pues agudizó las tensiones laborales en los países desarrollados, como es el caso de los Estados Unidos. En el ámbito de la  migración, esta etapa se caracterizó, entre otras cosas, por la adopción unilateral de medidas legales en los países desarrollados en contra de la inmigración, que   en el caso de los Estados Unidos condujo a la reducción  (14.6%  promedio  durante los tres años siguientes) de la admisión legal de trabajadores inmigrantes procedentes de México (Alba,</w:t>
      </w:r>
      <w:r>
        <w:rPr>
          <w:spacing w:val="44"/>
        </w:rPr>
        <w:t> </w:t>
      </w:r>
      <w:r>
        <w:rPr/>
        <w:t>1981:221).</w:t>
      </w:r>
    </w:p>
    <w:p>
      <w:pPr>
        <w:pStyle w:val="BodyText"/>
        <w:rPr>
          <w:sz w:val="22"/>
        </w:rPr>
      </w:pPr>
    </w:p>
    <w:p>
      <w:pPr>
        <w:pStyle w:val="BodyText"/>
        <w:spacing w:line="364" w:lineRule="auto" w:before="156"/>
        <w:ind w:left="115" w:right="104"/>
        <w:jc w:val="both"/>
      </w:pPr>
      <w:r>
        <w:rPr/>
        <w:t>Dicha crisis </w:t>
      </w:r>
      <w:r>
        <w:rPr>
          <w:rFonts w:ascii="Symbol" w:hAnsi="Symbol"/>
        </w:rPr>
        <w:t></w:t>
      </w:r>
      <w:r>
        <w:rPr/>
        <w:t>caracterizada principalmente por inflación, devaluación del dólar y desempleo,  además  del  incremento  de  los  precios  del  petróleo</w:t>
      </w:r>
      <w:r>
        <w:rPr>
          <w:rFonts w:ascii="Symbol" w:hAnsi="Symbol"/>
        </w:rPr>
        <w:t></w:t>
      </w:r>
      <w:r>
        <w:rPr>
          <w:rFonts w:ascii="Times New Roman" w:hAnsi="Times New Roman"/>
        </w:rPr>
        <w:t>  </w:t>
      </w:r>
      <w:r>
        <w:rPr/>
        <w:t>revivió  en los</w:t>
      </w:r>
    </w:p>
    <w:p>
      <w:pPr>
        <w:pStyle w:val="BodyText"/>
        <w:spacing w:before="8"/>
        <w:rPr>
          <w:sz w:val="9"/>
        </w:rPr>
      </w:pPr>
      <w:r>
        <w:rPr/>
        <w:pict>
          <v:line style="position:absolute;mso-position-horizontal-relative:page;mso-position-vertical-relative:paragraph;z-index:1288;mso-wrap-distance-left:0;mso-wrap-distance-right:0" from="82.799995pt,7.846575pt" to="510.479986pt,7.846575pt" stroked="true" strokeweight=".6pt" strokecolor="#000000">
            <w10:wrap type="topAndBottom"/>
          </v:line>
        </w:pict>
      </w:r>
    </w:p>
    <w:p>
      <w:pPr>
        <w:spacing w:line="247" w:lineRule="auto" w:before="73"/>
        <w:ind w:left="115" w:right="103" w:firstLine="0"/>
        <w:jc w:val="both"/>
        <w:rPr>
          <w:sz w:val="19"/>
        </w:rPr>
      </w:pPr>
      <w:r>
        <w:rPr>
          <w:sz w:val="19"/>
        </w:rPr>
        <w:t>fuerte concentración del ingreso”. Un ejemplo de esto fueron los precios de garantía para los productos agrícolas que desde aproximadamente el año de 1960 hasta mediados de la década de  los 70`s se mantuvieron fijos en términos nominales e incluso en algunos casos como el del trigo     se vieron disminuidos. Otro tanto aconteció con  la  leche  y el azúcar  cuyos  regímenes  de precios se diferenciaban un tanto de los precios de garantía. El resultado fue que, los precios reales, uno    de los principales estímulos a la producción fue a la baja. Según Fonseca (1988: 82) el precio de      la leche pasteurizada pasó de $2.33/l en 1971 a $1.98/l en 1977  a  precios  de  1970.  Probablemente el razonamiento que se hizo determinó que para aumentar la tasa de acumulación   se debían abaratar los alimentos básicos y las materias primas  industriales  de  origen  agropecuario, lo cual posibilitó costos y entre ellos, salarios más  </w:t>
      </w:r>
      <w:r>
        <w:rPr>
          <w:spacing w:val="16"/>
          <w:sz w:val="19"/>
        </w:rPr>
        <w:t> </w:t>
      </w:r>
      <w:r>
        <w:rPr>
          <w:sz w:val="19"/>
        </w:rPr>
        <w:t>bajos.</w:t>
      </w:r>
    </w:p>
    <w:p>
      <w:pPr>
        <w:spacing w:after="0" w:line="247"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50" w:lineRule="auto" w:before="74"/>
        <w:ind w:left="115" w:right="105"/>
        <w:jc w:val="both"/>
      </w:pPr>
      <w:r>
        <w:rPr/>
        <w:t>Estados Unidos las viejas prácticas de la manipulación de la fuerza de trabajo mexicana vía las deportaciones y el decremento de las prestaciones que  se  habían logrado con las</w:t>
      </w:r>
      <w:r>
        <w:rPr>
          <w:spacing w:val="43"/>
        </w:rPr>
        <w:t> </w:t>
      </w:r>
      <w:r>
        <w:rPr/>
        <w:t>contrataciones</w:t>
      </w:r>
      <w:r>
        <w:rPr>
          <w:position w:val="11"/>
          <w:sz w:val="15"/>
        </w:rPr>
        <w:t>23</w:t>
      </w:r>
      <w:r>
        <w:rPr/>
        <w:t>.</w:t>
      </w:r>
    </w:p>
    <w:p>
      <w:pPr>
        <w:pStyle w:val="BodyText"/>
        <w:spacing w:before="1"/>
        <w:rPr>
          <w:sz w:val="35"/>
        </w:rPr>
      </w:pPr>
    </w:p>
    <w:p>
      <w:pPr>
        <w:pStyle w:val="BodyText"/>
        <w:spacing w:line="364" w:lineRule="auto"/>
        <w:ind w:left="116" w:right="103"/>
        <w:jc w:val="both"/>
      </w:pPr>
      <w:r>
        <w:rPr/>
        <w:t>Previamente, a partir de 1971, el diputado Peter </w:t>
      </w:r>
      <w:r>
        <w:rPr>
          <w:spacing w:val="6"/>
        </w:rPr>
        <w:t>W. </w:t>
      </w:r>
      <w:r>
        <w:rPr/>
        <w:t>Rodino, combinando la xenofobia hacia los latinos con las condiciones económicas mencionadas, impulsó una serie de iniciativas en el sentido de castigar a los patrones contratistas de ilegales, cosa que, favorecida por los hechos posteriores, se concretaría en el  papel 15 años más tarde con la ley Simpson-Rodino o Immigration Reform and Control Act (IRCA) (Rionda,</w:t>
      </w:r>
      <w:r>
        <w:rPr>
          <w:spacing w:val="44"/>
        </w:rPr>
        <w:t> </w:t>
      </w:r>
      <w:r>
        <w:rPr/>
        <w:t>1992:103).</w:t>
      </w:r>
    </w:p>
    <w:p>
      <w:pPr>
        <w:pStyle w:val="BodyText"/>
        <w:rPr>
          <w:sz w:val="22"/>
        </w:rPr>
      </w:pPr>
    </w:p>
    <w:p>
      <w:pPr>
        <w:pStyle w:val="BodyText"/>
        <w:spacing w:line="364" w:lineRule="auto" w:before="155"/>
        <w:ind w:left="116" w:right="108"/>
        <w:jc w:val="both"/>
      </w:pPr>
      <w:r>
        <w:rPr/>
        <w:t>La IRCA inauguró una nueva etapa en la modalidad migratoria al preverse, formalmente,  sanciones  a  los  patrones  que,  a  sabiendas,  contrataran  ilegales</w:t>
      </w:r>
    </w:p>
    <w:p>
      <w:pPr>
        <w:pStyle w:val="BodyText"/>
        <w:spacing w:line="364" w:lineRule="auto" w:before="6"/>
        <w:ind w:left="116" w:right="259"/>
      </w:pPr>
      <w:r>
        <w:rPr>
          <w:rFonts w:ascii="Symbol" w:hAnsi="Symbol"/>
        </w:rPr>
        <w:t></w:t>
      </w:r>
      <w:r>
        <w:rPr/>
        <w:t>multas de 250 a 10,000 dólares por cada trabajador</w:t>
      </w:r>
      <w:r>
        <w:rPr>
          <w:rFonts w:ascii="Symbol" w:hAnsi="Symbol"/>
        </w:rPr>
        <w:t></w:t>
      </w:r>
      <w:r>
        <w:rPr/>
        <w:t>. Se autorizó un incremento  de hasta el 50% en el número de elementos de la patrulla fronteriza, al que hay  que agregar el 35% autorizado un año antes para detener a los indocumentados. Se contempló también una amnistía para aquellos trabajadores que residían en el país desde el 1º de enero de 1982 o antes (Rionda, 1992:105). Además se aprobaron los programas SAW o H-2A, SAS y RAW: El SAW  o  Special  Agricultural Workers y el SAS o Special Agricultural Services, requerían para su legalización haber trabajado 90 días entre el 1º de mayo de 1985 y el 1º mayo de 1986, en tanto que el </w:t>
      </w:r>
      <w:r>
        <w:rPr>
          <w:spacing w:val="-3"/>
        </w:rPr>
        <w:t>RAW </w:t>
      </w:r>
      <w:r>
        <w:rPr/>
        <w:t>o Replenishment Agricultural Workers se podría hacer efectiva a partir del 1º octubre 1989 teniendo 20 días de trabajo previo, en el caso de que los departamentos del Trabajo y de Agricultura acordaran la existencia de escasez de mano de obra (Cuamea, 1998:385, y Stryckland, </w:t>
      </w:r>
      <w:r>
        <w:rPr>
          <w:spacing w:val="20"/>
        </w:rPr>
        <w:t> </w:t>
      </w:r>
      <w:r>
        <w:rPr/>
        <w:t>1987:445).</w:t>
      </w:r>
    </w:p>
    <w:p>
      <w:pPr>
        <w:pStyle w:val="BodyText"/>
        <w:rPr>
          <w:sz w:val="20"/>
        </w:rPr>
      </w:pPr>
    </w:p>
    <w:p>
      <w:pPr>
        <w:pStyle w:val="BodyText"/>
        <w:rPr>
          <w:sz w:val="20"/>
        </w:rPr>
      </w:pPr>
    </w:p>
    <w:p>
      <w:pPr>
        <w:pStyle w:val="BodyText"/>
        <w:spacing w:before="5"/>
        <w:rPr>
          <w:sz w:val="16"/>
        </w:rPr>
      </w:pPr>
      <w:r>
        <w:rPr/>
        <w:pict>
          <v:line style="position:absolute;mso-position-horizontal-relative:page;mso-position-vertical-relative:paragraph;z-index:1312;mso-wrap-distance-left:0;mso-wrap-distance-right:0" from="82.799995pt,11.803673pt" to="222.959992pt,11.803673pt" stroked="true" strokeweight=".72pt" strokecolor="#000000">
            <w10:wrap type="topAndBottom"/>
          </v:line>
        </w:pict>
      </w:r>
    </w:p>
    <w:p>
      <w:pPr>
        <w:spacing w:line="283" w:lineRule="auto" w:before="46"/>
        <w:ind w:left="116" w:right="105" w:firstLine="0"/>
        <w:jc w:val="both"/>
        <w:rPr>
          <w:sz w:val="19"/>
        </w:rPr>
      </w:pPr>
      <w:r>
        <w:rPr>
          <w:position w:val="10"/>
          <w:sz w:val="13"/>
        </w:rPr>
        <w:t>23 </w:t>
      </w:r>
      <w:r>
        <w:rPr>
          <w:sz w:val="19"/>
        </w:rPr>
        <w:t>Cabe aclarar que desde principios de los  años  1970’s  hasta 1986, la, única  medida adoptada  por el gobierno de los Estados Unidos para contrarrestar la inmigración indocumentada fue el aumento progresivo del número de policías en la frontera y de sus recursos materiales  para  localizar, aprehender y expulsar extranjeros sujetos a deportación, haciendo con  ello  que  el  número de localizaciones llegara a 1’168,761 personas en 1984 (ver García y Griego y Verea, 1987:437-439).</w:t>
      </w:r>
    </w:p>
    <w:p>
      <w:pPr>
        <w:spacing w:after="0" w:line="283"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75" w:right="225"/>
        <w:jc w:val="both"/>
      </w:pPr>
      <w:r>
        <w:rPr/>
        <w:t>Esta ley “...proponía emprender un plan de legalizaciones con  muchas  salvedades; la más importante era que el  trabajador que obtuviera ese beneficio  no podría recibir en los cinco años posteriores a ello ningún tipo de asistencia pública prescrita por las leyes federales (Aragonés, </w:t>
      </w:r>
      <w:r>
        <w:rPr>
          <w:spacing w:val="2"/>
        </w:rPr>
        <w:t> </w:t>
      </w:r>
      <w:r>
        <w:rPr/>
        <w:t>2001:331).</w:t>
      </w:r>
    </w:p>
    <w:p>
      <w:pPr>
        <w:pStyle w:val="BodyText"/>
        <w:rPr>
          <w:sz w:val="22"/>
        </w:rPr>
      </w:pPr>
    </w:p>
    <w:p>
      <w:pPr>
        <w:pStyle w:val="BodyText"/>
        <w:rPr>
          <w:sz w:val="22"/>
        </w:rPr>
      </w:pPr>
    </w:p>
    <w:p>
      <w:pPr>
        <w:pStyle w:val="BodyText"/>
        <w:spacing w:before="1"/>
        <w:rPr>
          <w:sz w:val="25"/>
        </w:rPr>
      </w:pPr>
    </w:p>
    <w:p>
      <w:pPr>
        <w:pStyle w:val="Heading4"/>
        <w:spacing w:line="364" w:lineRule="auto"/>
        <w:ind w:left="3687" w:right="245" w:hanging="3032"/>
      </w:pPr>
      <w:r>
        <w:rPr/>
        <w:t>Cuadro 1. Inmigrantes beneficiados por la IRCA (Miles de residentes permanentes)</w:t>
      </w:r>
    </w:p>
    <w:p>
      <w:pPr>
        <w:pStyle w:val="BodyText"/>
        <w:spacing w:before="3"/>
        <w:rPr>
          <w:b/>
          <w:sz w:val="17"/>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84"/>
        <w:gridCol w:w="2186"/>
        <w:gridCol w:w="2594"/>
        <w:gridCol w:w="1776"/>
      </w:tblGrid>
      <w:tr>
        <w:trPr>
          <w:trHeight w:val="744" w:hRule="exact"/>
        </w:trPr>
        <w:tc>
          <w:tcPr>
            <w:tcW w:w="2184" w:type="dxa"/>
          </w:tcPr>
          <w:p>
            <w:pPr>
              <w:pStyle w:val="TableParagraph"/>
              <w:spacing w:before="58"/>
              <w:ind w:left="516" w:right="517"/>
              <w:jc w:val="center"/>
              <w:rPr>
                <w:b/>
                <w:sz w:val="23"/>
              </w:rPr>
            </w:pPr>
            <w:r>
              <w:rPr>
                <w:b/>
                <w:sz w:val="23"/>
              </w:rPr>
              <w:t>Periodo</w:t>
            </w:r>
          </w:p>
        </w:tc>
        <w:tc>
          <w:tcPr>
            <w:tcW w:w="2186" w:type="dxa"/>
          </w:tcPr>
          <w:p>
            <w:pPr>
              <w:pStyle w:val="TableParagraph"/>
              <w:spacing w:line="280" w:lineRule="auto" w:before="58"/>
              <w:ind w:left="424" w:firstLine="215"/>
              <w:jc w:val="left"/>
              <w:rPr>
                <w:b/>
                <w:sz w:val="23"/>
              </w:rPr>
            </w:pPr>
            <w:r>
              <w:rPr>
                <w:b/>
                <w:sz w:val="23"/>
              </w:rPr>
              <w:t>Total de Inmigrantes</w:t>
            </w:r>
          </w:p>
        </w:tc>
        <w:tc>
          <w:tcPr>
            <w:tcW w:w="2594" w:type="dxa"/>
          </w:tcPr>
          <w:p>
            <w:pPr>
              <w:pStyle w:val="TableParagraph"/>
              <w:spacing w:line="280" w:lineRule="auto" w:before="58"/>
              <w:ind w:left="1005" w:hanging="792"/>
              <w:jc w:val="left"/>
              <w:rPr>
                <w:b/>
                <w:sz w:val="23"/>
              </w:rPr>
            </w:pPr>
            <w:r>
              <w:rPr>
                <w:b/>
                <w:sz w:val="23"/>
              </w:rPr>
              <w:t>Beneficiados por la IRCA</w:t>
            </w:r>
          </w:p>
        </w:tc>
        <w:tc>
          <w:tcPr>
            <w:tcW w:w="1776" w:type="dxa"/>
          </w:tcPr>
          <w:p>
            <w:pPr>
              <w:pStyle w:val="TableParagraph"/>
              <w:spacing w:before="58"/>
              <w:ind w:right="1"/>
              <w:jc w:val="center"/>
              <w:rPr>
                <w:b/>
                <w:sz w:val="23"/>
              </w:rPr>
            </w:pPr>
            <w:r>
              <w:rPr>
                <w:b/>
                <w:w w:val="101"/>
                <w:sz w:val="23"/>
              </w:rPr>
              <w:t>%</w:t>
            </w:r>
          </w:p>
        </w:tc>
      </w:tr>
      <w:tr>
        <w:trPr>
          <w:trHeight w:val="437" w:hRule="exact"/>
        </w:trPr>
        <w:tc>
          <w:tcPr>
            <w:tcW w:w="2184" w:type="dxa"/>
          </w:tcPr>
          <w:p>
            <w:pPr>
              <w:pStyle w:val="TableParagraph"/>
              <w:spacing w:before="62"/>
              <w:ind w:left="515" w:right="517"/>
              <w:jc w:val="center"/>
              <w:rPr>
                <w:sz w:val="23"/>
              </w:rPr>
            </w:pPr>
            <w:r>
              <w:rPr>
                <w:sz w:val="23"/>
              </w:rPr>
              <w:t>1989</w:t>
            </w:r>
          </w:p>
        </w:tc>
        <w:tc>
          <w:tcPr>
            <w:tcW w:w="2186" w:type="dxa"/>
          </w:tcPr>
          <w:p>
            <w:pPr>
              <w:pStyle w:val="TableParagraph"/>
              <w:spacing w:before="62"/>
              <w:ind w:right="64"/>
              <w:rPr>
                <w:sz w:val="23"/>
              </w:rPr>
            </w:pPr>
            <w:r>
              <w:rPr>
                <w:sz w:val="23"/>
              </w:rPr>
              <w:t>405.7</w:t>
            </w:r>
          </w:p>
        </w:tc>
        <w:tc>
          <w:tcPr>
            <w:tcW w:w="2594" w:type="dxa"/>
          </w:tcPr>
          <w:p>
            <w:pPr>
              <w:pStyle w:val="TableParagraph"/>
              <w:spacing w:before="62"/>
              <w:ind w:right="60"/>
              <w:rPr>
                <w:sz w:val="23"/>
              </w:rPr>
            </w:pPr>
            <w:r>
              <w:rPr>
                <w:sz w:val="23"/>
              </w:rPr>
              <w:t>339.2</w:t>
            </w:r>
          </w:p>
        </w:tc>
        <w:tc>
          <w:tcPr>
            <w:tcW w:w="1776" w:type="dxa"/>
          </w:tcPr>
          <w:p>
            <w:pPr>
              <w:pStyle w:val="TableParagraph"/>
              <w:spacing w:before="62"/>
              <w:ind w:right="64"/>
              <w:rPr>
                <w:sz w:val="23"/>
              </w:rPr>
            </w:pPr>
            <w:r>
              <w:rPr>
                <w:sz w:val="23"/>
              </w:rPr>
              <w:t>83.6</w:t>
            </w:r>
          </w:p>
        </w:tc>
      </w:tr>
      <w:tr>
        <w:trPr>
          <w:trHeight w:val="434" w:hRule="exact"/>
        </w:trPr>
        <w:tc>
          <w:tcPr>
            <w:tcW w:w="2184" w:type="dxa"/>
          </w:tcPr>
          <w:p>
            <w:pPr>
              <w:pStyle w:val="TableParagraph"/>
              <w:spacing w:before="60"/>
              <w:ind w:left="515" w:right="517"/>
              <w:jc w:val="center"/>
              <w:rPr>
                <w:sz w:val="23"/>
              </w:rPr>
            </w:pPr>
            <w:r>
              <w:rPr>
                <w:sz w:val="23"/>
              </w:rPr>
              <w:t>1990</w:t>
            </w:r>
          </w:p>
        </w:tc>
        <w:tc>
          <w:tcPr>
            <w:tcW w:w="2186" w:type="dxa"/>
          </w:tcPr>
          <w:p>
            <w:pPr>
              <w:pStyle w:val="TableParagraph"/>
              <w:spacing w:before="60"/>
              <w:ind w:right="64"/>
              <w:rPr>
                <w:sz w:val="23"/>
              </w:rPr>
            </w:pPr>
            <w:r>
              <w:rPr>
                <w:sz w:val="23"/>
              </w:rPr>
              <w:t>680.1</w:t>
            </w:r>
          </w:p>
        </w:tc>
        <w:tc>
          <w:tcPr>
            <w:tcW w:w="2594" w:type="dxa"/>
          </w:tcPr>
          <w:p>
            <w:pPr>
              <w:pStyle w:val="TableParagraph"/>
              <w:spacing w:before="60"/>
              <w:ind w:right="60"/>
              <w:rPr>
                <w:sz w:val="23"/>
              </w:rPr>
            </w:pPr>
            <w:r>
              <w:rPr>
                <w:sz w:val="23"/>
              </w:rPr>
              <w:t>623.5</w:t>
            </w:r>
          </w:p>
        </w:tc>
        <w:tc>
          <w:tcPr>
            <w:tcW w:w="1776" w:type="dxa"/>
          </w:tcPr>
          <w:p>
            <w:pPr>
              <w:pStyle w:val="TableParagraph"/>
              <w:spacing w:before="60"/>
              <w:ind w:right="64"/>
              <w:rPr>
                <w:sz w:val="23"/>
              </w:rPr>
            </w:pPr>
            <w:r>
              <w:rPr>
                <w:sz w:val="23"/>
              </w:rPr>
              <w:t>91.7</w:t>
            </w:r>
          </w:p>
        </w:tc>
      </w:tr>
      <w:tr>
        <w:trPr>
          <w:trHeight w:val="437" w:hRule="exact"/>
        </w:trPr>
        <w:tc>
          <w:tcPr>
            <w:tcW w:w="2184" w:type="dxa"/>
          </w:tcPr>
          <w:p>
            <w:pPr>
              <w:pStyle w:val="TableParagraph"/>
              <w:spacing w:before="60"/>
              <w:ind w:left="515" w:right="517"/>
              <w:jc w:val="center"/>
              <w:rPr>
                <w:sz w:val="23"/>
              </w:rPr>
            </w:pPr>
            <w:r>
              <w:rPr>
                <w:sz w:val="23"/>
              </w:rPr>
              <w:t>1991</w:t>
            </w:r>
          </w:p>
        </w:tc>
        <w:tc>
          <w:tcPr>
            <w:tcW w:w="2186" w:type="dxa"/>
          </w:tcPr>
          <w:p>
            <w:pPr>
              <w:pStyle w:val="TableParagraph"/>
              <w:spacing w:before="60"/>
              <w:ind w:right="64"/>
              <w:rPr>
                <w:sz w:val="23"/>
              </w:rPr>
            </w:pPr>
            <w:r>
              <w:rPr>
                <w:sz w:val="23"/>
              </w:rPr>
              <w:t>947.9</w:t>
            </w:r>
          </w:p>
        </w:tc>
        <w:tc>
          <w:tcPr>
            <w:tcW w:w="2594" w:type="dxa"/>
          </w:tcPr>
          <w:p>
            <w:pPr>
              <w:pStyle w:val="TableParagraph"/>
              <w:spacing w:before="60"/>
              <w:ind w:right="60"/>
              <w:rPr>
                <w:sz w:val="23"/>
              </w:rPr>
            </w:pPr>
            <w:r>
              <w:rPr>
                <w:sz w:val="23"/>
              </w:rPr>
              <w:t>894.9</w:t>
            </w:r>
          </w:p>
        </w:tc>
        <w:tc>
          <w:tcPr>
            <w:tcW w:w="1776" w:type="dxa"/>
          </w:tcPr>
          <w:p>
            <w:pPr>
              <w:pStyle w:val="TableParagraph"/>
              <w:spacing w:before="60"/>
              <w:ind w:right="64"/>
              <w:rPr>
                <w:sz w:val="23"/>
              </w:rPr>
            </w:pPr>
            <w:r>
              <w:rPr>
                <w:sz w:val="23"/>
              </w:rPr>
              <w:t>94.4</w:t>
            </w:r>
          </w:p>
        </w:tc>
      </w:tr>
      <w:tr>
        <w:trPr>
          <w:trHeight w:val="434" w:hRule="exact"/>
        </w:trPr>
        <w:tc>
          <w:tcPr>
            <w:tcW w:w="2184" w:type="dxa"/>
          </w:tcPr>
          <w:p>
            <w:pPr>
              <w:pStyle w:val="TableParagraph"/>
              <w:spacing w:before="60"/>
              <w:ind w:left="515" w:right="517"/>
              <w:jc w:val="center"/>
              <w:rPr>
                <w:sz w:val="23"/>
              </w:rPr>
            </w:pPr>
            <w:r>
              <w:rPr>
                <w:sz w:val="23"/>
              </w:rPr>
              <w:t>1992</w:t>
            </w:r>
          </w:p>
        </w:tc>
        <w:tc>
          <w:tcPr>
            <w:tcW w:w="2186" w:type="dxa"/>
          </w:tcPr>
          <w:p>
            <w:pPr>
              <w:pStyle w:val="TableParagraph"/>
              <w:spacing w:before="60"/>
              <w:ind w:right="64"/>
              <w:rPr>
                <w:sz w:val="23"/>
              </w:rPr>
            </w:pPr>
            <w:r>
              <w:rPr>
                <w:sz w:val="23"/>
              </w:rPr>
              <w:t>214.1</w:t>
            </w:r>
          </w:p>
        </w:tc>
        <w:tc>
          <w:tcPr>
            <w:tcW w:w="2594" w:type="dxa"/>
          </w:tcPr>
          <w:p>
            <w:pPr>
              <w:pStyle w:val="TableParagraph"/>
              <w:spacing w:before="60"/>
              <w:ind w:right="60"/>
              <w:rPr>
                <w:sz w:val="23"/>
              </w:rPr>
            </w:pPr>
            <w:r>
              <w:rPr>
                <w:sz w:val="23"/>
              </w:rPr>
              <w:t>122.5</w:t>
            </w:r>
          </w:p>
        </w:tc>
        <w:tc>
          <w:tcPr>
            <w:tcW w:w="1776" w:type="dxa"/>
          </w:tcPr>
          <w:p>
            <w:pPr>
              <w:pStyle w:val="TableParagraph"/>
              <w:spacing w:before="60"/>
              <w:ind w:right="64"/>
              <w:rPr>
                <w:sz w:val="23"/>
              </w:rPr>
            </w:pPr>
            <w:r>
              <w:rPr>
                <w:sz w:val="23"/>
              </w:rPr>
              <w:t>57.2</w:t>
            </w:r>
          </w:p>
        </w:tc>
      </w:tr>
      <w:tr>
        <w:trPr>
          <w:trHeight w:val="434" w:hRule="exact"/>
        </w:trPr>
        <w:tc>
          <w:tcPr>
            <w:tcW w:w="2184" w:type="dxa"/>
          </w:tcPr>
          <w:p>
            <w:pPr>
              <w:pStyle w:val="TableParagraph"/>
              <w:spacing w:before="60"/>
              <w:ind w:left="515" w:right="517"/>
              <w:jc w:val="center"/>
              <w:rPr>
                <w:sz w:val="23"/>
              </w:rPr>
            </w:pPr>
            <w:r>
              <w:rPr>
                <w:sz w:val="23"/>
              </w:rPr>
              <w:t>1993</w:t>
            </w:r>
          </w:p>
        </w:tc>
        <w:tc>
          <w:tcPr>
            <w:tcW w:w="2186" w:type="dxa"/>
          </w:tcPr>
          <w:p>
            <w:pPr>
              <w:pStyle w:val="TableParagraph"/>
              <w:spacing w:before="60"/>
              <w:ind w:right="64"/>
              <w:rPr>
                <w:sz w:val="23"/>
              </w:rPr>
            </w:pPr>
            <w:r>
              <w:rPr>
                <w:sz w:val="23"/>
              </w:rPr>
              <w:t>126.6</w:t>
            </w:r>
          </w:p>
        </w:tc>
        <w:tc>
          <w:tcPr>
            <w:tcW w:w="2594" w:type="dxa"/>
          </w:tcPr>
          <w:p>
            <w:pPr>
              <w:pStyle w:val="TableParagraph"/>
              <w:spacing w:before="60"/>
              <w:ind w:right="60"/>
              <w:rPr>
                <w:sz w:val="23"/>
              </w:rPr>
            </w:pPr>
            <w:r>
              <w:rPr>
                <w:sz w:val="23"/>
              </w:rPr>
              <w:t>17.5</w:t>
            </w:r>
          </w:p>
        </w:tc>
        <w:tc>
          <w:tcPr>
            <w:tcW w:w="1776" w:type="dxa"/>
          </w:tcPr>
          <w:p>
            <w:pPr>
              <w:pStyle w:val="TableParagraph"/>
              <w:spacing w:before="60"/>
              <w:ind w:right="64"/>
              <w:rPr>
                <w:sz w:val="23"/>
              </w:rPr>
            </w:pPr>
            <w:r>
              <w:rPr>
                <w:sz w:val="23"/>
              </w:rPr>
              <w:t>13.8</w:t>
            </w:r>
          </w:p>
        </w:tc>
      </w:tr>
      <w:tr>
        <w:trPr>
          <w:trHeight w:val="437" w:hRule="exact"/>
        </w:trPr>
        <w:tc>
          <w:tcPr>
            <w:tcW w:w="2184" w:type="dxa"/>
          </w:tcPr>
          <w:p>
            <w:pPr>
              <w:pStyle w:val="TableParagraph"/>
              <w:spacing w:before="62"/>
              <w:ind w:left="515" w:right="517"/>
              <w:jc w:val="center"/>
              <w:rPr>
                <w:sz w:val="23"/>
              </w:rPr>
            </w:pPr>
            <w:r>
              <w:rPr>
                <w:sz w:val="23"/>
              </w:rPr>
              <w:t>1994</w:t>
            </w:r>
          </w:p>
        </w:tc>
        <w:tc>
          <w:tcPr>
            <w:tcW w:w="2186" w:type="dxa"/>
          </w:tcPr>
          <w:p>
            <w:pPr>
              <w:pStyle w:val="TableParagraph"/>
              <w:spacing w:before="62"/>
              <w:ind w:right="64"/>
              <w:rPr>
                <w:sz w:val="23"/>
              </w:rPr>
            </w:pPr>
            <w:r>
              <w:rPr>
                <w:sz w:val="23"/>
              </w:rPr>
              <w:t>111.4</w:t>
            </w:r>
          </w:p>
        </w:tc>
        <w:tc>
          <w:tcPr>
            <w:tcW w:w="2594" w:type="dxa"/>
          </w:tcPr>
          <w:p>
            <w:pPr>
              <w:pStyle w:val="TableParagraph"/>
              <w:spacing w:before="62"/>
              <w:ind w:right="60"/>
              <w:rPr>
                <w:sz w:val="23"/>
              </w:rPr>
            </w:pPr>
            <w:r>
              <w:rPr>
                <w:sz w:val="23"/>
              </w:rPr>
              <w:t>4.4</w:t>
            </w:r>
          </w:p>
        </w:tc>
        <w:tc>
          <w:tcPr>
            <w:tcW w:w="1776" w:type="dxa"/>
          </w:tcPr>
          <w:p>
            <w:pPr>
              <w:pStyle w:val="TableParagraph"/>
              <w:spacing w:before="62"/>
              <w:ind w:right="64"/>
              <w:rPr>
                <w:sz w:val="23"/>
              </w:rPr>
            </w:pPr>
            <w:r>
              <w:rPr>
                <w:sz w:val="23"/>
              </w:rPr>
              <w:t>3.9</w:t>
            </w:r>
          </w:p>
        </w:tc>
      </w:tr>
      <w:tr>
        <w:trPr>
          <w:trHeight w:val="434" w:hRule="exact"/>
        </w:trPr>
        <w:tc>
          <w:tcPr>
            <w:tcW w:w="2184" w:type="dxa"/>
          </w:tcPr>
          <w:p>
            <w:pPr>
              <w:pStyle w:val="TableParagraph"/>
              <w:spacing w:before="60"/>
              <w:ind w:left="515" w:right="517"/>
              <w:jc w:val="center"/>
              <w:rPr>
                <w:sz w:val="23"/>
              </w:rPr>
            </w:pPr>
            <w:r>
              <w:rPr>
                <w:sz w:val="23"/>
              </w:rPr>
              <w:t>1995</w:t>
            </w:r>
          </w:p>
        </w:tc>
        <w:tc>
          <w:tcPr>
            <w:tcW w:w="2186" w:type="dxa"/>
          </w:tcPr>
          <w:p>
            <w:pPr>
              <w:pStyle w:val="TableParagraph"/>
              <w:spacing w:before="60"/>
              <w:ind w:right="64"/>
              <w:rPr>
                <w:sz w:val="23"/>
              </w:rPr>
            </w:pPr>
            <w:r>
              <w:rPr>
                <w:sz w:val="23"/>
              </w:rPr>
              <w:t>89.9</w:t>
            </w:r>
          </w:p>
        </w:tc>
        <w:tc>
          <w:tcPr>
            <w:tcW w:w="2594" w:type="dxa"/>
          </w:tcPr>
          <w:p>
            <w:pPr>
              <w:pStyle w:val="TableParagraph"/>
              <w:spacing w:before="60"/>
              <w:ind w:right="60"/>
              <w:rPr>
                <w:sz w:val="23"/>
              </w:rPr>
            </w:pPr>
            <w:r>
              <w:rPr>
                <w:sz w:val="23"/>
              </w:rPr>
              <w:t>3.0</w:t>
            </w:r>
          </w:p>
        </w:tc>
        <w:tc>
          <w:tcPr>
            <w:tcW w:w="1776" w:type="dxa"/>
          </w:tcPr>
          <w:p>
            <w:pPr>
              <w:pStyle w:val="TableParagraph"/>
              <w:spacing w:before="60"/>
              <w:ind w:right="64"/>
              <w:rPr>
                <w:sz w:val="23"/>
              </w:rPr>
            </w:pPr>
            <w:r>
              <w:rPr>
                <w:sz w:val="23"/>
              </w:rPr>
              <w:t>3.3</w:t>
            </w:r>
          </w:p>
        </w:tc>
      </w:tr>
      <w:tr>
        <w:trPr>
          <w:trHeight w:val="437" w:hRule="exact"/>
        </w:trPr>
        <w:tc>
          <w:tcPr>
            <w:tcW w:w="2184" w:type="dxa"/>
          </w:tcPr>
          <w:p>
            <w:pPr>
              <w:pStyle w:val="TableParagraph"/>
              <w:spacing w:before="60"/>
              <w:ind w:left="516" w:right="517"/>
              <w:jc w:val="center"/>
              <w:rPr>
                <w:sz w:val="23"/>
              </w:rPr>
            </w:pPr>
            <w:r>
              <w:rPr>
                <w:sz w:val="23"/>
              </w:rPr>
              <w:t>1981-1990</w:t>
            </w:r>
          </w:p>
        </w:tc>
        <w:tc>
          <w:tcPr>
            <w:tcW w:w="2186" w:type="dxa"/>
          </w:tcPr>
          <w:p>
            <w:pPr>
              <w:pStyle w:val="TableParagraph"/>
              <w:spacing w:before="60"/>
              <w:ind w:right="64"/>
              <w:rPr>
                <w:sz w:val="23"/>
              </w:rPr>
            </w:pPr>
            <w:r>
              <w:rPr>
                <w:sz w:val="23"/>
              </w:rPr>
              <w:t>1655.8</w:t>
            </w:r>
          </w:p>
        </w:tc>
        <w:tc>
          <w:tcPr>
            <w:tcW w:w="2594" w:type="dxa"/>
          </w:tcPr>
          <w:p>
            <w:pPr>
              <w:pStyle w:val="TableParagraph"/>
              <w:spacing w:before="60"/>
              <w:ind w:right="60"/>
              <w:rPr>
                <w:sz w:val="23"/>
              </w:rPr>
            </w:pPr>
            <w:r>
              <w:rPr>
                <w:sz w:val="23"/>
              </w:rPr>
              <w:t>962.7</w:t>
            </w:r>
          </w:p>
        </w:tc>
        <w:tc>
          <w:tcPr>
            <w:tcW w:w="1776" w:type="dxa"/>
          </w:tcPr>
          <w:p>
            <w:pPr>
              <w:pStyle w:val="TableParagraph"/>
              <w:spacing w:before="60"/>
              <w:ind w:right="64"/>
              <w:rPr>
                <w:sz w:val="23"/>
              </w:rPr>
            </w:pPr>
            <w:r>
              <w:rPr>
                <w:sz w:val="23"/>
              </w:rPr>
              <w:t>58.1</w:t>
            </w:r>
          </w:p>
        </w:tc>
      </w:tr>
      <w:tr>
        <w:trPr>
          <w:trHeight w:val="434" w:hRule="exact"/>
        </w:trPr>
        <w:tc>
          <w:tcPr>
            <w:tcW w:w="2184" w:type="dxa"/>
          </w:tcPr>
          <w:p>
            <w:pPr>
              <w:pStyle w:val="TableParagraph"/>
              <w:spacing w:before="60"/>
              <w:ind w:left="516" w:right="517"/>
              <w:jc w:val="center"/>
              <w:rPr>
                <w:sz w:val="23"/>
              </w:rPr>
            </w:pPr>
            <w:r>
              <w:rPr>
                <w:sz w:val="23"/>
              </w:rPr>
              <w:t>1991-1995</w:t>
            </w:r>
          </w:p>
        </w:tc>
        <w:tc>
          <w:tcPr>
            <w:tcW w:w="2186" w:type="dxa"/>
          </w:tcPr>
          <w:p>
            <w:pPr>
              <w:pStyle w:val="TableParagraph"/>
              <w:spacing w:before="60"/>
              <w:ind w:right="64"/>
              <w:rPr>
                <w:sz w:val="23"/>
              </w:rPr>
            </w:pPr>
            <w:r>
              <w:rPr>
                <w:sz w:val="23"/>
              </w:rPr>
              <w:t>1487.9</w:t>
            </w:r>
          </w:p>
        </w:tc>
        <w:tc>
          <w:tcPr>
            <w:tcW w:w="2594" w:type="dxa"/>
          </w:tcPr>
          <w:p>
            <w:pPr>
              <w:pStyle w:val="TableParagraph"/>
              <w:spacing w:before="60"/>
              <w:ind w:right="60"/>
              <w:rPr>
                <w:sz w:val="23"/>
              </w:rPr>
            </w:pPr>
            <w:r>
              <w:rPr>
                <w:sz w:val="23"/>
              </w:rPr>
              <w:t>1042.3</w:t>
            </w:r>
          </w:p>
        </w:tc>
        <w:tc>
          <w:tcPr>
            <w:tcW w:w="1776" w:type="dxa"/>
          </w:tcPr>
          <w:p>
            <w:pPr>
              <w:pStyle w:val="TableParagraph"/>
              <w:spacing w:before="60"/>
              <w:ind w:right="64"/>
              <w:rPr>
                <w:sz w:val="23"/>
              </w:rPr>
            </w:pPr>
            <w:r>
              <w:rPr>
                <w:sz w:val="23"/>
              </w:rPr>
              <w:t>70.0</w:t>
            </w:r>
          </w:p>
        </w:tc>
      </w:tr>
      <w:tr>
        <w:trPr>
          <w:trHeight w:val="437" w:hRule="exact"/>
        </w:trPr>
        <w:tc>
          <w:tcPr>
            <w:tcW w:w="2184" w:type="dxa"/>
          </w:tcPr>
          <w:p>
            <w:pPr>
              <w:pStyle w:val="TableParagraph"/>
              <w:spacing w:before="60"/>
              <w:ind w:left="516" w:right="517"/>
              <w:jc w:val="center"/>
              <w:rPr>
                <w:sz w:val="23"/>
              </w:rPr>
            </w:pPr>
            <w:r>
              <w:rPr>
                <w:sz w:val="23"/>
              </w:rPr>
              <w:t>1989-1991</w:t>
            </w:r>
          </w:p>
        </w:tc>
        <w:tc>
          <w:tcPr>
            <w:tcW w:w="2186" w:type="dxa"/>
          </w:tcPr>
          <w:p>
            <w:pPr>
              <w:pStyle w:val="TableParagraph"/>
              <w:spacing w:before="60"/>
              <w:ind w:right="64"/>
              <w:rPr>
                <w:sz w:val="23"/>
              </w:rPr>
            </w:pPr>
            <w:r>
              <w:rPr>
                <w:sz w:val="23"/>
              </w:rPr>
              <w:t>2033.8</w:t>
            </w:r>
          </w:p>
        </w:tc>
        <w:tc>
          <w:tcPr>
            <w:tcW w:w="2594" w:type="dxa"/>
          </w:tcPr>
          <w:p>
            <w:pPr>
              <w:pStyle w:val="TableParagraph"/>
              <w:spacing w:before="60"/>
              <w:ind w:right="60"/>
              <w:rPr>
                <w:sz w:val="23"/>
              </w:rPr>
            </w:pPr>
            <w:r>
              <w:rPr>
                <w:sz w:val="23"/>
              </w:rPr>
              <w:t>1857.6</w:t>
            </w:r>
          </w:p>
        </w:tc>
        <w:tc>
          <w:tcPr>
            <w:tcW w:w="1776" w:type="dxa"/>
          </w:tcPr>
          <w:p>
            <w:pPr>
              <w:pStyle w:val="TableParagraph"/>
              <w:spacing w:before="60"/>
              <w:ind w:right="64"/>
              <w:rPr>
                <w:sz w:val="23"/>
              </w:rPr>
            </w:pPr>
            <w:r>
              <w:rPr>
                <w:sz w:val="23"/>
              </w:rPr>
              <w:t>91.3</w:t>
            </w:r>
          </w:p>
        </w:tc>
      </w:tr>
    </w:tbl>
    <w:p>
      <w:pPr>
        <w:spacing w:line="367" w:lineRule="auto" w:before="2"/>
        <w:ind w:left="175" w:right="226" w:firstLine="0"/>
        <w:jc w:val="both"/>
        <w:rPr>
          <w:sz w:val="21"/>
        </w:rPr>
      </w:pPr>
      <w:r>
        <w:rPr>
          <w:sz w:val="21"/>
        </w:rPr>
        <w:t>Fuente: OECD, 1997. Trends in International Migration. SOPEMI. Annual report. París. Pàg.129.</w:t>
      </w:r>
    </w:p>
    <w:p>
      <w:pPr>
        <w:pStyle w:val="BodyText"/>
        <w:rPr>
          <w:sz w:val="20"/>
        </w:rPr>
      </w:pPr>
    </w:p>
    <w:p>
      <w:pPr>
        <w:pStyle w:val="BodyText"/>
        <w:rPr>
          <w:sz w:val="20"/>
        </w:rPr>
      </w:pPr>
    </w:p>
    <w:p>
      <w:pPr>
        <w:pStyle w:val="BodyText"/>
        <w:spacing w:before="3"/>
      </w:pPr>
    </w:p>
    <w:p>
      <w:pPr>
        <w:pStyle w:val="BodyText"/>
        <w:spacing w:line="364" w:lineRule="auto"/>
        <w:ind w:left="175" w:right="225"/>
        <w:jc w:val="both"/>
      </w:pPr>
      <w:r>
        <w:rPr/>
        <w:t>Los resultados de esta reforma no fueron los esperados</w:t>
      </w:r>
      <w:r>
        <w:rPr>
          <w:position w:val="11"/>
          <w:sz w:val="15"/>
        </w:rPr>
        <w:t>24</w:t>
      </w:r>
      <w:r>
        <w:rPr/>
        <w:t>. Los flujos de migrantes documentados e indocumentados se incrementaron exorbitantemente lo cual se muestra en el cuadro 1, donde se intuye que la política migratoria   estadounidense</w:t>
      </w:r>
    </w:p>
    <w:p>
      <w:pPr>
        <w:pStyle w:val="BodyText"/>
        <w:rPr>
          <w:sz w:val="20"/>
        </w:rPr>
      </w:pPr>
    </w:p>
    <w:p>
      <w:pPr>
        <w:pStyle w:val="BodyText"/>
        <w:rPr>
          <w:sz w:val="20"/>
        </w:rPr>
      </w:pPr>
    </w:p>
    <w:p>
      <w:pPr>
        <w:pStyle w:val="BodyText"/>
        <w:spacing w:before="10"/>
        <w:rPr>
          <w:sz w:val="11"/>
        </w:rPr>
      </w:pPr>
      <w:r>
        <w:rPr/>
        <w:pict>
          <v:line style="position:absolute;mso-position-horizontal-relative:page;mso-position-vertical-relative:paragraph;z-index:1336;mso-wrap-distance-left:0;mso-wrap-distance-right:0" from="82.799995pt,9.163693pt" to="222.959992pt,9.163693pt" stroked="true" strokeweight=".72pt" strokecolor="#000000">
            <w10:wrap type="topAndBottom"/>
          </v:line>
        </w:pict>
      </w:r>
    </w:p>
    <w:p>
      <w:pPr>
        <w:spacing w:line="247" w:lineRule="auto" w:before="46"/>
        <w:ind w:left="175" w:right="225" w:firstLine="0"/>
        <w:jc w:val="both"/>
        <w:rPr>
          <w:sz w:val="19"/>
        </w:rPr>
      </w:pPr>
      <w:r>
        <w:rPr>
          <w:position w:val="10"/>
          <w:sz w:val="13"/>
        </w:rPr>
        <w:t>24 </w:t>
      </w:r>
      <w:r>
        <w:rPr>
          <w:sz w:val="19"/>
        </w:rPr>
        <w:t>Según Cuamea (1998:385), los agentes del INS deberían avisar con 24 horas de anticipación su visita a las instalaciones o campos agrícolas. Esto no incluía como en la ley anterior a otro tipo de establecimientos.</w:t>
      </w:r>
    </w:p>
    <w:p>
      <w:pPr>
        <w:spacing w:after="0" w:line="247" w:lineRule="auto"/>
        <w:jc w:val="both"/>
        <w:rPr>
          <w:sz w:val="19"/>
        </w:rPr>
        <w:sectPr>
          <w:pgSz w:w="11900" w:h="16840"/>
          <w:pgMar w:header="0" w:footer="1679" w:top="1600" w:bottom="1860" w:left="1480" w:right="1460"/>
        </w:sectPr>
      </w:pPr>
    </w:p>
    <w:p>
      <w:pPr>
        <w:pStyle w:val="BodyText"/>
        <w:rPr>
          <w:sz w:val="20"/>
        </w:rPr>
      </w:pPr>
    </w:p>
    <w:p>
      <w:pPr>
        <w:pStyle w:val="BodyText"/>
        <w:spacing w:before="7"/>
        <w:rPr>
          <w:sz w:val="16"/>
        </w:rPr>
      </w:pPr>
    </w:p>
    <w:p>
      <w:pPr>
        <w:pStyle w:val="BodyText"/>
        <w:spacing w:line="364" w:lineRule="auto" w:before="74"/>
        <w:ind w:left="175" w:right="107"/>
        <w:jc w:val="both"/>
      </w:pPr>
      <w:r>
        <w:rPr/>
        <w:t>tiene un carácter simbólico debido a las ambigüedades legales introducidas, razón por la cual dificultan una adecuada interpretación o aplicación de la  norma.</w:t>
      </w:r>
    </w:p>
    <w:p>
      <w:pPr>
        <w:pStyle w:val="BodyText"/>
        <w:rPr>
          <w:sz w:val="22"/>
        </w:rPr>
      </w:pPr>
    </w:p>
    <w:p>
      <w:pPr>
        <w:pStyle w:val="BodyText"/>
        <w:spacing w:line="364" w:lineRule="auto" w:before="155"/>
        <w:ind w:left="175" w:right="104"/>
        <w:jc w:val="both"/>
      </w:pPr>
      <w:r>
        <w:rPr/>
        <w:t>“El uso de terminología ambigua o poco clara, la no aplicación de las políticas o    las dificultades para hacerlas cumplir, así como la carencia de recursos para dotar de eficacia a una política, resulta por lo general en omisiones o ambigüedades legales para resolver conflictos. Estos son ejemplos de acciones políticas simbólicas que se emplean con frecuencia   para dirimir conflictos entre grupos  </w:t>
      </w:r>
      <w:r>
        <w:rPr>
          <w:spacing w:val="18"/>
        </w:rPr>
        <w:t> </w:t>
      </w:r>
      <w:r>
        <w:rPr/>
        <w:t>de</w:t>
      </w:r>
    </w:p>
    <w:p>
      <w:pPr>
        <w:pStyle w:val="BodyText"/>
        <w:spacing w:line="267" w:lineRule="exact"/>
        <w:ind w:left="175"/>
        <w:jc w:val="both"/>
      </w:pPr>
      <w:r>
        <w:rPr/>
        <w:t>intereses</w:t>
      </w:r>
      <w:r>
        <w:rPr>
          <w:position w:val="11"/>
          <w:sz w:val="15"/>
        </w:rPr>
        <w:t>25</w:t>
      </w:r>
      <w:r>
        <w:rPr/>
        <w:t>.   En   otras   circunstancias   las   instituciones   reguladoras     realizan</w:t>
      </w:r>
    </w:p>
    <w:p>
      <w:pPr>
        <w:pStyle w:val="BodyText"/>
        <w:spacing w:line="364" w:lineRule="auto" w:before="138"/>
        <w:ind w:left="175" w:right="108"/>
        <w:jc w:val="both"/>
      </w:pPr>
      <w:r>
        <w:rPr/>
        <w:t>actividades simbólicas cuando sus funciones destacan la discrecionalidad al momento de hacer cumplir la ley” (Cuamea, 2001: 335,  337).</w:t>
      </w:r>
    </w:p>
    <w:p>
      <w:pPr>
        <w:pStyle w:val="BodyText"/>
        <w:spacing w:before="9"/>
      </w:pPr>
    </w:p>
    <w:p>
      <w:pPr>
        <w:pStyle w:val="BodyText"/>
        <w:spacing w:line="364" w:lineRule="auto"/>
        <w:ind w:left="175" w:right="107"/>
        <w:jc w:val="both"/>
      </w:pPr>
      <w:r>
        <w:rPr/>
        <w:t>Debido a que la ley Simpson-Rodino o IRCA no dio los resultados esperados, posteriormente a ella se formuló por parte del candidato a gobernador del estado de California, que a la postre fue elegido para ocupar tal cargo (Peter Wilson), la propuesta de ley estatal</w:t>
      </w:r>
      <w:r>
        <w:rPr>
          <w:spacing w:val="30"/>
        </w:rPr>
        <w:t> </w:t>
      </w:r>
      <w:r>
        <w:rPr/>
        <w:t>187.</w:t>
      </w:r>
    </w:p>
    <w:p>
      <w:pPr>
        <w:pStyle w:val="Heading4"/>
        <w:spacing w:before="120"/>
        <w:ind w:left="1538" w:right="1472"/>
        <w:jc w:val="center"/>
      </w:pPr>
      <w:r>
        <w:rPr/>
        <w:t>Cuadro 2. Deportaciones de mexicanos bajo la  IRCA</w:t>
      </w:r>
    </w:p>
    <w:p>
      <w:pPr>
        <w:pStyle w:val="BodyText"/>
        <w:spacing w:before="3"/>
        <w:rPr>
          <w:b/>
          <w:sz w:val="22"/>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75"/>
        <w:gridCol w:w="4846"/>
      </w:tblGrid>
      <w:tr>
        <w:trPr>
          <w:trHeight w:val="437" w:hRule="exact"/>
        </w:trPr>
        <w:tc>
          <w:tcPr>
            <w:tcW w:w="3775" w:type="dxa"/>
          </w:tcPr>
          <w:p>
            <w:pPr>
              <w:pStyle w:val="TableParagraph"/>
              <w:spacing w:before="58"/>
              <w:ind w:left="1653"/>
              <w:jc w:val="left"/>
              <w:rPr>
                <w:b/>
                <w:sz w:val="23"/>
              </w:rPr>
            </w:pPr>
            <w:r>
              <w:rPr>
                <w:b/>
                <w:sz w:val="23"/>
              </w:rPr>
              <w:t>Año</w:t>
            </w:r>
          </w:p>
        </w:tc>
        <w:tc>
          <w:tcPr>
            <w:tcW w:w="4846" w:type="dxa"/>
          </w:tcPr>
          <w:p>
            <w:pPr>
              <w:pStyle w:val="TableParagraph"/>
              <w:spacing w:before="58"/>
              <w:ind w:right="60"/>
              <w:rPr>
                <w:b/>
                <w:sz w:val="23"/>
              </w:rPr>
            </w:pPr>
            <w:r>
              <w:rPr>
                <w:b/>
                <w:sz w:val="23"/>
              </w:rPr>
              <w:t>Deportaciones</w:t>
            </w:r>
          </w:p>
        </w:tc>
      </w:tr>
      <w:tr>
        <w:trPr>
          <w:trHeight w:val="434" w:hRule="exact"/>
        </w:trPr>
        <w:tc>
          <w:tcPr>
            <w:tcW w:w="3775" w:type="dxa"/>
          </w:tcPr>
          <w:p>
            <w:pPr>
              <w:pStyle w:val="TableParagraph"/>
              <w:spacing w:before="60"/>
              <w:ind w:left="1619"/>
              <w:jc w:val="left"/>
              <w:rPr>
                <w:sz w:val="23"/>
              </w:rPr>
            </w:pPr>
            <w:r>
              <w:rPr>
                <w:sz w:val="23"/>
              </w:rPr>
              <w:t>1986</w:t>
            </w:r>
          </w:p>
        </w:tc>
        <w:tc>
          <w:tcPr>
            <w:tcW w:w="4846" w:type="dxa"/>
          </w:tcPr>
          <w:p>
            <w:pPr>
              <w:pStyle w:val="TableParagraph"/>
              <w:spacing w:before="60"/>
              <w:ind w:right="60"/>
              <w:rPr>
                <w:sz w:val="23"/>
              </w:rPr>
            </w:pPr>
            <w:r>
              <w:rPr>
                <w:sz w:val="23"/>
              </w:rPr>
              <w:t>1 581 657</w:t>
            </w:r>
          </w:p>
        </w:tc>
      </w:tr>
      <w:tr>
        <w:trPr>
          <w:trHeight w:val="434" w:hRule="exact"/>
        </w:trPr>
        <w:tc>
          <w:tcPr>
            <w:tcW w:w="3775" w:type="dxa"/>
          </w:tcPr>
          <w:p>
            <w:pPr>
              <w:pStyle w:val="TableParagraph"/>
              <w:spacing w:before="60"/>
              <w:ind w:left="1619"/>
              <w:jc w:val="left"/>
              <w:rPr>
                <w:sz w:val="23"/>
              </w:rPr>
            </w:pPr>
            <w:r>
              <w:rPr>
                <w:sz w:val="23"/>
              </w:rPr>
              <w:t>1987</w:t>
            </w:r>
          </w:p>
        </w:tc>
        <w:tc>
          <w:tcPr>
            <w:tcW w:w="4846" w:type="dxa"/>
          </w:tcPr>
          <w:p>
            <w:pPr>
              <w:pStyle w:val="TableParagraph"/>
              <w:spacing w:before="60"/>
              <w:ind w:right="60"/>
              <w:rPr>
                <w:sz w:val="23"/>
              </w:rPr>
            </w:pPr>
            <w:r>
              <w:rPr>
                <w:sz w:val="23"/>
              </w:rPr>
              <w:t>1 024 685</w:t>
            </w:r>
          </w:p>
        </w:tc>
      </w:tr>
      <w:tr>
        <w:trPr>
          <w:trHeight w:val="437" w:hRule="exact"/>
        </w:trPr>
        <w:tc>
          <w:tcPr>
            <w:tcW w:w="3775" w:type="dxa"/>
          </w:tcPr>
          <w:p>
            <w:pPr>
              <w:pStyle w:val="TableParagraph"/>
              <w:spacing w:before="62"/>
              <w:ind w:left="1619"/>
              <w:jc w:val="left"/>
              <w:rPr>
                <w:sz w:val="23"/>
              </w:rPr>
            </w:pPr>
            <w:r>
              <w:rPr>
                <w:sz w:val="23"/>
              </w:rPr>
              <w:t>1988</w:t>
            </w:r>
          </w:p>
        </w:tc>
        <w:tc>
          <w:tcPr>
            <w:tcW w:w="4846" w:type="dxa"/>
          </w:tcPr>
          <w:p>
            <w:pPr>
              <w:pStyle w:val="TableParagraph"/>
              <w:spacing w:before="62"/>
              <w:ind w:right="60"/>
              <w:rPr>
                <w:sz w:val="23"/>
              </w:rPr>
            </w:pPr>
            <w:r>
              <w:rPr>
                <w:sz w:val="23"/>
              </w:rPr>
              <w:t>892 046</w:t>
            </w:r>
          </w:p>
        </w:tc>
      </w:tr>
      <w:tr>
        <w:trPr>
          <w:trHeight w:val="434" w:hRule="exact"/>
        </w:trPr>
        <w:tc>
          <w:tcPr>
            <w:tcW w:w="3775" w:type="dxa"/>
          </w:tcPr>
          <w:p>
            <w:pPr>
              <w:pStyle w:val="TableParagraph"/>
              <w:spacing w:before="60"/>
              <w:ind w:left="1619"/>
              <w:jc w:val="left"/>
              <w:rPr>
                <w:sz w:val="23"/>
              </w:rPr>
            </w:pPr>
            <w:r>
              <w:rPr>
                <w:sz w:val="23"/>
              </w:rPr>
              <w:t>1989</w:t>
            </w:r>
          </w:p>
        </w:tc>
        <w:tc>
          <w:tcPr>
            <w:tcW w:w="4846" w:type="dxa"/>
          </w:tcPr>
          <w:p>
            <w:pPr>
              <w:pStyle w:val="TableParagraph"/>
              <w:spacing w:before="60"/>
              <w:ind w:right="60"/>
              <w:rPr>
                <w:sz w:val="23"/>
              </w:rPr>
            </w:pPr>
            <w:r>
              <w:rPr>
                <w:sz w:val="23"/>
              </w:rPr>
              <w:t>873 953</w:t>
            </w:r>
          </w:p>
        </w:tc>
      </w:tr>
    </w:tbl>
    <w:p>
      <w:pPr>
        <w:tabs>
          <w:tab w:pos="8520" w:val="left" w:leader="none"/>
        </w:tabs>
        <w:spacing w:line="280" w:lineRule="auto" w:before="2"/>
        <w:ind w:left="175" w:right="151" w:firstLine="0"/>
        <w:jc w:val="left"/>
        <w:rPr>
          <w:sz w:val="21"/>
        </w:rPr>
      </w:pPr>
      <w:r>
        <w:rPr>
          <w:sz w:val="21"/>
        </w:rPr>
        <w:t>Fuente:   Aragonés.   2001.   </w:t>
      </w:r>
      <w:r>
        <w:rPr>
          <w:spacing w:val="-4"/>
          <w:sz w:val="21"/>
        </w:rPr>
        <w:t>“Trabajadores </w:t>
      </w:r>
      <w:r>
        <w:rPr>
          <w:spacing w:val="50"/>
          <w:sz w:val="21"/>
        </w:rPr>
        <w:t> </w:t>
      </w:r>
      <w:r>
        <w:rPr>
          <w:spacing w:val="-4"/>
          <w:sz w:val="21"/>
        </w:rPr>
        <w:t>indocumentados </w:t>
      </w:r>
      <w:r>
        <w:rPr>
          <w:spacing w:val="50"/>
          <w:sz w:val="21"/>
        </w:rPr>
        <w:t> </w:t>
      </w:r>
      <w:r>
        <w:rPr>
          <w:sz w:val="21"/>
        </w:rPr>
        <w:t>y</w:t>
      </w:r>
      <w:r>
        <w:rPr>
          <w:spacing w:val="32"/>
          <w:sz w:val="21"/>
        </w:rPr>
        <w:t> </w:t>
      </w:r>
      <w:r>
        <w:rPr>
          <w:spacing w:val="-4"/>
          <w:sz w:val="21"/>
        </w:rPr>
        <w:t>políticas </w:t>
      </w:r>
      <w:r>
        <w:rPr>
          <w:spacing w:val="41"/>
          <w:sz w:val="21"/>
        </w:rPr>
        <w:t> </w:t>
      </w:r>
      <w:r>
        <w:rPr>
          <w:spacing w:val="-4"/>
          <w:sz w:val="21"/>
        </w:rPr>
        <w:t>neoliberales”</w:t>
        <w:tab/>
      </w:r>
      <w:r>
        <w:rPr>
          <w:sz w:val="21"/>
        </w:rPr>
        <w:t>in BANCOMEXT. Revista Comercio Exterior, Vol. 51, Nº 4, abril de 2001. México. Pág.  </w:t>
      </w:r>
      <w:r>
        <w:rPr>
          <w:spacing w:val="12"/>
          <w:sz w:val="21"/>
        </w:rPr>
        <w:t> </w:t>
      </w:r>
      <w:r>
        <w:rPr>
          <w:sz w:val="21"/>
        </w:rPr>
        <w:t>331.</w:t>
      </w:r>
    </w:p>
    <w:p>
      <w:pPr>
        <w:pStyle w:val="BodyText"/>
        <w:spacing w:before="6"/>
        <w:rPr>
          <w:sz w:val="25"/>
        </w:rPr>
      </w:pPr>
      <w:r>
        <w:rPr/>
        <w:pict>
          <v:line style="position:absolute;mso-position-horizontal-relative:page;mso-position-vertical-relative:paragraph;z-index:1360;mso-wrap-distance-left:0;mso-wrap-distance-right:0" from="82.799995pt,17.020229pt" to="222.959992pt,17.020229pt" stroked="true" strokeweight=".72pt" strokecolor="#000000">
            <w10:wrap type="topAndBottom"/>
          </v:line>
        </w:pict>
      </w:r>
    </w:p>
    <w:p>
      <w:pPr>
        <w:spacing w:line="283" w:lineRule="auto" w:before="36"/>
        <w:ind w:left="175" w:right="104" w:firstLine="0"/>
        <w:jc w:val="both"/>
        <w:rPr>
          <w:sz w:val="19"/>
        </w:rPr>
      </w:pPr>
      <w:r>
        <w:rPr>
          <w:position w:val="10"/>
          <w:sz w:val="12"/>
        </w:rPr>
        <w:t>25 </w:t>
      </w:r>
      <w:r>
        <w:rPr>
          <w:sz w:val="19"/>
        </w:rPr>
        <w:t>“Un ejemplo muy ilustrativo de la política de ‘puerta trasera’ y el poder de los agricultores del suroeste para influir en la legislación que facilitó la migración es la Cláusula Texas de la Ley McCarran-Walter de 1952, la cual dejó al inmigrante en calidad de  delincuente  al  aceptar  un empleo sin autorización de trabajo, mientras que el patrón no cometía delito alguno al contratarlo.   La Cláusula Texas fue revocada por la IRCA en 1986, cuando se “establecieron” sanciones a los patrones que contrataban inmigrantes indocumentados a sabiendas. Sin embargo, a cambio de acceder a la aplicación de estas sanciones, la presión de los agricultores logró asegurar una disposición en la ley que obliga a que presenten los funcionarios del INS una orden judicial para entrar a los campos de cultivo en busca de indocumentados (Smith,  </w:t>
      </w:r>
      <w:r>
        <w:rPr>
          <w:spacing w:val="28"/>
          <w:sz w:val="19"/>
        </w:rPr>
        <w:t> </w:t>
      </w:r>
      <w:r>
        <w:rPr>
          <w:sz w:val="19"/>
        </w:rPr>
        <w:t>2000:294).</w:t>
      </w:r>
    </w:p>
    <w:p>
      <w:pPr>
        <w:spacing w:after="0" w:line="283" w:lineRule="auto"/>
        <w:jc w:val="both"/>
        <w:rPr>
          <w:sz w:val="19"/>
        </w:rPr>
        <w:sectPr>
          <w:pgSz w:w="11900" w:h="16840"/>
          <w:pgMar w:header="0" w:footer="1679" w:top="1600" w:bottom="1860" w:left="1480" w:right="1580"/>
        </w:sectPr>
      </w:pPr>
    </w:p>
    <w:p>
      <w:pPr>
        <w:pStyle w:val="BodyText"/>
        <w:rPr>
          <w:sz w:val="20"/>
        </w:rPr>
      </w:pPr>
    </w:p>
    <w:p>
      <w:pPr>
        <w:pStyle w:val="BodyText"/>
        <w:spacing w:before="7"/>
        <w:rPr>
          <w:sz w:val="16"/>
        </w:rPr>
      </w:pPr>
    </w:p>
    <w:p>
      <w:pPr>
        <w:pStyle w:val="BodyText"/>
        <w:spacing w:line="364" w:lineRule="auto" w:before="74"/>
        <w:ind w:left="115" w:right="153"/>
        <w:jc w:val="both"/>
      </w:pPr>
      <w:r>
        <w:rPr/>
        <w:t>Si bien el flujo de inmigrantes indocumentados es una importante variable en el estudio cabal de los movimientos migratorios, presenta problemas de  medición. Uno de los instrumentos  utilizados para ello son las deportaciones, aunque sólo  es posible captar la tendencia, debido a que las cifras varían según la fuente,    pero sobre todo porque el conteo de los cruces no permite conocer si se trata de una misma persona que ha pasado en varias ocasiones en un mismo momento. Según las cifras del cuadro 2, el número de deportados  ha disminuido justo en  ese mismo periodo como un resultado de la IRCA o bien porque resulta que la demanda genera su propia oferta, no se excede (Ver Aragonés, </w:t>
      </w:r>
      <w:r>
        <w:rPr>
          <w:spacing w:val="22"/>
        </w:rPr>
        <w:t> </w:t>
      </w:r>
      <w:r>
        <w:rPr/>
        <w:t>2001:331).</w:t>
      </w:r>
    </w:p>
    <w:p>
      <w:pPr>
        <w:pStyle w:val="BodyText"/>
        <w:rPr>
          <w:sz w:val="22"/>
        </w:rPr>
      </w:pPr>
    </w:p>
    <w:p>
      <w:pPr>
        <w:pStyle w:val="BodyText"/>
        <w:spacing w:line="364" w:lineRule="auto" w:before="155"/>
        <w:ind w:left="115" w:right="104"/>
        <w:jc w:val="both"/>
      </w:pPr>
      <w:r>
        <w:rPr/>
        <w:t>Cabe señalar que en septiembre de 1996 Se aprobó la Ley de Inmigración Ilegal y Responsabilidad de los Migrantes (IIRIRA), la cual según Aragonés (2001:332), provocó un enorme pánico entre los indocumentados residentes en Estados  Unidos ante la eventualidad de una deportación masiva. Si bien ello no sucedió,  esa Ley quedó como una Espada de Damocles sobre los inmigrantes, dada la posibilidad jurídica de que actuara en el momento que le conviniera a Estados Unidos.</w:t>
      </w:r>
    </w:p>
    <w:p>
      <w:pPr>
        <w:pStyle w:val="BodyText"/>
        <w:rPr>
          <w:sz w:val="22"/>
        </w:rPr>
      </w:pPr>
    </w:p>
    <w:p>
      <w:pPr>
        <w:pStyle w:val="BodyText"/>
        <w:spacing w:line="364" w:lineRule="auto" w:before="155"/>
        <w:ind w:left="115" w:right="104"/>
        <w:jc w:val="both"/>
      </w:pPr>
      <w:r>
        <w:rPr/>
        <w:t>El contenido de la ley contempla: I) Incremento de los recursos para la administración y el estricto cumplimiento de las leyes de inmigración e incremento en los castigos; II) Mejorar el cumplimiento actual y futuro de la autoridad y el control de la inmigración, incluyendo expedición de documentos  y  programas  piloto para probar la verificación de empleo, y III) Inadmisibilidad de ciertos extranjeros incluyendo delincuentes o aquellos cuyo anfitrión no rebase el 125%   de la línea de pobreza oficial e Inelegibilidad para beneficios públicos. Para su cumplimiento el personal del INS aumentaría en más de 8,300 individuos y su presupuesto</w:t>
      </w:r>
      <w:r>
        <w:rPr>
          <w:spacing w:val="30"/>
        </w:rPr>
        <w:t> </w:t>
      </w:r>
      <w:r>
        <w:rPr/>
        <w:t>en</w:t>
      </w:r>
      <w:r>
        <w:rPr>
          <w:spacing w:val="28"/>
        </w:rPr>
        <w:t> </w:t>
      </w:r>
      <w:r>
        <w:rPr/>
        <w:t>más</w:t>
      </w:r>
      <w:r>
        <w:rPr>
          <w:spacing w:val="29"/>
        </w:rPr>
        <w:t> </w:t>
      </w:r>
      <w:r>
        <w:rPr/>
        <w:t>de</w:t>
      </w:r>
      <w:r>
        <w:rPr>
          <w:spacing w:val="28"/>
        </w:rPr>
        <w:t> </w:t>
      </w:r>
      <w:r>
        <w:rPr/>
        <w:t>150</w:t>
      </w:r>
      <w:r>
        <w:rPr>
          <w:spacing w:val="30"/>
        </w:rPr>
        <w:t> </w:t>
      </w:r>
      <w:r>
        <w:rPr/>
        <w:t>millones</w:t>
      </w:r>
      <w:r>
        <w:rPr>
          <w:spacing w:val="31"/>
        </w:rPr>
        <w:t> </w:t>
      </w:r>
      <w:r>
        <w:rPr/>
        <w:t>de</w:t>
      </w:r>
      <w:r>
        <w:rPr>
          <w:spacing w:val="30"/>
        </w:rPr>
        <w:t> </w:t>
      </w:r>
      <w:r>
        <w:rPr/>
        <w:t>dólares,</w:t>
      </w:r>
      <w:r>
        <w:rPr>
          <w:spacing w:val="34"/>
        </w:rPr>
        <w:t> </w:t>
      </w:r>
      <w:r>
        <w:rPr/>
        <w:t>además</w:t>
      </w:r>
      <w:r>
        <w:rPr>
          <w:spacing w:val="31"/>
        </w:rPr>
        <w:t> </w:t>
      </w:r>
      <w:r>
        <w:rPr/>
        <w:t>de</w:t>
      </w:r>
      <w:r>
        <w:rPr>
          <w:spacing w:val="30"/>
        </w:rPr>
        <w:t> </w:t>
      </w:r>
      <w:r>
        <w:rPr/>
        <w:t>una</w:t>
      </w:r>
      <w:r>
        <w:rPr>
          <w:spacing w:val="34"/>
        </w:rPr>
        <w:t> </w:t>
      </w:r>
      <w:r>
        <w:rPr/>
        <w:t>cerca</w:t>
      </w:r>
      <w:r>
        <w:rPr>
          <w:spacing w:val="28"/>
        </w:rPr>
        <w:t> </w:t>
      </w:r>
      <w:r>
        <w:rPr/>
        <w:t>triple</w:t>
      </w:r>
      <w:r>
        <w:rPr>
          <w:spacing w:val="28"/>
        </w:rPr>
        <w:t> </w:t>
      </w:r>
      <w:r>
        <w:rPr/>
        <w:t>de</w:t>
      </w:r>
    </w:p>
    <w:p>
      <w:pPr>
        <w:pStyle w:val="ListParagraph"/>
        <w:numPr>
          <w:ilvl w:val="0"/>
          <w:numId w:val="2"/>
        </w:numPr>
        <w:tabs>
          <w:tab w:pos="438" w:val="left" w:leader="none"/>
        </w:tabs>
        <w:spacing w:line="272" w:lineRule="exact" w:before="0" w:after="0"/>
        <w:ind w:left="437" w:right="0" w:hanging="321"/>
        <w:jc w:val="both"/>
        <w:rPr>
          <w:sz w:val="23"/>
        </w:rPr>
      </w:pPr>
      <w:r>
        <w:rPr>
          <w:sz w:val="23"/>
        </w:rPr>
        <w:t>millas en la zona de San Diego (García, Griego y Verea, </w:t>
      </w:r>
      <w:r>
        <w:rPr>
          <w:spacing w:val="21"/>
          <w:sz w:val="23"/>
        </w:rPr>
        <w:t> </w:t>
      </w:r>
      <w:r>
        <w:rPr>
          <w:sz w:val="23"/>
        </w:rPr>
        <w:t>1997:87)</w:t>
      </w:r>
      <w:r>
        <w:rPr>
          <w:position w:val="11"/>
          <w:sz w:val="15"/>
        </w:rPr>
        <w:t>26</w:t>
      </w:r>
      <w:r>
        <w:rPr>
          <w:sz w:val="23"/>
        </w:rPr>
        <w:t>.</w:t>
      </w:r>
    </w:p>
    <w:p>
      <w:pPr>
        <w:pStyle w:val="BodyText"/>
        <w:rPr>
          <w:sz w:val="20"/>
        </w:rPr>
      </w:pPr>
    </w:p>
    <w:p>
      <w:pPr>
        <w:pStyle w:val="BodyText"/>
        <w:rPr>
          <w:sz w:val="20"/>
        </w:rPr>
      </w:pPr>
    </w:p>
    <w:p>
      <w:pPr>
        <w:pStyle w:val="BodyText"/>
        <w:spacing w:before="11"/>
        <w:rPr>
          <w:sz w:val="10"/>
        </w:rPr>
      </w:pPr>
      <w:r>
        <w:rPr/>
        <w:pict>
          <v:line style="position:absolute;mso-position-horizontal-relative:page;mso-position-vertical-relative:paragraph;z-index:1384;mso-wrap-distance-left:0;mso-wrap-distance-right:0" from="82.799995pt,8.644469pt" to="222.959992pt,8.644469pt" stroked="true" strokeweight=".72pt" strokecolor="#000000">
            <w10:wrap type="topAndBottom"/>
          </v:line>
        </w:pict>
      </w:r>
    </w:p>
    <w:p>
      <w:pPr>
        <w:spacing w:line="283" w:lineRule="auto" w:before="41"/>
        <w:ind w:left="116" w:right="104" w:firstLine="0"/>
        <w:jc w:val="both"/>
        <w:rPr>
          <w:sz w:val="19"/>
        </w:rPr>
      </w:pPr>
      <w:r>
        <w:rPr>
          <w:position w:val="10"/>
          <w:sz w:val="12"/>
        </w:rPr>
        <w:t>26  </w:t>
      </w:r>
      <w:r>
        <w:rPr>
          <w:sz w:val="19"/>
        </w:rPr>
        <w:t>Como una consecuencia de la ley emitida en California en 1996, avalada ahora por la IIRIRA,   para castigar penalmente a los inmigrantes indocumentados que reincidan...”Los  emigrantes  ilegales  deben  atravesar  ahora  terrenos  muy  difíciles,  cañones  profundos  y  rocosos,  llenos</w:t>
      </w:r>
      <w:r>
        <w:rPr>
          <w:spacing w:val="27"/>
          <w:sz w:val="19"/>
        </w:rPr>
        <w:t> </w:t>
      </w:r>
      <w:r>
        <w:rPr>
          <w:sz w:val="19"/>
        </w:rPr>
        <w:t>de</w:t>
      </w:r>
    </w:p>
    <w:p>
      <w:pPr>
        <w:spacing w:after="0" w:line="283"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55" w:lineRule="auto" w:before="74"/>
        <w:ind w:left="115" w:right="106"/>
        <w:jc w:val="both"/>
      </w:pPr>
      <w:r>
        <w:rPr/>
        <w:t>Los acontecimientos del 11 de septiembre de 2001, en Washington y Nueva York, trastocaron el panorama de la inmigración. Durante una semana  todas  las entradas a los Estados Unidos redujeron al mínimo la actividad comercial y el tránsito de personas</w:t>
      </w:r>
      <w:r>
        <w:rPr>
          <w:position w:val="11"/>
          <w:sz w:val="15"/>
        </w:rPr>
        <w:t>27</w:t>
      </w:r>
      <w:r>
        <w:rPr/>
        <w:t>, lo cual condujo a un endurecimiento de las condiciones  para migrar tanto en calidad de indocumentados como por las vías legales</w:t>
      </w:r>
      <w:r>
        <w:rPr>
          <w:position w:val="11"/>
          <w:sz w:val="15"/>
        </w:rPr>
        <w:t>28</w:t>
      </w:r>
      <w:r>
        <w:rPr/>
        <w:t>, al mismo tiempo que la calidad de residente indocumentado resulta demasiado incómoda.</w:t>
      </w:r>
      <w:r>
        <w:rPr>
          <w:spacing w:val="34"/>
        </w:rPr>
        <w:t> </w:t>
      </w:r>
      <w:r>
        <w:rPr/>
        <w:t>Por</w:t>
      </w:r>
      <w:r>
        <w:rPr>
          <w:spacing w:val="33"/>
        </w:rPr>
        <w:t> </w:t>
      </w:r>
      <w:r>
        <w:rPr/>
        <w:t>ello</w:t>
      </w:r>
      <w:r>
        <w:rPr>
          <w:spacing w:val="30"/>
        </w:rPr>
        <w:t> </w:t>
      </w:r>
      <w:r>
        <w:rPr/>
        <w:t>entre</w:t>
      </w:r>
      <w:r>
        <w:rPr>
          <w:spacing w:val="30"/>
        </w:rPr>
        <w:t> </w:t>
      </w:r>
      <w:r>
        <w:rPr/>
        <w:t>enero</w:t>
      </w:r>
      <w:r>
        <w:rPr>
          <w:spacing w:val="34"/>
        </w:rPr>
        <w:t> </w:t>
      </w:r>
      <w:r>
        <w:rPr/>
        <w:t>y</w:t>
      </w:r>
      <w:r>
        <w:rPr>
          <w:spacing w:val="32"/>
        </w:rPr>
        <w:t> </w:t>
      </w:r>
      <w:r>
        <w:rPr/>
        <w:t>marzo</w:t>
      </w:r>
      <w:r>
        <w:rPr>
          <w:spacing w:val="34"/>
        </w:rPr>
        <w:t> </w:t>
      </w:r>
      <w:r>
        <w:rPr/>
        <w:t>de</w:t>
      </w:r>
      <w:r>
        <w:rPr>
          <w:spacing w:val="36"/>
        </w:rPr>
        <w:t> </w:t>
      </w:r>
      <w:r>
        <w:rPr/>
        <w:t>2002,</w:t>
      </w:r>
      <w:r>
        <w:rPr>
          <w:spacing w:val="36"/>
        </w:rPr>
        <w:t> </w:t>
      </w:r>
      <w:r>
        <w:rPr/>
        <w:t>el</w:t>
      </w:r>
      <w:r>
        <w:rPr>
          <w:spacing w:val="37"/>
        </w:rPr>
        <w:t> </w:t>
      </w:r>
      <w:r>
        <w:rPr/>
        <w:t>ingreso</w:t>
      </w:r>
      <w:r>
        <w:rPr>
          <w:spacing w:val="30"/>
        </w:rPr>
        <w:t> </w:t>
      </w:r>
      <w:r>
        <w:rPr/>
        <w:t>de</w:t>
      </w:r>
      <w:r>
        <w:rPr>
          <w:spacing w:val="30"/>
        </w:rPr>
        <w:t> </w:t>
      </w:r>
      <w:r>
        <w:rPr/>
        <w:t>indocumentados</w:t>
      </w:r>
    </w:p>
    <w:p>
      <w:pPr>
        <w:pStyle w:val="BodyText"/>
        <w:spacing w:line="348" w:lineRule="auto" w:before="17"/>
        <w:ind w:left="116" w:right="105"/>
        <w:jc w:val="both"/>
      </w:pPr>
      <w:r>
        <w:rPr/>
        <w:t>por la zona suroeste de los Estados Unidos disminuyó en un 80 % mientras que el flujo de ese tipo de inmigrantes se mantuvo constante en la frontera con Tamaulipas</w:t>
      </w:r>
      <w:r>
        <w:rPr>
          <w:position w:val="11"/>
          <w:sz w:val="15"/>
        </w:rPr>
        <w:t>29</w:t>
      </w:r>
      <w:r>
        <w:rPr/>
        <w:t>.</w:t>
      </w:r>
    </w:p>
    <w:p>
      <w:pPr>
        <w:pStyle w:val="BodyText"/>
        <w:spacing w:line="364" w:lineRule="auto" w:before="203"/>
        <w:ind w:left="115" w:right="105"/>
        <w:jc w:val="both"/>
      </w:pPr>
      <w:r>
        <w:rPr/>
        <w:pict>
          <v:line style="position:absolute;mso-position-horizontal-relative:page;mso-position-vertical-relative:paragraph;z-index:1408;mso-wrap-distance-left:0;mso-wrap-distance-right:0" from="82.799995pt,94.856285pt" to="510.479986pt,94.856285pt" stroked="true" strokeweight=".72pt" strokecolor="#000000">
            <w10:wrap type="topAndBottom"/>
          </v:line>
        </w:pict>
      </w:r>
      <w:r>
        <w:rPr/>
        <w:t>Por otra parte, mientras dure la desaceleración económica en los Estados Unidos quizá pase desapercibida la escasez de migrantes pero probablemente  en  un plazo relativamente corto la economía estadounidense volverá a requerir los contingentes  de indocumentados que  ahora  le podrían ser redundantes  y en   un</w:t>
      </w:r>
    </w:p>
    <w:p>
      <w:pPr>
        <w:spacing w:line="283" w:lineRule="auto" w:before="73"/>
        <w:ind w:left="115" w:right="104" w:firstLine="0"/>
        <w:jc w:val="both"/>
        <w:rPr>
          <w:sz w:val="19"/>
        </w:rPr>
      </w:pPr>
      <w:r>
        <w:rPr>
          <w:sz w:val="19"/>
        </w:rPr>
        <w:t>matorrales espinosos y duros, prácticamente sin agua, o desiertos pintorescos, pero yermos y peligrosos. La dificultad del paso Se hace evidente por el creciente número de accidentes y de muertes de emigrantes ilegales” (Bersin, Subprocurador Federal, California, Distrito Sur; citado por Moctezuma, 2000:396), siendo ésta la causa directa de que en el año 2000 se hayan registrado    565 defunciones de migrantes en su intento por llegar a los Estados Unidos (ver Cruz,   </w:t>
      </w:r>
      <w:r>
        <w:rPr>
          <w:spacing w:val="7"/>
          <w:sz w:val="19"/>
        </w:rPr>
        <w:t> </w:t>
      </w:r>
      <w:r>
        <w:rPr>
          <w:sz w:val="19"/>
        </w:rPr>
        <w:t>2001:1021).</w:t>
      </w:r>
    </w:p>
    <w:p>
      <w:pPr>
        <w:spacing w:line="244" w:lineRule="auto" w:before="157"/>
        <w:ind w:left="116" w:right="259" w:firstLine="0"/>
        <w:jc w:val="left"/>
        <w:rPr>
          <w:sz w:val="19"/>
        </w:rPr>
      </w:pPr>
      <w:r>
        <w:rPr>
          <w:position w:val="10"/>
          <w:sz w:val="12"/>
        </w:rPr>
        <w:t>27 </w:t>
      </w:r>
      <w:r>
        <w:rPr>
          <w:sz w:val="19"/>
        </w:rPr>
        <w:t>Además el 5 de enero de 2002 Charles Bishop se estrelló contra el piso 28 del Bank of America en Tampa,</w:t>
      </w:r>
      <w:r>
        <w:rPr>
          <w:spacing w:val="23"/>
          <w:sz w:val="19"/>
        </w:rPr>
        <w:t> </w:t>
      </w:r>
      <w:r>
        <w:rPr>
          <w:sz w:val="19"/>
        </w:rPr>
        <w:t>Flo.</w:t>
      </w:r>
    </w:p>
    <w:p>
      <w:pPr>
        <w:pStyle w:val="BodyText"/>
        <w:spacing w:before="7"/>
        <w:rPr>
          <w:sz w:val="16"/>
        </w:rPr>
      </w:pPr>
    </w:p>
    <w:p>
      <w:pPr>
        <w:spacing w:line="247" w:lineRule="auto" w:before="0"/>
        <w:ind w:left="116" w:right="107" w:firstLine="0"/>
        <w:jc w:val="both"/>
        <w:rPr>
          <w:sz w:val="19"/>
        </w:rPr>
      </w:pPr>
      <w:r>
        <w:rPr>
          <w:position w:val="10"/>
          <w:sz w:val="12"/>
        </w:rPr>
        <w:t>28 </w:t>
      </w:r>
      <w:r>
        <w:rPr>
          <w:sz w:val="19"/>
        </w:rPr>
        <w:t>El SIN fue dividido en la Oficina de Inmigración y Servicios Inmigratorios (BCIS), y la Oficina de Cumplimiento Migratorio (BIE) (El Financiero, 26-04-02) y se promulgó la  Ley  de  Fronteras  Seguras (La Jornada, </w:t>
      </w:r>
      <w:r>
        <w:rPr>
          <w:spacing w:val="4"/>
          <w:sz w:val="19"/>
        </w:rPr>
        <w:t> </w:t>
      </w:r>
      <w:r>
        <w:rPr>
          <w:sz w:val="19"/>
        </w:rPr>
        <w:t>21-03-02:6).</w:t>
      </w:r>
    </w:p>
    <w:p>
      <w:pPr>
        <w:pStyle w:val="BodyText"/>
        <w:spacing w:before="3"/>
        <w:rPr>
          <w:sz w:val="16"/>
        </w:rPr>
      </w:pPr>
    </w:p>
    <w:p>
      <w:pPr>
        <w:spacing w:line="244" w:lineRule="auto" w:before="0"/>
        <w:ind w:left="115" w:right="102" w:firstLine="0"/>
        <w:jc w:val="both"/>
        <w:rPr>
          <w:sz w:val="19"/>
        </w:rPr>
      </w:pPr>
      <w:r>
        <w:rPr>
          <w:position w:val="10"/>
          <w:sz w:val="12"/>
        </w:rPr>
        <w:t>29  </w:t>
      </w:r>
      <w:r>
        <w:rPr>
          <w:sz w:val="19"/>
        </w:rPr>
        <w:t>Respecto a las mayores restricciones tradicionales para cruzar la frontera por la zona suroeste    de los Estados Unidos, una hipótesis  que cobra cada vez más  fuerza es  que los  empresarios  de los  estados receptores no tradicionales también desean verse beneficiados por las contribuciones   de la mano de obra mexicana  y por ello  podrían estar interesados  en el reforzamiento de los   puntos de entrada más frecuentes para forzar el flujo de emigrantes a su favor. Para Bustamante (2000:33) “Algunas veces el objetivo inmediato es entrar a Estados Unidos y uno secundario es tomar cualquier oportunidad que se presente que pueda resultar ser el factor determinante en su destino migratorio”... “En términos generales, los hallazgos referentes a estos flujos migratorios reportados antes reflejan lo siguiente: mientras más  pobre [y menos educado y más viejo], más  bajas sus habilidades, más baja su experiencia migratoria y más bajo su acceso a las redes de migración, será más probable que el migrante indocumentado cruce la frontera más hacia el Este (Bustamante, 2000:42). Según los datos de Bustamante (2000:28)  Los  residentes  de  alguna  ciudad de cruce se están desplazando hacia el este: Cd. Juárez 61.8% y Matamoros 12.6%. Por matamoros entra la mayoría de los tamaulipecos, mexiquenses, veracruzanos y centroamericanos por ser el punto geográfico más cercano pero también entran los potosinos y los neoleoneses, y alrededor de un tercio de los jaliscienses y </w:t>
      </w:r>
      <w:r>
        <w:rPr>
          <w:spacing w:val="44"/>
          <w:sz w:val="19"/>
        </w:rPr>
        <w:t> </w:t>
      </w:r>
      <w:r>
        <w:rPr>
          <w:sz w:val="19"/>
        </w:rPr>
        <w:t>michoacanos.</w:t>
      </w:r>
    </w:p>
    <w:p>
      <w:pPr>
        <w:spacing w:after="0" w:line="244" w:lineRule="auto"/>
        <w:jc w:val="both"/>
        <w:rPr>
          <w:sz w:val="19"/>
        </w:rPr>
        <w:sectPr>
          <w:footerReference w:type="default" r:id="rId22"/>
          <w:pgSz w:w="11900" w:h="16840"/>
          <w:pgMar w:footer="1679" w:header="0" w:top="1600" w:bottom="1860" w:left="1540" w:right="1580"/>
          <w:pgNumType w:start="20"/>
        </w:sectPr>
      </w:pPr>
    </w:p>
    <w:p>
      <w:pPr>
        <w:pStyle w:val="BodyText"/>
        <w:rPr>
          <w:sz w:val="20"/>
        </w:rPr>
      </w:pPr>
    </w:p>
    <w:p>
      <w:pPr>
        <w:pStyle w:val="BodyText"/>
        <w:spacing w:before="7"/>
        <w:rPr>
          <w:sz w:val="16"/>
        </w:rPr>
      </w:pPr>
    </w:p>
    <w:p>
      <w:pPr>
        <w:pStyle w:val="BodyText"/>
        <w:spacing w:line="364" w:lineRule="auto" w:before="74"/>
        <w:ind w:left="115" w:right="105"/>
        <w:jc w:val="both"/>
      </w:pPr>
      <w:r>
        <w:rPr/>
        <w:t>plazo un poco mayor el crecimiento económico de los Estados Unidos requerirá cada vez de mayores flujos de migrantes. En este aspecto los mexicanos  aventajan a los  migrantes  de otra naciones: dada la cercanía de la fuente de  mano de obra pueden incrementar su contingente en un  plazo  relativamente  corto; en general, su nivel educativo es bajo, cosa que los diferencia claramente   de los terroristas (quienes han mostrado un alto nivel de escolaridad) y además    los pocos migrantes mexicanos con altos grados de educación pueden ser investigados rápidamente y a un bajo costo; sobre todo por el compromiso del gobierno mexicano en el proyecto estadounidense de fronteras </w:t>
      </w:r>
      <w:r>
        <w:rPr>
          <w:spacing w:val="11"/>
        </w:rPr>
        <w:t> </w:t>
      </w:r>
      <w:r>
        <w:rPr/>
        <w:t>inteligentes.</w:t>
      </w:r>
    </w:p>
    <w:p>
      <w:pPr>
        <w:pStyle w:val="BodyText"/>
        <w:rPr>
          <w:sz w:val="22"/>
        </w:rPr>
      </w:pPr>
    </w:p>
    <w:p>
      <w:pPr>
        <w:pStyle w:val="BodyText"/>
        <w:rPr>
          <w:sz w:val="22"/>
        </w:rPr>
      </w:pPr>
    </w:p>
    <w:p>
      <w:pPr>
        <w:pStyle w:val="BodyText"/>
        <w:spacing w:line="350" w:lineRule="auto" w:before="135"/>
        <w:ind w:left="115" w:right="103"/>
        <w:jc w:val="both"/>
      </w:pPr>
      <w:r>
        <w:rPr/>
        <w:t>En cuanto a su origen geográfico, la estructura de la inmigración estadounidense de origen mexicano ha ido cambiando, las principales entidades expulsoras de migrantes  internacionales  eran  Michoacán,  Guanajuato,  Jalisco  y </w:t>
      </w:r>
      <w:r>
        <w:rPr>
          <w:spacing w:val="59"/>
        </w:rPr>
        <w:t> </w:t>
      </w:r>
      <w:r>
        <w:rPr/>
        <w:t>Zacatecas</w:t>
      </w:r>
      <w:r>
        <w:rPr>
          <w:position w:val="11"/>
          <w:sz w:val="15"/>
        </w:rPr>
        <w:t>30</w:t>
      </w:r>
      <w:r>
        <w:rPr/>
        <w:t>;</w:t>
      </w:r>
    </w:p>
    <w:p>
      <w:pPr>
        <w:pStyle w:val="BodyText"/>
        <w:spacing w:line="350" w:lineRule="auto" w:before="3"/>
        <w:ind w:left="115" w:right="107"/>
        <w:jc w:val="both"/>
      </w:pPr>
      <w:r>
        <w:rPr/>
        <w:t>zona que coincide con la región donde se dieron los mayores movimientos  armados durante [la Guerra de independencia,] la Revolución Mexicana y la Rebelión</w:t>
      </w:r>
      <w:r>
        <w:rPr>
          <w:spacing w:val="25"/>
        </w:rPr>
        <w:t> </w:t>
      </w:r>
      <w:r>
        <w:rPr/>
        <w:t>Cristera</w:t>
      </w:r>
      <w:r>
        <w:rPr>
          <w:position w:val="11"/>
          <w:sz w:val="15"/>
        </w:rPr>
        <w:t>31</w:t>
      </w:r>
      <w:r>
        <w:rPr/>
        <w:t>.</w:t>
      </w:r>
    </w:p>
    <w:p>
      <w:pPr>
        <w:pStyle w:val="BodyText"/>
        <w:rPr>
          <w:sz w:val="28"/>
        </w:rPr>
      </w:pPr>
    </w:p>
    <w:p>
      <w:pPr>
        <w:pStyle w:val="BodyText"/>
        <w:rPr>
          <w:sz w:val="28"/>
        </w:rPr>
      </w:pPr>
    </w:p>
    <w:p>
      <w:pPr>
        <w:pStyle w:val="BodyText"/>
        <w:spacing w:line="364" w:lineRule="auto" w:before="189"/>
        <w:ind w:left="115" w:right="103"/>
        <w:jc w:val="both"/>
      </w:pPr>
      <w:r>
        <w:rPr/>
        <w:t>Pero de acuerdo con Yúnez (2000:348), la emigración México-Estados Unidos se encuentra en una fase de transformación, fenómeno poco estudiado y del que se desconocen sus implicaciones. En esto parece haber un consenso pues la migración internacional ha tenido cambios cualitativos de primer  orden.  Entre  otras cosas, se aprecian modificaciones en la geografía migratoria, en el espectro ocupacional, en los patrones migratorios (edad, sexo,  escolaridad, posición en   </w:t>
      </w:r>
      <w:r>
        <w:rPr>
          <w:spacing w:val="20"/>
        </w:rPr>
        <w:t> </w:t>
      </w:r>
      <w:r>
        <w:rPr/>
        <w:t>el</w:t>
      </w:r>
    </w:p>
    <w:p>
      <w:pPr>
        <w:pStyle w:val="BodyText"/>
        <w:rPr>
          <w:sz w:val="20"/>
        </w:rPr>
      </w:pPr>
    </w:p>
    <w:p>
      <w:pPr>
        <w:pStyle w:val="BodyText"/>
        <w:spacing w:before="9"/>
        <w:rPr>
          <w:sz w:val="11"/>
        </w:rPr>
      </w:pPr>
      <w:r>
        <w:rPr/>
        <w:pict>
          <v:line style="position:absolute;mso-position-horizontal-relative:page;mso-position-vertical-relative:paragraph;z-index:1432;mso-wrap-distance-left:0;mso-wrap-distance-right:0" from="82.799995pt,9.142685pt" to="222.959992pt,9.142685pt" stroked="true" strokeweight=".72pt" strokecolor="#000000">
            <w10:wrap type="topAndBottom"/>
          </v:line>
        </w:pict>
      </w:r>
    </w:p>
    <w:p>
      <w:pPr>
        <w:spacing w:line="285" w:lineRule="auto" w:before="48"/>
        <w:ind w:left="115" w:right="108" w:firstLine="0"/>
        <w:jc w:val="both"/>
        <w:rPr>
          <w:sz w:val="19"/>
        </w:rPr>
      </w:pPr>
      <w:r>
        <w:rPr>
          <w:position w:val="10"/>
          <w:sz w:val="13"/>
        </w:rPr>
        <w:t>30 </w:t>
      </w:r>
      <w:r>
        <w:rPr>
          <w:sz w:val="19"/>
        </w:rPr>
        <w:t>Según Durand citado por Delgado y Rodríguez, 2000:372),  ‘La región histórica de la migración está conformada por los estados de Zacatecas, Guanajuato, Michoacán, Jalisco, Durango, San     Luis Potosí y en menor medida Colima y </w:t>
      </w:r>
      <w:r>
        <w:rPr>
          <w:spacing w:val="46"/>
          <w:sz w:val="19"/>
        </w:rPr>
        <w:t> </w:t>
      </w:r>
      <w:r>
        <w:rPr>
          <w:sz w:val="19"/>
        </w:rPr>
        <w:t>Aguascalientes.</w:t>
      </w:r>
    </w:p>
    <w:p>
      <w:pPr>
        <w:spacing w:line="283" w:lineRule="auto" w:before="158"/>
        <w:ind w:left="116" w:right="105" w:firstLine="0"/>
        <w:jc w:val="both"/>
        <w:rPr>
          <w:sz w:val="19"/>
        </w:rPr>
      </w:pPr>
      <w:r>
        <w:rPr>
          <w:position w:val="10"/>
          <w:sz w:val="12"/>
        </w:rPr>
        <w:t>31 </w:t>
      </w:r>
      <w:r>
        <w:rPr>
          <w:sz w:val="19"/>
        </w:rPr>
        <w:t>A excepción de la Zona Metropolitana de la Ciudad de México,  la  región  más  densamente poblada que podría, en aquel entonces, satisfacer los requerimientos laborales de los Estados Unidos fue el Centro-Occidente de México (RIONDA, 1992:23,25-26), área geográfica en donde se ubican las entidades arriba </w:t>
      </w:r>
      <w:r>
        <w:rPr>
          <w:spacing w:val="18"/>
          <w:sz w:val="19"/>
        </w:rPr>
        <w:t> </w:t>
      </w:r>
      <w:r>
        <w:rPr>
          <w:sz w:val="19"/>
        </w:rPr>
        <w:t>mencionadas.</w:t>
      </w:r>
    </w:p>
    <w:p>
      <w:pPr>
        <w:spacing w:after="0" w:line="283"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4"/>
        <w:jc w:val="both"/>
      </w:pPr>
      <w:r>
        <w:rPr/>
        <w:t>hogar, tiempo de estancia, etc.) y en el monto, mecanismos de envío/recepción y efectos de las remesas familiares (Delgado y Rodríguez,  2000:371).</w:t>
      </w:r>
    </w:p>
    <w:p>
      <w:pPr>
        <w:pStyle w:val="BodyText"/>
        <w:rPr>
          <w:sz w:val="22"/>
        </w:rPr>
      </w:pPr>
    </w:p>
    <w:p>
      <w:pPr>
        <w:pStyle w:val="BodyText"/>
        <w:spacing w:line="364" w:lineRule="auto" w:before="155"/>
        <w:ind w:left="115" w:right="104"/>
        <w:jc w:val="both"/>
      </w:pPr>
      <w:r>
        <w:rPr/>
        <w:t>Diversos indicadores  muestran que el fenómeno migratorio afecta a la totalidad  del país, siendo particularmente intenso en las tradicionales zonas migratorias del centro y centro-norte del país, pero con claros indicios de haberse extendido,  desde la mitad de los años 1980s, hacia el resto del país. Se observa que en el grupo de entidades de alta intensidad migratoria se encuentran Morelos, Guerrero  y Oaxaca, mientras que el Estado de México, el Distrito Federal,  Veracruz  y Puebla se encuentran entre los estados con mayores aportes absolutos de migrantes </w:t>
      </w:r>
      <w:r>
        <w:rPr>
          <w:spacing w:val="-3"/>
        </w:rPr>
        <w:t>(Alba, </w:t>
      </w:r>
      <w:r>
        <w:rPr>
          <w:spacing w:val="-4"/>
        </w:rPr>
        <w:t>2001:10; </w:t>
      </w:r>
      <w:r>
        <w:rPr>
          <w:spacing w:val="-3"/>
        </w:rPr>
        <w:t>Bustamante, </w:t>
      </w:r>
      <w:r>
        <w:rPr>
          <w:spacing w:val="-4"/>
        </w:rPr>
        <w:t>2000:35, </w:t>
      </w:r>
      <w:r>
        <w:rPr/>
        <w:t>y </w:t>
      </w:r>
      <w:r>
        <w:rPr>
          <w:spacing w:val="-3"/>
        </w:rPr>
        <w:t>Diez-Canedo, </w:t>
      </w:r>
      <w:r>
        <w:rPr>
          <w:spacing w:val="56"/>
        </w:rPr>
        <w:t> </w:t>
      </w:r>
      <w:r>
        <w:rPr>
          <w:spacing w:val="-4"/>
        </w:rPr>
        <w:t>1984:63).</w:t>
      </w:r>
    </w:p>
    <w:p>
      <w:pPr>
        <w:pStyle w:val="BodyText"/>
        <w:rPr>
          <w:sz w:val="22"/>
        </w:rPr>
      </w:pPr>
    </w:p>
    <w:p>
      <w:pPr>
        <w:pStyle w:val="BodyText"/>
        <w:spacing w:line="364" w:lineRule="auto" w:before="155"/>
        <w:ind w:left="115" w:right="105"/>
        <w:jc w:val="both"/>
      </w:pPr>
      <w:r>
        <w:rPr/>
        <w:t>“Lo anterior muestra que la emigración México-Estados Unidos y, por ende, las remesas ya no son de manera predominante un fenómeno de municipios rurales marginados como en sus orígenes. Se supone que la emigración rural ha transferido a las comunidades urbanas el carácter de expulsoras de emigrantes a Estados Unidos, en dos sentidos: a) los inmigrantes de origen rural en las metrópolis tenían experiencia de trabajo en Estados Unidos o pertenecían a redes migratorias hacia ese país, y b) la emigración a Estados Unidos alienta la emigración ... </w:t>
      </w:r>
      <w:r>
        <w:rPr>
          <w:rFonts w:ascii="Symbol" w:hAnsi="Symbol"/>
        </w:rPr>
        <w:t></w:t>
      </w:r>
      <w:r>
        <w:rPr/>
        <w:t>interna</w:t>
      </w:r>
      <w:r>
        <w:rPr>
          <w:rFonts w:ascii="Symbol" w:hAnsi="Symbol"/>
        </w:rPr>
        <w:t></w:t>
      </w:r>
      <w:r>
        <w:rPr/>
        <w:t>..., quizá porque los emigrantes deciden cambiar el lugar de residencia de sus familiares a una zona metropolitana para que tengan las oportunidades de educación y salud que no se encuentran en el medio rural” (Yúnez, 2000:343).</w:t>
      </w:r>
    </w:p>
    <w:p>
      <w:pPr>
        <w:pStyle w:val="BodyText"/>
        <w:spacing w:before="4"/>
        <w:rPr>
          <w:sz w:val="17"/>
        </w:rPr>
      </w:pPr>
    </w:p>
    <w:p>
      <w:pPr>
        <w:pStyle w:val="BodyText"/>
        <w:spacing w:line="364" w:lineRule="auto"/>
        <w:ind w:left="116" w:right="101"/>
        <w:jc w:val="both"/>
      </w:pPr>
      <w:r>
        <w:rPr/>
        <w:t>Al respecto, la Encuesta sobre Migración de la Frontera Norte de México (EMIF) realizada en 1995 reportó que el 56% de los migrantes procedían de localidades urbanas (con una población de más de 2,500 habitantes) (Verduzco y Unger, 1998:410). Esos mismos autores refiriéndose a la Encuesta Nacional de la Dinámica Demográfica (ENADID) 1987-1992 han mencionado anteriormente que “...de los municipios con alta actividad migratoria el 80% son municipios con una población menor a 20,000 habitantes, lo cual significa que son municipios muy rurales,  y  solamente  uno  de  ellos  (Jerez,  Zacatecas)  tiene  más  de       50,000</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57" w:lineRule="auto" w:before="74"/>
        <w:ind w:left="115" w:right="105"/>
        <w:jc w:val="both"/>
      </w:pPr>
      <w:r>
        <w:rPr/>
        <w:t>habitantes” (Verduzco y Unger, 1998:404), lo cual no invalida la  afirmación  anterior. No obstante sería interesante estudiar más a fondo, entre otras  cuestiones, la proporción en que los migrantes urbanos procedieron previamente de las áreas rurales de México</w:t>
      </w:r>
      <w:r>
        <w:rPr>
          <w:position w:val="11"/>
          <w:sz w:val="15"/>
        </w:rPr>
        <w:t>32</w:t>
      </w:r>
      <w:r>
        <w:rPr/>
        <w:t>. Precisamente, “Estados Unidos absorbe mayoritariamente</w:t>
      </w:r>
      <w:r>
        <w:rPr>
          <w:spacing w:val="25"/>
        </w:rPr>
        <w:t> </w:t>
      </w:r>
      <w:r>
        <w:rPr/>
        <w:t>la</w:t>
      </w:r>
      <w:r>
        <w:rPr>
          <w:spacing w:val="25"/>
        </w:rPr>
        <w:t> </w:t>
      </w:r>
      <w:r>
        <w:rPr/>
        <w:t>mano</w:t>
      </w:r>
      <w:r>
        <w:rPr>
          <w:spacing w:val="27"/>
        </w:rPr>
        <w:t> </w:t>
      </w:r>
      <w:r>
        <w:rPr/>
        <w:t>de</w:t>
      </w:r>
      <w:r>
        <w:rPr>
          <w:spacing w:val="27"/>
        </w:rPr>
        <w:t> </w:t>
      </w:r>
      <w:r>
        <w:rPr/>
        <w:t>obra</w:t>
      </w:r>
      <w:r>
        <w:rPr>
          <w:spacing w:val="27"/>
        </w:rPr>
        <w:t> </w:t>
      </w:r>
      <w:r>
        <w:rPr/>
        <w:t>extranjera</w:t>
      </w:r>
      <w:r>
        <w:rPr>
          <w:spacing w:val="27"/>
        </w:rPr>
        <w:t> </w:t>
      </w:r>
      <w:r>
        <w:rPr/>
        <w:t>de</w:t>
      </w:r>
      <w:r>
        <w:rPr>
          <w:spacing w:val="27"/>
        </w:rPr>
        <w:t> </w:t>
      </w:r>
      <w:r>
        <w:rPr/>
        <w:t>baja</w:t>
      </w:r>
      <w:r>
        <w:rPr>
          <w:spacing w:val="24"/>
        </w:rPr>
        <w:t> </w:t>
      </w:r>
      <w:r>
        <w:rPr/>
        <w:t>calificación,</w:t>
      </w:r>
      <w:r>
        <w:rPr>
          <w:spacing w:val="27"/>
        </w:rPr>
        <w:t> </w:t>
      </w:r>
      <w:r>
        <w:rPr/>
        <w:t>justamente</w:t>
      </w:r>
      <w:r>
        <w:rPr>
          <w:spacing w:val="25"/>
        </w:rPr>
        <w:t> </w:t>
      </w:r>
      <w:r>
        <w:rPr/>
        <w:t>por</w:t>
      </w:r>
    </w:p>
    <w:p>
      <w:pPr>
        <w:pStyle w:val="BodyText"/>
        <w:spacing w:line="331" w:lineRule="auto" w:before="15"/>
        <w:ind w:left="115" w:right="107"/>
        <w:jc w:val="both"/>
      </w:pPr>
      <w:r>
        <w:rPr/>
        <w:t>sus diferencias salariales ya que el ingreso que ésta recibe  es  notoriamente  menor que el de los nativos” (Aragonés,</w:t>
      </w:r>
      <w:r>
        <w:rPr>
          <w:spacing w:val="63"/>
        </w:rPr>
        <w:t> </w:t>
      </w:r>
      <w:r>
        <w:rPr/>
        <w:t>2001:324)</w:t>
      </w:r>
      <w:r>
        <w:rPr>
          <w:position w:val="11"/>
          <w:sz w:val="15"/>
        </w:rPr>
        <w:t>33</w:t>
      </w:r>
      <w:r>
        <w:rPr/>
        <w:t>.</w:t>
      </w:r>
    </w:p>
    <w:p>
      <w:pPr>
        <w:pStyle w:val="BodyText"/>
        <w:rPr>
          <w:sz w:val="28"/>
        </w:rPr>
      </w:pPr>
    </w:p>
    <w:p>
      <w:pPr>
        <w:pStyle w:val="BodyText"/>
        <w:spacing w:before="7"/>
        <w:rPr>
          <w:sz w:val="29"/>
        </w:rPr>
      </w:pPr>
    </w:p>
    <w:p>
      <w:pPr>
        <w:pStyle w:val="BodyText"/>
        <w:spacing w:line="364" w:lineRule="auto"/>
        <w:ind w:left="115" w:right="107"/>
        <w:jc w:val="both"/>
      </w:pPr>
      <w:r>
        <w:rPr/>
        <w:t>Parece haber una distinción regional en el comportamiento del  fenómeno migratorio, entre aquellos estados de antigua “...tradición migratoria con patrones bien establecidos de migración circular y los nuevos estados emergentes, que […] están en las primeras fases del ciclo migratorio o bien pueden estar estableciendo nuevos patrones migratorios, probablemente de menor circularidad. Destaca, por ejemplo, que la posición emigratoria de estados como Morelos, Guerrero, Oaxaca   y Puebla se ve disminuida en la migración de retorno” (Alba, </w:t>
      </w:r>
      <w:r>
        <w:rPr>
          <w:spacing w:val="19"/>
        </w:rPr>
        <w:t> </w:t>
      </w:r>
      <w:r>
        <w:rPr/>
        <w:t>2001:10).</w:t>
      </w:r>
    </w:p>
    <w:p>
      <w:pPr>
        <w:pStyle w:val="BodyText"/>
        <w:rPr>
          <w:sz w:val="22"/>
        </w:rPr>
      </w:pPr>
    </w:p>
    <w:p>
      <w:pPr>
        <w:pStyle w:val="BodyText"/>
        <w:rPr>
          <w:sz w:val="22"/>
        </w:rPr>
      </w:pPr>
    </w:p>
    <w:p>
      <w:pPr>
        <w:pStyle w:val="BodyText"/>
        <w:spacing w:before="9"/>
        <w:rPr>
          <w:sz w:val="28"/>
        </w:rPr>
      </w:pPr>
    </w:p>
    <w:p>
      <w:pPr>
        <w:pStyle w:val="BodyText"/>
        <w:spacing w:line="364" w:lineRule="auto" w:before="1"/>
        <w:ind w:left="115" w:right="105"/>
        <w:jc w:val="both"/>
      </w:pPr>
      <w:r>
        <w:rPr/>
        <w:t>“La movilidad geográfica no se hace de manera directa desde el lugar de origen- destino; el papel de ´relevo’ que desempeñan los lugares de primera instalación   es notable. Por ejemplo, Dallas y Houston (Texas), Chicago (Illinois), Los Ángeles, San Diego, San Fernando (California) y Atlanta (Georgia) fungen como destinos- relevo y son centros importantes de circulación de la información dentro de la red” Cebada, 2000:355). Pero, según Leiken, citado por El Financiero (14-08-00), los cinco</w:t>
      </w:r>
      <w:r>
        <w:rPr>
          <w:spacing w:val="34"/>
        </w:rPr>
        <w:t> </w:t>
      </w:r>
      <w:r>
        <w:rPr/>
        <w:t>estados</w:t>
      </w:r>
      <w:r>
        <w:rPr>
          <w:spacing w:val="32"/>
        </w:rPr>
        <w:t> </w:t>
      </w:r>
      <w:r>
        <w:rPr/>
        <w:t>principales</w:t>
      </w:r>
      <w:r>
        <w:rPr>
          <w:spacing w:val="35"/>
        </w:rPr>
        <w:t> </w:t>
      </w:r>
      <w:r>
        <w:rPr/>
        <w:t>de</w:t>
      </w:r>
      <w:r>
        <w:rPr>
          <w:spacing w:val="34"/>
        </w:rPr>
        <w:t> </w:t>
      </w:r>
      <w:r>
        <w:rPr/>
        <w:t>destino</w:t>
      </w:r>
      <w:r>
        <w:rPr>
          <w:spacing w:val="31"/>
        </w:rPr>
        <w:t> </w:t>
      </w:r>
      <w:r>
        <w:rPr/>
        <w:t>son:</w:t>
      </w:r>
      <w:r>
        <w:rPr>
          <w:spacing w:val="34"/>
        </w:rPr>
        <w:t> </w:t>
      </w:r>
      <w:r>
        <w:rPr/>
        <w:t>California</w:t>
      </w:r>
      <w:r>
        <w:rPr>
          <w:spacing w:val="34"/>
        </w:rPr>
        <w:t> </w:t>
      </w:r>
      <w:r>
        <w:rPr/>
        <w:t>(45%),</w:t>
      </w:r>
      <w:r>
        <w:rPr>
          <w:spacing w:val="34"/>
        </w:rPr>
        <w:t> </w:t>
      </w:r>
      <w:r>
        <w:rPr/>
        <w:t>Texas</w:t>
      </w:r>
      <w:r>
        <w:rPr>
          <w:spacing w:val="35"/>
        </w:rPr>
        <w:t> </w:t>
      </w:r>
      <w:r>
        <w:rPr/>
        <w:t>(29%),</w:t>
      </w:r>
      <w:r>
        <w:rPr>
          <w:spacing w:val="37"/>
        </w:rPr>
        <w:t> </w:t>
      </w:r>
      <w:r>
        <w:rPr/>
        <w:t>Illinois,</w:t>
      </w:r>
    </w:p>
    <w:p>
      <w:pPr>
        <w:pStyle w:val="BodyText"/>
        <w:spacing w:before="6"/>
        <w:rPr>
          <w:sz w:val="9"/>
        </w:rPr>
      </w:pPr>
      <w:r>
        <w:rPr/>
        <w:pict>
          <v:line style="position:absolute;mso-position-horizontal-relative:page;mso-position-vertical-relative:paragraph;z-index:1456;mso-wrap-distance-left:0;mso-wrap-distance-right:0" from="82.799995pt,7.801709pt" to="222.959992pt,7.801709pt" stroked="true" strokeweight=".72pt" strokecolor="#000000">
            <w10:wrap type="topAndBottom"/>
          </v:line>
        </w:pict>
      </w:r>
    </w:p>
    <w:p>
      <w:pPr>
        <w:spacing w:line="283" w:lineRule="auto" w:before="48"/>
        <w:ind w:left="115" w:right="103" w:firstLine="0"/>
        <w:jc w:val="both"/>
        <w:rPr>
          <w:sz w:val="19"/>
        </w:rPr>
      </w:pPr>
      <w:r>
        <w:rPr>
          <w:position w:val="10"/>
          <w:sz w:val="13"/>
        </w:rPr>
        <w:t>32 </w:t>
      </w:r>
      <w:r>
        <w:rPr>
          <w:sz w:val="19"/>
        </w:rPr>
        <w:t>Aunque la emigración urbana ha crecido tanto en términos  absolutos  como  relativos  sigue siendo parcialmente válida la afirmación de que “La circunstancia mexicana de vecindad ante la economía más desarrollada del mundo, poseedora del modelo  agrícola  más  productivo,  se  ha unido en la acentuación del fenómeno migratorio del campesino a las especiales características de   la explotación agrícola en nuestro país...” (Rionda, </w:t>
      </w:r>
      <w:r>
        <w:rPr>
          <w:spacing w:val="46"/>
          <w:sz w:val="19"/>
        </w:rPr>
        <w:t> </w:t>
      </w:r>
      <w:r>
        <w:rPr>
          <w:sz w:val="19"/>
        </w:rPr>
        <w:t>1992).</w:t>
      </w:r>
    </w:p>
    <w:p>
      <w:pPr>
        <w:pStyle w:val="BodyText"/>
        <w:spacing w:before="1"/>
        <w:rPr>
          <w:sz w:val="14"/>
        </w:rPr>
      </w:pPr>
    </w:p>
    <w:p>
      <w:pPr>
        <w:spacing w:line="283" w:lineRule="auto" w:before="0"/>
        <w:ind w:left="116" w:right="105" w:firstLine="0"/>
        <w:jc w:val="both"/>
        <w:rPr>
          <w:sz w:val="19"/>
        </w:rPr>
      </w:pPr>
      <w:r>
        <w:rPr>
          <w:position w:val="10"/>
          <w:sz w:val="12"/>
        </w:rPr>
        <w:t>33 </w:t>
      </w:r>
      <w:r>
        <w:rPr>
          <w:sz w:val="19"/>
        </w:rPr>
        <w:t>“En 1995 los extranjeros recibían 14,722 dólares por año, en tanto que los estadounidenses obtuvieron 157,835 dólares. Los inmigrantes que permanecen más tiempo acortan la diferencia salarial, aunque los de ingreso reciente percibieron el ingreso más bajo: 10,875 dólares.    (Idem).</w:t>
      </w:r>
    </w:p>
    <w:p>
      <w:pPr>
        <w:spacing w:after="0" w:line="283"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9"/>
        <w:jc w:val="both"/>
      </w:pPr>
      <w:r>
        <w:rPr/>
        <w:t>Arizona y Colorado; aunque en los últimos años también fueron importantes Oklahoma y Nevada de donde pasó a extenderse a Minnesota, Nebraska, Kansas y Iowa para pasar de ahí a Michigan, Indiana, Kentucky, Maine, Rhode Island, Nueva York, Nueva Jersey, Arkansas, Georgia, Maryland y Carolina del </w:t>
      </w:r>
      <w:r>
        <w:rPr>
          <w:spacing w:val="31"/>
        </w:rPr>
        <w:t> </w:t>
      </w:r>
      <w:r>
        <w:rPr/>
        <w:t>Norte.</w:t>
      </w:r>
    </w:p>
    <w:p>
      <w:pPr>
        <w:pStyle w:val="BodyText"/>
        <w:rPr>
          <w:sz w:val="22"/>
        </w:rPr>
      </w:pPr>
    </w:p>
    <w:p>
      <w:pPr>
        <w:pStyle w:val="BodyText"/>
        <w:spacing w:line="364" w:lineRule="auto" w:before="155"/>
        <w:ind w:left="115" w:right="104"/>
        <w:jc w:val="both"/>
      </w:pPr>
      <w:r>
        <w:rPr/>
        <w:t>En el aspecto demográfico, “cada vez es más temprana la edad de la primera  salida de los hombres hacia estados Unidos, lo que afecta dos procesos sociales: se incrementa la deserción de los hombres en los estudios de secundaria y decrecen de manera notable las oportunidades de las mujeres jóvenes para casarse” (Cebada, 2000:360), al mismo tiempo que el peso de la participación femenina en los flujos migratorios internacionales ha alcanzado el 26% de los emigrantes, casi 70% de la población emigrante es muy joven pues se encuentra entre los 15 y 29 años, lo cual ha caracterizado por décadas a la migración laboral mexicana, tanto temporal como definitiva (Alba,</w:t>
      </w:r>
      <w:r>
        <w:rPr>
          <w:spacing w:val="63"/>
        </w:rPr>
        <w:t> </w:t>
      </w:r>
      <w:r>
        <w:rPr/>
        <w:t>2001:10).</w:t>
      </w:r>
    </w:p>
    <w:p>
      <w:pPr>
        <w:pStyle w:val="BodyText"/>
        <w:rPr>
          <w:sz w:val="22"/>
        </w:rPr>
      </w:pPr>
    </w:p>
    <w:p>
      <w:pPr>
        <w:pStyle w:val="BodyText"/>
        <w:spacing w:line="364" w:lineRule="auto" w:before="155"/>
        <w:ind w:left="115" w:right="105"/>
        <w:jc w:val="both"/>
      </w:pPr>
      <w:r>
        <w:rPr/>
        <w:t>Aunque Tuirán (citado por Aragonés, 2001:331) dice que “la corriente migratoria tiende a concentrarse en las edades de 25 a 44 años y son personas que por lo general ya tenían un trabajo en México, aunque recientemente se elevó el número de quienes carecían de ocupación”.</w:t>
      </w:r>
    </w:p>
    <w:p>
      <w:pPr>
        <w:pStyle w:val="BodyText"/>
        <w:rPr>
          <w:sz w:val="22"/>
        </w:rPr>
      </w:pPr>
    </w:p>
    <w:p>
      <w:pPr>
        <w:pStyle w:val="BodyText"/>
        <w:spacing w:line="364" w:lineRule="auto" w:before="155"/>
        <w:ind w:left="115" w:right="105"/>
        <w:jc w:val="both"/>
      </w:pPr>
      <w:r>
        <w:rPr/>
        <w:t>En cuanto al acervo educativo del total de inmigrantes, 74% cuenta  con  escolaridad inferior a preparatoria completa, 24% la tiene completa o hizo algunos estudios de licenciatura y 2% posee estudios de licenciatura o  posgrado.  Así mismo se destaca que los emigrantes que ingresaron a Estados Unidos a partir    de los años ochenta tienen niveles de escolaridad superiores si se les compara  con quienes lo hicieron antes (Aragonés,</w:t>
      </w:r>
      <w:r>
        <w:rPr>
          <w:spacing w:val="62"/>
        </w:rPr>
        <w:t> </w:t>
      </w:r>
      <w:r>
        <w:rPr/>
        <w:t>2001:331,332).</w:t>
      </w:r>
    </w:p>
    <w:p>
      <w:pPr>
        <w:pStyle w:val="BodyText"/>
        <w:rPr>
          <w:sz w:val="22"/>
        </w:rPr>
      </w:pPr>
    </w:p>
    <w:p>
      <w:pPr>
        <w:pStyle w:val="BodyText"/>
        <w:spacing w:line="364" w:lineRule="auto" w:before="155"/>
        <w:ind w:left="115" w:right="104" w:firstLine="64"/>
        <w:jc w:val="both"/>
      </w:pPr>
      <w:r>
        <w:rPr/>
        <w:t>“El motivo principal de la emigración al vecino país del norte es encontrar trabajo, razón que arguyen los casados y más aún los solteros. Sin embargo, señalan que ahora se sale menos por ‘necesidad’ y más por mejorar  las condiciones  de vida  de</w:t>
      </w:r>
      <w:r>
        <w:rPr>
          <w:spacing w:val="54"/>
        </w:rPr>
        <w:t> </w:t>
      </w:r>
      <w:r>
        <w:rPr/>
        <w:t>las</w:t>
      </w:r>
      <w:r>
        <w:rPr>
          <w:spacing w:val="53"/>
        </w:rPr>
        <w:t> </w:t>
      </w:r>
      <w:r>
        <w:rPr/>
        <w:t>familias</w:t>
      </w:r>
      <w:r>
        <w:rPr>
          <w:spacing w:val="55"/>
        </w:rPr>
        <w:t> </w:t>
      </w:r>
      <w:r>
        <w:rPr/>
        <w:t>mediante</w:t>
      </w:r>
      <w:r>
        <w:rPr>
          <w:spacing w:val="56"/>
        </w:rPr>
        <w:t> </w:t>
      </w:r>
      <w:r>
        <w:rPr/>
        <w:t>un</w:t>
      </w:r>
      <w:r>
        <w:rPr>
          <w:spacing w:val="54"/>
        </w:rPr>
        <w:t> </w:t>
      </w:r>
      <w:r>
        <w:rPr/>
        <w:t>empleo</w:t>
      </w:r>
      <w:r>
        <w:rPr>
          <w:spacing w:val="54"/>
        </w:rPr>
        <w:t> </w:t>
      </w:r>
      <w:r>
        <w:rPr/>
        <w:t>bien</w:t>
      </w:r>
      <w:r>
        <w:rPr>
          <w:spacing w:val="51"/>
        </w:rPr>
        <w:t> </w:t>
      </w:r>
      <w:r>
        <w:rPr/>
        <w:t>remunerado</w:t>
      </w:r>
      <w:r>
        <w:rPr>
          <w:spacing w:val="53"/>
        </w:rPr>
        <w:t> </w:t>
      </w:r>
      <w:r>
        <w:rPr/>
        <w:t>que</w:t>
      </w:r>
      <w:r>
        <w:rPr>
          <w:spacing w:val="54"/>
        </w:rPr>
        <w:t> </w:t>
      </w:r>
      <w:r>
        <w:rPr/>
        <w:t>le</w:t>
      </w:r>
      <w:r>
        <w:rPr>
          <w:spacing w:val="54"/>
        </w:rPr>
        <w:t> </w:t>
      </w:r>
      <w:r>
        <w:rPr/>
        <w:t>permita</w:t>
      </w:r>
      <w:r>
        <w:rPr>
          <w:spacing w:val="51"/>
        </w:rPr>
        <w:t> </w:t>
      </w:r>
      <w:r>
        <w:rPr/>
        <w:t>remitirles</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4"/>
        <w:jc w:val="both"/>
      </w:pPr>
      <w:r>
        <w:rPr/>
        <w:t>dinero con cierta constancia y periodicidad” (Cebada, 2000:356). Esta conducta contradice parcialmente, y de manera aparente, la hipótesis de que las crisis económicas provocan oleadas de</w:t>
      </w:r>
      <w:r>
        <w:rPr>
          <w:spacing w:val="53"/>
        </w:rPr>
        <w:t> </w:t>
      </w:r>
      <w:r>
        <w:rPr/>
        <w:t>emigrantes.</w:t>
      </w:r>
    </w:p>
    <w:p>
      <w:pPr>
        <w:pStyle w:val="BodyText"/>
        <w:rPr>
          <w:sz w:val="22"/>
        </w:rPr>
      </w:pPr>
    </w:p>
    <w:p>
      <w:pPr>
        <w:pStyle w:val="BodyText"/>
        <w:spacing w:line="367" w:lineRule="auto" w:before="153"/>
        <w:ind w:left="115" w:right="107"/>
        <w:jc w:val="both"/>
      </w:pPr>
      <w:r>
        <w:rPr/>
        <w:t>En particular, se puede notar que “de 1971 a 1980 la participación de mexicanos  en el total de emigrantes admitidos en Estados Unidos promedió 14.2% y en el lapso 1980-1988 la relación fue de 11.7% a pesar de la profunda crisis padecida por México en 1982” (Aragonés,</w:t>
      </w:r>
      <w:r>
        <w:rPr>
          <w:spacing w:val="51"/>
        </w:rPr>
        <w:t> </w:t>
      </w:r>
      <w:r>
        <w:rPr/>
        <w:t>2001:331).</w:t>
      </w:r>
    </w:p>
    <w:p>
      <w:pPr>
        <w:pStyle w:val="BodyText"/>
        <w:rPr>
          <w:sz w:val="22"/>
        </w:rPr>
      </w:pPr>
    </w:p>
    <w:p>
      <w:pPr>
        <w:pStyle w:val="BodyText"/>
        <w:spacing w:line="364" w:lineRule="auto" w:before="150"/>
        <w:ind w:left="115" w:right="107"/>
        <w:jc w:val="both"/>
      </w:pPr>
      <w:r>
        <w:rPr/>
        <w:t>El estatus de indocumentados mantiene inermes a gran parte de los inmigrantes mexicanos y conjuntamente con su reducida escolaridad los conduce a aceptar  una menor remuneración monetaria y social de su trabajo, con escasa o nula relación  con su  preparación educativa. A  pesar  de ello, sigue siendo  atractivo</w:t>
      </w:r>
      <w:r>
        <w:rPr>
          <w:spacing w:val="63"/>
        </w:rPr>
        <w:t> </w:t>
      </w:r>
      <w:r>
        <w:rPr/>
        <w:t>el</w:t>
      </w:r>
    </w:p>
    <w:p>
      <w:pPr>
        <w:pStyle w:val="BodyText"/>
        <w:spacing w:line="331" w:lineRule="auto" w:before="5"/>
        <w:ind w:left="115" w:right="107"/>
        <w:jc w:val="both"/>
      </w:pPr>
      <w:r>
        <w:rPr/>
        <w:t>trabajo estadounidense y continúan yendo cada vez en mayor número y  desde  una cantidad mayor de orígenes en</w:t>
      </w:r>
      <w:r>
        <w:rPr>
          <w:spacing w:val="56"/>
        </w:rPr>
        <w:t> </w:t>
      </w:r>
      <w:r>
        <w:rPr/>
        <w:t>México</w:t>
      </w:r>
      <w:r>
        <w:rPr>
          <w:position w:val="11"/>
          <w:sz w:val="15"/>
        </w:rPr>
        <w:t>34</w:t>
      </w:r>
      <w:r>
        <w:rPr/>
        <w:t>.</w:t>
      </w:r>
    </w:p>
    <w:p>
      <w:pPr>
        <w:pStyle w:val="BodyText"/>
        <w:spacing w:line="331" w:lineRule="auto" w:before="29"/>
        <w:ind w:left="115" w:right="101"/>
        <w:jc w:val="both"/>
      </w:pPr>
      <w:r>
        <w:rPr/>
        <w:t>“Aún así, la emigración de mexicanos a Estados Unidos continuará en el futuro. La persistencia a corto plazo del diferencial de ingreso entre México y ese país</w:t>
      </w:r>
      <w:r>
        <w:rPr>
          <w:position w:val="11"/>
          <w:sz w:val="15"/>
        </w:rPr>
        <w:t>35</w:t>
      </w:r>
      <w:r>
        <w:rPr/>
        <w:t>, la</w:t>
      </w:r>
    </w:p>
    <w:p>
      <w:pPr>
        <w:pStyle w:val="BodyText"/>
        <w:spacing w:before="4"/>
        <w:rPr>
          <w:sz w:val="29"/>
        </w:rPr>
      </w:pPr>
      <w:r>
        <w:rPr/>
        <w:pict>
          <v:line style="position:absolute;mso-position-horizontal-relative:page;mso-position-vertical-relative:paragraph;z-index:1480;mso-wrap-distance-left:0;mso-wrap-distance-right:0" from="82.799995pt,19.206345pt" to="222.959992pt,19.206345pt" stroked="true" strokeweight=".72pt" strokecolor="#000000">
            <w10:wrap type="topAndBottom"/>
          </v:line>
        </w:pict>
      </w:r>
    </w:p>
    <w:p>
      <w:pPr>
        <w:spacing w:line="283" w:lineRule="auto" w:before="41"/>
        <w:ind w:left="116" w:right="103" w:firstLine="0"/>
        <w:jc w:val="both"/>
        <w:rPr>
          <w:sz w:val="19"/>
        </w:rPr>
      </w:pPr>
      <w:r>
        <w:rPr>
          <w:position w:val="10"/>
          <w:sz w:val="12"/>
        </w:rPr>
        <w:t>34 </w:t>
      </w:r>
      <w:r>
        <w:rPr>
          <w:sz w:val="19"/>
        </w:rPr>
        <w:t>“El bajo nivel de educación de los inmigrantes mexicanos se traduce en ingresos muy bajos. Los hogares encabezados por inmigrantes recientes de México (es decir que ingresaron a los Estados Unidos entre 1980 y 1996) tienen ingresos promedio de sólo 23 mil dólares, esto es nada más el  56% del ingreso de los hogares cuya cabeza es nativo. Otros grupos de inmigrantes recientes también tienen ingresos por debajo de los nativos, pero no tan bajos como lo de los hogares encabezados por inmigrantes mexicanos”. Passel 1997:20. “Estas comparaciones en realidad subestiman la magnitud de la diferencia entre los ingresos de los hogares de personas nacidas en México y los de los nativos y de otros inmigrantes. Los hogares de los nacidos en México tiene un número considerablemente mayor de  personas que  los de cualquiera de los demás grupos, pues  los mexicanos tienen una mayor fertilidad y es probable que  varias  generaciones  vivan  en  el mismo hogar o que renten cuartos o acepten huéspedes. Por lo tanto, el ingreso disponible por persona en los hogares de personas nacidas en México es mucho menor que el de otros grupos y esto produce una considerable presión económica sobre los hogares. Cuando el jefe de la familia    es un inmigrante mexicano reciente,  el ingreso de las  personas que conforman el hogar es cerca  de la tercera parte del ingreso por persona que se encuentra en los hogares con jefes de familia nativos y que los encabezados por inmigrantes legales provenientes de otros países que ya han residido largo tiempo en los Estados Unidos (5,200 dólares en comparación con 16,000 o 16,500 dólares)”</w:t>
      </w:r>
      <w:r>
        <w:rPr>
          <w:spacing w:val="27"/>
          <w:sz w:val="19"/>
        </w:rPr>
        <w:t> </w:t>
      </w:r>
      <w:r>
        <w:rPr>
          <w:sz w:val="19"/>
        </w:rPr>
        <w:t>Idem.</w:t>
      </w:r>
    </w:p>
    <w:p>
      <w:pPr>
        <w:spacing w:line="283" w:lineRule="auto" w:before="160"/>
        <w:ind w:left="116" w:right="105" w:firstLine="0"/>
        <w:jc w:val="both"/>
        <w:rPr>
          <w:sz w:val="19"/>
        </w:rPr>
      </w:pPr>
      <w:r>
        <w:rPr>
          <w:position w:val="10"/>
          <w:sz w:val="12"/>
        </w:rPr>
        <w:t>35 </w:t>
      </w:r>
      <w:r>
        <w:rPr>
          <w:sz w:val="19"/>
        </w:rPr>
        <w:t>“... en 1988 los Estados Unidos registraron un producto Nacional Bruto de 4.85 millones de millones</w:t>
      </w:r>
      <w:r>
        <w:rPr>
          <w:spacing w:val="27"/>
          <w:sz w:val="19"/>
        </w:rPr>
        <w:t> </w:t>
      </w:r>
      <w:r>
        <w:rPr>
          <w:sz w:val="19"/>
        </w:rPr>
        <w:t>de</w:t>
      </w:r>
      <w:r>
        <w:rPr>
          <w:spacing w:val="26"/>
          <w:sz w:val="19"/>
        </w:rPr>
        <w:t> </w:t>
      </w:r>
      <w:r>
        <w:rPr>
          <w:sz w:val="19"/>
        </w:rPr>
        <w:t>dólares,</w:t>
      </w:r>
      <w:r>
        <w:rPr>
          <w:spacing w:val="27"/>
          <w:sz w:val="19"/>
        </w:rPr>
        <w:t> </w:t>
      </w:r>
      <w:r>
        <w:rPr>
          <w:sz w:val="19"/>
        </w:rPr>
        <w:t>mientras</w:t>
      </w:r>
      <w:r>
        <w:rPr>
          <w:spacing w:val="27"/>
          <w:sz w:val="19"/>
        </w:rPr>
        <w:t> </w:t>
      </w:r>
      <w:r>
        <w:rPr>
          <w:sz w:val="19"/>
        </w:rPr>
        <w:t>que</w:t>
      </w:r>
      <w:r>
        <w:rPr>
          <w:spacing w:val="26"/>
          <w:sz w:val="19"/>
        </w:rPr>
        <w:t> </w:t>
      </w:r>
      <w:r>
        <w:rPr>
          <w:sz w:val="19"/>
        </w:rPr>
        <w:t>México</w:t>
      </w:r>
      <w:r>
        <w:rPr>
          <w:spacing w:val="26"/>
          <w:sz w:val="19"/>
        </w:rPr>
        <w:t> </w:t>
      </w:r>
      <w:r>
        <w:rPr>
          <w:sz w:val="19"/>
        </w:rPr>
        <w:t>alcanzó</w:t>
      </w:r>
      <w:r>
        <w:rPr>
          <w:spacing w:val="26"/>
          <w:sz w:val="19"/>
        </w:rPr>
        <w:t> </w:t>
      </w:r>
      <w:r>
        <w:rPr>
          <w:sz w:val="19"/>
        </w:rPr>
        <w:t>sólo</w:t>
      </w:r>
      <w:r>
        <w:rPr>
          <w:spacing w:val="26"/>
          <w:sz w:val="19"/>
        </w:rPr>
        <w:t> </w:t>
      </w:r>
      <w:r>
        <w:rPr>
          <w:sz w:val="19"/>
        </w:rPr>
        <w:t>18</w:t>
      </w:r>
      <w:r>
        <w:rPr>
          <w:spacing w:val="26"/>
          <w:sz w:val="19"/>
        </w:rPr>
        <w:t> </w:t>
      </w:r>
      <w:r>
        <w:rPr>
          <w:sz w:val="19"/>
        </w:rPr>
        <w:t>miles</w:t>
      </w:r>
      <w:r>
        <w:rPr>
          <w:spacing w:val="27"/>
          <w:sz w:val="19"/>
        </w:rPr>
        <w:t> </w:t>
      </w:r>
      <w:r>
        <w:rPr>
          <w:sz w:val="19"/>
        </w:rPr>
        <w:t>de</w:t>
      </w:r>
      <w:r>
        <w:rPr>
          <w:spacing w:val="26"/>
          <w:sz w:val="19"/>
        </w:rPr>
        <w:t> </w:t>
      </w:r>
      <w:r>
        <w:rPr>
          <w:sz w:val="19"/>
        </w:rPr>
        <w:t>millones</w:t>
      </w:r>
      <w:r>
        <w:rPr>
          <w:spacing w:val="27"/>
          <w:sz w:val="19"/>
        </w:rPr>
        <w:t> </w:t>
      </w:r>
      <w:r>
        <w:rPr>
          <w:sz w:val="19"/>
        </w:rPr>
        <w:t>de</w:t>
      </w:r>
      <w:r>
        <w:rPr>
          <w:spacing w:val="26"/>
          <w:sz w:val="19"/>
        </w:rPr>
        <w:t> </w:t>
      </w:r>
      <w:r>
        <w:rPr>
          <w:sz w:val="19"/>
        </w:rPr>
        <w:t>dólares.</w:t>
      </w:r>
      <w:r>
        <w:rPr>
          <w:spacing w:val="29"/>
          <w:sz w:val="19"/>
        </w:rPr>
        <w:t> </w:t>
      </w:r>
      <w:r>
        <w:rPr>
          <w:sz w:val="19"/>
        </w:rPr>
        <w:t>Fue</w:t>
      </w:r>
      <w:r>
        <w:rPr>
          <w:spacing w:val="26"/>
          <w:sz w:val="19"/>
        </w:rPr>
        <w:t> </w:t>
      </w:r>
      <w:r>
        <w:rPr>
          <w:sz w:val="19"/>
        </w:rPr>
        <w:t>una</w:t>
      </w:r>
    </w:p>
    <w:p>
      <w:pPr>
        <w:spacing w:after="0" w:line="283"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3"/>
        <w:jc w:val="both"/>
      </w:pPr>
      <w:r>
        <w:rPr/>
        <w:t>complementariedad en materia laboral y demográfica y el que sea un movimiento autosostenido, entre otros factores, seguirán dando vida a la migración” (Padilla, 2000:370).</w:t>
      </w:r>
    </w:p>
    <w:p>
      <w:pPr>
        <w:pStyle w:val="BodyText"/>
        <w:rPr>
          <w:sz w:val="22"/>
        </w:rPr>
      </w:pPr>
    </w:p>
    <w:p>
      <w:pPr>
        <w:pStyle w:val="BodyText"/>
        <w:spacing w:line="364" w:lineRule="auto" w:before="153"/>
        <w:ind w:left="115" w:right="103"/>
        <w:jc w:val="both"/>
      </w:pPr>
      <w:r>
        <w:rPr/>
        <w:t>Nadie podrá impedir que en 20 años Estados Unidos abra 30 millones de empleos (10 millones en California) y sólo una pequeña parte podrá ser cubierta por estadounidenses (El  Financiero, 28-01-02). Este hecho que parece     crudo habría</w:t>
      </w:r>
    </w:p>
    <w:p>
      <w:pPr>
        <w:pStyle w:val="BodyText"/>
        <w:spacing w:line="331" w:lineRule="auto" w:before="7"/>
        <w:ind w:left="115" w:right="103"/>
        <w:jc w:val="both"/>
      </w:pPr>
      <w:r>
        <w:rPr/>
        <w:t>que contrastarlo con los posibles efectos de que la generación del llamado “baby boom” quienes están llegando al final de su vida  laboral</w:t>
      </w:r>
      <w:r>
        <w:rPr>
          <w:position w:val="11"/>
          <w:sz w:val="15"/>
        </w:rPr>
        <w:t>36</w:t>
      </w:r>
      <w:r>
        <w:rPr/>
        <w:t>.</w:t>
      </w:r>
    </w:p>
    <w:p>
      <w:pPr>
        <w:pStyle w:val="BodyText"/>
        <w:rPr>
          <w:sz w:val="28"/>
        </w:rPr>
      </w:pPr>
    </w:p>
    <w:p>
      <w:pPr>
        <w:pStyle w:val="BodyText"/>
        <w:spacing w:before="7"/>
        <w:rPr>
          <w:sz w:val="29"/>
        </w:rPr>
      </w:pPr>
    </w:p>
    <w:p>
      <w:pPr>
        <w:pStyle w:val="BodyText"/>
        <w:spacing w:line="364" w:lineRule="auto"/>
        <w:ind w:left="115" w:right="103"/>
        <w:jc w:val="both"/>
      </w:pPr>
      <w:r>
        <w:rPr>
          <w:spacing w:val="-3"/>
        </w:rPr>
        <w:t>Ante </w:t>
      </w:r>
      <w:r>
        <w:rPr/>
        <w:t>este </w:t>
      </w:r>
      <w:r>
        <w:rPr>
          <w:spacing w:val="-3"/>
        </w:rPr>
        <w:t>panorama  </w:t>
      </w:r>
      <w:r>
        <w:rPr/>
        <w:t>un autor </w:t>
      </w:r>
      <w:r>
        <w:rPr>
          <w:spacing w:val="-3"/>
        </w:rPr>
        <w:t>plantea </w:t>
      </w:r>
      <w:r>
        <w:rPr/>
        <w:t>que la </w:t>
      </w:r>
      <w:r>
        <w:rPr>
          <w:spacing w:val="-3"/>
        </w:rPr>
        <w:t>migración </w:t>
      </w:r>
      <w:r>
        <w:rPr/>
        <w:t>se </w:t>
      </w:r>
      <w:r>
        <w:rPr>
          <w:spacing w:val="-3"/>
        </w:rPr>
        <w:t>autoperpetúa  </w:t>
      </w:r>
      <w:r>
        <w:rPr/>
        <w:t>debido a  las </w:t>
      </w:r>
      <w:r>
        <w:rPr>
          <w:spacing w:val="-3"/>
        </w:rPr>
        <w:t>nuevas necesidades de </w:t>
      </w:r>
      <w:r>
        <w:rPr/>
        <w:t>consumo </w:t>
      </w:r>
      <w:r>
        <w:rPr>
          <w:spacing w:val="-3"/>
        </w:rPr>
        <w:t>creadas </w:t>
      </w:r>
      <w:r>
        <w:rPr/>
        <w:t>por las </w:t>
      </w:r>
      <w:r>
        <w:rPr>
          <w:spacing w:val="-3"/>
        </w:rPr>
        <w:t>expectativas </w:t>
      </w:r>
      <w:r>
        <w:rPr/>
        <w:t>de vida y por la </w:t>
      </w:r>
      <w:r>
        <w:rPr>
          <w:spacing w:val="-3"/>
        </w:rPr>
        <w:t>permanencia </w:t>
      </w:r>
      <w:r>
        <w:rPr/>
        <w:t>de las </w:t>
      </w:r>
      <w:r>
        <w:rPr>
          <w:spacing w:val="-3"/>
        </w:rPr>
        <w:t>variables </w:t>
      </w:r>
      <w:r>
        <w:rPr/>
        <w:t>que condicionan la </w:t>
      </w:r>
      <w:r>
        <w:rPr>
          <w:spacing w:val="-3"/>
        </w:rPr>
        <w:t>migración” (López, </w:t>
      </w:r>
      <w:r>
        <w:rPr>
          <w:spacing w:val="24"/>
        </w:rPr>
        <w:t> </w:t>
      </w:r>
      <w:r>
        <w:rPr>
          <w:spacing w:val="-3"/>
        </w:rPr>
        <w:t>1986b).</w:t>
      </w:r>
    </w:p>
    <w:p>
      <w:pPr>
        <w:pStyle w:val="BodyText"/>
        <w:rPr>
          <w:sz w:val="22"/>
        </w:rPr>
      </w:pPr>
    </w:p>
    <w:p>
      <w:pPr>
        <w:pStyle w:val="BodyText"/>
        <w:rPr>
          <w:sz w:val="22"/>
        </w:rPr>
      </w:pPr>
    </w:p>
    <w:p>
      <w:pPr>
        <w:pStyle w:val="BodyText"/>
        <w:spacing w:line="364" w:lineRule="auto" w:before="135"/>
        <w:ind w:left="115" w:right="104"/>
        <w:jc w:val="both"/>
      </w:pPr>
      <w:r>
        <w:rPr/>
        <w:t>“Finalmente, para que la migración se desalentara se requeriría  de  varios  decenios de crecimiento económico constante para que se  redujera  la  brecha entre los salarios estadounidenses y los mexicanos y se revirtiera el pesimismo de la juventud mexicana en cuanto a su futuro en México. Como señala Weintraub (1989), un índice de crecimiento de 5% anual sólo traería consigo un aumento en  el salario (mensual) del mexicano promedio equivalente a unos 75 dólares, lo cual difícilmente mantendría a los emigrantes en México pero sí podría ayudarles a pagar un viaje a Estados Unidos” Smith,</w:t>
      </w:r>
      <w:r>
        <w:rPr>
          <w:spacing w:val="59"/>
        </w:rPr>
        <w:t> </w:t>
      </w:r>
      <w:r>
        <w:rPr/>
        <w:t>2000:299).</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5"/>
        </w:rPr>
      </w:pPr>
      <w:r>
        <w:rPr/>
        <w:pict>
          <v:line style="position:absolute;mso-position-horizontal-relative:page;mso-position-vertical-relative:paragraph;z-index:1504;mso-wrap-distance-left:0;mso-wrap-distance-right:0" from="82.799995pt,11.365609pt" to="510.479986pt,11.365609pt" stroked="true" strokeweight=".72pt" strokecolor="#000000">
            <w10:wrap type="topAndBottom"/>
          </v:line>
        </w:pict>
      </w:r>
    </w:p>
    <w:p>
      <w:pPr>
        <w:spacing w:line="283" w:lineRule="auto" w:before="73"/>
        <w:ind w:left="115" w:right="104" w:firstLine="0"/>
        <w:jc w:val="both"/>
        <w:rPr>
          <w:sz w:val="19"/>
        </w:rPr>
      </w:pPr>
      <w:r>
        <w:rPr>
          <w:sz w:val="19"/>
        </w:rPr>
        <w:t>relación de 1:27. El PIB per cápita de los Estados Unidos ascendió a 19,840 dólares mientras que     el de México se ubicó en los 1,760 dólares, con una relación de 1:11...”  (Rionda,  1992:26). Dos años después, el PIB de los Estados Unidos fue de 5.4 billones de dólares  en tanto que  el de México solamente ascendió a 0.231 billones de dólares (Alba,  1993:744) o sea una relación de  1:23.</w:t>
      </w:r>
    </w:p>
    <w:p>
      <w:pPr>
        <w:spacing w:line="247" w:lineRule="auto" w:before="78"/>
        <w:ind w:left="115" w:right="418" w:firstLine="0"/>
        <w:jc w:val="left"/>
        <w:rPr>
          <w:sz w:val="19"/>
        </w:rPr>
      </w:pPr>
      <w:r>
        <w:rPr>
          <w:position w:val="10"/>
          <w:sz w:val="12"/>
        </w:rPr>
        <w:t>36 </w:t>
      </w:r>
      <w:r>
        <w:rPr>
          <w:sz w:val="19"/>
        </w:rPr>
        <w:t>Dichas previsiones son coincidentes con la opinión del senador James Zinglar (El Financiero, 18-X-02.</w:t>
      </w:r>
    </w:p>
    <w:p>
      <w:pPr>
        <w:spacing w:after="0" w:line="247" w:lineRule="auto"/>
        <w:jc w:val="left"/>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0" w:lineRule="auto" w:before="74"/>
        <w:ind w:left="115" w:right="105" w:firstLine="64"/>
        <w:jc w:val="both"/>
      </w:pPr>
      <w:r>
        <w:rPr/>
        <w:t>“La información censal señala que durante el último quinquenio del siglo XX el éxodo neto de mexicanos fue del orden de 250 mil por año cifra probablemente subestimada puesto que el censo no capta a aquellos migrantes  cuyos  hogares  ya no existen en el territorio nacional, a la vez que dicha cifra no incluye a quienes (más de 100 mil durante el quinquenio) no especifican si son emigrantes o migrantes de retorno (Alba, 2001: 10)</w:t>
      </w:r>
      <w:r>
        <w:rPr>
          <w:position w:val="11"/>
          <w:sz w:val="15"/>
        </w:rPr>
        <w:t>37, </w:t>
      </w:r>
      <w:r>
        <w:rPr>
          <w:spacing w:val="14"/>
          <w:position w:val="11"/>
          <w:sz w:val="15"/>
        </w:rPr>
        <w:t> </w:t>
      </w:r>
      <w:r>
        <w:rPr>
          <w:position w:val="11"/>
          <w:sz w:val="15"/>
        </w:rPr>
        <w:t>38</w:t>
      </w:r>
      <w:r>
        <w:rPr/>
        <w:t>.</w:t>
      </w:r>
    </w:p>
    <w:p>
      <w:pPr>
        <w:pStyle w:val="BodyText"/>
        <w:spacing w:before="7"/>
        <w:rPr>
          <w:sz w:val="33"/>
        </w:rPr>
      </w:pPr>
    </w:p>
    <w:p>
      <w:pPr>
        <w:pStyle w:val="Heading2"/>
        <w:numPr>
          <w:ilvl w:val="0"/>
          <w:numId w:val="3"/>
        </w:numPr>
        <w:tabs>
          <w:tab w:pos="906" w:val="left" w:leader="none"/>
        </w:tabs>
        <w:spacing w:line="362" w:lineRule="auto" w:before="0" w:after="0"/>
        <w:ind w:left="116" w:right="100" w:firstLine="0"/>
        <w:jc w:val="both"/>
      </w:pPr>
      <w:r>
        <w:rPr/>
        <w:t>UNA NUEVA </w:t>
      </w:r>
      <w:r>
        <w:rPr>
          <w:spacing w:val="-3"/>
        </w:rPr>
        <w:t>CONCEPTUALIZACIÓN </w:t>
      </w:r>
      <w:r>
        <w:rPr/>
        <w:t>DE LA </w:t>
      </w:r>
      <w:r>
        <w:rPr>
          <w:spacing w:val="-3"/>
        </w:rPr>
        <w:t>EMIGRACIÓN</w:t>
      </w:r>
    </w:p>
    <w:p>
      <w:pPr>
        <w:pStyle w:val="BodyText"/>
        <w:spacing w:line="364" w:lineRule="auto" w:before="202"/>
        <w:ind w:left="115" w:right="103"/>
        <w:jc w:val="both"/>
      </w:pPr>
      <w:r>
        <w:rPr/>
        <w:t>La </w:t>
      </w:r>
      <w:r>
        <w:rPr>
          <w:spacing w:val="-3"/>
        </w:rPr>
        <w:t>migración humana </w:t>
      </w:r>
      <w:r>
        <w:rPr/>
        <w:t>ha </w:t>
      </w:r>
      <w:r>
        <w:rPr>
          <w:spacing w:val="-3"/>
        </w:rPr>
        <w:t>sido definida </w:t>
      </w:r>
      <w:r>
        <w:rPr/>
        <w:t>de </w:t>
      </w:r>
      <w:r>
        <w:rPr>
          <w:spacing w:val="-3"/>
        </w:rPr>
        <w:t>varias formas, </w:t>
      </w:r>
      <w:r>
        <w:rPr>
          <w:spacing w:val="-4"/>
        </w:rPr>
        <w:t>unas </w:t>
      </w:r>
      <w:r>
        <w:rPr>
          <w:spacing w:val="-3"/>
        </w:rPr>
        <w:t>veces atendiendo </w:t>
      </w:r>
      <w:r>
        <w:rPr/>
        <w:t>a su </w:t>
      </w:r>
      <w:r>
        <w:rPr>
          <w:spacing w:val="-3"/>
        </w:rPr>
        <w:t>naturaleza </w:t>
      </w:r>
      <w:r>
        <w:rPr/>
        <w:t>y </w:t>
      </w:r>
      <w:r>
        <w:rPr>
          <w:spacing w:val="-3"/>
        </w:rPr>
        <w:t>otras </w:t>
      </w:r>
      <w:r>
        <w:rPr/>
        <w:t>a las </w:t>
      </w:r>
      <w:r>
        <w:rPr>
          <w:spacing w:val="-4"/>
        </w:rPr>
        <w:t>propiedades </w:t>
      </w:r>
      <w:r>
        <w:rPr>
          <w:spacing w:val="-3"/>
        </w:rPr>
        <w:t>numéricas </w:t>
      </w:r>
      <w:r>
        <w:rPr/>
        <w:t>de los </w:t>
      </w:r>
      <w:r>
        <w:rPr>
          <w:spacing w:val="-3"/>
        </w:rPr>
        <w:t>datos con </w:t>
      </w:r>
      <w:r>
        <w:rPr/>
        <w:t>los </w:t>
      </w:r>
      <w:r>
        <w:rPr>
          <w:spacing w:val="-3"/>
        </w:rPr>
        <w:t>cuales </w:t>
      </w:r>
      <w:r>
        <w:rPr/>
        <w:t>se le </w:t>
      </w:r>
      <w:r>
        <w:rPr>
          <w:spacing w:val="-3"/>
        </w:rPr>
        <w:t>representa, siendo necesario por </w:t>
      </w:r>
      <w:r>
        <w:rPr/>
        <w:t>ello </w:t>
      </w:r>
      <w:r>
        <w:rPr>
          <w:spacing w:val="-3"/>
        </w:rPr>
        <w:t>un análisis de </w:t>
      </w:r>
      <w:r>
        <w:rPr/>
        <w:t>su  </w:t>
      </w:r>
      <w:r>
        <w:rPr>
          <w:spacing w:val="-4"/>
        </w:rPr>
        <w:t>contenido.</w:t>
      </w:r>
    </w:p>
    <w:p>
      <w:pPr>
        <w:pStyle w:val="BodyText"/>
        <w:spacing w:before="4"/>
        <w:rPr>
          <w:sz w:val="17"/>
        </w:rPr>
      </w:pPr>
    </w:p>
    <w:p>
      <w:pPr>
        <w:pStyle w:val="BodyText"/>
        <w:spacing w:line="364" w:lineRule="auto"/>
        <w:ind w:left="115" w:right="100"/>
        <w:jc w:val="both"/>
      </w:pPr>
      <w:r>
        <w:rPr>
          <w:spacing w:val="-3"/>
        </w:rPr>
        <w:t>Entre </w:t>
      </w:r>
      <w:r>
        <w:rPr/>
        <w:t>las </w:t>
      </w:r>
      <w:r>
        <w:rPr>
          <w:spacing w:val="-3"/>
        </w:rPr>
        <w:t>opiniones </w:t>
      </w:r>
      <w:r>
        <w:rPr>
          <w:spacing w:val="-4"/>
        </w:rPr>
        <w:t>citadas </w:t>
      </w:r>
      <w:r>
        <w:rPr/>
        <w:t>se </w:t>
      </w:r>
      <w:r>
        <w:rPr>
          <w:spacing w:val="-3"/>
        </w:rPr>
        <w:t>puede notar </w:t>
      </w:r>
      <w:r>
        <w:rPr/>
        <w:t>la </w:t>
      </w:r>
      <w:r>
        <w:rPr>
          <w:spacing w:val="-3"/>
        </w:rPr>
        <w:t>propuesta </w:t>
      </w:r>
      <w:r>
        <w:rPr/>
        <w:t>de </w:t>
      </w:r>
      <w:r>
        <w:rPr>
          <w:spacing w:val="-3"/>
        </w:rPr>
        <w:t>Partida </w:t>
      </w:r>
      <w:r>
        <w:rPr>
          <w:spacing w:val="-4"/>
        </w:rPr>
        <w:t>(1995:1), </w:t>
      </w:r>
      <w:r>
        <w:rPr>
          <w:spacing w:val="-3"/>
        </w:rPr>
        <w:t>quien </w:t>
      </w:r>
      <w:r>
        <w:rPr/>
        <w:t>la </w:t>
      </w:r>
      <w:r>
        <w:rPr>
          <w:spacing w:val="-3"/>
        </w:rPr>
        <w:t>define </w:t>
      </w:r>
      <w:r>
        <w:rPr/>
        <w:t>como </w:t>
      </w:r>
      <w:r>
        <w:rPr>
          <w:spacing w:val="-3"/>
        </w:rPr>
        <w:t>el cambio </w:t>
      </w:r>
      <w:r>
        <w:rPr/>
        <w:t>de </w:t>
      </w:r>
      <w:r>
        <w:rPr>
          <w:spacing w:val="-3"/>
        </w:rPr>
        <w:t>residencia habitual, de </w:t>
      </w:r>
      <w:r>
        <w:rPr>
          <w:spacing w:val="-2"/>
        </w:rPr>
        <w:t>las </w:t>
      </w:r>
      <w:r>
        <w:rPr>
          <w:spacing w:val="-3"/>
        </w:rPr>
        <w:t>personas, </w:t>
      </w:r>
      <w:r>
        <w:rPr/>
        <w:t>de una </w:t>
      </w:r>
      <w:r>
        <w:rPr>
          <w:spacing w:val="-3"/>
        </w:rPr>
        <w:t>comunidad hacia otra. Otros estudiosos </w:t>
      </w:r>
      <w:r>
        <w:rPr/>
        <w:t>la </w:t>
      </w:r>
      <w:r>
        <w:rPr>
          <w:spacing w:val="-3"/>
        </w:rPr>
        <w:t>consideran </w:t>
      </w:r>
      <w:r>
        <w:rPr/>
        <w:t>como </w:t>
      </w:r>
      <w:r>
        <w:rPr>
          <w:spacing w:val="-3"/>
        </w:rPr>
        <w:t>el movimiento de personas </w:t>
      </w:r>
      <w:r>
        <w:rPr/>
        <w:t>a </w:t>
      </w:r>
      <w:r>
        <w:rPr>
          <w:spacing w:val="-3"/>
        </w:rPr>
        <w:t>través </w:t>
      </w:r>
      <w:r>
        <w:rPr/>
        <w:t>de una </w:t>
      </w:r>
      <w:r>
        <w:rPr>
          <w:spacing w:val="-3"/>
        </w:rPr>
        <w:t>división política (Haupt </w:t>
      </w:r>
      <w:r>
        <w:rPr/>
        <w:t>y </w:t>
      </w:r>
      <w:r>
        <w:rPr>
          <w:spacing w:val="-3"/>
        </w:rPr>
        <w:t>Kane, 1982:5), </w:t>
      </w:r>
      <w:r>
        <w:rPr/>
        <w:t>o bien como </w:t>
      </w:r>
      <w:r>
        <w:rPr>
          <w:spacing w:val="-3"/>
        </w:rPr>
        <w:t>el movimiento </w:t>
      </w:r>
      <w:r>
        <w:rPr/>
        <w:t>de </w:t>
      </w:r>
      <w:r>
        <w:rPr>
          <w:spacing w:val="-3"/>
        </w:rPr>
        <w:t>contingentes </w:t>
      </w:r>
      <w:r>
        <w:rPr>
          <w:spacing w:val="-4"/>
        </w:rPr>
        <w:t>humanos </w:t>
      </w:r>
      <w:r>
        <w:rPr>
          <w:spacing w:val="-3"/>
        </w:rPr>
        <w:t>(Rionda, </w:t>
      </w:r>
      <w:r>
        <w:rPr>
          <w:spacing w:val="-4"/>
        </w:rPr>
        <w:t>1992:36). </w:t>
      </w:r>
      <w:r>
        <w:rPr/>
        <w:t>De </w:t>
      </w:r>
      <w:r>
        <w:rPr>
          <w:spacing w:val="-3"/>
        </w:rPr>
        <w:t>manera similar, Leal </w:t>
      </w:r>
      <w:r>
        <w:rPr>
          <w:spacing w:val="-4"/>
        </w:rPr>
        <w:t>(1963:6) </w:t>
      </w:r>
      <w:r>
        <w:rPr/>
        <w:t>la </w:t>
      </w:r>
      <w:r>
        <w:rPr>
          <w:spacing w:val="-3"/>
        </w:rPr>
        <w:t>refiere  </w:t>
      </w:r>
      <w:r>
        <w:rPr/>
        <w:t>a la </w:t>
      </w:r>
      <w:r>
        <w:rPr>
          <w:spacing w:val="-3"/>
        </w:rPr>
        <w:t>movilidad espacial </w:t>
      </w:r>
      <w:r>
        <w:rPr/>
        <w:t>de los </w:t>
      </w:r>
      <w:r>
        <w:rPr>
          <w:spacing w:val="-3"/>
        </w:rPr>
        <w:t>seres humanos entre unidades geográficas, </w:t>
      </w:r>
      <w:r>
        <w:rPr/>
        <w:t>en </w:t>
      </w:r>
      <w:r>
        <w:rPr>
          <w:spacing w:val="-3"/>
        </w:rPr>
        <w:t>tanto que  Mines  </w:t>
      </w:r>
      <w:r>
        <w:rPr>
          <w:spacing w:val="-4"/>
        </w:rPr>
        <w:t>(1982:1),  </w:t>
      </w:r>
      <w:r>
        <w:rPr/>
        <w:t>la </w:t>
      </w:r>
      <w:r>
        <w:rPr>
          <w:spacing w:val="-3"/>
        </w:rPr>
        <w:t>tipifica  </w:t>
      </w:r>
      <w:r>
        <w:rPr/>
        <w:t>como </w:t>
      </w:r>
      <w:r>
        <w:rPr>
          <w:spacing w:val="-3"/>
        </w:rPr>
        <w:t>el  movimiento  </w:t>
      </w:r>
      <w:r>
        <w:rPr/>
        <w:t>de </w:t>
      </w:r>
      <w:r>
        <w:rPr>
          <w:spacing w:val="-3"/>
        </w:rPr>
        <w:t>personas  </w:t>
      </w:r>
      <w:r>
        <w:rPr/>
        <w:t>hacia </w:t>
      </w:r>
      <w:r>
        <w:rPr>
          <w:spacing w:val="-3"/>
        </w:rPr>
        <w:t>lugares</w:t>
      </w:r>
      <w:r>
        <w:rPr>
          <w:spacing w:val="-31"/>
        </w:rPr>
        <w:t> </w:t>
      </w:r>
      <w:r>
        <w:rPr/>
        <w:t>que</w:t>
      </w:r>
    </w:p>
    <w:p>
      <w:pPr>
        <w:pStyle w:val="BodyText"/>
        <w:spacing w:before="7"/>
        <w:rPr>
          <w:sz w:val="17"/>
        </w:rPr>
      </w:pPr>
      <w:r>
        <w:rPr/>
        <w:pict>
          <v:line style="position:absolute;mso-position-horizontal-relative:page;mso-position-vertical-relative:paragraph;z-index:1528;mso-wrap-distance-left:0;mso-wrap-distance-right:0" from="82.799995pt,12.421675pt" to="222.959992pt,12.421675pt" stroked="true" strokeweight=".6pt" strokecolor="#000000">
            <w10:wrap type="topAndBottom"/>
          </v:line>
        </w:pict>
      </w:r>
    </w:p>
    <w:p>
      <w:pPr>
        <w:spacing w:line="283" w:lineRule="auto" w:before="41"/>
        <w:ind w:left="116" w:right="104" w:firstLine="0"/>
        <w:jc w:val="both"/>
        <w:rPr>
          <w:sz w:val="19"/>
        </w:rPr>
      </w:pPr>
      <w:r>
        <w:rPr>
          <w:position w:val="10"/>
          <w:sz w:val="12"/>
        </w:rPr>
        <w:t>37  </w:t>
      </w:r>
      <w:r>
        <w:rPr>
          <w:sz w:val="19"/>
        </w:rPr>
        <w:t>“Se destaca también una significativa migración de retorno del orden de 60 mil por año en el   último quinquenio. Sin embargo, conviene observar que esta cifra de migrantes de retorno es muy inferior a las estimadas para quinquenios anteriores: en el quinquenio 1988-1992, con base en ENADID 1992, el promedio anual de migrantes de retorno fue de 191 mil y en el quinquenio 1993- 1997, con base en ENADID 1997, el promedio fue de 179 mil” (Corona y Tuirán citado por Alba, 2001:10).</w:t>
      </w:r>
    </w:p>
    <w:p>
      <w:pPr>
        <w:spacing w:line="283" w:lineRule="auto" w:before="160"/>
        <w:ind w:left="116" w:right="105" w:firstLine="0"/>
        <w:jc w:val="both"/>
        <w:rPr>
          <w:sz w:val="19"/>
        </w:rPr>
      </w:pPr>
      <w:r>
        <w:rPr>
          <w:position w:val="10"/>
          <w:sz w:val="12"/>
        </w:rPr>
        <w:t>38  </w:t>
      </w:r>
      <w:r>
        <w:rPr>
          <w:sz w:val="19"/>
        </w:rPr>
        <w:t>“Según la ENADID de 1992 a 1997 el número de connacionales que se traslado al país vecino    en busca de empleo fue de 2`928,950; en el mismo lapso 1’581,786 mexicanos emigraron de  manera definitiva hacia ese destino...” (Delgado y Rodríguez, 2000:371). Sin embargo, “una razón importante por la que Estados Unidos no ha sido  invadido de  indocumentados  es que,  de cada  100 personas que cruzan ilegalmente la frontera entre México y Estados Unidos, regresan a casa   de 82 a 86” (Massey y Singer, citado por Smith, 2000:291). En consecuencia, el volumen de la población mexicana en Estados Unidos ascendería a alrededor de ocho millones en el año 2000 Alba,</w:t>
      </w:r>
      <w:r>
        <w:rPr>
          <w:spacing w:val="25"/>
          <w:sz w:val="19"/>
        </w:rPr>
        <w:t> </w:t>
      </w:r>
      <w:r>
        <w:rPr>
          <w:sz w:val="19"/>
        </w:rPr>
        <w:t>2001:10).</w:t>
      </w:r>
    </w:p>
    <w:p>
      <w:pPr>
        <w:spacing w:after="0" w:line="283"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4"/>
        <w:jc w:val="both"/>
      </w:pPr>
      <w:r>
        <w:rPr>
          <w:spacing w:val="-3"/>
        </w:rPr>
        <w:t>ofrecen mejores </w:t>
      </w:r>
      <w:r>
        <w:rPr>
          <w:spacing w:val="-4"/>
        </w:rPr>
        <w:t>oportunidades </w:t>
      </w:r>
      <w:r>
        <w:rPr>
          <w:spacing w:val="-3"/>
        </w:rPr>
        <w:t>alejándose </w:t>
      </w:r>
      <w:r>
        <w:rPr/>
        <w:t>de las </w:t>
      </w:r>
      <w:r>
        <w:rPr>
          <w:spacing w:val="-4"/>
        </w:rPr>
        <w:t>áreas </w:t>
      </w:r>
      <w:r>
        <w:rPr>
          <w:spacing w:val="-3"/>
        </w:rPr>
        <w:t>que carecen  </w:t>
      </w:r>
      <w:r>
        <w:rPr/>
        <w:t>de </w:t>
      </w:r>
      <w:r>
        <w:rPr>
          <w:spacing w:val="-3"/>
        </w:rPr>
        <w:t>ellas.  El caso de </w:t>
      </w:r>
      <w:r>
        <w:rPr/>
        <w:t>la </w:t>
      </w:r>
      <w:r>
        <w:rPr>
          <w:spacing w:val="-3"/>
        </w:rPr>
        <w:t>migración </w:t>
      </w:r>
      <w:r>
        <w:rPr>
          <w:spacing w:val="-4"/>
        </w:rPr>
        <w:t>internacional </w:t>
      </w:r>
      <w:r>
        <w:rPr>
          <w:spacing w:val="-3"/>
        </w:rPr>
        <w:t>implica, en general, el traslado </w:t>
      </w:r>
      <w:r>
        <w:rPr/>
        <w:t>de </w:t>
      </w:r>
      <w:r>
        <w:rPr>
          <w:spacing w:val="-3"/>
        </w:rPr>
        <w:t>un país </w:t>
      </w:r>
      <w:r>
        <w:rPr/>
        <w:t>a </w:t>
      </w:r>
      <w:r>
        <w:rPr>
          <w:spacing w:val="43"/>
        </w:rPr>
        <w:t> </w:t>
      </w:r>
      <w:r>
        <w:rPr>
          <w:spacing w:val="-3"/>
        </w:rPr>
        <w:t>otro.</w:t>
      </w:r>
    </w:p>
    <w:p>
      <w:pPr>
        <w:pStyle w:val="BodyText"/>
        <w:rPr>
          <w:sz w:val="22"/>
        </w:rPr>
      </w:pPr>
    </w:p>
    <w:p>
      <w:pPr>
        <w:pStyle w:val="BodyText"/>
        <w:spacing w:line="364" w:lineRule="auto" w:before="155"/>
        <w:ind w:left="115" w:right="100"/>
        <w:jc w:val="both"/>
      </w:pPr>
      <w:r>
        <w:rPr/>
        <w:t>De lo </w:t>
      </w:r>
      <w:r>
        <w:rPr>
          <w:spacing w:val="-3"/>
        </w:rPr>
        <w:t>anterior </w:t>
      </w:r>
      <w:r>
        <w:rPr/>
        <w:t>se </w:t>
      </w:r>
      <w:r>
        <w:rPr>
          <w:spacing w:val="-3"/>
        </w:rPr>
        <w:t>desprende </w:t>
      </w:r>
      <w:r>
        <w:rPr/>
        <w:t>que la </w:t>
      </w:r>
      <w:r>
        <w:rPr>
          <w:spacing w:val="-3"/>
        </w:rPr>
        <w:t>migración implica un movimiento </w:t>
      </w:r>
      <w:r>
        <w:rPr>
          <w:spacing w:val="-4"/>
        </w:rPr>
        <w:t>territorial  que,</w:t>
      </w:r>
      <w:r>
        <w:rPr>
          <w:spacing w:val="55"/>
        </w:rPr>
        <w:t> </w:t>
      </w:r>
      <w:r>
        <w:rPr/>
        <w:t>en la </w:t>
      </w:r>
      <w:r>
        <w:rPr>
          <w:spacing w:val="-3"/>
        </w:rPr>
        <w:t>mayoría </w:t>
      </w:r>
      <w:r>
        <w:rPr/>
        <w:t>de las </w:t>
      </w:r>
      <w:r>
        <w:rPr>
          <w:spacing w:val="-3"/>
        </w:rPr>
        <w:t>veces tiene </w:t>
      </w:r>
      <w:r>
        <w:rPr>
          <w:spacing w:val="-4"/>
        </w:rPr>
        <w:t>explícitamente </w:t>
      </w:r>
      <w:r>
        <w:rPr/>
        <w:t>o </w:t>
      </w:r>
      <w:r>
        <w:rPr>
          <w:spacing w:val="-3"/>
        </w:rPr>
        <w:t>tras </w:t>
      </w:r>
      <w:r>
        <w:rPr/>
        <w:t>de sí </w:t>
      </w:r>
      <w:r>
        <w:rPr>
          <w:spacing w:val="-3"/>
        </w:rPr>
        <w:t>un </w:t>
      </w:r>
      <w:r>
        <w:rPr>
          <w:spacing w:val="-4"/>
        </w:rPr>
        <w:t>profundo </w:t>
      </w:r>
      <w:r>
        <w:rPr>
          <w:spacing w:val="-3"/>
        </w:rPr>
        <w:t>contenido social. También </w:t>
      </w:r>
      <w:r>
        <w:rPr/>
        <w:t>se </w:t>
      </w:r>
      <w:r>
        <w:rPr>
          <w:spacing w:val="-3"/>
        </w:rPr>
        <w:t>deriva </w:t>
      </w:r>
      <w:r>
        <w:rPr/>
        <w:t>de </w:t>
      </w:r>
      <w:r>
        <w:rPr>
          <w:spacing w:val="-3"/>
        </w:rPr>
        <w:t>tales definiciones, que </w:t>
      </w:r>
      <w:r>
        <w:rPr/>
        <w:t>la </w:t>
      </w:r>
      <w:r>
        <w:rPr>
          <w:spacing w:val="-3"/>
        </w:rPr>
        <w:t>migración es un acto que pretende compensar </w:t>
      </w:r>
      <w:r>
        <w:rPr/>
        <w:t>los </w:t>
      </w:r>
      <w:r>
        <w:rPr>
          <w:spacing w:val="-3"/>
        </w:rPr>
        <w:t>déficit que un individuo, una familia </w:t>
      </w:r>
      <w:r>
        <w:rPr/>
        <w:t>o </w:t>
      </w:r>
      <w:r>
        <w:rPr>
          <w:spacing w:val="-3"/>
        </w:rPr>
        <w:t>un pueblo enfrenta </w:t>
      </w:r>
      <w:r>
        <w:rPr/>
        <w:t>en su </w:t>
      </w:r>
      <w:r>
        <w:rPr>
          <w:spacing w:val="-3"/>
        </w:rPr>
        <w:t>territorio habitual. Por </w:t>
      </w:r>
      <w:r>
        <w:rPr/>
        <w:t>ello, se </w:t>
      </w:r>
      <w:r>
        <w:rPr>
          <w:spacing w:val="-4"/>
        </w:rPr>
        <w:t>puede afirmar </w:t>
      </w:r>
      <w:r>
        <w:rPr/>
        <w:t>que tal </w:t>
      </w:r>
      <w:r>
        <w:rPr>
          <w:spacing w:val="-3"/>
        </w:rPr>
        <w:t>acción tiene que ver con </w:t>
      </w:r>
      <w:r>
        <w:rPr/>
        <w:t>la </w:t>
      </w:r>
      <w:r>
        <w:rPr>
          <w:spacing w:val="-3"/>
        </w:rPr>
        <w:t>posibilidad </w:t>
      </w:r>
      <w:r>
        <w:rPr/>
        <w:t>de </w:t>
      </w:r>
      <w:r>
        <w:rPr>
          <w:spacing w:val="-3"/>
        </w:rPr>
        <w:t>una mejor satisfacción </w:t>
      </w:r>
      <w:r>
        <w:rPr/>
        <w:t>de las </w:t>
      </w:r>
      <w:r>
        <w:rPr>
          <w:spacing w:val="-4"/>
        </w:rPr>
        <w:t>necesidades </w:t>
      </w:r>
      <w:r>
        <w:rPr>
          <w:spacing w:val="11"/>
        </w:rPr>
        <w:t> </w:t>
      </w:r>
      <w:r>
        <w:rPr>
          <w:spacing w:val="-3"/>
        </w:rPr>
        <w:t>humanas.</w:t>
      </w:r>
    </w:p>
    <w:p>
      <w:pPr>
        <w:pStyle w:val="BodyText"/>
        <w:rPr>
          <w:sz w:val="22"/>
        </w:rPr>
      </w:pPr>
    </w:p>
    <w:p>
      <w:pPr>
        <w:pStyle w:val="BodyText"/>
        <w:spacing w:line="350" w:lineRule="auto" w:before="155"/>
        <w:ind w:left="115" w:right="101"/>
        <w:jc w:val="both"/>
      </w:pPr>
      <w:r>
        <w:rPr>
          <w:spacing w:val="-3"/>
        </w:rPr>
        <w:t>Al respecto </w:t>
      </w:r>
      <w:r>
        <w:rPr/>
        <w:t>y </w:t>
      </w:r>
      <w:r>
        <w:rPr>
          <w:spacing w:val="-3"/>
        </w:rPr>
        <w:t>exclusivamente con fines expositivos, </w:t>
      </w:r>
      <w:r>
        <w:rPr>
          <w:spacing w:val="-4"/>
        </w:rPr>
        <w:t>reinterpretando </w:t>
      </w:r>
      <w:r>
        <w:rPr/>
        <w:t>a </w:t>
      </w:r>
      <w:r>
        <w:rPr>
          <w:spacing w:val="-3"/>
        </w:rPr>
        <w:t>Máslow (1954) </w:t>
      </w:r>
      <w:r>
        <w:rPr/>
        <w:t>se </w:t>
      </w:r>
      <w:r>
        <w:rPr>
          <w:spacing w:val="-3"/>
        </w:rPr>
        <w:t>propone dividirlas en </w:t>
      </w:r>
      <w:r>
        <w:rPr>
          <w:spacing w:val="-4"/>
        </w:rPr>
        <w:t>necesidades </w:t>
      </w:r>
      <w:r>
        <w:rPr>
          <w:spacing w:val="-3"/>
        </w:rPr>
        <w:t>vitales </w:t>
      </w:r>
      <w:r>
        <w:rPr/>
        <w:t>y </w:t>
      </w:r>
      <w:r>
        <w:rPr>
          <w:spacing w:val="-3"/>
        </w:rPr>
        <w:t>sociales</w:t>
      </w:r>
      <w:r>
        <w:rPr>
          <w:spacing w:val="-3"/>
          <w:position w:val="11"/>
          <w:sz w:val="15"/>
        </w:rPr>
        <w:t>39</w:t>
      </w:r>
      <w:r>
        <w:rPr>
          <w:spacing w:val="-3"/>
        </w:rPr>
        <w:t>. Estas </w:t>
      </w:r>
      <w:r>
        <w:rPr/>
        <w:t>a su </w:t>
      </w:r>
      <w:r>
        <w:rPr>
          <w:spacing w:val="-3"/>
        </w:rPr>
        <w:t>vez, pueden separarse en estándares sociales </w:t>
      </w:r>
      <w:r>
        <w:rPr/>
        <w:t>y </w:t>
      </w:r>
      <w:r>
        <w:rPr>
          <w:spacing w:val="-3"/>
        </w:rPr>
        <w:t>necesidades afectivas</w:t>
      </w:r>
      <w:r>
        <w:rPr>
          <w:spacing w:val="-3"/>
          <w:position w:val="11"/>
          <w:sz w:val="15"/>
        </w:rPr>
        <w:t>40</w:t>
      </w:r>
      <w:r>
        <w:rPr>
          <w:spacing w:val="-3"/>
        </w:rPr>
        <w:t>. Dentro </w:t>
      </w:r>
      <w:r>
        <w:rPr/>
        <w:t>de los </w:t>
      </w:r>
      <w:r>
        <w:rPr>
          <w:spacing w:val="-3"/>
        </w:rPr>
        <w:t>primeros </w:t>
      </w:r>
      <w:r>
        <w:rPr/>
        <w:t>se </w:t>
      </w:r>
      <w:r>
        <w:rPr>
          <w:spacing w:val="-3"/>
        </w:rPr>
        <w:t>encuentran </w:t>
      </w:r>
      <w:r>
        <w:rPr/>
        <w:t>los </w:t>
      </w:r>
      <w:r>
        <w:rPr>
          <w:spacing w:val="-4"/>
        </w:rPr>
        <w:t>niveles  </w:t>
      </w:r>
      <w:r>
        <w:rPr/>
        <w:t>de </w:t>
      </w:r>
      <w:r>
        <w:rPr>
          <w:spacing w:val="-3"/>
        </w:rPr>
        <w:t>educación, vestimenta, </w:t>
      </w:r>
      <w:r>
        <w:rPr>
          <w:spacing w:val="-4"/>
        </w:rPr>
        <w:t>vivienda,  </w:t>
      </w:r>
      <w:r>
        <w:rPr>
          <w:spacing w:val="-3"/>
        </w:rPr>
        <w:t>higiene </w:t>
      </w:r>
      <w:r>
        <w:rPr/>
        <w:t>y en </w:t>
      </w:r>
      <w:r>
        <w:rPr>
          <w:spacing w:val="-3"/>
        </w:rPr>
        <w:t>general  </w:t>
      </w:r>
      <w:r>
        <w:rPr/>
        <w:t>la </w:t>
      </w:r>
      <w:r>
        <w:rPr>
          <w:spacing w:val="-3"/>
        </w:rPr>
        <w:t>calidad </w:t>
      </w:r>
      <w:r>
        <w:rPr/>
        <w:t>de </w:t>
      </w:r>
      <w:r>
        <w:rPr>
          <w:spacing w:val="-3"/>
        </w:rPr>
        <w:t>vida, </w:t>
      </w:r>
      <w:r>
        <w:rPr/>
        <w:t>los </w:t>
      </w:r>
      <w:r>
        <w:rPr>
          <w:spacing w:val="-3"/>
        </w:rPr>
        <w:t>cuales son requisitos cuantitativos impuestos por </w:t>
      </w:r>
      <w:r>
        <w:rPr/>
        <w:t>la </w:t>
      </w:r>
      <w:r>
        <w:rPr>
          <w:spacing w:val="-3"/>
        </w:rPr>
        <w:t>sociedad.   </w:t>
      </w:r>
      <w:r>
        <w:rPr/>
        <w:t>Y </w:t>
      </w:r>
      <w:r>
        <w:rPr>
          <w:spacing w:val="-3"/>
        </w:rPr>
        <w:t>entre </w:t>
      </w:r>
      <w:r>
        <w:rPr/>
        <w:t>las </w:t>
      </w:r>
      <w:r>
        <w:rPr>
          <w:spacing w:val="-3"/>
        </w:rPr>
        <w:t>otras </w:t>
      </w:r>
      <w:r>
        <w:rPr/>
        <w:t>se </w:t>
      </w:r>
      <w:r>
        <w:rPr>
          <w:spacing w:val="-4"/>
        </w:rPr>
        <w:t>pueden </w:t>
      </w:r>
      <w:r>
        <w:rPr>
          <w:spacing w:val="-3"/>
        </w:rPr>
        <w:t>contar </w:t>
      </w:r>
      <w:r>
        <w:rPr/>
        <w:t>al </w:t>
      </w:r>
      <w:r>
        <w:rPr>
          <w:spacing w:val="-4"/>
        </w:rPr>
        <w:t>esparcimiento, </w:t>
      </w:r>
      <w:r>
        <w:rPr/>
        <w:t>la </w:t>
      </w:r>
      <w:r>
        <w:rPr>
          <w:spacing w:val="-3"/>
        </w:rPr>
        <w:t>aceptación social, el </w:t>
      </w:r>
      <w:r>
        <w:rPr>
          <w:spacing w:val="-4"/>
        </w:rPr>
        <w:t>afecto,  </w:t>
      </w:r>
      <w:r>
        <w:rPr>
          <w:spacing w:val="55"/>
        </w:rPr>
        <w:t> </w:t>
      </w:r>
      <w:r>
        <w:rPr/>
        <w:t>la </w:t>
      </w:r>
      <w:r>
        <w:rPr>
          <w:spacing w:val="-3"/>
        </w:rPr>
        <w:t>convivencia, etc., </w:t>
      </w:r>
      <w:r>
        <w:rPr>
          <w:spacing w:val="-4"/>
        </w:rPr>
        <w:t>cuya </w:t>
      </w:r>
      <w:r>
        <w:rPr>
          <w:spacing w:val="-3"/>
        </w:rPr>
        <w:t>naturaleza </w:t>
      </w:r>
      <w:r>
        <w:rPr/>
        <w:t>y </w:t>
      </w:r>
      <w:r>
        <w:rPr>
          <w:spacing w:val="-3"/>
        </w:rPr>
        <w:t>satisfacción son aún </w:t>
      </w:r>
      <w:r>
        <w:rPr/>
        <w:t>más </w:t>
      </w:r>
      <w:r>
        <w:rPr>
          <w:spacing w:val="29"/>
        </w:rPr>
        <w:t> </w:t>
      </w:r>
      <w:r>
        <w:rPr>
          <w:spacing w:val="-3"/>
        </w:rPr>
        <w:t>subjetivas</w:t>
      </w:r>
      <w:r>
        <w:rPr>
          <w:spacing w:val="-3"/>
          <w:position w:val="11"/>
          <w:sz w:val="15"/>
        </w:rPr>
        <w:t>41</w:t>
      </w:r>
      <w:r>
        <w:rPr>
          <w:spacing w:val="-3"/>
        </w:rPr>
        <w:t>.</w:t>
      </w:r>
    </w:p>
    <w:p>
      <w:pPr>
        <w:pStyle w:val="BodyText"/>
        <w:spacing w:line="364" w:lineRule="auto" w:before="197"/>
        <w:ind w:left="115" w:right="100"/>
        <w:jc w:val="both"/>
      </w:pPr>
      <w:r>
        <w:rPr/>
        <w:t>En </w:t>
      </w:r>
      <w:r>
        <w:rPr>
          <w:spacing w:val="-3"/>
        </w:rPr>
        <w:t>este contexto resulta </w:t>
      </w:r>
      <w:r>
        <w:rPr/>
        <w:t>un </w:t>
      </w:r>
      <w:r>
        <w:rPr>
          <w:spacing w:val="-3"/>
        </w:rPr>
        <w:t>fenómeno completamente normal el </w:t>
      </w:r>
      <w:r>
        <w:rPr>
          <w:spacing w:val="-4"/>
        </w:rPr>
        <w:t>hecho </w:t>
      </w:r>
      <w:r>
        <w:rPr/>
        <w:t>de que las </w:t>
      </w:r>
      <w:r>
        <w:rPr>
          <w:spacing w:val="-3"/>
        </w:rPr>
        <w:t>necesidades </w:t>
      </w:r>
      <w:r>
        <w:rPr/>
        <w:t>más </w:t>
      </w:r>
      <w:r>
        <w:rPr>
          <w:spacing w:val="-3"/>
        </w:rPr>
        <w:t>sentidas para </w:t>
      </w:r>
      <w:r>
        <w:rPr>
          <w:spacing w:val="-4"/>
        </w:rPr>
        <w:t>unas </w:t>
      </w:r>
      <w:r>
        <w:rPr>
          <w:spacing w:val="-3"/>
        </w:rPr>
        <w:t>personas no </w:t>
      </w:r>
      <w:r>
        <w:rPr/>
        <w:t>sean </w:t>
      </w:r>
      <w:r>
        <w:rPr>
          <w:spacing w:val="-3"/>
        </w:rPr>
        <w:t>necesariamente </w:t>
      </w:r>
      <w:r>
        <w:rPr/>
        <w:t>las </w:t>
      </w:r>
      <w:r>
        <w:rPr>
          <w:spacing w:val="-3"/>
        </w:rPr>
        <w:t>mismas que para otras. </w:t>
      </w:r>
      <w:r>
        <w:rPr/>
        <w:t>Así, las </w:t>
      </w:r>
      <w:r>
        <w:rPr>
          <w:spacing w:val="-3"/>
        </w:rPr>
        <w:t>necesidades </w:t>
      </w:r>
      <w:r>
        <w:rPr/>
        <w:t>más </w:t>
      </w:r>
      <w:r>
        <w:rPr>
          <w:spacing w:val="-3"/>
        </w:rPr>
        <w:t>apremiantes varían </w:t>
      </w:r>
      <w:r>
        <w:rPr/>
        <w:t>de </w:t>
      </w:r>
      <w:r>
        <w:rPr>
          <w:spacing w:val="-3"/>
        </w:rPr>
        <w:t>un individuo </w:t>
      </w:r>
      <w:r>
        <w:rPr/>
        <w:t>a </w:t>
      </w:r>
      <w:r>
        <w:rPr>
          <w:spacing w:val="-3"/>
        </w:rPr>
        <w:t>otro, </w:t>
      </w:r>
      <w:r>
        <w:rPr/>
        <w:t>lo mismo </w:t>
      </w:r>
      <w:r>
        <w:rPr>
          <w:spacing w:val="-3"/>
        </w:rPr>
        <w:t>entre </w:t>
      </w:r>
      <w:r>
        <w:rPr/>
        <w:t>las </w:t>
      </w:r>
      <w:r>
        <w:rPr>
          <w:spacing w:val="-3"/>
        </w:rPr>
        <w:t>familias que entre </w:t>
      </w:r>
      <w:r>
        <w:rPr/>
        <w:t>los </w:t>
      </w:r>
      <w:r>
        <w:rPr>
          <w:spacing w:val="-3"/>
        </w:rPr>
        <w:t>grupos sociales, </w:t>
      </w:r>
      <w:r>
        <w:rPr>
          <w:spacing w:val="-5"/>
        </w:rPr>
        <w:t>ya </w:t>
      </w:r>
      <w:r>
        <w:rPr>
          <w:spacing w:val="-3"/>
        </w:rPr>
        <w:t>sea que </w:t>
      </w:r>
      <w:r>
        <w:rPr/>
        <w:t>vivan en un mismo </w:t>
      </w:r>
      <w:r>
        <w:rPr>
          <w:spacing w:val="-3"/>
        </w:rPr>
        <w:t>lugar </w:t>
      </w:r>
      <w:r>
        <w:rPr/>
        <w:t>o no. </w:t>
      </w:r>
      <w:r>
        <w:rPr>
          <w:spacing w:val="-3"/>
        </w:rPr>
        <w:t>Entre otras causas, </w:t>
      </w:r>
      <w:r>
        <w:rPr/>
        <w:t>esta </w:t>
      </w:r>
      <w:r>
        <w:rPr>
          <w:spacing w:val="-3"/>
        </w:rPr>
        <w:t>amplia </w:t>
      </w:r>
      <w:r>
        <w:rPr>
          <w:spacing w:val="-4"/>
        </w:rPr>
        <w:t>variabilidad </w:t>
      </w:r>
      <w:r>
        <w:rPr/>
        <w:t>se </w:t>
      </w:r>
      <w:r>
        <w:rPr>
          <w:spacing w:val="-3"/>
        </w:rPr>
        <w:t>debe </w:t>
      </w:r>
      <w:r>
        <w:rPr/>
        <w:t>a que cada </w:t>
      </w:r>
      <w:r>
        <w:rPr>
          <w:spacing w:val="-3"/>
        </w:rPr>
        <w:t>persona  </w:t>
      </w:r>
      <w:r>
        <w:rPr/>
        <w:t>o </w:t>
      </w:r>
      <w:r>
        <w:rPr>
          <w:spacing w:val="-3"/>
        </w:rPr>
        <w:t>conglomerado  social  tiene  </w:t>
      </w:r>
      <w:r>
        <w:rPr/>
        <w:t>su </w:t>
      </w:r>
      <w:r>
        <w:rPr>
          <w:spacing w:val="-3"/>
        </w:rPr>
        <w:t>propia  historia  </w:t>
      </w:r>
      <w:r>
        <w:rPr/>
        <w:t>y en </w:t>
      </w:r>
      <w:r>
        <w:rPr>
          <w:spacing w:val="-3"/>
        </w:rPr>
        <w:t>base  </w:t>
      </w:r>
      <w:r>
        <w:rPr/>
        <w:t>a ella su</w:t>
      </w:r>
      <w:r>
        <w:rPr>
          <w:spacing w:val="30"/>
        </w:rPr>
        <w:t> </w:t>
      </w:r>
      <w:r>
        <w:rPr>
          <w:spacing w:val="-3"/>
        </w:rPr>
        <w:t>propia</w:t>
      </w:r>
    </w:p>
    <w:p>
      <w:pPr>
        <w:pStyle w:val="BodyText"/>
        <w:rPr>
          <w:sz w:val="20"/>
        </w:rPr>
      </w:pPr>
    </w:p>
    <w:p>
      <w:pPr>
        <w:pStyle w:val="BodyText"/>
        <w:rPr>
          <w:sz w:val="20"/>
        </w:rPr>
      </w:pPr>
    </w:p>
    <w:p>
      <w:pPr>
        <w:pStyle w:val="BodyText"/>
        <w:rPr>
          <w:sz w:val="11"/>
        </w:rPr>
      </w:pPr>
      <w:r>
        <w:rPr/>
        <w:pict>
          <v:line style="position:absolute;mso-position-horizontal-relative:page;mso-position-vertical-relative:paragraph;z-index:1552;mso-wrap-distance-left:0;mso-wrap-distance-right:0" from="82.799995pt,8.68364pt" to="222.959992pt,8.68364pt" stroked="true" strokeweight=".72pt" strokecolor="#000000">
            <w10:wrap type="topAndBottom"/>
          </v:line>
        </w:pict>
      </w:r>
    </w:p>
    <w:p>
      <w:pPr>
        <w:spacing w:line="242" w:lineRule="auto" w:before="39"/>
        <w:ind w:left="116" w:right="100" w:firstLine="0"/>
        <w:jc w:val="left"/>
        <w:rPr>
          <w:sz w:val="19"/>
        </w:rPr>
      </w:pPr>
      <w:r>
        <w:rPr>
          <w:position w:val="10"/>
          <w:sz w:val="12"/>
        </w:rPr>
        <w:t>39 </w:t>
      </w:r>
      <w:r>
        <w:rPr>
          <w:sz w:val="19"/>
        </w:rPr>
        <w:t>En realidad la clasificación de Máslow (1954) las divide en primarias (fisiológicas y seguridad) y secundarias (sociales, estima y  autorrealización).</w:t>
      </w:r>
    </w:p>
    <w:p>
      <w:pPr>
        <w:pStyle w:val="BodyText"/>
        <w:spacing w:before="9"/>
        <w:rPr>
          <w:sz w:val="16"/>
        </w:rPr>
      </w:pPr>
    </w:p>
    <w:p>
      <w:pPr>
        <w:spacing w:line="247" w:lineRule="auto" w:before="1"/>
        <w:ind w:left="115" w:right="108" w:firstLine="0"/>
        <w:jc w:val="both"/>
        <w:rPr>
          <w:sz w:val="19"/>
        </w:rPr>
      </w:pPr>
      <w:r>
        <w:rPr>
          <w:position w:val="10"/>
          <w:sz w:val="12"/>
        </w:rPr>
        <w:t>40 </w:t>
      </w:r>
      <w:r>
        <w:rPr>
          <w:sz w:val="19"/>
        </w:rPr>
        <w:t>Esta clasificación como la de Máslow (1954), adolece de que en muchos casos no existe una frontera bien definida entre una y otra categoría. Por ejemplo, en el caso de un campesino una chamarra puede corresponder a una necesidad vital y en cambio un abrigo de mink ser parte de la indumentaria que una mujer de la clase alta utiliza para identificarse con su círculo   social.</w:t>
      </w:r>
    </w:p>
    <w:p>
      <w:pPr>
        <w:pStyle w:val="BodyText"/>
        <w:spacing w:before="3"/>
        <w:rPr>
          <w:sz w:val="16"/>
        </w:rPr>
      </w:pPr>
    </w:p>
    <w:p>
      <w:pPr>
        <w:spacing w:line="247" w:lineRule="auto" w:before="0"/>
        <w:ind w:left="115" w:right="101" w:firstLine="0"/>
        <w:jc w:val="both"/>
        <w:rPr>
          <w:sz w:val="19"/>
        </w:rPr>
      </w:pPr>
      <w:r>
        <w:rPr>
          <w:position w:val="10"/>
          <w:sz w:val="12"/>
        </w:rPr>
        <w:t>41 </w:t>
      </w:r>
      <w:r>
        <w:rPr>
          <w:sz w:val="19"/>
        </w:rPr>
        <w:t>En la </w:t>
      </w:r>
      <w:r>
        <w:rPr>
          <w:spacing w:val="-3"/>
          <w:sz w:val="19"/>
        </w:rPr>
        <w:t>realidad, </w:t>
      </w:r>
      <w:r>
        <w:rPr>
          <w:sz w:val="19"/>
        </w:rPr>
        <w:t>en muchos de los casos, </w:t>
      </w:r>
      <w:r>
        <w:rPr>
          <w:spacing w:val="-3"/>
          <w:sz w:val="19"/>
        </w:rPr>
        <w:t>la separación entre ambas categorías puede </w:t>
      </w:r>
      <w:r>
        <w:rPr>
          <w:sz w:val="19"/>
        </w:rPr>
        <w:t>no ser tan  clara </w:t>
      </w:r>
      <w:r>
        <w:rPr>
          <w:spacing w:val="-4"/>
          <w:sz w:val="19"/>
        </w:rPr>
        <w:t>debido </w:t>
      </w:r>
      <w:r>
        <w:rPr>
          <w:sz w:val="19"/>
        </w:rPr>
        <w:t>a </w:t>
      </w:r>
      <w:r>
        <w:rPr>
          <w:spacing w:val="-3"/>
          <w:sz w:val="19"/>
        </w:rPr>
        <w:t>influencias culturales </w:t>
      </w:r>
      <w:r>
        <w:rPr>
          <w:sz w:val="19"/>
        </w:rPr>
        <w:t>que </w:t>
      </w:r>
      <w:r>
        <w:rPr>
          <w:spacing w:val="-3"/>
          <w:sz w:val="19"/>
        </w:rPr>
        <w:t>hacen </w:t>
      </w:r>
      <w:r>
        <w:rPr>
          <w:sz w:val="19"/>
        </w:rPr>
        <w:t>que en </w:t>
      </w:r>
      <w:r>
        <w:rPr>
          <w:spacing w:val="-4"/>
          <w:sz w:val="19"/>
        </w:rPr>
        <w:t>algunos </w:t>
      </w:r>
      <w:r>
        <w:rPr>
          <w:sz w:val="19"/>
        </w:rPr>
        <w:t>casos la </w:t>
      </w:r>
      <w:r>
        <w:rPr>
          <w:spacing w:val="-3"/>
          <w:sz w:val="19"/>
        </w:rPr>
        <w:t>vestimenta, los alimentos, </w:t>
      </w:r>
      <w:r>
        <w:rPr>
          <w:sz w:val="19"/>
        </w:rPr>
        <w:t>la </w:t>
      </w:r>
      <w:r>
        <w:rPr>
          <w:spacing w:val="-3"/>
          <w:sz w:val="19"/>
        </w:rPr>
        <w:t>vivienda, etc., correspondan </w:t>
      </w:r>
      <w:r>
        <w:rPr>
          <w:sz w:val="19"/>
        </w:rPr>
        <w:t>más a un </w:t>
      </w:r>
      <w:r>
        <w:rPr>
          <w:spacing w:val="-3"/>
          <w:sz w:val="19"/>
        </w:rPr>
        <w:t>gasto </w:t>
      </w:r>
      <w:r>
        <w:rPr>
          <w:sz w:val="19"/>
        </w:rPr>
        <w:t>que </w:t>
      </w:r>
      <w:r>
        <w:rPr>
          <w:spacing w:val="-3"/>
          <w:sz w:val="19"/>
        </w:rPr>
        <w:t>podría catalogarse </w:t>
      </w:r>
      <w:r>
        <w:rPr>
          <w:sz w:val="19"/>
        </w:rPr>
        <w:t>como </w:t>
      </w:r>
      <w:r>
        <w:rPr>
          <w:spacing w:val="36"/>
          <w:sz w:val="19"/>
        </w:rPr>
        <w:t> </w:t>
      </w:r>
      <w:r>
        <w:rPr>
          <w:spacing w:val="-3"/>
          <w:sz w:val="19"/>
        </w:rPr>
        <w:t>superfluo.</w:t>
      </w:r>
    </w:p>
    <w:p>
      <w:pPr>
        <w:spacing w:after="0" w:line="247"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4"/>
        <w:jc w:val="both"/>
      </w:pPr>
      <w:r>
        <w:rPr>
          <w:spacing w:val="-3"/>
        </w:rPr>
        <w:t>concepción </w:t>
      </w:r>
      <w:r>
        <w:rPr/>
        <w:t>de la </w:t>
      </w:r>
      <w:r>
        <w:rPr>
          <w:spacing w:val="-3"/>
        </w:rPr>
        <w:t>existencia </w:t>
      </w:r>
      <w:r>
        <w:rPr>
          <w:spacing w:val="-4"/>
        </w:rPr>
        <w:t>humana, </w:t>
      </w:r>
      <w:r>
        <w:rPr/>
        <w:t>la </w:t>
      </w:r>
      <w:r>
        <w:rPr>
          <w:spacing w:val="-3"/>
        </w:rPr>
        <w:t>cual </w:t>
      </w:r>
      <w:r>
        <w:rPr>
          <w:spacing w:val="-4"/>
        </w:rPr>
        <w:t>conduce </w:t>
      </w:r>
      <w:r>
        <w:rPr/>
        <w:t>a </w:t>
      </w:r>
      <w:r>
        <w:rPr>
          <w:spacing w:val="-3"/>
        </w:rPr>
        <w:t>distintas </w:t>
      </w:r>
      <w:r>
        <w:rPr>
          <w:spacing w:val="-4"/>
        </w:rPr>
        <w:t>percepciones </w:t>
      </w:r>
      <w:r>
        <w:rPr/>
        <w:t>de los </w:t>
      </w:r>
      <w:r>
        <w:rPr>
          <w:spacing w:val="-3"/>
        </w:rPr>
        <w:t>fenómenos sociales, incluido entre ellas </w:t>
      </w:r>
      <w:r>
        <w:rPr>
          <w:spacing w:val="-4"/>
        </w:rPr>
        <w:t>el </w:t>
      </w:r>
      <w:r>
        <w:rPr>
          <w:spacing w:val="-3"/>
        </w:rPr>
        <w:t>caso de </w:t>
      </w:r>
      <w:r>
        <w:rPr/>
        <w:t>la  </w:t>
      </w:r>
      <w:r>
        <w:rPr>
          <w:spacing w:val="-3"/>
        </w:rPr>
        <w:t>migración.</w:t>
      </w:r>
    </w:p>
    <w:p>
      <w:pPr>
        <w:pStyle w:val="BodyText"/>
        <w:rPr>
          <w:sz w:val="22"/>
        </w:rPr>
      </w:pPr>
    </w:p>
    <w:p>
      <w:pPr>
        <w:pStyle w:val="BodyText"/>
        <w:spacing w:line="364" w:lineRule="auto" w:before="155"/>
        <w:ind w:left="115" w:right="102"/>
        <w:jc w:val="both"/>
      </w:pPr>
      <w:r>
        <w:rPr/>
        <w:t>De lo </w:t>
      </w:r>
      <w:r>
        <w:rPr>
          <w:spacing w:val="-3"/>
        </w:rPr>
        <w:t>anterior </w:t>
      </w:r>
      <w:r>
        <w:rPr/>
        <w:t>se </w:t>
      </w:r>
      <w:r>
        <w:rPr>
          <w:spacing w:val="-3"/>
        </w:rPr>
        <w:t>intuye que, en apariencia, </w:t>
      </w:r>
      <w:r>
        <w:rPr/>
        <w:t>no </w:t>
      </w:r>
      <w:r>
        <w:rPr>
          <w:spacing w:val="-3"/>
        </w:rPr>
        <w:t>todas </w:t>
      </w:r>
      <w:r>
        <w:rPr/>
        <w:t>las </w:t>
      </w:r>
      <w:r>
        <w:rPr>
          <w:spacing w:val="-3"/>
        </w:rPr>
        <w:t>personas migran por </w:t>
      </w:r>
      <w:r>
        <w:rPr/>
        <w:t>las </w:t>
      </w:r>
      <w:r>
        <w:rPr>
          <w:spacing w:val="-3"/>
        </w:rPr>
        <w:t>mismas causas, </w:t>
      </w:r>
      <w:r>
        <w:rPr>
          <w:spacing w:val="-4"/>
        </w:rPr>
        <w:t>existiendo</w:t>
      </w:r>
      <w:r>
        <w:rPr>
          <w:spacing w:val="55"/>
        </w:rPr>
        <w:t> </w:t>
      </w:r>
      <w:r>
        <w:rPr>
          <w:spacing w:val="-3"/>
        </w:rPr>
        <w:t>incluso, </w:t>
      </w:r>
      <w:r>
        <w:rPr/>
        <w:t>en forma </w:t>
      </w:r>
      <w:r>
        <w:rPr>
          <w:spacing w:val="-3"/>
        </w:rPr>
        <w:t>mayoritaria, individuos </w:t>
      </w:r>
      <w:r>
        <w:rPr/>
        <w:t>o </w:t>
      </w:r>
      <w:r>
        <w:rPr>
          <w:spacing w:val="-3"/>
        </w:rPr>
        <w:t>familias indiferentes </w:t>
      </w:r>
      <w:r>
        <w:rPr/>
        <w:t>a </w:t>
      </w:r>
      <w:r>
        <w:rPr>
          <w:spacing w:val="-4"/>
        </w:rPr>
        <w:t>variables </w:t>
      </w:r>
      <w:r>
        <w:rPr>
          <w:spacing w:val="-3"/>
        </w:rPr>
        <w:t>socioeconómicas que motivarían </w:t>
      </w:r>
      <w:r>
        <w:rPr/>
        <w:t>a </w:t>
      </w:r>
      <w:r>
        <w:rPr>
          <w:spacing w:val="-3"/>
        </w:rPr>
        <w:t>otros </w:t>
      </w:r>
      <w:r>
        <w:rPr/>
        <w:t>a </w:t>
      </w:r>
      <w:r>
        <w:rPr>
          <w:spacing w:val="-3"/>
        </w:rPr>
        <w:t>migrar. Esto conduce </w:t>
      </w:r>
      <w:r>
        <w:rPr/>
        <w:t>a que los </w:t>
      </w:r>
      <w:r>
        <w:rPr>
          <w:spacing w:val="-4"/>
        </w:rPr>
        <w:t>diferentes </w:t>
      </w:r>
      <w:r>
        <w:rPr>
          <w:spacing w:val="-3"/>
        </w:rPr>
        <w:t>flujos migratorios </w:t>
      </w:r>
      <w:r>
        <w:rPr>
          <w:spacing w:val="-4"/>
        </w:rPr>
        <w:t>tengan </w:t>
      </w:r>
      <w:r>
        <w:rPr/>
        <w:t>como </w:t>
      </w:r>
      <w:r>
        <w:rPr>
          <w:spacing w:val="-3"/>
        </w:rPr>
        <w:t>motivación </w:t>
      </w:r>
      <w:r>
        <w:rPr>
          <w:spacing w:val="-4"/>
        </w:rPr>
        <w:t>aparente </w:t>
      </w:r>
      <w:r>
        <w:rPr/>
        <w:t>a  un </w:t>
      </w:r>
      <w:r>
        <w:rPr>
          <w:spacing w:val="-3"/>
        </w:rPr>
        <w:t>conjunto de factores, </w:t>
      </w:r>
      <w:r>
        <w:rPr/>
        <w:t>de </w:t>
      </w:r>
      <w:r>
        <w:rPr>
          <w:spacing w:val="-3"/>
        </w:rPr>
        <w:t>estructura distinta en cada caso individual, </w:t>
      </w:r>
      <w:r>
        <w:rPr/>
        <w:t>lo </w:t>
      </w:r>
      <w:r>
        <w:rPr>
          <w:spacing w:val="-3"/>
        </w:rPr>
        <w:t>cual, </w:t>
      </w:r>
      <w:r>
        <w:rPr/>
        <w:t>en un </w:t>
      </w:r>
      <w:r>
        <w:rPr>
          <w:spacing w:val="-3"/>
        </w:rPr>
        <w:t>determinado estado </w:t>
      </w:r>
      <w:r>
        <w:rPr/>
        <w:t>de las </w:t>
      </w:r>
      <w:r>
        <w:rPr>
          <w:spacing w:val="-3"/>
        </w:rPr>
        <w:t>cosas, </w:t>
      </w:r>
      <w:r>
        <w:rPr>
          <w:spacing w:val="-4"/>
        </w:rPr>
        <w:t>puede </w:t>
      </w:r>
      <w:r>
        <w:rPr>
          <w:spacing w:val="-3"/>
        </w:rPr>
        <w:t>incluso, producir una decisión contraria </w:t>
      </w:r>
      <w:r>
        <w:rPr/>
        <w:t>(la de no </w:t>
      </w:r>
      <w:r>
        <w:rPr>
          <w:spacing w:val="-3"/>
        </w:rPr>
        <w:t>migración). </w:t>
      </w:r>
      <w:r>
        <w:rPr>
          <w:spacing w:val="-4"/>
        </w:rPr>
        <w:t>Justamente, </w:t>
      </w:r>
      <w:r>
        <w:rPr>
          <w:spacing w:val="-3"/>
        </w:rPr>
        <w:t>debido </w:t>
      </w:r>
      <w:r>
        <w:rPr/>
        <w:t>a la </w:t>
      </w:r>
      <w:r>
        <w:rPr>
          <w:spacing w:val="-3"/>
        </w:rPr>
        <w:t>existencia de múltiples </w:t>
      </w:r>
      <w:r>
        <w:rPr>
          <w:spacing w:val="-4"/>
        </w:rPr>
        <w:t>y, </w:t>
      </w:r>
      <w:r>
        <w:rPr/>
        <w:t>en </w:t>
      </w:r>
      <w:r>
        <w:rPr>
          <w:spacing w:val="-3"/>
        </w:rPr>
        <w:t>apariencia, inconexas </w:t>
      </w:r>
      <w:r>
        <w:rPr>
          <w:spacing w:val="-4"/>
        </w:rPr>
        <w:t>razones </w:t>
      </w:r>
      <w:r>
        <w:rPr/>
        <w:t>para </w:t>
      </w:r>
      <w:r>
        <w:rPr>
          <w:spacing w:val="-3"/>
        </w:rPr>
        <w:t>migrar, </w:t>
      </w:r>
      <w:r>
        <w:rPr>
          <w:spacing w:val="-4"/>
        </w:rPr>
        <w:t>algunos </w:t>
      </w:r>
      <w:r>
        <w:rPr>
          <w:spacing w:val="-3"/>
        </w:rPr>
        <w:t>estudiosos del tema sostienen que </w:t>
      </w:r>
      <w:r>
        <w:rPr/>
        <w:t>no  </w:t>
      </w:r>
      <w:r>
        <w:rPr>
          <w:spacing w:val="-3"/>
        </w:rPr>
        <w:t>existe, ni </w:t>
      </w:r>
      <w:r>
        <w:rPr>
          <w:spacing w:val="-4"/>
        </w:rPr>
        <w:t>puede</w:t>
      </w:r>
      <w:r>
        <w:rPr>
          <w:spacing w:val="55"/>
        </w:rPr>
        <w:t> </w:t>
      </w:r>
      <w:r>
        <w:rPr>
          <w:spacing w:val="-3"/>
        </w:rPr>
        <w:t>ser construido </w:t>
      </w:r>
      <w:r>
        <w:rPr/>
        <w:t>un </w:t>
      </w:r>
      <w:r>
        <w:rPr>
          <w:spacing w:val="-3"/>
        </w:rPr>
        <w:t>modelo </w:t>
      </w:r>
      <w:r>
        <w:rPr/>
        <w:t>único </w:t>
      </w:r>
      <w:r>
        <w:rPr>
          <w:spacing w:val="-3"/>
        </w:rPr>
        <w:t>que pueda explicar el comportamiento de todos </w:t>
      </w:r>
      <w:r>
        <w:rPr/>
        <w:t>los </w:t>
      </w:r>
      <w:r>
        <w:rPr>
          <w:spacing w:val="-3"/>
        </w:rPr>
        <w:t>tipos de movimientos </w:t>
      </w:r>
      <w:r>
        <w:rPr>
          <w:spacing w:val="12"/>
        </w:rPr>
        <w:t> </w:t>
      </w:r>
      <w:r>
        <w:rPr>
          <w:spacing w:val="-3"/>
        </w:rPr>
        <w:t>migratorios.</w:t>
      </w:r>
    </w:p>
    <w:p>
      <w:pPr>
        <w:pStyle w:val="BodyText"/>
        <w:rPr>
          <w:sz w:val="22"/>
        </w:rPr>
      </w:pPr>
    </w:p>
    <w:p>
      <w:pPr>
        <w:pStyle w:val="BodyText"/>
        <w:spacing w:before="154"/>
        <w:ind w:left="115"/>
        <w:jc w:val="both"/>
        <w:rPr>
          <w:rFonts w:ascii="Symbol" w:hAnsi="Symbol"/>
        </w:rPr>
      </w:pPr>
      <w:r>
        <w:rPr>
          <w:spacing w:val="-3"/>
        </w:rPr>
        <w:t>Al  respecto,  Castillo </w:t>
      </w:r>
      <w:r>
        <w:rPr>
          <w:spacing w:val="-4"/>
        </w:rPr>
        <w:t>(1995:19)  </w:t>
      </w:r>
      <w:r>
        <w:rPr>
          <w:spacing w:val="-3"/>
        </w:rPr>
        <w:t>menciona  </w:t>
      </w:r>
      <w:r>
        <w:rPr/>
        <w:t>que  </w:t>
      </w:r>
      <w:r>
        <w:rPr>
          <w:spacing w:val="-3"/>
        </w:rPr>
        <w:t>“...no  obstante  </w:t>
      </w:r>
      <w:r>
        <w:rPr/>
        <w:t>que la </w:t>
      </w:r>
      <w:r>
        <w:rPr>
          <w:spacing w:val="-3"/>
        </w:rPr>
        <w:t>migración </w:t>
      </w:r>
      <w:r>
        <w:rPr>
          <w:rFonts w:ascii="Symbol" w:hAnsi="Symbol"/>
          <w:spacing w:val="-4"/>
        </w:rPr>
        <w:t></w:t>
      </w:r>
      <w:r>
        <w:rPr>
          <w:spacing w:val="-4"/>
        </w:rPr>
        <w:t>ya</w:t>
      </w:r>
      <w:r>
        <w:rPr>
          <w:rFonts w:ascii="Symbol" w:hAnsi="Symbol"/>
          <w:spacing w:val="-4"/>
        </w:rPr>
        <w:t></w:t>
      </w:r>
    </w:p>
    <w:p>
      <w:pPr>
        <w:pStyle w:val="BodyText"/>
        <w:spacing w:line="364" w:lineRule="auto" w:before="149"/>
        <w:ind w:left="115" w:right="101"/>
        <w:jc w:val="both"/>
      </w:pPr>
      <w:r>
        <w:rPr>
          <w:spacing w:val="-3"/>
        </w:rPr>
        <w:t>...es un tema añejo,...los intentos para explicar sus causas no </w:t>
      </w:r>
      <w:r>
        <w:rPr/>
        <w:t>han </w:t>
      </w:r>
      <w:r>
        <w:rPr>
          <w:spacing w:val="-3"/>
        </w:rPr>
        <w:t>logrado </w:t>
      </w:r>
      <w:r>
        <w:rPr/>
        <w:t>un  </w:t>
      </w:r>
      <w:r>
        <w:rPr>
          <w:spacing w:val="-3"/>
        </w:rPr>
        <w:t>acuerdo teórico </w:t>
      </w:r>
      <w:r>
        <w:rPr>
          <w:spacing w:val="-4"/>
        </w:rPr>
        <w:t>metodológico...”.</w:t>
      </w:r>
      <w:r>
        <w:rPr>
          <w:spacing w:val="55"/>
        </w:rPr>
        <w:t> </w:t>
      </w:r>
      <w:r>
        <w:rPr/>
        <w:t>En </w:t>
      </w:r>
      <w:r>
        <w:rPr>
          <w:spacing w:val="-3"/>
        </w:rPr>
        <w:t>ese </w:t>
      </w:r>
      <w:r>
        <w:rPr/>
        <w:t>mismo </w:t>
      </w:r>
      <w:r>
        <w:rPr>
          <w:spacing w:val="-3"/>
        </w:rPr>
        <w:t>sentido Leal </w:t>
      </w:r>
      <w:r>
        <w:rPr>
          <w:spacing w:val="-4"/>
        </w:rPr>
        <w:t>(1963:9,10) </w:t>
      </w:r>
      <w:r>
        <w:rPr>
          <w:spacing w:val="-3"/>
        </w:rPr>
        <w:t>afirma que </w:t>
      </w:r>
      <w:r>
        <w:rPr/>
        <w:t>la </w:t>
      </w:r>
      <w:r>
        <w:rPr>
          <w:spacing w:val="-3"/>
        </w:rPr>
        <w:t>“...formulación tipológica es </w:t>
      </w:r>
      <w:r>
        <w:rPr/>
        <w:t>el </w:t>
      </w:r>
      <w:r>
        <w:rPr>
          <w:spacing w:val="-3"/>
        </w:rPr>
        <w:t>resultado </w:t>
      </w:r>
      <w:r>
        <w:rPr/>
        <w:t>de </w:t>
      </w:r>
      <w:r>
        <w:rPr>
          <w:spacing w:val="-3"/>
        </w:rPr>
        <w:t>profundizar </w:t>
      </w:r>
      <w:r>
        <w:rPr/>
        <w:t>en el </w:t>
      </w:r>
      <w:r>
        <w:rPr>
          <w:spacing w:val="-3"/>
        </w:rPr>
        <w:t>análisis para  </w:t>
      </w:r>
      <w:r>
        <w:rPr>
          <w:spacing w:val="-4"/>
        </w:rPr>
        <w:t>encontrar </w:t>
      </w:r>
      <w:r>
        <w:rPr/>
        <w:t>las </w:t>
      </w:r>
      <w:r>
        <w:rPr>
          <w:spacing w:val="-3"/>
        </w:rPr>
        <w:t>causas básicas </w:t>
      </w:r>
      <w:r>
        <w:rPr>
          <w:spacing w:val="-4"/>
        </w:rPr>
        <w:t>subyacentes </w:t>
      </w:r>
      <w:r>
        <w:rPr/>
        <w:t>y para </w:t>
      </w:r>
      <w:r>
        <w:rPr>
          <w:spacing w:val="-3"/>
        </w:rPr>
        <w:t>distinguir, con mayor precisión, </w:t>
      </w:r>
      <w:r>
        <w:rPr/>
        <w:t>los </w:t>
      </w:r>
      <w:r>
        <w:rPr>
          <w:spacing w:val="-3"/>
        </w:rPr>
        <w:t>motivos personales de </w:t>
      </w:r>
      <w:r>
        <w:rPr/>
        <w:t>las </w:t>
      </w:r>
      <w:r>
        <w:rPr>
          <w:spacing w:val="-3"/>
        </w:rPr>
        <w:t>causas sociales” </w:t>
      </w:r>
      <w:r>
        <w:rPr/>
        <w:t>y </w:t>
      </w:r>
      <w:r>
        <w:rPr>
          <w:spacing w:val="-3"/>
        </w:rPr>
        <w:t>que </w:t>
      </w:r>
      <w:r>
        <w:rPr/>
        <w:t>la </w:t>
      </w:r>
      <w:r>
        <w:rPr>
          <w:spacing w:val="-3"/>
        </w:rPr>
        <w:t>migración,     </w:t>
      </w:r>
      <w:r>
        <w:rPr>
          <w:spacing w:val="31"/>
        </w:rPr>
        <w:t> </w:t>
      </w:r>
      <w:r>
        <w:rPr/>
        <w:t>es </w:t>
      </w:r>
      <w:r>
        <w:rPr>
          <w:spacing w:val="-3"/>
        </w:rPr>
        <w:t>“...un fenómeno</w:t>
      </w:r>
    </w:p>
    <w:p>
      <w:pPr>
        <w:pStyle w:val="BodyText"/>
        <w:spacing w:line="270" w:lineRule="exact"/>
        <w:ind w:left="115"/>
        <w:jc w:val="both"/>
      </w:pPr>
      <w:r>
        <w:rPr/>
        <w:t>muy </w:t>
      </w:r>
      <w:r>
        <w:rPr>
          <w:spacing w:val="-3"/>
        </w:rPr>
        <w:t>difícil de analizar </w:t>
      </w:r>
      <w:r>
        <w:rPr/>
        <w:t>por su </w:t>
      </w:r>
      <w:r>
        <w:rPr>
          <w:spacing w:val="-3"/>
        </w:rPr>
        <w:t>complejidad</w:t>
      </w:r>
      <w:r>
        <w:rPr>
          <w:spacing w:val="-3"/>
          <w:position w:val="11"/>
          <w:sz w:val="15"/>
        </w:rPr>
        <w:t>42</w:t>
      </w:r>
      <w:r>
        <w:rPr>
          <w:spacing w:val="-3"/>
        </w:rPr>
        <w:t>...” por </w:t>
      </w:r>
      <w:r>
        <w:rPr/>
        <w:t>lo </w:t>
      </w:r>
      <w:r>
        <w:rPr>
          <w:spacing w:val="-3"/>
        </w:rPr>
        <w:t>que “...las </w:t>
      </w:r>
      <w:r>
        <w:rPr>
          <w:spacing w:val="-4"/>
        </w:rPr>
        <w:t>categorías   </w:t>
      </w:r>
      <w:r>
        <w:rPr>
          <w:spacing w:val="-3"/>
        </w:rPr>
        <w:t>tipológicas</w:t>
      </w:r>
    </w:p>
    <w:p>
      <w:pPr>
        <w:pStyle w:val="BodyText"/>
        <w:spacing w:line="364" w:lineRule="auto" w:before="138"/>
        <w:ind w:left="115" w:right="100"/>
        <w:jc w:val="both"/>
      </w:pPr>
      <w:r>
        <w:rPr/>
        <w:t>no </w:t>
      </w:r>
      <w:r>
        <w:rPr>
          <w:spacing w:val="-3"/>
        </w:rPr>
        <w:t>sirven para formular leyes ni </w:t>
      </w:r>
      <w:r>
        <w:rPr>
          <w:spacing w:val="-4"/>
        </w:rPr>
        <w:t>generalizaciones  </w:t>
      </w:r>
      <w:r>
        <w:rPr>
          <w:spacing w:val="-3"/>
        </w:rPr>
        <w:t>universales...”.  </w:t>
      </w:r>
      <w:r>
        <w:rPr>
          <w:spacing w:val="-4"/>
        </w:rPr>
        <w:t>Young  (1976:48- </w:t>
      </w:r>
      <w:r>
        <w:rPr>
          <w:spacing w:val="-3"/>
        </w:rPr>
        <w:t>53), </w:t>
      </w:r>
      <w:r>
        <w:rPr>
          <w:spacing w:val="-4"/>
        </w:rPr>
        <w:t>abunda </w:t>
      </w:r>
      <w:r>
        <w:rPr>
          <w:spacing w:val="-3"/>
        </w:rPr>
        <w:t>en el mismo sentido cuando afirma que “las circunstancias históricas  </w:t>
      </w:r>
      <w:r>
        <w:rPr>
          <w:spacing w:val="57"/>
        </w:rPr>
        <w:t> </w:t>
      </w:r>
      <w:r>
        <w:rPr>
          <w:spacing w:val="-3"/>
        </w:rPr>
        <w:t>del país </w:t>
      </w:r>
      <w:r>
        <w:rPr/>
        <w:t>y las </w:t>
      </w:r>
      <w:r>
        <w:rPr>
          <w:spacing w:val="-4"/>
        </w:rPr>
        <w:t>especificaciones </w:t>
      </w:r>
      <w:r>
        <w:rPr>
          <w:spacing w:val="-3"/>
        </w:rPr>
        <w:t>estructurales al interior </w:t>
      </w:r>
      <w:r>
        <w:rPr/>
        <w:t>de su </w:t>
      </w:r>
      <w:r>
        <w:rPr>
          <w:spacing w:val="-3"/>
        </w:rPr>
        <w:t>aparato social imprimen características únicas al fenómeno migratorio. Así, intentar formular una </w:t>
      </w:r>
      <w:r>
        <w:rPr>
          <w:i/>
          <w:spacing w:val="-3"/>
        </w:rPr>
        <w:t>teoría  </w:t>
      </w:r>
      <w:r>
        <w:rPr>
          <w:i/>
          <w:spacing w:val="-3"/>
        </w:rPr>
        <w:t>general </w:t>
      </w:r>
      <w:r>
        <w:rPr>
          <w:spacing w:val="-3"/>
        </w:rPr>
        <w:t>de </w:t>
      </w:r>
      <w:r>
        <w:rPr/>
        <w:t>la </w:t>
      </w:r>
      <w:r>
        <w:rPr>
          <w:spacing w:val="-3"/>
        </w:rPr>
        <w:t>migración </w:t>
      </w:r>
      <w:r>
        <w:rPr/>
        <w:t>es </w:t>
      </w:r>
      <w:r>
        <w:rPr>
          <w:spacing w:val="-3"/>
        </w:rPr>
        <w:t>poco menos que </w:t>
      </w:r>
      <w:r>
        <w:rPr>
          <w:spacing w:val="9"/>
        </w:rPr>
        <w:t> </w:t>
      </w:r>
      <w:r>
        <w:rPr>
          <w:spacing w:val="-4"/>
        </w:rPr>
        <w:t>inadecuado”.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r>
        <w:rPr/>
        <w:pict>
          <v:line style="position:absolute;mso-position-horizontal-relative:page;mso-position-vertical-relative:paragraph;z-index:1576;mso-wrap-distance-left:0;mso-wrap-distance-right:0" from="82.799995pt,11.626597pt" to="222.959992pt,11.626597pt" stroked="true" strokeweight=".72pt" strokecolor="#000000">
            <w10:wrap type="topAndBottom"/>
          </v:line>
        </w:pict>
      </w:r>
    </w:p>
    <w:p>
      <w:pPr>
        <w:spacing w:line="247" w:lineRule="auto" w:before="36"/>
        <w:ind w:left="116" w:right="100" w:firstLine="0"/>
        <w:jc w:val="left"/>
        <w:rPr>
          <w:sz w:val="19"/>
        </w:rPr>
      </w:pPr>
      <w:r>
        <w:rPr>
          <w:position w:val="10"/>
          <w:sz w:val="12"/>
        </w:rPr>
        <w:t>42 </w:t>
      </w:r>
      <w:r>
        <w:rPr>
          <w:sz w:val="19"/>
        </w:rPr>
        <w:t>Esta palabra se deriva de complejo, la cual a su vez proviene de complexo uno de cuyos significados es compuesto o múltiple, constreñida a su campo conceptual   original.</w:t>
      </w:r>
    </w:p>
    <w:p>
      <w:pPr>
        <w:spacing w:after="0" w:line="247" w:lineRule="auto"/>
        <w:jc w:val="left"/>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2"/>
        <w:jc w:val="both"/>
      </w:pPr>
      <w:r>
        <w:rPr/>
        <w:t>En </w:t>
      </w:r>
      <w:r>
        <w:rPr>
          <w:spacing w:val="-3"/>
        </w:rPr>
        <w:t>cambio otros autores plantean, implícita </w:t>
      </w:r>
      <w:r>
        <w:rPr/>
        <w:t>o </w:t>
      </w:r>
      <w:r>
        <w:rPr>
          <w:spacing w:val="-3"/>
        </w:rPr>
        <w:t>explícitamente, </w:t>
      </w:r>
      <w:r>
        <w:rPr/>
        <w:t>lo </w:t>
      </w:r>
      <w:r>
        <w:rPr>
          <w:spacing w:val="-3"/>
        </w:rPr>
        <w:t>contrario. </w:t>
      </w:r>
      <w:r>
        <w:rPr/>
        <w:t>Por  </w:t>
      </w:r>
      <w:r>
        <w:rPr>
          <w:spacing w:val="-3"/>
        </w:rPr>
        <w:t>ejemplo,</w:t>
      </w:r>
      <w:r>
        <w:rPr>
          <w:spacing w:val="15"/>
        </w:rPr>
        <w:t> </w:t>
      </w:r>
      <w:r>
        <w:rPr/>
        <w:t>en</w:t>
      </w:r>
      <w:r>
        <w:rPr>
          <w:spacing w:val="15"/>
        </w:rPr>
        <w:t> </w:t>
      </w:r>
      <w:r>
        <w:rPr>
          <w:spacing w:val="-3"/>
        </w:rPr>
        <w:t>una</w:t>
      </w:r>
      <w:r>
        <w:rPr>
          <w:spacing w:val="15"/>
        </w:rPr>
        <w:t> </w:t>
      </w:r>
      <w:r>
        <w:rPr>
          <w:spacing w:val="-3"/>
        </w:rPr>
        <w:t>aparente</w:t>
      </w:r>
      <w:r>
        <w:rPr>
          <w:spacing w:val="13"/>
        </w:rPr>
        <w:t> </w:t>
      </w:r>
      <w:r>
        <w:rPr>
          <w:spacing w:val="-3"/>
        </w:rPr>
        <w:t>concordancia</w:t>
      </w:r>
      <w:r>
        <w:rPr>
          <w:spacing w:val="15"/>
        </w:rPr>
        <w:t> </w:t>
      </w:r>
      <w:r>
        <w:rPr>
          <w:spacing w:val="-3"/>
        </w:rPr>
        <w:t>con</w:t>
      </w:r>
      <w:r>
        <w:rPr>
          <w:spacing w:val="15"/>
        </w:rPr>
        <w:t> </w:t>
      </w:r>
      <w:r>
        <w:rPr/>
        <w:t>el</w:t>
      </w:r>
      <w:r>
        <w:rPr>
          <w:spacing w:val="16"/>
        </w:rPr>
        <w:t> </w:t>
      </w:r>
      <w:r>
        <w:rPr>
          <w:spacing w:val="-3"/>
        </w:rPr>
        <w:t>anterior</w:t>
      </w:r>
      <w:r>
        <w:rPr>
          <w:spacing w:val="17"/>
        </w:rPr>
        <w:t> </w:t>
      </w:r>
      <w:r>
        <w:rPr>
          <w:spacing w:val="-3"/>
        </w:rPr>
        <w:t>punto</w:t>
      </w:r>
      <w:r>
        <w:rPr>
          <w:spacing w:val="13"/>
        </w:rPr>
        <w:t> </w:t>
      </w:r>
      <w:r>
        <w:rPr/>
        <w:t>de</w:t>
      </w:r>
      <w:r>
        <w:rPr>
          <w:spacing w:val="15"/>
        </w:rPr>
        <w:t> </w:t>
      </w:r>
      <w:r>
        <w:rPr>
          <w:spacing w:val="-3"/>
        </w:rPr>
        <w:t>vista,</w:t>
      </w:r>
      <w:r>
        <w:rPr>
          <w:spacing w:val="17"/>
        </w:rPr>
        <w:t> </w:t>
      </w:r>
      <w:r>
        <w:rPr>
          <w:spacing w:val="-4"/>
        </w:rPr>
        <w:t>Taylor</w:t>
      </w:r>
      <w:r>
        <w:rPr>
          <w:spacing w:val="17"/>
        </w:rPr>
        <w:t> </w:t>
      </w:r>
      <w:r>
        <w:rPr>
          <w:spacing w:val="-3"/>
        </w:rPr>
        <w:t>(1984:</w:t>
      </w:r>
    </w:p>
    <w:p>
      <w:pPr>
        <w:pStyle w:val="BodyText"/>
        <w:spacing w:line="364" w:lineRule="auto" w:before="5"/>
        <w:ind w:left="115" w:right="100"/>
        <w:jc w:val="both"/>
      </w:pPr>
      <w:r>
        <w:rPr/>
        <w:t>6) </w:t>
      </w:r>
      <w:r>
        <w:rPr>
          <w:spacing w:val="-3"/>
        </w:rPr>
        <w:t>hace referencia </w:t>
      </w:r>
      <w:r>
        <w:rPr/>
        <w:t>a un </w:t>
      </w:r>
      <w:r>
        <w:rPr>
          <w:spacing w:val="-3"/>
        </w:rPr>
        <w:t>acuerdo general entre </w:t>
      </w:r>
      <w:r>
        <w:rPr/>
        <w:t>los </w:t>
      </w:r>
      <w:r>
        <w:rPr>
          <w:spacing w:val="-3"/>
        </w:rPr>
        <w:t>demógrafos </w:t>
      </w:r>
      <w:r>
        <w:rPr/>
        <w:t>y los </w:t>
      </w:r>
      <w:r>
        <w:rPr>
          <w:spacing w:val="-3"/>
        </w:rPr>
        <w:t>economistas del desarrollo, con respecto </w:t>
      </w:r>
      <w:r>
        <w:rPr/>
        <w:t>a la </w:t>
      </w:r>
      <w:r>
        <w:rPr>
          <w:spacing w:val="-3"/>
        </w:rPr>
        <w:t>existencia </w:t>
      </w:r>
      <w:r>
        <w:rPr/>
        <w:t>de </w:t>
      </w:r>
      <w:r>
        <w:rPr>
          <w:spacing w:val="-3"/>
        </w:rPr>
        <w:t>un </w:t>
      </w:r>
      <w:r>
        <w:rPr>
          <w:spacing w:val="-4"/>
        </w:rPr>
        <w:t>número </w:t>
      </w:r>
      <w:r>
        <w:rPr>
          <w:spacing w:val="-3"/>
        </w:rPr>
        <w:t>considerable </w:t>
      </w:r>
      <w:r>
        <w:rPr/>
        <w:t>de </w:t>
      </w:r>
      <w:r>
        <w:rPr>
          <w:i/>
          <w:spacing w:val="-3"/>
        </w:rPr>
        <w:t>hechos </w:t>
      </w:r>
      <w:r>
        <w:rPr>
          <w:i/>
          <w:spacing w:val="-4"/>
        </w:rPr>
        <w:t>estilizados </w:t>
      </w:r>
      <w:r>
        <w:rPr>
          <w:spacing w:val="-3"/>
        </w:rPr>
        <w:t>relacionados con </w:t>
      </w:r>
      <w:r>
        <w:rPr/>
        <w:t>los </w:t>
      </w:r>
      <w:r>
        <w:rPr>
          <w:spacing w:val="-3"/>
        </w:rPr>
        <w:t>movimientos de población </w:t>
      </w:r>
      <w:r>
        <w:rPr/>
        <w:t>en los </w:t>
      </w:r>
      <w:r>
        <w:rPr>
          <w:spacing w:val="-3"/>
        </w:rPr>
        <w:t>países menos desarrollados. </w:t>
      </w:r>
      <w:r>
        <w:rPr/>
        <w:t>Sin </w:t>
      </w:r>
      <w:r>
        <w:rPr>
          <w:spacing w:val="-4"/>
        </w:rPr>
        <w:t>embargo, </w:t>
      </w:r>
      <w:r>
        <w:rPr/>
        <w:t>más </w:t>
      </w:r>
      <w:r>
        <w:rPr>
          <w:spacing w:val="-3"/>
        </w:rPr>
        <w:t>adelante señala apropiadamente, </w:t>
      </w:r>
      <w:r>
        <w:rPr/>
        <w:t>como lo </w:t>
      </w:r>
      <w:r>
        <w:rPr>
          <w:spacing w:val="-3"/>
        </w:rPr>
        <w:t>hizo Mines (1982:1, </w:t>
      </w:r>
      <w:r>
        <w:rPr>
          <w:i/>
          <w:spacing w:val="-3"/>
        </w:rPr>
        <w:t>supra</w:t>
      </w:r>
      <w:r>
        <w:rPr>
          <w:spacing w:val="-3"/>
        </w:rPr>
        <w:t>), </w:t>
      </w:r>
      <w:r>
        <w:rPr/>
        <w:t>que </w:t>
      </w:r>
      <w:r>
        <w:rPr>
          <w:spacing w:val="-3"/>
        </w:rPr>
        <w:t>“...en el tiempo, </w:t>
      </w:r>
      <w:r>
        <w:rPr/>
        <w:t>los </w:t>
      </w:r>
      <w:r>
        <w:rPr>
          <w:spacing w:val="-3"/>
        </w:rPr>
        <w:t>migrantes tienden </w:t>
      </w:r>
      <w:r>
        <w:rPr/>
        <w:t>a </w:t>
      </w:r>
      <w:r>
        <w:rPr>
          <w:spacing w:val="-3"/>
        </w:rPr>
        <w:t>moverse </w:t>
      </w:r>
      <w:r>
        <w:rPr/>
        <w:t>hacia la </w:t>
      </w:r>
      <w:r>
        <w:rPr>
          <w:spacing w:val="-3"/>
        </w:rPr>
        <w:t>áreas con oportunidades económicas mayores que </w:t>
      </w:r>
      <w:r>
        <w:rPr/>
        <w:t>las </w:t>
      </w:r>
      <w:r>
        <w:rPr>
          <w:spacing w:val="-3"/>
        </w:rPr>
        <w:t>de </w:t>
      </w:r>
      <w:r>
        <w:rPr/>
        <w:t>su </w:t>
      </w:r>
      <w:r>
        <w:rPr>
          <w:spacing w:val="-3"/>
        </w:rPr>
        <w:t>lugar </w:t>
      </w:r>
      <w:r>
        <w:rPr/>
        <w:t>de </w:t>
      </w:r>
      <w:r>
        <w:rPr>
          <w:spacing w:val="-3"/>
        </w:rPr>
        <w:t>origen”, </w:t>
      </w:r>
      <w:r>
        <w:rPr/>
        <w:t>y </w:t>
      </w:r>
      <w:r>
        <w:rPr>
          <w:spacing w:val="-3"/>
        </w:rPr>
        <w:t>esa forma de plantear el problema puede ser </w:t>
      </w:r>
      <w:r>
        <w:rPr>
          <w:spacing w:val="-4"/>
        </w:rPr>
        <w:t>interpretada </w:t>
      </w:r>
      <w:r>
        <w:rPr/>
        <w:t>ya como una </w:t>
      </w:r>
      <w:r>
        <w:rPr>
          <w:spacing w:val="-3"/>
        </w:rPr>
        <w:t>expresión literal</w:t>
      </w:r>
    </w:p>
    <w:p>
      <w:pPr>
        <w:pStyle w:val="BodyText"/>
        <w:spacing w:line="270" w:lineRule="exact"/>
        <w:ind w:left="116"/>
        <w:jc w:val="both"/>
      </w:pPr>
      <w:r>
        <w:rPr/>
        <w:t>de un modelo general</w:t>
      </w:r>
      <w:r>
        <w:rPr>
          <w:position w:val="11"/>
          <w:sz w:val="15"/>
        </w:rPr>
        <w:t>43</w:t>
      </w:r>
      <w:r>
        <w:rPr/>
        <w:t>.</w:t>
      </w:r>
    </w:p>
    <w:p>
      <w:pPr>
        <w:pStyle w:val="BodyText"/>
        <w:spacing w:before="3"/>
        <w:rPr>
          <w:sz w:val="32"/>
        </w:rPr>
      </w:pPr>
    </w:p>
    <w:p>
      <w:pPr>
        <w:pStyle w:val="BodyText"/>
        <w:spacing w:line="364" w:lineRule="auto"/>
        <w:ind w:left="116" w:right="100"/>
        <w:jc w:val="both"/>
      </w:pPr>
      <w:r>
        <w:rPr>
          <w:spacing w:val="-3"/>
        </w:rPr>
        <w:t>Siguiendo el </w:t>
      </w:r>
      <w:r>
        <w:rPr/>
        <w:t>hilo </w:t>
      </w:r>
      <w:r>
        <w:rPr>
          <w:spacing w:val="-3"/>
        </w:rPr>
        <w:t>de este razonamiento, en </w:t>
      </w:r>
      <w:r>
        <w:rPr/>
        <w:t>una </w:t>
      </w:r>
      <w:r>
        <w:rPr>
          <w:spacing w:val="-3"/>
        </w:rPr>
        <w:t>posición </w:t>
      </w:r>
      <w:r>
        <w:rPr/>
        <w:t>más </w:t>
      </w:r>
      <w:r>
        <w:rPr>
          <w:spacing w:val="-4"/>
        </w:rPr>
        <w:t>avanzada, </w:t>
      </w:r>
      <w:r>
        <w:rPr>
          <w:spacing w:val="-3"/>
        </w:rPr>
        <w:t>Massey </w:t>
      </w:r>
      <w:r>
        <w:rPr/>
        <w:t>(y </w:t>
      </w:r>
      <w:r>
        <w:rPr>
          <w:spacing w:val="-3"/>
        </w:rPr>
        <w:t>Taylor) </w:t>
      </w:r>
      <w:r>
        <w:rPr>
          <w:i/>
          <w:spacing w:val="-3"/>
        </w:rPr>
        <w:t>et </w:t>
      </w:r>
      <w:r>
        <w:rPr>
          <w:i/>
        </w:rPr>
        <w:t>al </w:t>
      </w:r>
      <w:r>
        <w:rPr>
          <w:spacing w:val="-3"/>
        </w:rPr>
        <w:t>(1994:739) mencionan </w:t>
      </w:r>
      <w:r>
        <w:rPr/>
        <w:t>que su </w:t>
      </w:r>
      <w:r>
        <w:rPr>
          <w:spacing w:val="-3"/>
        </w:rPr>
        <w:t>“revisión sistemática de </w:t>
      </w:r>
      <w:r>
        <w:rPr/>
        <w:t>los </w:t>
      </w:r>
      <w:r>
        <w:rPr>
          <w:spacing w:val="-3"/>
        </w:rPr>
        <w:t>recientes estudios de </w:t>
      </w:r>
      <w:r>
        <w:rPr/>
        <w:t>la </w:t>
      </w:r>
      <w:r>
        <w:rPr>
          <w:spacing w:val="-3"/>
        </w:rPr>
        <w:t>migración internacional </w:t>
      </w:r>
      <w:r>
        <w:rPr/>
        <w:t>en </w:t>
      </w:r>
      <w:r>
        <w:rPr>
          <w:spacing w:val="-3"/>
        </w:rPr>
        <w:t>el sistema </w:t>
      </w:r>
      <w:r>
        <w:rPr/>
        <w:t>de </w:t>
      </w:r>
      <w:r>
        <w:rPr>
          <w:spacing w:val="-3"/>
        </w:rPr>
        <w:t>Norte América ha producido escasa evidencia sustancial, que conduciría </w:t>
      </w:r>
      <w:r>
        <w:rPr/>
        <w:t>al </w:t>
      </w:r>
      <w:r>
        <w:rPr>
          <w:spacing w:val="-3"/>
        </w:rPr>
        <w:t>rechazo </w:t>
      </w:r>
      <w:r>
        <w:rPr/>
        <w:t>de </w:t>
      </w:r>
      <w:r>
        <w:rPr>
          <w:spacing w:val="-3"/>
        </w:rPr>
        <w:t>alguno </w:t>
      </w:r>
      <w:r>
        <w:rPr/>
        <w:t>de los </w:t>
      </w:r>
      <w:r>
        <w:rPr>
          <w:spacing w:val="-3"/>
        </w:rPr>
        <w:t>[diferentes] modelos teóricos que </w:t>
      </w:r>
      <w:r>
        <w:rPr/>
        <w:t>ellos </w:t>
      </w:r>
      <w:r>
        <w:rPr>
          <w:spacing w:val="-4"/>
        </w:rPr>
        <w:t>habían </w:t>
      </w:r>
      <w:r>
        <w:rPr>
          <w:spacing w:val="-3"/>
        </w:rPr>
        <w:t>estudiado. </w:t>
      </w:r>
      <w:r>
        <w:rPr/>
        <w:t>Al </w:t>
      </w:r>
      <w:r>
        <w:rPr>
          <w:spacing w:val="-3"/>
        </w:rPr>
        <w:t>contrario, cada modelo recibió algún </w:t>
      </w:r>
      <w:r>
        <w:rPr>
          <w:spacing w:val="-4"/>
        </w:rPr>
        <w:t>apoyo </w:t>
      </w:r>
      <w:r>
        <w:rPr>
          <w:spacing w:val="-3"/>
        </w:rPr>
        <w:t>empírico, que sugiere </w:t>
      </w:r>
      <w:r>
        <w:rPr/>
        <w:t>que cada </w:t>
      </w:r>
      <w:r>
        <w:rPr>
          <w:spacing w:val="-3"/>
        </w:rPr>
        <w:t>teoría capta al menos un elemento de </w:t>
      </w:r>
      <w:r>
        <w:rPr/>
        <w:t>la </w:t>
      </w:r>
      <w:r>
        <w:rPr>
          <w:spacing w:val="-4"/>
        </w:rPr>
        <w:t>verdad.” </w:t>
      </w:r>
      <w:r>
        <w:rPr>
          <w:spacing w:val="-3"/>
        </w:rPr>
        <w:t>También señalan que, </w:t>
      </w:r>
      <w:r>
        <w:rPr>
          <w:spacing w:val="-2"/>
        </w:rPr>
        <w:t>“si </w:t>
      </w:r>
      <w:r>
        <w:rPr>
          <w:spacing w:val="-3"/>
        </w:rPr>
        <w:t>bien, </w:t>
      </w:r>
      <w:r>
        <w:rPr/>
        <w:t>la </w:t>
      </w:r>
      <w:r>
        <w:rPr>
          <w:spacing w:val="-3"/>
        </w:rPr>
        <w:t>base de </w:t>
      </w:r>
      <w:r>
        <w:rPr/>
        <w:t>la </w:t>
      </w:r>
      <w:r>
        <w:rPr>
          <w:spacing w:val="-3"/>
        </w:rPr>
        <w:t>investigación empírica es </w:t>
      </w:r>
      <w:r>
        <w:rPr/>
        <w:t>más </w:t>
      </w:r>
      <w:r>
        <w:rPr>
          <w:spacing w:val="-3"/>
        </w:rPr>
        <w:t>convincente para </w:t>
      </w:r>
      <w:r>
        <w:rPr/>
        <w:t>unas </w:t>
      </w:r>
      <w:r>
        <w:rPr>
          <w:spacing w:val="-3"/>
        </w:rPr>
        <w:t>teorías que </w:t>
      </w:r>
      <w:r>
        <w:rPr/>
        <w:t>para </w:t>
      </w:r>
      <w:r>
        <w:rPr>
          <w:spacing w:val="-3"/>
        </w:rPr>
        <w:t>otras, </w:t>
      </w:r>
      <w:r>
        <w:rPr>
          <w:spacing w:val="-4"/>
        </w:rPr>
        <w:t>raramente </w:t>
      </w:r>
      <w:r>
        <w:rPr>
          <w:spacing w:val="-3"/>
        </w:rPr>
        <w:t>encontraron evidencia negativa. Más </w:t>
      </w:r>
      <w:r>
        <w:rPr>
          <w:spacing w:val="-4"/>
        </w:rPr>
        <w:t>aún,  </w:t>
      </w:r>
      <w:r>
        <w:rPr>
          <w:spacing w:val="-3"/>
        </w:rPr>
        <w:t>el  defecto característico en </w:t>
      </w:r>
      <w:r>
        <w:rPr/>
        <w:t>la </w:t>
      </w:r>
      <w:r>
        <w:rPr>
          <w:spacing w:val="-3"/>
        </w:rPr>
        <w:t>investigación [si </w:t>
      </w:r>
      <w:r>
        <w:rPr/>
        <w:t>es </w:t>
      </w:r>
      <w:r>
        <w:rPr>
          <w:spacing w:val="-3"/>
        </w:rPr>
        <w:t>que </w:t>
      </w:r>
      <w:r>
        <w:rPr/>
        <w:t>lo </w:t>
      </w:r>
      <w:r>
        <w:rPr>
          <w:spacing w:val="-3"/>
        </w:rPr>
        <w:t>hubo]  </w:t>
      </w:r>
      <w:r>
        <w:rPr/>
        <w:t>fue </w:t>
      </w:r>
      <w:r>
        <w:rPr>
          <w:spacing w:val="-3"/>
        </w:rPr>
        <w:t>una ausencia de evidencia, pero no </w:t>
      </w:r>
      <w:r>
        <w:rPr/>
        <w:t>la </w:t>
      </w:r>
      <w:r>
        <w:rPr>
          <w:spacing w:val="-3"/>
        </w:rPr>
        <w:t>presencia </w:t>
      </w:r>
      <w:r>
        <w:rPr/>
        <w:t>de </w:t>
      </w:r>
      <w:r>
        <w:rPr>
          <w:spacing w:val="-3"/>
        </w:rPr>
        <w:t>evidencia </w:t>
      </w:r>
      <w:r>
        <w:rPr/>
        <w:t>en </w:t>
      </w:r>
      <w:r>
        <w:rPr>
          <w:spacing w:val="2"/>
        </w:rPr>
        <w:t> </w:t>
      </w:r>
      <w:r>
        <w:rPr>
          <w:spacing w:val="-3"/>
        </w:rPr>
        <w:t>contra”.</w:t>
      </w:r>
    </w:p>
    <w:p>
      <w:pPr>
        <w:pStyle w:val="BodyText"/>
        <w:spacing w:line="364" w:lineRule="auto" w:before="197"/>
        <w:ind w:left="116" w:right="100"/>
        <w:jc w:val="both"/>
      </w:pPr>
      <w:r>
        <w:rPr/>
        <w:t>Esa </w:t>
      </w:r>
      <w:r>
        <w:rPr>
          <w:spacing w:val="-3"/>
        </w:rPr>
        <w:t>propuesta </w:t>
      </w:r>
      <w:r>
        <w:rPr/>
        <w:t>fue </w:t>
      </w:r>
      <w:r>
        <w:rPr>
          <w:spacing w:val="-4"/>
        </w:rPr>
        <w:t>perfeccionada </w:t>
      </w:r>
      <w:r>
        <w:rPr>
          <w:spacing w:val="-3"/>
        </w:rPr>
        <w:t>posteriormente para aplicarla </w:t>
      </w:r>
      <w:r>
        <w:rPr>
          <w:spacing w:val="-4"/>
        </w:rPr>
        <w:t>al </w:t>
      </w:r>
      <w:r>
        <w:rPr>
          <w:spacing w:val="-3"/>
        </w:rPr>
        <w:t>estudio de </w:t>
      </w:r>
      <w:r>
        <w:rPr/>
        <w:t>25 </w:t>
      </w:r>
      <w:r>
        <w:rPr>
          <w:spacing w:val="-3"/>
        </w:rPr>
        <w:t>comunidades mexicanas en </w:t>
      </w:r>
      <w:r>
        <w:rPr/>
        <w:t>las </w:t>
      </w:r>
      <w:r>
        <w:rPr>
          <w:spacing w:val="-3"/>
        </w:rPr>
        <w:t>cuales habían </w:t>
      </w:r>
      <w:r>
        <w:rPr>
          <w:spacing w:val="-4"/>
        </w:rPr>
        <w:t>encontrado </w:t>
      </w:r>
      <w:r>
        <w:rPr>
          <w:spacing w:val="-3"/>
        </w:rPr>
        <w:t>algunas </w:t>
      </w:r>
      <w:r>
        <w:rPr>
          <w:spacing w:val="-4"/>
        </w:rPr>
        <w:t>confusiones </w:t>
      </w:r>
      <w:r>
        <w:rPr/>
        <w:t>bajo los </w:t>
      </w:r>
      <w:r>
        <w:rPr>
          <w:spacing w:val="-4"/>
        </w:rPr>
        <w:t>enfoques </w:t>
      </w:r>
      <w:r>
        <w:rPr>
          <w:spacing w:val="-3"/>
        </w:rPr>
        <w:t>anteriores </w:t>
      </w:r>
      <w:r>
        <w:rPr>
          <w:spacing w:val="-4"/>
        </w:rPr>
        <w:t>(Massey, </w:t>
      </w:r>
      <w:r>
        <w:rPr>
          <w:spacing w:val="-3"/>
        </w:rPr>
        <w:t>Goldring </w:t>
      </w:r>
      <w:r>
        <w:rPr/>
        <w:t>y </w:t>
      </w:r>
      <w:r>
        <w:rPr>
          <w:spacing w:val="-3"/>
        </w:rPr>
        <w:t>Durand, 1994:1494). </w:t>
      </w:r>
      <w:r>
        <w:rPr/>
        <w:t>De </w:t>
      </w:r>
      <w:r>
        <w:rPr>
          <w:spacing w:val="-3"/>
        </w:rPr>
        <w:t>esa manera tales </w:t>
      </w:r>
      <w:r>
        <w:rPr>
          <w:spacing w:val="-4"/>
        </w:rPr>
        <w:t>contradicciones </w:t>
      </w:r>
      <w:r>
        <w:rPr>
          <w:spacing w:val="-3"/>
        </w:rPr>
        <w:t>quedaron </w:t>
      </w:r>
      <w:r>
        <w:rPr>
          <w:spacing w:val="12"/>
        </w:rPr>
        <w:t> </w:t>
      </w:r>
      <w:r>
        <w:rPr>
          <w:spacing w:val="-3"/>
        </w:rPr>
        <w:t>superadas.</w:t>
      </w:r>
    </w:p>
    <w:p>
      <w:pPr>
        <w:pStyle w:val="BodyText"/>
        <w:rPr>
          <w:sz w:val="20"/>
        </w:rPr>
      </w:pPr>
    </w:p>
    <w:p>
      <w:pPr>
        <w:pStyle w:val="BodyText"/>
        <w:rPr>
          <w:sz w:val="20"/>
        </w:rPr>
      </w:pPr>
    </w:p>
    <w:p>
      <w:pPr>
        <w:pStyle w:val="BodyText"/>
        <w:spacing w:before="10"/>
        <w:rPr>
          <w:sz w:val="16"/>
        </w:rPr>
      </w:pPr>
      <w:r>
        <w:rPr/>
        <w:pict>
          <v:line style="position:absolute;mso-position-horizontal-relative:page;mso-position-vertical-relative:paragraph;z-index:1600;mso-wrap-distance-left:0;mso-wrap-distance-right:0" from="82.799995pt,12.043673pt" to="222.959992pt,12.043673pt" stroked="true" strokeweight=".72pt" strokecolor="#000000">
            <w10:wrap type="topAndBottom"/>
          </v:line>
        </w:pict>
      </w:r>
    </w:p>
    <w:p>
      <w:pPr>
        <w:spacing w:line="283" w:lineRule="auto" w:before="41"/>
        <w:ind w:left="116" w:right="105" w:firstLine="0"/>
        <w:jc w:val="both"/>
        <w:rPr>
          <w:sz w:val="19"/>
        </w:rPr>
      </w:pPr>
      <w:r>
        <w:rPr>
          <w:position w:val="10"/>
          <w:sz w:val="12"/>
        </w:rPr>
        <w:t>43 </w:t>
      </w:r>
      <w:r>
        <w:rPr>
          <w:sz w:val="19"/>
        </w:rPr>
        <w:t>A partir de tal concepción, Taylor (1984:22-33) construye un modelo relativamente novedoso en base a los modelos migratorios tradicionales y al modelo racionalista de Todaro (1987:344-363) a   los cuales les ha incorporado algunas variables nuevas y sus respectivos tratamientos tales como     el riesgo y la redes. Actualmente, dichas variables constituyen factores clave en la explicación del proceso de la toma de decisiones migratorias familiares. Posteriormente Stark y Taylor (1988) agregan a su propuesta el concepto de pobreza </w:t>
      </w:r>
      <w:r>
        <w:rPr>
          <w:rFonts w:ascii="Symbol" w:hAnsi="Symbol"/>
          <w:sz w:val="19"/>
        </w:rPr>
        <w:t></w:t>
      </w:r>
      <w:r>
        <w:rPr>
          <w:sz w:val="19"/>
        </w:rPr>
        <w:t>deprivation</w:t>
      </w:r>
      <w:r>
        <w:rPr>
          <w:rFonts w:ascii="Symbol" w:hAnsi="Symbol"/>
          <w:sz w:val="19"/>
        </w:rPr>
        <w:t></w:t>
      </w:r>
      <w:r>
        <w:rPr>
          <w:rFonts w:ascii="Times New Roman" w:hAnsi="Times New Roman"/>
          <w:sz w:val="19"/>
        </w:rPr>
        <w:t>  </w:t>
      </w:r>
      <w:r>
        <w:rPr>
          <w:rFonts w:ascii="Times New Roman" w:hAnsi="Times New Roman"/>
          <w:spacing w:val="31"/>
          <w:sz w:val="19"/>
        </w:rPr>
        <w:t> </w:t>
      </w:r>
      <w:r>
        <w:rPr>
          <w:sz w:val="19"/>
        </w:rPr>
        <w:t>relativa.</w:t>
      </w:r>
    </w:p>
    <w:p>
      <w:pPr>
        <w:spacing w:after="0" w:line="283" w:lineRule="auto"/>
        <w:jc w:val="both"/>
        <w:rPr>
          <w:sz w:val="19"/>
        </w:rPr>
        <w:sectPr>
          <w:footerReference w:type="default" r:id="rId23"/>
          <w:pgSz w:w="11900" w:h="16840"/>
          <w:pgMar w:footer="1679" w:header="0" w:top="1600" w:bottom="1860" w:left="1540" w:right="1580"/>
          <w:pgNumType w:start="30"/>
        </w:sectPr>
      </w:pPr>
    </w:p>
    <w:p>
      <w:pPr>
        <w:pStyle w:val="BodyText"/>
        <w:rPr>
          <w:sz w:val="20"/>
        </w:rPr>
      </w:pPr>
    </w:p>
    <w:p>
      <w:pPr>
        <w:pStyle w:val="BodyText"/>
        <w:spacing w:before="7"/>
        <w:rPr>
          <w:sz w:val="16"/>
        </w:rPr>
      </w:pPr>
    </w:p>
    <w:p>
      <w:pPr>
        <w:pStyle w:val="BodyText"/>
        <w:spacing w:line="364" w:lineRule="auto" w:before="74"/>
        <w:ind w:left="115" w:right="103"/>
        <w:jc w:val="both"/>
      </w:pPr>
      <w:r>
        <w:rPr/>
        <w:t>Este </w:t>
      </w:r>
      <w:r>
        <w:rPr>
          <w:spacing w:val="-3"/>
        </w:rPr>
        <w:t>resultado concuerda plenamente con </w:t>
      </w:r>
      <w:r>
        <w:rPr/>
        <w:t>lo que </w:t>
      </w:r>
      <w:r>
        <w:rPr>
          <w:spacing w:val="-3"/>
        </w:rPr>
        <w:t>para Rionda (1992:46) es </w:t>
      </w:r>
      <w:r>
        <w:rPr/>
        <w:t>la  </w:t>
      </w:r>
      <w:r>
        <w:rPr>
          <w:spacing w:val="-3"/>
        </w:rPr>
        <w:t>opinión de </w:t>
      </w:r>
      <w:r>
        <w:rPr/>
        <w:t>la </w:t>
      </w:r>
      <w:r>
        <w:rPr>
          <w:spacing w:val="-3"/>
        </w:rPr>
        <w:t>amplia mayoría de </w:t>
      </w:r>
      <w:r>
        <w:rPr/>
        <w:t>los </w:t>
      </w:r>
      <w:r>
        <w:rPr>
          <w:spacing w:val="-4"/>
        </w:rPr>
        <w:t>autores </w:t>
      </w:r>
      <w:r>
        <w:rPr>
          <w:spacing w:val="-3"/>
        </w:rPr>
        <w:t>modernistas, para quienes (no para él), </w:t>
      </w:r>
      <w:r>
        <w:rPr/>
        <w:t>es </w:t>
      </w:r>
      <w:r>
        <w:rPr>
          <w:spacing w:val="-3"/>
        </w:rPr>
        <w:t>necesaria una </w:t>
      </w:r>
      <w:r>
        <w:rPr>
          <w:i/>
          <w:spacing w:val="-3"/>
        </w:rPr>
        <w:t>teoría general </w:t>
      </w:r>
      <w:r>
        <w:rPr>
          <w:i/>
        </w:rPr>
        <w:t>de las </w:t>
      </w:r>
      <w:r>
        <w:rPr>
          <w:i/>
          <w:spacing w:val="-3"/>
        </w:rPr>
        <w:t>migraciones,  </w:t>
      </w:r>
      <w:r>
        <w:rPr>
          <w:spacing w:val="-3"/>
        </w:rPr>
        <w:t>basada  </w:t>
      </w:r>
      <w:r>
        <w:rPr/>
        <w:t>en </w:t>
      </w:r>
      <w:r>
        <w:rPr>
          <w:spacing w:val="-3"/>
        </w:rPr>
        <w:t>generalizaciones  que engloben tanto </w:t>
      </w:r>
      <w:r>
        <w:rPr/>
        <w:t>a los </w:t>
      </w:r>
      <w:r>
        <w:rPr>
          <w:spacing w:val="-3"/>
        </w:rPr>
        <w:t>aspectos económicos </w:t>
      </w:r>
      <w:r>
        <w:rPr/>
        <w:t>como a los </w:t>
      </w:r>
      <w:r>
        <w:rPr>
          <w:spacing w:val="-3"/>
        </w:rPr>
        <w:t>demográficos, sociológicos, </w:t>
      </w:r>
      <w:r>
        <w:rPr>
          <w:spacing w:val="-4"/>
        </w:rPr>
        <w:t>psicológicos </w:t>
      </w:r>
      <w:r>
        <w:rPr/>
        <w:t>y </w:t>
      </w:r>
      <w:r>
        <w:rPr>
          <w:spacing w:val="1"/>
        </w:rPr>
        <w:t> </w:t>
      </w:r>
      <w:r>
        <w:rPr>
          <w:spacing w:val="-3"/>
        </w:rPr>
        <w:t>culturales.</w:t>
      </w:r>
    </w:p>
    <w:p>
      <w:pPr>
        <w:pStyle w:val="BodyText"/>
        <w:rPr>
          <w:sz w:val="22"/>
        </w:rPr>
      </w:pPr>
    </w:p>
    <w:p>
      <w:pPr>
        <w:pStyle w:val="BodyText"/>
        <w:spacing w:line="364" w:lineRule="auto" w:before="155"/>
        <w:ind w:left="115" w:right="100"/>
        <w:jc w:val="both"/>
      </w:pPr>
      <w:r>
        <w:rPr/>
        <w:t>En </w:t>
      </w:r>
      <w:r>
        <w:rPr>
          <w:spacing w:val="-3"/>
        </w:rPr>
        <w:t>el mismo </w:t>
      </w:r>
      <w:r>
        <w:rPr>
          <w:spacing w:val="-4"/>
        </w:rPr>
        <w:t>sentido, </w:t>
      </w:r>
      <w:r>
        <w:rPr>
          <w:spacing w:val="-3"/>
        </w:rPr>
        <w:t>el análisis </w:t>
      </w:r>
      <w:r>
        <w:rPr/>
        <w:t>de la </w:t>
      </w:r>
      <w:r>
        <w:rPr>
          <w:spacing w:val="-3"/>
        </w:rPr>
        <w:t>exposición de </w:t>
      </w:r>
      <w:r>
        <w:rPr>
          <w:spacing w:val="-4"/>
        </w:rPr>
        <w:t>Arroyo, </w:t>
      </w:r>
      <w:r>
        <w:rPr/>
        <w:t>Winnie y </w:t>
      </w:r>
      <w:r>
        <w:rPr>
          <w:spacing w:val="-3"/>
        </w:rPr>
        <w:t>Velázquez </w:t>
      </w:r>
      <w:r>
        <w:rPr>
          <w:spacing w:val="-4"/>
        </w:rPr>
        <w:t>(1986:58-59)</w:t>
      </w:r>
      <w:r>
        <w:rPr>
          <w:spacing w:val="55"/>
        </w:rPr>
        <w:t> </w:t>
      </w:r>
      <w:r>
        <w:rPr>
          <w:spacing w:val="-3"/>
        </w:rPr>
        <w:t>conduce </w:t>
      </w:r>
      <w:r>
        <w:rPr/>
        <w:t>a la idea </w:t>
      </w:r>
      <w:r>
        <w:rPr>
          <w:spacing w:val="-3"/>
        </w:rPr>
        <w:t>de </w:t>
      </w:r>
      <w:r>
        <w:rPr/>
        <w:t>un </w:t>
      </w:r>
      <w:r>
        <w:rPr>
          <w:spacing w:val="-3"/>
        </w:rPr>
        <w:t>modelo migratorio general; </w:t>
      </w:r>
      <w:r>
        <w:rPr>
          <w:spacing w:val="-4"/>
        </w:rPr>
        <w:t>aunque </w:t>
      </w:r>
      <w:r>
        <w:rPr/>
        <w:t>su </w:t>
      </w:r>
      <w:r>
        <w:rPr>
          <w:spacing w:val="-3"/>
        </w:rPr>
        <w:t>exposición </w:t>
      </w:r>
      <w:r>
        <w:rPr/>
        <w:t>no </w:t>
      </w:r>
      <w:r>
        <w:rPr>
          <w:spacing w:val="-3"/>
        </w:rPr>
        <w:t>aboga </w:t>
      </w:r>
      <w:r>
        <w:rPr/>
        <w:t>por </w:t>
      </w:r>
      <w:r>
        <w:rPr>
          <w:spacing w:val="-3"/>
        </w:rPr>
        <w:t>él </w:t>
      </w:r>
      <w:r>
        <w:rPr/>
        <w:t>tan </w:t>
      </w:r>
      <w:r>
        <w:rPr>
          <w:spacing w:val="-4"/>
        </w:rPr>
        <w:t>claramente. </w:t>
      </w:r>
      <w:r>
        <w:rPr>
          <w:spacing w:val="-3"/>
        </w:rPr>
        <w:t>Por ejemplo, dicen que </w:t>
      </w:r>
      <w:r>
        <w:rPr>
          <w:spacing w:val="-4"/>
        </w:rPr>
        <w:t>“...pueden </w:t>
      </w:r>
      <w:r>
        <w:rPr>
          <w:spacing w:val="-3"/>
        </w:rPr>
        <w:t>existir casos individuales </w:t>
      </w:r>
      <w:r>
        <w:rPr/>
        <w:t>o </w:t>
      </w:r>
      <w:r>
        <w:rPr>
          <w:spacing w:val="-3"/>
        </w:rPr>
        <w:t>comunitarios que puedan responder </w:t>
      </w:r>
      <w:r>
        <w:rPr/>
        <w:t>en una </w:t>
      </w:r>
      <w:r>
        <w:rPr>
          <w:spacing w:val="-3"/>
        </w:rPr>
        <w:t>forma </w:t>
      </w:r>
      <w:r>
        <w:rPr>
          <w:spacing w:val="-4"/>
        </w:rPr>
        <w:t>diferencial </w:t>
      </w:r>
      <w:r>
        <w:rPr/>
        <w:t>a las </w:t>
      </w:r>
      <w:r>
        <w:rPr>
          <w:spacing w:val="-3"/>
        </w:rPr>
        <w:t>mismas condiciones </w:t>
      </w:r>
      <w:r>
        <w:rPr>
          <w:rFonts w:ascii="Symbol" w:hAnsi="Symbol"/>
          <w:spacing w:val="-3"/>
        </w:rPr>
        <w:t></w:t>
      </w:r>
      <w:r>
        <w:rPr>
          <w:spacing w:val="-3"/>
        </w:rPr>
        <w:t>situaciones</w:t>
      </w:r>
      <w:r>
        <w:rPr>
          <w:rFonts w:ascii="Symbol" w:hAnsi="Symbol"/>
          <w:spacing w:val="-3"/>
        </w:rPr>
        <w:t></w:t>
      </w:r>
      <w:r>
        <w:rPr>
          <w:rFonts w:ascii="Times New Roman" w:hAnsi="Times New Roman"/>
          <w:spacing w:val="-3"/>
        </w:rPr>
        <w:t> </w:t>
      </w:r>
      <w:r>
        <w:rPr/>
        <w:t>medio </w:t>
      </w:r>
      <w:r>
        <w:rPr>
          <w:spacing w:val="-3"/>
        </w:rPr>
        <w:t>ambientales...” pero siendo </w:t>
      </w:r>
      <w:r>
        <w:rPr/>
        <w:t>de </w:t>
      </w:r>
      <w:r>
        <w:rPr>
          <w:spacing w:val="-3"/>
        </w:rPr>
        <w:t>diferente estructura psicosocial, cultural </w:t>
      </w:r>
      <w:r>
        <w:rPr/>
        <w:t>o </w:t>
      </w:r>
      <w:r>
        <w:rPr>
          <w:spacing w:val="-3"/>
        </w:rPr>
        <w:t>étnica. Al </w:t>
      </w:r>
      <w:r>
        <w:rPr>
          <w:spacing w:val="-4"/>
        </w:rPr>
        <w:t>respecto,</w:t>
      </w:r>
      <w:r>
        <w:rPr>
          <w:spacing w:val="55"/>
        </w:rPr>
        <w:t> </w:t>
      </w:r>
      <w:r>
        <w:rPr>
          <w:spacing w:val="-3"/>
        </w:rPr>
        <w:t>abundan posteriormente, señalando </w:t>
      </w:r>
      <w:r>
        <w:rPr/>
        <w:t>que </w:t>
      </w:r>
      <w:r>
        <w:rPr>
          <w:spacing w:val="-3"/>
        </w:rPr>
        <w:t>“el fenómeno </w:t>
      </w:r>
      <w:r>
        <w:rPr>
          <w:rFonts w:ascii="Symbol" w:hAnsi="Symbol"/>
          <w:spacing w:val="-3"/>
        </w:rPr>
        <w:t></w:t>
      </w:r>
      <w:r>
        <w:rPr>
          <w:spacing w:val="-3"/>
        </w:rPr>
        <w:t>migratorio</w:t>
      </w:r>
      <w:r>
        <w:rPr>
          <w:rFonts w:ascii="Symbol" w:hAnsi="Symbol"/>
          <w:spacing w:val="-3"/>
        </w:rPr>
        <w:t></w:t>
      </w:r>
      <w:r>
        <w:rPr>
          <w:rFonts w:ascii="Times New Roman" w:hAnsi="Times New Roman"/>
          <w:spacing w:val="-3"/>
        </w:rPr>
        <w:t> </w:t>
      </w:r>
      <w:r>
        <w:rPr>
          <w:spacing w:val="-3"/>
        </w:rPr>
        <w:t>es complejo...” </w:t>
      </w:r>
      <w:r>
        <w:rPr/>
        <w:t>(y las </w:t>
      </w:r>
      <w:r>
        <w:rPr>
          <w:spacing w:val="-3"/>
        </w:rPr>
        <w:t>comunidades rurales son </w:t>
      </w:r>
      <w:r>
        <w:rPr>
          <w:spacing w:val="-4"/>
        </w:rPr>
        <w:t>heterogéneas </w:t>
      </w:r>
      <w:r>
        <w:rPr/>
        <w:t>entre sí) </w:t>
      </w:r>
      <w:r>
        <w:rPr>
          <w:spacing w:val="-3"/>
        </w:rPr>
        <w:t>debido </w:t>
      </w:r>
      <w:r>
        <w:rPr/>
        <w:t>a la </w:t>
      </w:r>
      <w:r>
        <w:rPr>
          <w:spacing w:val="-4"/>
        </w:rPr>
        <w:t>existencia </w:t>
      </w:r>
      <w:r>
        <w:rPr>
          <w:spacing w:val="-3"/>
        </w:rPr>
        <w:t>de múltiples causas, </w:t>
      </w:r>
      <w:r>
        <w:rPr>
          <w:spacing w:val="-4"/>
        </w:rPr>
        <w:t>concluyendo </w:t>
      </w:r>
      <w:r>
        <w:rPr>
          <w:spacing w:val="-3"/>
        </w:rPr>
        <w:t>posteriormente que “el análisis del proceso </w:t>
      </w:r>
      <w:r>
        <w:rPr/>
        <w:t>de </w:t>
      </w:r>
      <w:r>
        <w:rPr>
          <w:spacing w:val="-3"/>
        </w:rPr>
        <w:t>cambio de </w:t>
      </w:r>
      <w:r>
        <w:rPr/>
        <w:t>la </w:t>
      </w:r>
      <w:r>
        <w:rPr>
          <w:spacing w:val="-3"/>
        </w:rPr>
        <w:t>población </w:t>
      </w:r>
      <w:r>
        <w:rPr/>
        <w:t>es </w:t>
      </w:r>
      <w:r>
        <w:rPr>
          <w:spacing w:val="-3"/>
        </w:rPr>
        <w:t>llevado </w:t>
      </w:r>
      <w:r>
        <w:rPr/>
        <w:t>al </w:t>
      </w:r>
      <w:r>
        <w:rPr>
          <w:spacing w:val="-3"/>
        </w:rPr>
        <w:t>encuentro con otros elementos </w:t>
      </w:r>
      <w:r>
        <w:rPr/>
        <w:t>de </w:t>
      </w:r>
      <w:r>
        <w:rPr>
          <w:spacing w:val="-3"/>
        </w:rPr>
        <w:t>cambio económicos, sociales </w:t>
      </w:r>
      <w:r>
        <w:rPr/>
        <w:t>y </w:t>
      </w:r>
      <w:r>
        <w:rPr>
          <w:spacing w:val="-3"/>
        </w:rPr>
        <w:t>políticos para </w:t>
      </w:r>
      <w:r>
        <w:rPr/>
        <w:t>que de una </w:t>
      </w:r>
      <w:r>
        <w:rPr>
          <w:spacing w:val="-3"/>
        </w:rPr>
        <w:t>manera integrada </w:t>
      </w:r>
      <w:r>
        <w:rPr/>
        <w:t>sea </w:t>
      </w:r>
      <w:r>
        <w:rPr>
          <w:spacing w:val="-3"/>
        </w:rPr>
        <w:t>posible configurar momentos </w:t>
      </w:r>
      <w:r>
        <w:rPr>
          <w:spacing w:val="-4"/>
        </w:rPr>
        <w:t>históricos </w:t>
      </w:r>
      <w:r>
        <w:rPr/>
        <w:t>o </w:t>
      </w:r>
      <w:r>
        <w:rPr>
          <w:spacing w:val="-3"/>
        </w:rPr>
        <w:t>situaciones estructurales que </w:t>
      </w:r>
      <w:r>
        <w:rPr>
          <w:spacing w:val="-4"/>
        </w:rPr>
        <w:t>brinden </w:t>
      </w:r>
      <w:r>
        <w:rPr>
          <w:spacing w:val="-3"/>
        </w:rPr>
        <w:t>una </w:t>
      </w:r>
      <w:r>
        <w:rPr/>
        <w:t>mejor </w:t>
      </w:r>
      <w:r>
        <w:rPr>
          <w:spacing w:val="-3"/>
        </w:rPr>
        <w:t>comprensión del proceso global </w:t>
      </w:r>
      <w:r>
        <w:rPr/>
        <w:t>de </w:t>
      </w:r>
      <w:r>
        <w:rPr>
          <w:spacing w:val="-3"/>
        </w:rPr>
        <w:t>transformación... </w:t>
      </w:r>
      <w:r>
        <w:rPr>
          <w:rFonts w:ascii="Symbol" w:hAnsi="Symbol"/>
          <w:spacing w:val="-3"/>
        </w:rPr>
        <w:t></w:t>
      </w:r>
      <w:r>
        <w:rPr>
          <w:spacing w:val="-3"/>
        </w:rPr>
        <w:t>por </w:t>
      </w:r>
      <w:r>
        <w:rPr/>
        <w:t>lo </w:t>
      </w:r>
      <w:r>
        <w:rPr>
          <w:spacing w:val="-3"/>
        </w:rPr>
        <w:t>que</w:t>
      </w:r>
      <w:r>
        <w:rPr>
          <w:rFonts w:ascii="Symbol" w:hAnsi="Symbol"/>
          <w:spacing w:val="-3"/>
        </w:rPr>
        <w:t></w:t>
      </w:r>
      <w:r>
        <w:rPr>
          <w:rFonts w:ascii="Times New Roman" w:hAnsi="Times New Roman"/>
          <w:spacing w:val="-3"/>
        </w:rPr>
        <w:t> </w:t>
      </w:r>
      <w:r>
        <w:rPr/>
        <w:t>sólo se </w:t>
      </w:r>
      <w:r>
        <w:rPr>
          <w:spacing w:val="-4"/>
        </w:rPr>
        <w:t>puede comprender </w:t>
      </w:r>
      <w:r>
        <w:rPr/>
        <w:t>el </w:t>
      </w:r>
      <w:r>
        <w:rPr>
          <w:spacing w:val="-3"/>
        </w:rPr>
        <w:t>fenómeno migratorio </w:t>
      </w:r>
      <w:r>
        <w:rPr/>
        <w:t>en  un </w:t>
      </w:r>
      <w:r>
        <w:rPr>
          <w:spacing w:val="-3"/>
        </w:rPr>
        <w:t>análisis que </w:t>
      </w:r>
      <w:r>
        <w:rPr/>
        <w:t>rebase las </w:t>
      </w:r>
      <w:r>
        <w:rPr>
          <w:spacing w:val="-3"/>
        </w:rPr>
        <w:t>condiciones geográficas </w:t>
      </w:r>
      <w:r>
        <w:rPr/>
        <w:t>y </w:t>
      </w:r>
      <w:r>
        <w:rPr>
          <w:spacing w:val="-3"/>
        </w:rPr>
        <w:t>llegue </w:t>
      </w:r>
      <w:r>
        <w:rPr/>
        <w:t>a la </w:t>
      </w:r>
      <w:r>
        <w:rPr>
          <w:spacing w:val="-3"/>
        </w:rPr>
        <w:t>dimensión que </w:t>
      </w:r>
      <w:r>
        <w:rPr>
          <w:spacing w:val="-4"/>
        </w:rPr>
        <w:t>adquiere </w:t>
      </w:r>
      <w:r>
        <w:rPr/>
        <w:t>en </w:t>
      </w:r>
      <w:r>
        <w:rPr>
          <w:spacing w:val="-3"/>
        </w:rPr>
        <w:t>el curso del cambio social” </w:t>
      </w:r>
      <w:r>
        <w:rPr>
          <w:spacing w:val="30"/>
        </w:rPr>
        <w:t> </w:t>
      </w:r>
      <w:r>
        <w:rPr>
          <w:spacing w:val="-4"/>
        </w:rPr>
        <w:t>(Idem:60-61,54).</w:t>
      </w:r>
    </w:p>
    <w:p>
      <w:pPr>
        <w:pStyle w:val="BodyText"/>
        <w:rPr>
          <w:sz w:val="22"/>
        </w:rPr>
      </w:pPr>
    </w:p>
    <w:p>
      <w:pPr>
        <w:pStyle w:val="BodyText"/>
        <w:spacing w:line="350" w:lineRule="auto" w:before="155"/>
        <w:ind w:left="115" w:right="100"/>
        <w:jc w:val="both"/>
      </w:pPr>
      <w:r>
        <w:rPr/>
        <w:t>En </w:t>
      </w:r>
      <w:r>
        <w:rPr>
          <w:spacing w:val="-3"/>
        </w:rPr>
        <w:t>conclusión, </w:t>
      </w:r>
      <w:r>
        <w:rPr/>
        <w:t>se </w:t>
      </w:r>
      <w:r>
        <w:rPr>
          <w:spacing w:val="-3"/>
        </w:rPr>
        <w:t>piensa que </w:t>
      </w:r>
      <w:r>
        <w:rPr/>
        <w:t>el </w:t>
      </w:r>
      <w:r>
        <w:rPr>
          <w:spacing w:val="-3"/>
        </w:rPr>
        <w:t>desacuerdo en </w:t>
      </w:r>
      <w:r>
        <w:rPr/>
        <w:t>el </w:t>
      </w:r>
      <w:r>
        <w:rPr>
          <w:spacing w:val="-3"/>
        </w:rPr>
        <w:t>aspecto migratorio </w:t>
      </w:r>
      <w:r>
        <w:rPr/>
        <w:t>se </w:t>
      </w:r>
      <w:r>
        <w:rPr>
          <w:spacing w:val="-3"/>
        </w:rPr>
        <w:t>debe </w:t>
      </w:r>
      <w:r>
        <w:rPr/>
        <w:t>a que  a lo </w:t>
      </w:r>
      <w:r>
        <w:rPr>
          <w:spacing w:val="-3"/>
        </w:rPr>
        <w:t>largo de </w:t>
      </w:r>
      <w:r>
        <w:rPr/>
        <w:t>la </w:t>
      </w:r>
      <w:r>
        <w:rPr>
          <w:spacing w:val="-3"/>
        </w:rPr>
        <w:t>historia, el fenómeno </w:t>
      </w:r>
      <w:r>
        <w:rPr/>
        <w:t>de la </w:t>
      </w:r>
      <w:r>
        <w:rPr>
          <w:spacing w:val="-3"/>
        </w:rPr>
        <w:t>emigración ha </w:t>
      </w:r>
      <w:r>
        <w:rPr/>
        <w:t>sido </w:t>
      </w:r>
      <w:r>
        <w:rPr>
          <w:spacing w:val="-3"/>
        </w:rPr>
        <w:t>observado </w:t>
      </w:r>
      <w:r>
        <w:rPr/>
        <w:t>en </w:t>
      </w:r>
      <w:r>
        <w:rPr>
          <w:spacing w:val="-3"/>
        </w:rPr>
        <w:t>distintos contextos  </w:t>
      </w:r>
      <w:r>
        <w:rPr/>
        <w:t>y  </w:t>
      </w:r>
      <w:r>
        <w:rPr>
          <w:spacing w:val="-3"/>
        </w:rPr>
        <w:t>desde  diferentes  perspectivas  teóricas</w:t>
      </w:r>
      <w:r>
        <w:rPr>
          <w:spacing w:val="-3"/>
          <w:position w:val="11"/>
          <w:sz w:val="15"/>
        </w:rPr>
        <w:t>44</w:t>
      </w:r>
      <w:r>
        <w:rPr>
          <w:spacing w:val="-3"/>
        </w:rPr>
        <w:t>,  </w:t>
      </w:r>
      <w:r>
        <w:rPr/>
        <w:t>las  </w:t>
      </w:r>
      <w:r>
        <w:rPr>
          <w:spacing w:val="-3"/>
        </w:rPr>
        <w:t>cuales  en  </w:t>
      </w:r>
      <w:r>
        <w:rPr/>
        <w:t>su </w:t>
      </w:r>
      <w:r>
        <w:rPr>
          <w:spacing w:val="6"/>
        </w:rPr>
        <w:t> </w:t>
      </w:r>
      <w:r>
        <w:rPr>
          <w:spacing w:val="-3"/>
        </w:rPr>
        <w:t>momento</w:t>
      </w:r>
    </w:p>
    <w:p>
      <w:pPr>
        <w:pStyle w:val="BodyText"/>
        <w:spacing w:before="8"/>
        <w:rPr>
          <w:sz w:val="8"/>
        </w:rPr>
      </w:pPr>
      <w:r>
        <w:rPr/>
        <w:pict>
          <v:line style="position:absolute;mso-position-horizontal-relative:page;mso-position-vertical-relative:paragraph;z-index:1624;mso-wrap-distance-left:0;mso-wrap-distance-right:0" from="82.799995pt,7.348273pt" to="222.959992pt,7.348273pt" stroked="true" strokeweight=".72pt" strokecolor="#000000">
            <w10:wrap type="topAndBottom"/>
          </v:line>
        </w:pict>
      </w:r>
    </w:p>
    <w:p>
      <w:pPr>
        <w:spacing w:line="283" w:lineRule="auto" w:before="39"/>
        <w:ind w:left="116" w:right="105" w:firstLine="0"/>
        <w:jc w:val="both"/>
        <w:rPr>
          <w:sz w:val="19"/>
        </w:rPr>
      </w:pPr>
      <w:r>
        <w:rPr>
          <w:position w:val="10"/>
          <w:sz w:val="12"/>
        </w:rPr>
        <w:t>44 </w:t>
      </w:r>
      <w:r>
        <w:rPr>
          <w:sz w:val="19"/>
        </w:rPr>
        <w:t>Para complementar lo expuesto inmediatamente arriba, debe tenerse presente  que,  prácticamente, todos los fenómenos, especialmente los sociales,  son de índole multifactorial.  Tal vez, en la aparición  de  un fenómeno  particular,  un sólo factor sea determinante, pero tal causa  sólo ejercerá  su influencia  si están presentes un conjunto de condiciones colaterales.  De ahí que  se conciba al fenómeno migratorio como un gradiente determinado por varios factores, en donde    las motivaciones individuales tienden a encubrir las causas más profundas (Rionda,   </w:t>
      </w:r>
      <w:r>
        <w:rPr>
          <w:spacing w:val="9"/>
          <w:sz w:val="19"/>
        </w:rPr>
        <w:t> </w:t>
      </w:r>
      <w:r>
        <w:rPr>
          <w:sz w:val="19"/>
        </w:rPr>
        <w:t>1992: 27, 36).</w:t>
      </w:r>
    </w:p>
    <w:p>
      <w:pPr>
        <w:pStyle w:val="BodyText"/>
        <w:spacing w:before="10"/>
        <w:rPr>
          <w:sz w:val="16"/>
        </w:rPr>
      </w:pPr>
    </w:p>
    <w:p>
      <w:pPr>
        <w:spacing w:line="283" w:lineRule="auto" w:before="0"/>
        <w:ind w:left="116" w:right="107" w:firstLine="0"/>
        <w:jc w:val="both"/>
        <w:rPr>
          <w:sz w:val="19"/>
        </w:rPr>
      </w:pPr>
      <w:r>
        <w:rPr>
          <w:sz w:val="19"/>
        </w:rPr>
        <w:t>Desde este punto de vista, la gente que tiende a migrar es motivada por varios incentivos que  actúan  simultáneamente  al  momento  de  tomar  la  decisión.  Tal  vez  de  una  persona    </w:t>
      </w:r>
      <w:r>
        <w:rPr>
          <w:spacing w:val="2"/>
          <w:sz w:val="19"/>
        </w:rPr>
        <w:t> </w:t>
      </w:r>
      <w:r>
        <w:rPr>
          <w:sz w:val="19"/>
        </w:rPr>
        <w:t>(familia,</w:t>
      </w:r>
    </w:p>
    <w:p>
      <w:pPr>
        <w:spacing w:after="0" w:line="283"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4"/>
        <w:jc w:val="both"/>
      </w:pPr>
      <w:r>
        <w:rPr>
          <w:spacing w:val="-3"/>
        </w:rPr>
        <w:t>habrían tenido </w:t>
      </w:r>
      <w:r>
        <w:rPr/>
        <w:t>su </w:t>
      </w:r>
      <w:r>
        <w:rPr>
          <w:spacing w:val="-3"/>
        </w:rPr>
        <w:t>razón de ser. </w:t>
      </w:r>
      <w:r>
        <w:rPr/>
        <w:t>No </w:t>
      </w:r>
      <w:r>
        <w:rPr>
          <w:spacing w:val="-3"/>
        </w:rPr>
        <w:t>obstante, quizá </w:t>
      </w:r>
      <w:r>
        <w:rPr/>
        <w:t>éste sea </w:t>
      </w:r>
      <w:r>
        <w:rPr>
          <w:spacing w:val="-3"/>
        </w:rPr>
        <w:t>el momento </w:t>
      </w:r>
      <w:r>
        <w:rPr/>
        <w:t>de </w:t>
      </w:r>
      <w:r>
        <w:rPr>
          <w:spacing w:val="-3"/>
        </w:rPr>
        <w:t>agrupar  </w:t>
      </w:r>
      <w:r>
        <w:rPr/>
        <w:t>a los </w:t>
      </w:r>
      <w:r>
        <w:rPr>
          <w:spacing w:val="-4"/>
        </w:rPr>
        <w:t>diferentes modelos </w:t>
      </w:r>
      <w:r>
        <w:rPr>
          <w:spacing w:val="-3"/>
        </w:rPr>
        <w:t>conocidos bajo </w:t>
      </w:r>
      <w:r>
        <w:rPr/>
        <w:t>un </w:t>
      </w:r>
      <w:r>
        <w:rPr>
          <w:spacing w:val="-3"/>
        </w:rPr>
        <w:t>planteamiento </w:t>
      </w:r>
      <w:r>
        <w:rPr>
          <w:spacing w:val="31"/>
        </w:rPr>
        <w:t> </w:t>
      </w:r>
      <w:r>
        <w:rPr>
          <w:spacing w:val="-4"/>
        </w:rPr>
        <w:t>unificador.</w:t>
      </w:r>
    </w:p>
    <w:p>
      <w:pPr>
        <w:pStyle w:val="BodyText"/>
        <w:rPr>
          <w:sz w:val="22"/>
        </w:rPr>
      </w:pPr>
    </w:p>
    <w:p>
      <w:pPr>
        <w:pStyle w:val="BodyText"/>
        <w:spacing w:line="364" w:lineRule="auto" w:before="155"/>
        <w:ind w:left="115" w:right="100"/>
        <w:jc w:val="both"/>
      </w:pPr>
      <w:r>
        <w:rPr/>
        <w:t>Con la </w:t>
      </w:r>
      <w:r>
        <w:rPr>
          <w:spacing w:val="-3"/>
        </w:rPr>
        <w:t>finalidad </w:t>
      </w:r>
      <w:r>
        <w:rPr/>
        <w:t>de </w:t>
      </w:r>
      <w:r>
        <w:rPr>
          <w:spacing w:val="-3"/>
        </w:rPr>
        <w:t>mostrar cómo </w:t>
      </w:r>
      <w:r>
        <w:rPr/>
        <w:t>las </w:t>
      </w:r>
      <w:r>
        <w:rPr>
          <w:spacing w:val="-4"/>
        </w:rPr>
        <w:t>distintas</w:t>
      </w:r>
      <w:r>
        <w:rPr>
          <w:spacing w:val="55"/>
        </w:rPr>
        <w:t> </w:t>
      </w:r>
      <w:r>
        <w:rPr>
          <w:spacing w:val="-3"/>
        </w:rPr>
        <w:t>modalidades </w:t>
      </w:r>
      <w:r>
        <w:rPr/>
        <w:t>del </w:t>
      </w:r>
      <w:r>
        <w:rPr>
          <w:spacing w:val="-3"/>
        </w:rPr>
        <w:t>pensamiento migratorio </w:t>
      </w:r>
      <w:r>
        <w:rPr>
          <w:spacing w:val="-4"/>
        </w:rPr>
        <w:t>pueden </w:t>
      </w:r>
      <w:r>
        <w:rPr/>
        <w:t>ser </w:t>
      </w:r>
      <w:r>
        <w:rPr>
          <w:spacing w:val="-3"/>
        </w:rPr>
        <w:t>agregadas en </w:t>
      </w:r>
      <w:r>
        <w:rPr/>
        <w:t>un solo </w:t>
      </w:r>
      <w:r>
        <w:rPr>
          <w:spacing w:val="-3"/>
        </w:rPr>
        <w:t>modelo, </w:t>
      </w:r>
      <w:r>
        <w:rPr/>
        <w:t>en lo </w:t>
      </w:r>
      <w:r>
        <w:rPr>
          <w:spacing w:val="-3"/>
        </w:rPr>
        <w:t>sucesivo </w:t>
      </w:r>
      <w:r>
        <w:rPr/>
        <w:t>se </w:t>
      </w:r>
      <w:r>
        <w:rPr>
          <w:spacing w:val="-3"/>
        </w:rPr>
        <w:t>pasará  revista </w:t>
      </w:r>
      <w:r>
        <w:rPr/>
        <w:t>a las </w:t>
      </w:r>
      <w:r>
        <w:rPr>
          <w:spacing w:val="-4"/>
        </w:rPr>
        <w:t>principales interpretaciones </w:t>
      </w:r>
      <w:r>
        <w:rPr/>
        <w:t>de la </w:t>
      </w:r>
      <w:r>
        <w:rPr>
          <w:spacing w:val="6"/>
        </w:rPr>
        <w:t> </w:t>
      </w:r>
      <w:r>
        <w:rPr>
          <w:spacing w:val="-3"/>
        </w:rPr>
        <w:t>migración.</w:t>
      </w:r>
    </w:p>
    <w:p>
      <w:pPr>
        <w:pStyle w:val="BodyText"/>
        <w:rPr>
          <w:sz w:val="22"/>
        </w:rPr>
      </w:pPr>
    </w:p>
    <w:p>
      <w:pPr>
        <w:pStyle w:val="BodyText"/>
        <w:spacing w:line="364" w:lineRule="auto" w:before="155"/>
        <w:ind w:left="115" w:right="100"/>
        <w:jc w:val="both"/>
      </w:pPr>
      <w:r>
        <w:rPr/>
        <w:t>Según Arroyo, Winnie y Velázquez (1986:53) y Massey, Goldring y Durand (1994: 1494), los enfoques teórico-filosóficos más utilizados en la interpretación de la migración pueden ser agrupados, de acuerdo a la amplitud del contexto, en dos grandes corrientes que se complementan: El análisis macrosocial y el análisis microsocial (ver Cuadros 3 y 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r>
        <w:rPr/>
        <w:pict>
          <v:line style="position:absolute;mso-position-horizontal-relative:page;mso-position-vertical-relative:paragraph;z-index:1648;mso-wrap-distance-left:0;mso-wrap-distance-right:0" from="82.799995pt,12.907006pt" to="510.479986pt,12.907006pt" stroked="true" strokeweight=".72pt" strokecolor="#000000">
            <w10:wrap type="topAndBottom"/>
          </v:line>
        </w:pict>
      </w:r>
    </w:p>
    <w:p>
      <w:pPr>
        <w:spacing w:line="283" w:lineRule="auto" w:before="75"/>
        <w:ind w:left="115" w:right="103" w:firstLine="0"/>
        <w:jc w:val="both"/>
        <w:rPr>
          <w:sz w:val="19"/>
        </w:rPr>
      </w:pPr>
      <w:r>
        <w:rPr>
          <w:sz w:val="19"/>
        </w:rPr>
        <w:t>comunidad, región o país) a otra los factores colaterales tengan distinto peso en el proceso de   tomar la decisión, pero tratándose de unidades coetáneas y/o coterráneas y de una naturaleza  similar sería completamente normal que el  conjunto  de  factores  determinantes  fuera esencialmente el mismo. Por otra parte, en muchos casos, los factores colaterales de un tipo de migración pueden ser fundamentales en </w:t>
      </w:r>
      <w:r>
        <w:rPr>
          <w:spacing w:val="28"/>
          <w:sz w:val="19"/>
        </w:rPr>
        <w:t> </w:t>
      </w:r>
      <w:r>
        <w:rPr>
          <w:sz w:val="19"/>
        </w:rPr>
        <w:t>otros.</w:t>
      </w:r>
    </w:p>
    <w:p>
      <w:pPr>
        <w:spacing w:after="0" w:line="283" w:lineRule="auto"/>
        <w:jc w:val="both"/>
        <w:rPr>
          <w:sz w:val="19"/>
        </w:rPr>
        <w:sectPr>
          <w:pgSz w:w="11900" w:h="16840"/>
          <w:pgMar w:header="0" w:footer="1679" w:top="1600" w:bottom="1860" w:left="1540" w:right="1580"/>
        </w:sectPr>
      </w:pPr>
    </w:p>
    <w:p>
      <w:pPr>
        <w:pStyle w:val="BodyText"/>
        <w:rPr>
          <w:sz w:val="20"/>
        </w:rPr>
      </w:pPr>
    </w:p>
    <w:p>
      <w:pPr>
        <w:pStyle w:val="BodyText"/>
        <w:spacing w:before="5"/>
        <w:rPr>
          <w:sz w:val="16"/>
        </w:rPr>
      </w:pPr>
    </w:p>
    <w:p>
      <w:pPr>
        <w:pStyle w:val="Heading4"/>
        <w:spacing w:before="74"/>
        <w:ind w:left="630"/>
      </w:pPr>
      <w:r>
        <w:rPr/>
        <w:t>Cuadro 3. Modelos migratorios de los enfoques de la teoría  macrosocial</w:t>
      </w:r>
    </w:p>
    <w:p>
      <w:pPr>
        <w:pStyle w:val="BodyText"/>
        <w:spacing w:before="10" w:after="1"/>
        <w:rPr>
          <w:b/>
          <w:sz w:val="28"/>
        </w:rPr>
      </w:pPr>
    </w:p>
    <w:tbl>
      <w:tblPr>
        <w:tblW w:w="0" w:type="auto"/>
        <w:jc w:val="left"/>
        <w:tblInd w:w="10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380"/>
        <w:gridCol w:w="1824"/>
        <w:gridCol w:w="1349"/>
        <w:gridCol w:w="550"/>
        <w:gridCol w:w="502"/>
        <w:gridCol w:w="499"/>
        <w:gridCol w:w="521"/>
        <w:gridCol w:w="593"/>
        <w:gridCol w:w="480"/>
        <w:gridCol w:w="581"/>
        <w:gridCol w:w="414"/>
      </w:tblGrid>
      <w:tr>
        <w:trPr>
          <w:trHeight w:val="410" w:hRule="exact"/>
        </w:trPr>
        <w:tc>
          <w:tcPr>
            <w:tcW w:w="1380" w:type="dxa"/>
            <w:tcBorders>
              <w:bottom w:val="single" w:sz="6" w:space="0" w:color="000000"/>
              <w:right w:val="single" w:sz="6" w:space="0" w:color="000000"/>
            </w:tcBorders>
          </w:tcPr>
          <w:p>
            <w:pPr/>
          </w:p>
        </w:tc>
        <w:tc>
          <w:tcPr>
            <w:tcW w:w="1824" w:type="dxa"/>
            <w:tcBorders>
              <w:left w:val="single" w:sz="6" w:space="0" w:color="000000"/>
              <w:bottom w:val="single" w:sz="6" w:space="0" w:color="000000"/>
              <w:right w:val="single" w:sz="6" w:space="0" w:color="000000"/>
            </w:tcBorders>
          </w:tcPr>
          <w:p>
            <w:pPr/>
          </w:p>
        </w:tc>
        <w:tc>
          <w:tcPr>
            <w:tcW w:w="1349" w:type="dxa"/>
            <w:tcBorders>
              <w:left w:val="single" w:sz="6" w:space="0" w:color="000000"/>
              <w:bottom w:val="single" w:sz="6" w:space="0" w:color="000000"/>
              <w:right w:val="single" w:sz="6" w:space="0" w:color="000000"/>
            </w:tcBorders>
          </w:tcPr>
          <w:p>
            <w:pPr/>
          </w:p>
        </w:tc>
        <w:tc>
          <w:tcPr>
            <w:tcW w:w="4139" w:type="dxa"/>
            <w:gridSpan w:val="8"/>
            <w:tcBorders>
              <w:left w:val="single" w:sz="6" w:space="0" w:color="000000"/>
              <w:bottom w:val="single" w:sz="6" w:space="0" w:color="000000"/>
              <w:right w:val="single" w:sz="11" w:space="0" w:color="000000"/>
            </w:tcBorders>
          </w:tcPr>
          <w:p>
            <w:pPr>
              <w:pStyle w:val="TableParagraph"/>
              <w:spacing w:before="58"/>
              <w:ind w:left="623"/>
              <w:jc w:val="left"/>
              <w:rPr>
                <w:b/>
                <w:sz w:val="23"/>
              </w:rPr>
            </w:pPr>
            <w:r>
              <w:rPr>
                <w:b/>
                <w:sz w:val="23"/>
              </w:rPr>
              <w:t>VARIABLES OPERATIVAS</w:t>
            </w:r>
          </w:p>
        </w:tc>
      </w:tr>
      <w:tr>
        <w:trPr>
          <w:trHeight w:val="751" w:hRule="exact"/>
        </w:trPr>
        <w:tc>
          <w:tcPr>
            <w:tcW w:w="1380" w:type="dxa"/>
            <w:tcBorders>
              <w:top w:val="single" w:sz="6" w:space="0" w:color="000000"/>
              <w:bottom w:val="single" w:sz="6" w:space="0" w:color="000000"/>
              <w:right w:val="single" w:sz="6" w:space="0" w:color="000000"/>
            </w:tcBorders>
          </w:tcPr>
          <w:p>
            <w:pPr>
              <w:pStyle w:val="TableParagraph"/>
              <w:spacing w:before="3"/>
              <w:jc w:val="left"/>
              <w:rPr>
                <w:b/>
                <w:sz w:val="21"/>
              </w:rPr>
            </w:pPr>
          </w:p>
          <w:p>
            <w:pPr>
              <w:pStyle w:val="TableParagraph"/>
              <w:spacing w:before="0"/>
              <w:ind w:left="153"/>
              <w:jc w:val="left"/>
              <w:rPr>
                <w:b/>
                <w:sz w:val="21"/>
              </w:rPr>
            </w:pPr>
            <w:r>
              <w:rPr>
                <w:b/>
                <w:sz w:val="21"/>
              </w:rPr>
              <w:t>ENFOQUE</w:t>
            </w:r>
          </w:p>
        </w:tc>
        <w:tc>
          <w:tcPr>
            <w:tcW w:w="1824" w:type="dxa"/>
            <w:tcBorders>
              <w:top w:val="single" w:sz="6" w:space="0" w:color="000000"/>
              <w:left w:val="single" w:sz="6" w:space="0" w:color="000000"/>
              <w:bottom w:val="single" w:sz="6" w:space="0" w:color="000000"/>
              <w:right w:val="single" w:sz="6" w:space="0" w:color="000000"/>
            </w:tcBorders>
          </w:tcPr>
          <w:p>
            <w:pPr>
              <w:pStyle w:val="TableParagraph"/>
              <w:spacing w:before="3"/>
              <w:jc w:val="left"/>
              <w:rPr>
                <w:b/>
                <w:sz w:val="21"/>
              </w:rPr>
            </w:pPr>
          </w:p>
          <w:p>
            <w:pPr>
              <w:pStyle w:val="TableParagraph"/>
              <w:spacing w:before="0"/>
              <w:ind w:left="158"/>
              <w:jc w:val="left"/>
              <w:rPr>
                <w:b/>
                <w:sz w:val="21"/>
              </w:rPr>
            </w:pPr>
            <w:r>
              <w:rPr>
                <w:b/>
                <w:sz w:val="21"/>
              </w:rPr>
              <w:t>FUNDAMENTO</w:t>
            </w:r>
          </w:p>
        </w:tc>
        <w:tc>
          <w:tcPr>
            <w:tcW w:w="1349" w:type="dxa"/>
            <w:tcBorders>
              <w:top w:val="single" w:sz="6" w:space="0" w:color="000000"/>
              <w:left w:val="single" w:sz="6" w:space="0" w:color="000000"/>
              <w:bottom w:val="single" w:sz="6" w:space="0" w:color="000000"/>
              <w:right w:val="single" w:sz="6" w:space="0" w:color="000000"/>
            </w:tcBorders>
          </w:tcPr>
          <w:p>
            <w:pPr>
              <w:pStyle w:val="TableParagraph"/>
              <w:spacing w:before="3"/>
              <w:jc w:val="left"/>
              <w:rPr>
                <w:b/>
                <w:sz w:val="21"/>
              </w:rPr>
            </w:pPr>
          </w:p>
          <w:p>
            <w:pPr>
              <w:pStyle w:val="TableParagraph"/>
              <w:spacing w:before="0"/>
              <w:ind w:left="134" w:right="60"/>
              <w:jc w:val="left"/>
              <w:rPr>
                <w:b/>
                <w:sz w:val="21"/>
              </w:rPr>
            </w:pPr>
            <w:r>
              <w:rPr>
                <w:b/>
                <w:sz w:val="21"/>
              </w:rPr>
              <w:t>MODELOS</w:t>
            </w:r>
          </w:p>
        </w:tc>
        <w:tc>
          <w:tcPr>
            <w:tcW w:w="550" w:type="dxa"/>
            <w:tcBorders>
              <w:top w:val="single" w:sz="6" w:space="0" w:color="000000"/>
              <w:left w:val="single" w:sz="6" w:space="0" w:color="000000"/>
              <w:bottom w:val="single" w:sz="6" w:space="0" w:color="000000"/>
              <w:right w:val="single" w:sz="6" w:space="0" w:color="000000"/>
            </w:tcBorders>
          </w:tcPr>
          <w:p>
            <w:pPr>
              <w:pStyle w:val="TableParagraph"/>
              <w:spacing w:before="11"/>
              <w:jc w:val="left"/>
              <w:rPr>
                <w:b/>
                <w:sz w:val="22"/>
              </w:rPr>
            </w:pPr>
          </w:p>
          <w:p>
            <w:pPr>
              <w:pStyle w:val="TableParagraph"/>
              <w:spacing w:before="0"/>
              <w:ind w:left="184"/>
              <w:jc w:val="left"/>
              <w:rPr>
                <w:b/>
                <w:sz w:val="23"/>
              </w:rPr>
            </w:pPr>
            <w:r>
              <w:rPr>
                <w:b/>
                <w:w w:val="101"/>
                <w:sz w:val="23"/>
              </w:rPr>
              <w:t>R</w:t>
            </w:r>
          </w:p>
        </w:tc>
        <w:tc>
          <w:tcPr>
            <w:tcW w:w="502" w:type="dxa"/>
            <w:tcBorders>
              <w:top w:val="single" w:sz="6" w:space="0" w:color="000000"/>
              <w:left w:val="single" w:sz="6" w:space="0" w:color="000000"/>
              <w:bottom w:val="single" w:sz="6" w:space="0" w:color="000000"/>
              <w:right w:val="single" w:sz="6" w:space="0" w:color="000000"/>
            </w:tcBorders>
          </w:tcPr>
          <w:p>
            <w:pPr>
              <w:pStyle w:val="TableParagraph"/>
              <w:spacing w:before="11"/>
              <w:jc w:val="left"/>
              <w:rPr>
                <w:b/>
                <w:sz w:val="22"/>
              </w:rPr>
            </w:pPr>
          </w:p>
          <w:p>
            <w:pPr>
              <w:pStyle w:val="TableParagraph"/>
              <w:spacing w:before="0"/>
              <w:jc w:val="center"/>
              <w:rPr>
                <w:b/>
                <w:sz w:val="23"/>
              </w:rPr>
            </w:pPr>
            <w:r>
              <w:rPr>
                <w:b/>
                <w:w w:val="101"/>
                <w:sz w:val="23"/>
              </w:rPr>
              <w:t>E</w:t>
            </w:r>
          </w:p>
        </w:tc>
        <w:tc>
          <w:tcPr>
            <w:tcW w:w="499" w:type="dxa"/>
            <w:tcBorders>
              <w:top w:val="single" w:sz="6" w:space="0" w:color="000000"/>
              <w:left w:val="single" w:sz="6" w:space="0" w:color="000000"/>
              <w:bottom w:val="single" w:sz="6" w:space="0" w:color="000000"/>
              <w:right w:val="single" w:sz="6" w:space="0" w:color="000000"/>
            </w:tcBorders>
          </w:tcPr>
          <w:p>
            <w:pPr>
              <w:pStyle w:val="TableParagraph"/>
              <w:spacing w:before="11"/>
              <w:jc w:val="left"/>
              <w:rPr>
                <w:b/>
                <w:sz w:val="22"/>
              </w:rPr>
            </w:pPr>
          </w:p>
          <w:p>
            <w:pPr>
              <w:pStyle w:val="TableParagraph"/>
              <w:spacing w:before="0"/>
              <w:jc w:val="center"/>
              <w:rPr>
                <w:b/>
                <w:sz w:val="23"/>
              </w:rPr>
            </w:pPr>
            <w:r>
              <w:rPr>
                <w:b/>
                <w:w w:val="101"/>
                <w:sz w:val="23"/>
              </w:rPr>
              <w:t>H</w:t>
            </w:r>
          </w:p>
        </w:tc>
        <w:tc>
          <w:tcPr>
            <w:tcW w:w="521" w:type="dxa"/>
            <w:tcBorders>
              <w:top w:val="single" w:sz="6" w:space="0" w:color="000000"/>
              <w:left w:val="single" w:sz="6" w:space="0" w:color="000000"/>
              <w:bottom w:val="single" w:sz="6" w:space="0" w:color="000000"/>
              <w:right w:val="single" w:sz="6" w:space="0" w:color="000000"/>
            </w:tcBorders>
          </w:tcPr>
          <w:p>
            <w:pPr>
              <w:pStyle w:val="TableParagraph"/>
              <w:spacing w:before="11"/>
              <w:jc w:val="left"/>
              <w:rPr>
                <w:b/>
                <w:sz w:val="22"/>
              </w:rPr>
            </w:pPr>
          </w:p>
          <w:p>
            <w:pPr>
              <w:pStyle w:val="TableParagraph"/>
              <w:spacing w:before="0"/>
              <w:ind w:left="163"/>
              <w:jc w:val="left"/>
              <w:rPr>
                <w:b/>
                <w:sz w:val="23"/>
              </w:rPr>
            </w:pPr>
            <w:r>
              <w:rPr>
                <w:b/>
                <w:w w:val="101"/>
                <w:sz w:val="23"/>
              </w:rPr>
              <w:t>G</w:t>
            </w:r>
          </w:p>
        </w:tc>
        <w:tc>
          <w:tcPr>
            <w:tcW w:w="593" w:type="dxa"/>
            <w:tcBorders>
              <w:top w:val="single" w:sz="6" w:space="0" w:color="000000"/>
              <w:left w:val="single" w:sz="6" w:space="0" w:color="000000"/>
              <w:bottom w:val="single" w:sz="6" w:space="0" w:color="000000"/>
              <w:right w:val="single" w:sz="6" w:space="0" w:color="000000"/>
            </w:tcBorders>
          </w:tcPr>
          <w:p>
            <w:pPr>
              <w:pStyle w:val="TableParagraph"/>
              <w:spacing w:before="11"/>
              <w:jc w:val="left"/>
              <w:rPr>
                <w:b/>
                <w:sz w:val="22"/>
              </w:rPr>
            </w:pPr>
          </w:p>
          <w:p>
            <w:pPr>
              <w:pStyle w:val="TableParagraph"/>
              <w:spacing w:before="0"/>
              <w:ind w:left="1"/>
              <w:jc w:val="center"/>
              <w:rPr>
                <w:b/>
                <w:sz w:val="23"/>
              </w:rPr>
            </w:pPr>
            <w:r>
              <w:rPr>
                <w:b/>
                <w:w w:val="101"/>
                <w:sz w:val="23"/>
              </w:rPr>
              <w:t>T</w:t>
            </w:r>
          </w:p>
        </w:tc>
        <w:tc>
          <w:tcPr>
            <w:tcW w:w="480" w:type="dxa"/>
            <w:tcBorders>
              <w:top w:val="single" w:sz="6" w:space="0" w:color="000000"/>
              <w:left w:val="single" w:sz="6" w:space="0" w:color="000000"/>
              <w:bottom w:val="single" w:sz="6" w:space="0" w:color="000000"/>
              <w:right w:val="single" w:sz="6" w:space="0" w:color="000000"/>
            </w:tcBorders>
          </w:tcPr>
          <w:p>
            <w:pPr>
              <w:pStyle w:val="TableParagraph"/>
              <w:spacing w:before="11"/>
              <w:jc w:val="left"/>
              <w:rPr>
                <w:b/>
                <w:sz w:val="22"/>
              </w:rPr>
            </w:pPr>
          </w:p>
          <w:p>
            <w:pPr>
              <w:pStyle w:val="TableParagraph"/>
              <w:spacing w:before="0"/>
              <w:ind w:left="2"/>
              <w:jc w:val="center"/>
              <w:rPr>
                <w:b/>
                <w:sz w:val="23"/>
              </w:rPr>
            </w:pPr>
            <w:r>
              <w:rPr>
                <w:b/>
                <w:w w:val="101"/>
                <w:sz w:val="23"/>
              </w:rPr>
              <w:t>P</w:t>
            </w:r>
          </w:p>
        </w:tc>
        <w:tc>
          <w:tcPr>
            <w:tcW w:w="581" w:type="dxa"/>
            <w:tcBorders>
              <w:top w:val="single" w:sz="6" w:space="0" w:color="000000"/>
              <w:left w:val="single" w:sz="6" w:space="0" w:color="000000"/>
              <w:bottom w:val="single" w:sz="6" w:space="0" w:color="000000"/>
              <w:right w:val="single" w:sz="6" w:space="0" w:color="000000"/>
            </w:tcBorders>
          </w:tcPr>
          <w:p>
            <w:pPr>
              <w:pStyle w:val="TableParagraph"/>
              <w:spacing w:before="11"/>
              <w:jc w:val="left"/>
              <w:rPr>
                <w:b/>
                <w:sz w:val="22"/>
              </w:rPr>
            </w:pPr>
          </w:p>
          <w:p>
            <w:pPr>
              <w:pStyle w:val="TableParagraph"/>
              <w:spacing w:before="0"/>
              <w:jc w:val="center"/>
              <w:rPr>
                <w:b/>
                <w:sz w:val="23"/>
              </w:rPr>
            </w:pPr>
            <w:r>
              <w:rPr>
                <w:b/>
                <w:w w:val="101"/>
                <w:sz w:val="23"/>
              </w:rPr>
              <w:t>Q</w:t>
            </w:r>
          </w:p>
        </w:tc>
        <w:tc>
          <w:tcPr>
            <w:tcW w:w="414" w:type="dxa"/>
            <w:tcBorders>
              <w:top w:val="single" w:sz="6" w:space="0" w:color="000000"/>
              <w:left w:val="single" w:sz="6" w:space="0" w:color="000000"/>
              <w:bottom w:val="single" w:sz="6" w:space="0" w:color="000000"/>
              <w:right w:val="single" w:sz="11" w:space="0" w:color="000000"/>
            </w:tcBorders>
          </w:tcPr>
          <w:p>
            <w:pPr>
              <w:pStyle w:val="TableParagraph"/>
              <w:spacing w:before="11"/>
              <w:jc w:val="left"/>
              <w:rPr>
                <w:b/>
                <w:sz w:val="22"/>
              </w:rPr>
            </w:pPr>
          </w:p>
          <w:p>
            <w:pPr>
              <w:pStyle w:val="TableParagraph"/>
              <w:spacing w:before="0"/>
              <w:ind w:left="10"/>
              <w:jc w:val="center"/>
              <w:rPr>
                <w:b/>
                <w:sz w:val="23"/>
              </w:rPr>
            </w:pPr>
            <w:r>
              <w:rPr>
                <w:b/>
                <w:w w:val="101"/>
                <w:sz w:val="23"/>
              </w:rPr>
              <w:t>K</w:t>
            </w:r>
          </w:p>
        </w:tc>
      </w:tr>
      <w:tr>
        <w:trPr>
          <w:trHeight w:val="1801" w:hRule="exact"/>
        </w:trPr>
        <w:tc>
          <w:tcPr>
            <w:tcW w:w="1380" w:type="dxa"/>
            <w:tcBorders>
              <w:top w:val="single" w:sz="6" w:space="0" w:color="000000"/>
              <w:bottom w:val="single" w:sz="5" w:space="0" w:color="000000"/>
              <w:right w:val="single" w:sz="6" w:space="0" w:color="000000"/>
            </w:tcBorders>
          </w:tcPr>
          <w:p>
            <w:pPr>
              <w:pStyle w:val="TableParagraph"/>
              <w:spacing w:line="244" w:lineRule="auto" w:before="58"/>
              <w:ind w:left="52"/>
              <w:jc w:val="left"/>
              <w:rPr>
                <w:sz w:val="23"/>
              </w:rPr>
            </w:pPr>
            <w:r>
              <w:rPr>
                <w:sz w:val="23"/>
              </w:rPr>
              <w:t>Análisis Macro- Económico Neoclásico</w:t>
            </w:r>
          </w:p>
        </w:tc>
        <w:tc>
          <w:tcPr>
            <w:tcW w:w="1824" w:type="dxa"/>
            <w:tcBorders>
              <w:top w:val="single" w:sz="6" w:space="0" w:color="000000"/>
              <w:left w:val="single" w:sz="6" w:space="0" w:color="000000"/>
              <w:bottom w:val="single" w:sz="5" w:space="0" w:color="000000"/>
              <w:right w:val="single" w:sz="6" w:space="0" w:color="000000"/>
            </w:tcBorders>
          </w:tcPr>
          <w:p>
            <w:pPr>
              <w:pStyle w:val="TableParagraph"/>
              <w:spacing w:before="58"/>
              <w:ind w:left="59"/>
              <w:jc w:val="left"/>
              <w:rPr>
                <w:sz w:val="23"/>
              </w:rPr>
            </w:pPr>
            <w:r>
              <w:rPr>
                <w:sz w:val="23"/>
              </w:rPr>
              <w:t>El equilibrio del</w:t>
            </w:r>
          </w:p>
          <w:p>
            <w:pPr>
              <w:pStyle w:val="TableParagraph"/>
              <w:spacing w:line="244" w:lineRule="auto" w:before="62"/>
              <w:ind w:left="59"/>
              <w:jc w:val="left"/>
              <w:rPr>
                <w:sz w:val="23"/>
              </w:rPr>
            </w:pPr>
            <w:r>
              <w:rPr>
                <w:sz w:val="23"/>
              </w:rPr>
              <w:t>mercado del trabajo es una parte del Equilibrio General.</w:t>
            </w:r>
          </w:p>
        </w:tc>
        <w:tc>
          <w:tcPr>
            <w:tcW w:w="1349" w:type="dxa"/>
            <w:tcBorders>
              <w:top w:val="single" w:sz="6" w:space="0" w:color="000000"/>
              <w:left w:val="single" w:sz="6" w:space="0" w:color="000000"/>
              <w:bottom w:val="single" w:sz="5" w:space="0" w:color="000000"/>
              <w:right w:val="single" w:sz="6" w:space="0" w:color="000000"/>
            </w:tcBorders>
          </w:tcPr>
          <w:p>
            <w:pPr>
              <w:pStyle w:val="TableParagraph"/>
              <w:spacing w:line="295" w:lineRule="auto" w:before="58"/>
              <w:ind w:left="59" w:right="60"/>
              <w:jc w:val="left"/>
              <w:rPr>
                <w:sz w:val="23"/>
              </w:rPr>
            </w:pPr>
            <w:r>
              <w:rPr>
                <w:sz w:val="23"/>
              </w:rPr>
              <w:t>Oferta y Demanda de Trabajo</w:t>
            </w:r>
          </w:p>
        </w:tc>
        <w:tc>
          <w:tcPr>
            <w:tcW w:w="550" w:type="dxa"/>
            <w:tcBorders>
              <w:top w:val="single" w:sz="6" w:space="0" w:color="000000"/>
              <w:left w:val="single" w:sz="6" w:space="0" w:color="000000"/>
              <w:bottom w:val="single" w:sz="5" w:space="0" w:color="000000"/>
              <w:right w:val="single" w:sz="6" w:space="0" w:color="000000"/>
            </w:tcBorders>
          </w:tcPr>
          <w:p>
            <w:pPr>
              <w:pStyle w:val="TableParagraph"/>
              <w:spacing w:before="0"/>
              <w:jc w:val="left"/>
              <w:rPr>
                <w:b/>
                <w:sz w:val="22"/>
              </w:rPr>
            </w:pPr>
          </w:p>
          <w:p>
            <w:pPr>
              <w:pStyle w:val="TableParagraph"/>
              <w:spacing w:before="0"/>
              <w:jc w:val="left"/>
              <w:rPr>
                <w:b/>
                <w:sz w:val="22"/>
              </w:rPr>
            </w:pPr>
          </w:p>
          <w:p>
            <w:pPr>
              <w:pStyle w:val="TableParagraph"/>
              <w:spacing w:before="9"/>
              <w:jc w:val="left"/>
              <w:rPr>
                <w:b/>
                <w:sz w:val="17"/>
              </w:rPr>
            </w:pPr>
          </w:p>
          <w:p>
            <w:pPr>
              <w:pStyle w:val="TableParagraph"/>
              <w:spacing w:before="0"/>
              <w:ind w:left="223"/>
              <w:jc w:val="left"/>
              <w:rPr>
                <w:sz w:val="23"/>
              </w:rPr>
            </w:pPr>
            <w:r>
              <w:rPr>
                <w:w w:val="101"/>
                <w:sz w:val="23"/>
              </w:rPr>
              <w:t>*</w:t>
            </w:r>
          </w:p>
        </w:tc>
        <w:tc>
          <w:tcPr>
            <w:tcW w:w="502" w:type="dxa"/>
            <w:tcBorders>
              <w:top w:val="single" w:sz="6" w:space="0" w:color="000000"/>
              <w:left w:val="single" w:sz="6" w:space="0" w:color="000000"/>
              <w:bottom w:val="single" w:sz="5" w:space="0" w:color="000000"/>
              <w:right w:val="single" w:sz="6" w:space="0" w:color="000000"/>
            </w:tcBorders>
          </w:tcPr>
          <w:p>
            <w:pPr>
              <w:pStyle w:val="TableParagraph"/>
              <w:spacing w:before="0"/>
              <w:jc w:val="left"/>
              <w:rPr>
                <w:b/>
                <w:sz w:val="22"/>
              </w:rPr>
            </w:pPr>
          </w:p>
          <w:p>
            <w:pPr>
              <w:pStyle w:val="TableParagraph"/>
              <w:spacing w:before="0"/>
              <w:jc w:val="left"/>
              <w:rPr>
                <w:b/>
                <w:sz w:val="22"/>
              </w:rPr>
            </w:pPr>
          </w:p>
          <w:p>
            <w:pPr>
              <w:pStyle w:val="TableParagraph"/>
              <w:spacing w:before="9"/>
              <w:jc w:val="left"/>
              <w:rPr>
                <w:b/>
                <w:sz w:val="17"/>
              </w:rPr>
            </w:pPr>
          </w:p>
          <w:p>
            <w:pPr>
              <w:pStyle w:val="TableParagraph"/>
              <w:spacing w:before="0"/>
              <w:jc w:val="center"/>
              <w:rPr>
                <w:sz w:val="23"/>
              </w:rPr>
            </w:pPr>
            <w:r>
              <w:rPr>
                <w:w w:val="101"/>
                <w:sz w:val="23"/>
              </w:rPr>
              <w:t>*</w:t>
            </w:r>
          </w:p>
        </w:tc>
        <w:tc>
          <w:tcPr>
            <w:tcW w:w="499" w:type="dxa"/>
            <w:tcBorders>
              <w:top w:val="single" w:sz="6" w:space="0" w:color="000000"/>
              <w:left w:val="single" w:sz="6" w:space="0" w:color="000000"/>
              <w:bottom w:val="single" w:sz="5" w:space="0" w:color="000000"/>
              <w:right w:val="single" w:sz="6" w:space="0" w:color="000000"/>
            </w:tcBorders>
          </w:tcPr>
          <w:p>
            <w:pPr>
              <w:pStyle w:val="TableParagraph"/>
              <w:spacing w:before="0"/>
              <w:jc w:val="left"/>
              <w:rPr>
                <w:b/>
                <w:sz w:val="22"/>
              </w:rPr>
            </w:pPr>
          </w:p>
          <w:p>
            <w:pPr>
              <w:pStyle w:val="TableParagraph"/>
              <w:spacing w:before="0"/>
              <w:jc w:val="left"/>
              <w:rPr>
                <w:b/>
                <w:sz w:val="22"/>
              </w:rPr>
            </w:pPr>
          </w:p>
          <w:p>
            <w:pPr>
              <w:pStyle w:val="TableParagraph"/>
              <w:spacing w:before="9"/>
              <w:jc w:val="left"/>
              <w:rPr>
                <w:b/>
                <w:sz w:val="17"/>
              </w:rPr>
            </w:pPr>
          </w:p>
          <w:p>
            <w:pPr>
              <w:pStyle w:val="TableParagraph"/>
              <w:spacing w:before="0"/>
              <w:ind w:right="3"/>
              <w:jc w:val="center"/>
              <w:rPr>
                <w:sz w:val="23"/>
              </w:rPr>
            </w:pPr>
            <w:r>
              <w:rPr>
                <w:w w:val="101"/>
                <w:sz w:val="23"/>
              </w:rPr>
              <w:t>*</w:t>
            </w:r>
          </w:p>
        </w:tc>
        <w:tc>
          <w:tcPr>
            <w:tcW w:w="521" w:type="dxa"/>
            <w:tcBorders>
              <w:top w:val="single" w:sz="6" w:space="0" w:color="000000"/>
              <w:left w:val="single" w:sz="6" w:space="0" w:color="000000"/>
              <w:bottom w:val="single" w:sz="5" w:space="0" w:color="000000"/>
              <w:right w:val="single" w:sz="6" w:space="0" w:color="000000"/>
            </w:tcBorders>
          </w:tcPr>
          <w:p>
            <w:pPr>
              <w:pStyle w:val="TableParagraph"/>
              <w:spacing w:before="0"/>
              <w:jc w:val="left"/>
              <w:rPr>
                <w:b/>
                <w:sz w:val="22"/>
              </w:rPr>
            </w:pPr>
          </w:p>
          <w:p>
            <w:pPr>
              <w:pStyle w:val="TableParagraph"/>
              <w:spacing w:before="0"/>
              <w:jc w:val="left"/>
              <w:rPr>
                <w:b/>
                <w:sz w:val="22"/>
              </w:rPr>
            </w:pPr>
          </w:p>
          <w:p>
            <w:pPr>
              <w:pStyle w:val="TableParagraph"/>
              <w:spacing w:before="9"/>
              <w:jc w:val="left"/>
              <w:rPr>
                <w:b/>
                <w:sz w:val="17"/>
              </w:rPr>
            </w:pPr>
          </w:p>
          <w:p>
            <w:pPr>
              <w:pStyle w:val="TableParagraph"/>
              <w:spacing w:before="0"/>
              <w:ind w:left="208"/>
              <w:jc w:val="left"/>
              <w:rPr>
                <w:sz w:val="23"/>
              </w:rPr>
            </w:pPr>
            <w:r>
              <w:rPr>
                <w:w w:val="101"/>
                <w:sz w:val="23"/>
              </w:rPr>
              <w:t>*</w:t>
            </w:r>
          </w:p>
        </w:tc>
        <w:tc>
          <w:tcPr>
            <w:tcW w:w="593" w:type="dxa"/>
            <w:tcBorders>
              <w:top w:val="single" w:sz="6" w:space="0" w:color="000000"/>
              <w:left w:val="single" w:sz="6" w:space="0" w:color="000000"/>
              <w:bottom w:val="single" w:sz="5" w:space="0" w:color="000000"/>
              <w:right w:val="single" w:sz="6" w:space="0" w:color="000000"/>
            </w:tcBorders>
          </w:tcPr>
          <w:p>
            <w:pPr>
              <w:pStyle w:val="TableParagraph"/>
              <w:spacing w:before="0"/>
              <w:jc w:val="left"/>
              <w:rPr>
                <w:b/>
                <w:sz w:val="22"/>
              </w:rPr>
            </w:pPr>
          </w:p>
          <w:p>
            <w:pPr>
              <w:pStyle w:val="TableParagraph"/>
              <w:spacing w:before="0"/>
              <w:jc w:val="left"/>
              <w:rPr>
                <w:b/>
                <w:sz w:val="22"/>
              </w:rPr>
            </w:pPr>
          </w:p>
          <w:p>
            <w:pPr>
              <w:pStyle w:val="TableParagraph"/>
              <w:spacing w:before="9"/>
              <w:jc w:val="left"/>
              <w:rPr>
                <w:b/>
                <w:sz w:val="17"/>
              </w:rPr>
            </w:pPr>
          </w:p>
          <w:p>
            <w:pPr>
              <w:pStyle w:val="TableParagraph"/>
              <w:spacing w:before="0"/>
              <w:ind w:left="2"/>
              <w:jc w:val="center"/>
              <w:rPr>
                <w:sz w:val="23"/>
              </w:rPr>
            </w:pPr>
            <w:r>
              <w:rPr>
                <w:w w:val="101"/>
                <w:sz w:val="23"/>
              </w:rPr>
              <w:t>*</w:t>
            </w:r>
          </w:p>
        </w:tc>
        <w:tc>
          <w:tcPr>
            <w:tcW w:w="480" w:type="dxa"/>
            <w:tcBorders>
              <w:top w:val="single" w:sz="6" w:space="0" w:color="000000"/>
              <w:left w:val="single" w:sz="6" w:space="0" w:color="000000"/>
              <w:bottom w:val="single" w:sz="5" w:space="0" w:color="000000"/>
              <w:right w:val="single" w:sz="6" w:space="0" w:color="000000"/>
            </w:tcBorders>
          </w:tcPr>
          <w:p>
            <w:pPr>
              <w:pStyle w:val="TableParagraph"/>
              <w:spacing w:before="0"/>
              <w:jc w:val="left"/>
              <w:rPr>
                <w:b/>
                <w:sz w:val="22"/>
              </w:rPr>
            </w:pPr>
          </w:p>
          <w:p>
            <w:pPr>
              <w:pStyle w:val="TableParagraph"/>
              <w:spacing w:before="0"/>
              <w:jc w:val="left"/>
              <w:rPr>
                <w:b/>
                <w:sz w:val="22"/>
              </w:rPr>
            </w:pPr>
          </w:p>
          <w:p>
            <w:pPr>
              <w:pStyle w:val="TableParagraph"/>
              <w:spacing w:before="9"/>
              <w:jc w:val="left"/>
              <w:rPr>
                <w:b/>
                <w:sz w:val="17"/>
              </w:rPr>
            </w:pPr>
          </w:p>
          <w:p>
            <w:pPr>
              <w:pStyle w:val="TableParagraph"/>
              <w:spacing w:before="0"/>
              <w:jc w:val="center"/>
              <w:rPr>
                <w:sz w:val="23"/>
              </w:rPr>
            </w:pPr>
            <w:r>
              <w:rPr>
                <w:w w:val="101"/>
                <w:sz w:val="23"/>
              </w:rPr>
              <w:t>*</w:t>
            </w:r>
          </w:p>
        </w:tc>
        <w:tc>
          <w:tcPr>
            <w:tcW w:w="581" w:type="dxa"/>
            <w:tcBorders>
              <w:top w:val="single" w:sz="6" w:space="0" w:color="000000"/>
              <w:left w:val="single" w:sz="6" w:space="0" w:color="000000"/>
              <w:bottom w:val="single" w:sz="5" w:space="0" w:color="000000"/>
              <w:right w:val="single" w:sz="6" w:space="0" w:color="000000"/>
            </w:tcBorders>
          </w:tcPr>
          <w:p>
            <w:pPr>
              <w:pStyle w:val="TableParagraph"/>
              <w:spacing w:before="0"/>
              <w:jc w:val="left"/>
              <w:rPr>
                <w:b/>
                <w:sz w:val="22"/>
              </w:rPr>
            </w:pPr>
          </w:p>
          <w:p>
            <w:pPr>
              <w:pStyle w:val="TableParagraph"/>
              <w:spacing w:before="0"/>
              <w:jc w:val="left"/>
              <w:rPr>
                <w:b/>
                <w:sz w:val="22"/>
              </w:rPr>
            </w:pPr>
          </w:p>
          <w:p>
            <w:pPr>
              <w:pStyle w:val="TableParagraph"/>
              <w:spacing w:before="9"/>
              <w:jc w:val="left"/>
              <w:rPr>
                <w:b/>
                <w:sz w:val="17"/>
              </w:rPr>
            </w:pPr>
          </w:p>
          <w:p>
            <w:pPr>
              <w:pStyle w:val="TableParagraph"/>
              <w:spacing w:before="0"/>
              <w:jc w:val="center"/>
              <w:rPr>
                <w:sz w:val="23"/>
              </w:rPr>
            </w:pPr>
            <w:r>
              <w:rPr>
                <w:w w:val="101"/>
                <w:sz w:val="23"/>
              </w:rPr>
              <w:t>*</w:t>
            </w:r>
          </w:p>
        </w:tc>
        <w:tc>
          <w:tcPr>
            <w:tcW w:w="414" w:type="dxa"/>
            <w:tcBorders>
              <w:top w:val="single" w:sz="6" w:space="0" w:color="000000"/>
              <w:left w:val="single" w:sz="6" w:space="0" w:color="000000"/>
              <w:bottom w:val="single" w:sz="5" w:space="0" w:color="000000"/>
              <w:right w:val="single" w:sz="11" w:space="0" w:color="000000"/>
            </w:tcBorders>
          </w:tcPr>
          <w:p>
            <w:pPr>
              <w:pStyle w:val="TableParagraph"/>
              <w:spacing w:before="0"/>
              <w:jc w:val="left"/>
              <w:rPr>
                <w:b/>
                <w:sz w:val="22"/>
              </w:rPr>
            </w:pPr>
          </w:p>
          <w:p>
            <w:pPr>
              <w:pStyle w:val="TableParagraph"/>
              <w:spacing w:before="0"/>
              <w:jc w:val="left"/>
              <w:rPr>
                <w:b/>
                <w:sz w:val="22"/>
              </w:rPr>
            </w:pPr>
          </w:p>
          <w:p>
            <w:pPr>
              <w:pStyle w:val="TableParagraph"/>
              <w:spacing w:before="9"/>
              <w:jc w:val="left"/>
              <w:rPr>
                <w:b/>
                <w:sz w:val="17"/>
              </w:rPr>
            </w:pPr>
          </w:p>
          <w:p>
            <w:pPr>
              <w:pStyle w:val="TableParagraph"/>
              <w:spacing w:before="0"/>
              <w:ind w:left="4"/>
              <w:jc w:val="center"/>
              <w:rPr>
                <w:sz w:val="23"/>
              </w:rPr>
            </w:pPr>
            <w:r>
              <w:rPr>
                <w:w w:val="101"/>
                <w:sz w:val="23"/>
              </w:rPr>
              <w:t>*</w:t>
            </w:r>
          </w:p>
        </w:tc>
      </w:tr>
      <w:tr>
        <w:trPr>
          <w:trHeight w:val="1745" w:hRule="exact"/>
        </w:trPr>
        <w:tc>
          <w:tcPr>
            <w:tcW w:w="1380" w:type="dxa"/>
            <w:tcBorders>
              <w:top w:val="single" w:sz="5" w:space="0" w:color="000000"/>
              <w:bottom w:val="single" w:sz="5" w:space="0" w:color="000000"/>
              <w:right w:val="single" w:sz="6" w:space="0" w:color="000000"/>
            </w:tcBorders>
          </w:tcPr>
          <w:p>
            <w:pPr>
              <w:pStyle w:val="TableParagraph"/>
              <w:spacing w:before="60"/>
              <w:ind w:left="52"/>
              <w:jc w:val="left"/>
              <w:rPr>
                <w:sz w:val="23"/>
              </w:rPr>
            </w:pPr>
            <w:r>
              <w:rPr>
                <w:sz w:val="23"/>
              </w:rPr>
              <w:t>Análisis</w:t>
            </w:r>
          </w:p>
          <w:p>
            <w:pPr>
              <w:pStyle w:val="TableParagraph"/>
              <w:spacing w:before="64"/>
              <w:ind w:left="52"/>
              <w:jc w:val="left"/>
              <w:rPr>
                <w:sz w:val="23"/>
              </w:rPr>
            </w:pPr>
            <w:r>
              <w:rPr>
                <w:sz w:val="23"/>
              </w:rPr>
              <w:t>Histórico- Estructural</w:t>
            </w:r>
          </w:p>
        </w:tc>
        <w:tc>
          <w:tcPr>
            <w:tcW w:w="1824" w:type="dxa"/>
            <w:tcBorders>
              <w:top w:val="single" w:sz="5" w:space="0" w:color="000000"/>
              <w:left w:val="single" w:sz="6" w:space="0" w:color="000000"/>
              <w:bottom w:val="single" w:sz="5" w:space="0" w:color="000000"/>
              <w:right w:val="single" w:sz="6" w:space="0" w:color="000000"/>
            </w:tcBorders>
          </w:tcPr>
          <w:p>
            <w:pPr>
              <w:pStyle w:val="TableParagraph"/>
              <w:spacing w:line="244" w:lineRule="auto" w:before="60"/>
              <w:ind w:left="59"/>
              <w:jc w:val="left"/>
              <w:rPr>
                <w:sz w:val="23"/>
              </w:rPr>
            </w:pPr>
            <w:r>
              <w:rPr>
                <w:sz w:val="23"/>
              </w:rPr>
              <w:t>El movimiento internacional de la fuerza de trabajo está regido por el Capital</w:t>
            </w:r>
          </w:p>
        </w:tc>
        <w:tc>
          <w:tcPr>
            <w:tcW w:w="1349" w:type="dxa"/>
            <w:tcBorders>
              <w:top w:val="single" w:sz="5" w:space="0" w:color="000000"/>
              <w:left w:val="single" w:sz="6" w:space="0" w:color="000000"/>
              <w:bottom w:val="single" w:sz="5" w:space="0" w:color="000000"/>
              <w:right w:val="single" w:sz="6" w:space="0" w:color="000000"/>
            </w:tcBorders>
          </w:tcPr>
          <w:p>
            <w:pPr>
              <w:pStyle w:val="TableParagraph"/>
              <w:spacing w:before="0"/>
              <w:jc w:val="left"/>
              <w:rPr>
                <w:b/>
                <w:sz w:val="22"/>
              </w:rPr>
            </w:pPr>
          </w:p>
          <w:p>
            <w:pPr>
              <w:pStyle w:val="TableParagraph"/>
              <w:spacing w:before="136"/>
              <w:ind w:left="59" w:right="60"/>
              <w:jc w:val="left"/>
              <w:rPr>
                <w:sz w:val="23"/>
              </w:rPr>
            </w:pPr>
            <w:r>
              <w:rPr>
                <w:sz w:val="23"/>
              </w:rPr>
              <w:t>Análisis Histórico</w:t>
            </w:r>
          </w:p>
        </w:tc>
        <w:tc>
          <w:tcPr>
            <w:tcW w:w="550" w:type="dxa"/>
            <w:tcBorders>
              <w:top w:val="single" w:sz="5" w:space="0" w:color="000000"/>
              <w:left w:val="single" w:sz="6" w:space="0" w:color="000000"/>
              <w:bottom w:val="single" w:sz="5" w:space="0" w:color="000000"/>
              <w:right w:val="single" w:sz="6" w:space="0" w:color="000000"/>
            </w:tcBorders>
          </w:tcPr>
          <w:p>
            <w:pPr>
              <w:pStyle w:val="TableParagraph"/>
              <w:spacing w:before="0"/>
              <w:jc w:val="left"/>
              <w:rPr>
                <w:b/>
                <w:sz w:val="22"/>
              </w:rPr>
            </w:pPr>
          </w:p>
          <w:p>
            <w:pPr>
              <w:pStyle w:val="TableParagraph"/>
              <w:spacing w:before="0"/>
              <w:jc w:val="left"/>
              <w:rPr>
                <w:b/>
                <w:sz w:val="22"/>
              </w:rPr>
            </w:pPr>
          </w:p>
          <w:p>
            <w:pPr>
              <w:pStyle w:val="TableParagraph"/>
              <w:jc w:val="left"/>
              <w:rPr>
                <w:b/>
                <w:sz w:val="18"/>
              </w:rPr>
            </w:pPr>
          </w:p>
          <w:p>
            <w:pPr>
              <w:pStyle w:val="TableParagraph"/>
              <w:spacing w:before="0"/>
              <w:ind w:left="223"/>
              <w:jc w:val="left"/>
              <w:rPr>
                <w:sz w:val="23"/>
              </w:rPr>
            </w:pPr>
            <w:r>
              <w:rPr>
                <w:w w:val="101"/>
                <w:sz w:val="23"/>
              </w:rPr>
              <w:t>*</w:t>
            </w:r>
          </w:p>
        </w:tc>
        <w:tc>
          <w:tcPr>
            <w:tcW w:w="502" w:type="dxa"/>
            <w:tcBorders>
              <w:top w:val="single" w:sz="5" w:space="0" w:color="000000"/>
              <w:left w:val="single" w:sz="6" w:space="0" w:color="000000"/>
              <w:bottom w:val="single" w:sz="5" w:space="0" w:color="000000"/>
              <w:right w:val="single" w:sz="6" w:space="0" w:color="000000"/>
            </w:tcBorders>
          </w:tcPr>
          <w:p>
            <w:pPr>
              <w:pStyle w:val="TableParagraph"/>
              <w:spacing w:before="0"/>
              <w:jc w:val="left"/>
              <w:rPr>
                <w:b/>
                <w:sz w:val="28"/>
              </w:rPr>
            </w:pPr>
          </w:p>
          <w:p>
            <w:pPr>
              <w:pStyle w:val="TableParagraph"/>
              <w:spacing w:before="4"/>
              <w:jc w:val="left"/>
              <w:rPr>
                <w:b/>
                <w:sz w:val="31"/>
              </w:rPr>
            </w:pPr>
          </w:p>
          <w:p>
            <w:pPr>
              <w:pStyle w:val="TableParagraph"/>
              <w:spacing w:before="0"/>
              <w:ind w:left="132" w:right="132"/>
              <w:jc w:val="center"/>
              <w:rPr>
                <w:sz w:val="15"/>
              </w:rPr>
            </w:pPr>
            <w:r>
              <w:rPr>
                <w:w w:val="105"/>
                <w:position w:val="-10"/>
                <w:sz w:val="23"/>
              </w:rPr>
              <w:t>*</w:t>
            </w:r>
            <w:r>
              <w:rPr>
                <w:w w:val="105"/>
                <w:sz w:val="15"/>
              </w:rPr>
              <w:t>¤</w:t>
            </w:r>
          </w:p>
        </w:tc>
        <w:tc>
          <w:tcPr>
            <w:tcW w:w="499" w:type="dxa"/>
            <w:tcBorders>
              <w:top w:val="single" w:sz="5" w:space="0" w:color="000000"/>
              <w:left w:val="single" w:sz="6" w:space="0" w:color="000000"/>
              <w:bottom w:val="single" w:sz="5" w:space="0" w:color="000000"/>
              <w:right w:val="single" w:sz="6" w:space="0" w:color="000000"/>
            </w:tcBorders>
          </w:tcPr>
          <w:p>
            <w:pPr/>
          </w:p>
        </w:tc>
        <w:tc>
          <w:tcPr>
            <w:tcW w:w="521" w:type="dxa"/>
            <w:tcBorders>
              <w:top w:val="single" w:sz="5" w:space="0" w:color="000000"/>
              <w:left w:val="single" w:sz="6" w:space="0" w:color="000000"/>
              <w:bottom w:val="single" w:sz="5" w:space="0" w:color="000000"/>
              <w:right w:val="single" w:sz="6" w:space="0" w:color="000000"/>
            </w:tcBorders>
          </w:tcPr>
          <w:p>
            <w:pPr>
              <w:pStyle w:val="TableParagraph"/>
              <w:spacing w:before="0"/>
              <w:jc w:val="left"/>
              <w:rPr>
                <w:b/>
                <w:sz w:val="22"/>
              </w:rPr>
            </w:pPr>
          </w:p>
          <w:p>
            <w:pPr>
              <w:pStyle w:val="TableParagraph"/>
              <w:spacing w:before="0"/>
              <w:jc w:val="left"/>
              <w:rPr>
                <w:b/>
                <w:sz w:val="22"/>
              </w:rPr>
            </w:pPr>
          </w:p>
          <w:p>
            <w:pPr>
              <w:pStyle w:val="TableParagraph"/>
              <w:jc w:val="left"/>
              <w:rPr>
                <w:b/>
                <w:sz w:val="18"/>
              </w:rPr>
            </w:pPr>
          </w:p>
          <w:p>
            <w:pPr>
              <w:pStyle w:val="TableParagraph"/>
              <w:spacing w:before="0"/>
              <w:ind w:left="208"/>
              <w:jc w:val="left"/>
              <w:rPr>
                <w:sz w:val="23"/>
              </w:rPr>
            </w:pPr>
            <w:r>
              <w:rPr>
                <w:w w:val="101"/>
                <w:sz w:val="23"/>
              </w:rPr>
              <w:t>*</w:t>
            </w:r>
          </w:p>
        </w:tc>
        <w:tc>
          <w:tcPr>
            <w:tcW w:w="593" w:type="dxa"/>
            <w:tcBorders>
              <w:top w:val="single" w:sz="5" w:space="0" w:color="000000"/>
              <w:left w:val="single" w:sz="6" w:space="0" w:color="000000"/>
              <w:bottom w:val="single" w:sz="5" w:space="0" w:color="000000"/>
              <w:right w:val="single" w:sz="6" w:space="0" w:color="000000"/>
            </w:tcBorders>
          </w:tcPr>
          <w:p>
            <w:pPr/>
          </w:p>
        </w:tc>
        <w:tc>
          <w:tcPr>
            <w:tcW w:w="480" w:type="dxa"/>
            <w:tcBorders>
              <w:top w:val="single" w:sz="5" w:space="0" w:color="000000"/>
              <w:left w:val="single" w:sz="6" w:space="0" w:color="000000"/>
              <w:bottom w:val="single" w:sz="5" w:space="0" w:color="000000"/>
              <w:right w:val="single" w:sz="6" w:space="0" w:color="000000"/>
            </w:tcBorders>
          </w:tcPr>
          <w:p>
            <w:pPr/>
          </w:p>
        </w:tc>
        <w:tc>
          <w:tcPr>
            <w:tcW w:w="581" w:type="dxa"/>
            <w:tcBorders>
              <w:top w:val="single" w:sz="5" w:space="0" w:color="000000"/>
              <w:left w:val="single" w:sz="6" w:space="0" w:color="000000"/>
              <w:bottom w:val="single" w:sz="5" w:space="0" w:color="000000"/>
              <w:right w:val="single" w:sz="6" w:space="0" w:color="000000"/>
            </w:tcBorders>
          </w:tcPr>
          <w:p>
            <w:pPr>
              <w:pStyle w:val="TableParagraph"/>
              <w:spacing w:before="0"/>
              <w:jc w:val="left"/>
              <w:rPr>
                <w:b/>
                <w:sz w:val="22"/>
              </w:rPr>
            </w:pPr>
          </w:p>
          <w:p>
            <w:pPr>
              <w:pStyle w:val="TableParagraph"/>
              <w:spacing w:before="0"/>
              <w:jc w:val="left"/>
              <w:rPr>
                <w:b/>
                <w:sz w:val="22"/>
              </w:rPr>
            </w:pPr>
          </w:p>
          <w:p>
            <w:pPr>
              <w:pStyle w:val="TableParagraph"/>
              <w:jc w:val="left"/>
              <w:rPr>
                <w:b/>
                <w:sz w:val="18"/>
              </w:rPr>
            </w:pPr>
          </w:p>
          <w:p>
            <w:pPr>
              <w:pStyle w:val="TableParagraph"/>
              <w:spacing w:before="0"/>
              <w:jc w:val="center"/>
              <w:rPr>
                <w:sz w:val="23"/>
              </w:rPr>
            </w:pPr>
            <w:r>
              <w:rPr>
                <w:w w:val="101"/>
                <w:sz w:val="23"/>
              </w:rPr>
              <w:t>*</w:t>
            </w:r>
          </w:p>
        </w:tc>
        <w:tc>
          <w:tcPr>
            <w:tcW w:w="414" w:type="dxa"/>
            <w:tcBorders>
              <w:top w:val="single" w:sz="5" w:space="0" w:color="000000"/>
              <w:left w:val="single" w:sz="6" w:space="0" w:color="000000"/>
              <w:bottom w:val="single" w:sz="5" w:space="0" w:color="000000"/>
              <w:right w:val="single" w:sz="11" w:space="0" w:color="000000"/>
            </w:tcBorders>
          </w:tcPr>
          <w:p>
            <w:pPr/>
          </w:p>
        </w:tc>
      </w:tr>
      <w:tr>
        <w:trPr>
          <w:trHeight w:val="1747" w:hRule="exact"/>
        </w:trPr>
        <w:tc>
          <w:tcPr>
            <w:tcW w:w="1380" w:type="dxa"/>
            <w:tcBorders>
              <w:top w:val="single" w:sz="5" w:space="0" w:color="000000"/>
              <w:bottom w:val="single" w:sz="11" w:space="0" w:color="000000"/>
              <w:right w:val="single" w:sz="6" w:space="0" w:color="000000"/>
            </w:tcBorders>
          </w:tcPr>
          <w:p>
            <w:pPr>
              <w:pStyle w:val="TableParagraph"/>
              <w:spacing w:before="58"/>
              <w:ind w:left="52"/>
              <w:jc w:val="left"/>
              <w:rPr>
                <w:sz w:val="23"/>
              </w:rPr>
            </w:pPr>
            <w:r>
              <w:rPr>
                <w:sz w:val="23"/>
              </w:rPr>
              <w:t>Teoría del</w:t>
            </w:r>
          </w:p>
          <w:p>
            <w:pPr>
              <w:pStyle w:val="TableParagraph"/>
              <w:spacing w:line="244" w:lineRule="auto" w:before="64"/>
              <w:ind w:left="52" w:right="455"/>
              <w:jc w:val="left"/>
              <w:rPr>
                <w:sz w:val="23"/>
              </w:rPr>
            </w:pPr>
            <w:r>
              <w:rPr>
                <w:sz w:val="23"/>
              </w:rPr>
              <w:t>Sistema Mundial</w:t>
            </w:r>
          </w:p>
        </w:tc>
        <w:tc>
          <w:tcPr>
            <w:tcW w:w="1824" w:type="dxa"/>
            <w:tcBorders>
              <w:top w:val="single" w:sz="5" w:space="0" w:color="000000"/>
              <w:left w:val="single" w:sz="6" w:space="0" w:color="000000"/>
              <w:bottom w:val="single" w:sz="11" w:space="0" w:color="000000"/>
              <w:right w:val="single" w:sz="6" w:space="0" w:color="000000"/>
            </w:tcBorders>
          </w:tcPr>
          <w:p>
            <w:pPr>
              <w:pStyle w:val="TableParagraph"/>
              <w:spacing w:line="244" w:lineRule="auto" w:before="58"/>
              <w:ind w:left="59"/>
              <w:jc w:val="left"/>
              <w:rPr>
                <w:sz w:val="23"/>
              </w:rPr>
            </w:pPr>
            <w:r>
              <w:rPr>
                <w:sz w:val="23"/>
              </w:rPr>
              <w:t>Sistema de Relaciones Mercado del Trabajo</w:t>
            </w:r>
          </w:p>
          <w:p>
            <w:pPr>
              <w:pStyle w:val="TableParagraph"/>
              <w:spacing w:line="244" w:lineRule="auto" w:before="0"/>
              <w:ind w:left="59"/>
              <w:jc w:val="left"/>
              <w:rPr>
                <w:sz w:val="23"/>
              </w:rPr>
            </w:pPr>
            <w:r>
              <w:rPr>
                <w:sz w:val="23"/>
              </w:rPr>
              <w:t>/Mercado del Capital</w:t>
            </w:r>
          </w:p>
        </w:tc>
        <w:tc>
          <w:tcPr>
            <w:tcW w:w="1349" w:type="dxa"/>
            <w:tcBorders>
              <w:top w:val="single" w:sz="5" w:space="0" w:color="000000"/>
              <w:left w:val="single" w:sz="6" w:space="0" w:color="000000"/>
              <w:bottom w:val="single" w:sz="11" w:space="0" w:color="000000"/>
              <w:right w:val="single" w:sz="6" w:space="0" w:color="000000"/>
            </w:tcBorders>
          </w:tcPr>
          <w:p>
            <w:pPr>
              <w:pStyle w:val="TableParagraph"/>
              <w:tabs>
                <w:tab w:pos="1015" w:val="left" w:leader="none"/>
              </w:tabs>
              <w:spacing w:line="244" w:lineRule="auto" w:before="58"/>
              <w:ind w:left="59" w:right="60"/>
              <w:jc w:val="left"/>
              <w:rPr>
                <w:sz w:val="23"/>
              </w:rPr>
            </w:pPr>
            <w:r>
              <w:rPr>
                <w:spacing w:val="-3"/>
                <w:sz w:val="23"/>
              </w:rPr>
              <w:t>Teoría</w:t>
              <w:tab/>
            </w:r>
            <w:r>
              <w:rPr>
                <w:spacing w:val="-1"/>
                <w:sz w:val="23"/>
              </w:rPr>
              <w:t>de </w:t>
            </w:r>
            <w:r>
              <w:rPr>
                <w:sz w:val="23"/>
              </w:rPr>
              <w:t>los </w:t>
            </w:r>
            <w:r>
              <w:rPr>
                <w:spacing w:val="-3"/>
                <w:sz w:val="23"/>
              </w:rPr>
              <w:t>Sistemas</w:t>
            </w:r>
          </w:p>
          <w:p>
            <w:pPr>
              <w:pStyle w:val="TableParagraph"/>
              <w:spacing w:before="59"/>
              <w:ind w:left="59" w:right="60"/>
              <w:jc w:val="left"/>
              <w:rPr>
                <w:sz w:val="23"/>
              </w:rPr>
            </w:pPr>
            <w:r>
              <w:rPr>
                <w:sz w:val="23"/>
              </w:rPr>
              <w:t>Migratorios</w:t>
            </w:r>
          </w:p>
        </w:tc>
        <w:tc>
          <w:tcPr>
            <w:tcW w:w="550" w:type="dxa"/>
            <w:tcBorders>
              <w:top w:val="single" w:sz="5" w:space="0" w:color="000000"/>
              <w:left w:val="single" w:sz="6" w:space="0" w:color="000000"/>
              <w:bottom w:val="single" w:sz="11" w:space="0" w:color="000000"/>
              <w:right w:val="single" w:sz="6" w:space="0" w:color="000000"/>
            </w:tcBorders>
          </w:tcPr>
          <w:p>
            <w:pPr>
              <w:pStyle w:val="TableParagraph"/>
              <w:spacing w:before="0"/>
              <w:jc w:val="left"/>
              <w:rPr>
                <w:b/>
                <w:sz w:val="22"/>
              </w:rPr>
            </w:pPr>
          </w:p>
          <w:p>
            <w:pPr>
              <w:pStyle w:val="TableParagraph"/>
              <w:spacing w:before="133"/>
              <w:ind w:left="223"/>
              <w:jc w:val="left"/>
              <w:rPr>
                <w:sz w:val="23"/>
              </w:rPr>
            </w:pPr>
            <w:r>
              <w:rPr>
                <w:w w:val="101"/>
                <w:sz w:val="23"/>
              </w:rPr>
              <w:t>*</w:t>
            </w:r>
          </w:p>
        </w:tc>
        <w:tc>
          <w:tcPr>
            <w:tcW w:w="502" w:type="dxa"/>
            <w:tcBorders>
              <w:top w:val="single" w:sz="5" w:space="0" w:color="000000"/>
              <w:left w:val="single" w:sz="6" w:space="0" w:color="000000"/>
              <w:bottom w:val="single" w:sz="11" w:space="0" w:color="000000"/>
              <w:right w:val="single" w:sz="6" w:space="0" w:color="000000"/>
            </w:tcBorders>
          </w:tcPr>
          <w:p>
            <w:pPr>
              <w:pStyle w:val="TableParagraph"/>
              <w:spacing w:before="0"/>
              <w:jc w:val="left"/>
              <w:rPr>
                <w:b/>
                <w:sz w:val="22"/>
              </w:rPr>
            </w:pPr>
          </w:p>
          <w:p>
            <w:pPr>
              <w:pStyle w:val="TableParagraph"/>
              <w:spacing w:before="133"/>
              <w:jc w:val="center"/>
              <w:rPr>
                <w:sz w:val="23"/>
              </w:rPr>
            </w:pPr>
            <w:r>
              <w:rPr>
                <w:w w:val="101"/>
                <w:sz w:val="23"/>
              </w:rPr>
              <w:t>*</w:t>
            </w:r>
          </w:p>
        </w:tc>
        <w:tc>
          <w:tcPr>
            <w:tcW w:w="499" w:type="dxa"/>
            <w:tcBorders>
              <w:top w:val="single" w:sz="5" w:space="0" w:color="000000"/>
              <w:left w:val="single" w:sz="6" w:space="0" w:color="000000"/>
              <w:bottom w:val="single" w:sz="11" w:space="0" w:color="000000"/>
              <w:right w:val="single" w:sz="6" w:space="0" w:color="000000"/>
            </w:tcBorders>
          </w:tcPr>
          <w:p>
            <w:pPr>
              <w:pStyle w:val="TableParagraph"/>
              <w:spacing w:before="0"/>
              <w:jc w:val="left"/>
              <w:rPr>
                <w:b/>
                <w:sz w:val="22"/>
              </w:rPr>
            </w:pPr>
          </w:p>
          <w:p>
            <w:pPr>
              <w:pStyle w:val="TableParagraph"/>
              <w:spacing w:before="133"/>
              <w:ind w:right="3"/>
              <w:jc w:val="center"/>
              <w:rPr>
                <w:sz w:val="23"/>
              </w:rPr>
            </w:pPr>
            <w:r>
              <w:rPr>
                <w:w w:val="101"/>
                <w:sz w:val="23"/>
              </w:rPr>
              <w:t>*</w:t>
            </w:r>
          </w:p>
        </w:tc>
        <w:tc>
          <w:tcPr>
            <w:tcW w:w="521" w:type="dxa"/>
            <w:tcBorders>
              <w:top w:val="single" w:sz="5" w:space="0" w:color="000000"/>
              <w:left w:val="single" w:sz="6" w:space="0" w:color="000000"/>
              <w:bottom w:val="single" w:sz="11" w:space="0" w:color="000000"/>
              <w:right w:val="single" w:sz="6" w:space="0" w:color="000000"/>
            </w:tcBorders>
          </w:tcPr>
          <w:p>
            <w:pPr>
              <w:pStyle w:val="TableParagraph"/>
              <w:spacing w:before="0"/>
              <w:jc w:val="left"/>
              <w:rPr>
                <w:b/>
                <w:sz w:val="22"/>
              </w:rPr>
            </w:pPr>
          </w:p>
          <w:p>
            <w:pPr>
              <w:pStyle w:val="TableParagraph"/>
              <w:spacing w:before="133"/>
              <w:ind w:left="208"/>
              <w:jc w:val="left"/>
              <w:rPr>
                <w:sz w:val="23"/>
              </w:rPr>
            </w:pPr>
            <w:r>
              <w:rPr>
                <w:w w:val="101"/>
                <w:sz w:val="23"/>
              </w:rPr>
              <w:t>*</w:t>
            </w:r>
          </w:p>
        </w:tc>
        <w:tc>
          <w:tcPr>
            <w:tcW w:w="593" w:type="dxa"/>
            <w:tcBorders>
              <w:top w:val="single" w:sz="5" w:space="0" w:color="000000"/>
              <w:left w:val="single" w:sz="6" w:space="0" w:color="000000"/>
              <w:bottom w:val="single" w:sz="11" w:space="0" w:color="000000"/>
              <w:right w:val="single" w:sz="6" w:space="0" w:color="000000"/>
            </w:tcBorders>
          </w:tcPr>
          <w:p>
            <w:pPr>
              <w:pStyle w:val="TableParagraph"/>
              <w:spacing w:before="0"/>
              <w:jc w:val="left"/>
              <w:rPr>
                <w:b/>
                <w:sz w:val="22"/>
              </w:rPr>
            </w:pPr>
          </w:p>
          <w:p>
            <w:pPr>
              <w:pStyle w:val="TableParagraph"/>
              <w:spacing w:before="133"/>
              <w:ind w:left="2"/>
              <w:jc w:val="center"/>
              <w:rPr>
                <w:sz w:val="23"/>
              </w:rPr>
            </w:pPr>
            <w:r>
              <w:rPr>
                <w:w w:val="101"/>
                <w:sz w:val="23"/>
              </w:rPr>
              <w:t>*</w:t>
            </w:r>
          </w:p>
        </w:tc>
        <w:tc>
          <w:tcPr>
            <w:tcW w:w="480" w:type="dxa"/>
            <w:tcBorders>
              <w:top w:val="single" w:sz="5" w:space="0" w:color="000000"/>
              <w:left w:val="single" w:sz="6" w:space="0" w:color="000000"/>
              <w:bottom w:val="single" w:sz="11" w:space="0" w:color="000000"/>
              <w:right w:val="single" w:sz="6" w:space="0" w:color="000000"/>
            </w:tcBorders>
          </w:tcPr>
          <w:p>
            <w:pPr/>
          </w:p>
        </w:tc>
        <w:tc>
          <w:tcPr>
            <w:tcW w:w="581" w:type="dxa"/>
            <w:tcBorders>
              <w:top w:val="single" w:sz="5" w:space="0" w:color="000000"/>
              <w:left w:val="single" w:sz="6" w:space="0" w:color="000000"/>
              <w:bottom w:val="single" w:sz="11" w:space="0" w:color="000000"/>
              <w:right w:val="single" w:sz="6" w:space="0" w:color="000000"/>
            </w:tcBorders>
          </w:tcPr>
          <w:p>
            <w:pPr>
              <w:pStyle w:val="TableParagraph"/>
              <w:spacing w:before="0"/>
              <w:jc w:val="left"/>
              <w:rPr>
                <w:b/>
                <w:sz w:val="22"/>
              </w:rPr>
            </w:pPr>
          </w:p>
          <w:p>
            <w:pPr>
              <w:pStyle w:val="TableParagraph"/>
              <w:spacing w:before="133"/>
              <w:jc w:val="center"/>
              <w:rPr>
                <w:sz w:val="23"/>
              </w:rPr>
            </w:pPr>
            <w:r>
              <w:rPr>
                <w:w w:val="101"/>
                <w:sz w:val="23"/>
              </w:rPr>
              <w:t>*</w:t>
            </w:r>
          </w:p>
        </w:tc>
        <w:tc>
          <w:tcPr>
            <w:tcW w:w="414" w:type="dxa"/>
            <w:tcBorders>
              <w:top w:val="single" w:sz="5" w:space="0" w:color="000000"/>
              <w:left w:val="single" w:sz="6" w:space="0" w:color="000000"/>
              <w:bottom w:val="single" w:sz="11" w:space="0" w:color="000000"/>
              <w:right w:val="single" w:sz="11" w:space="0" w:color="000000"/>
            </w:tcBorders>
          </w:tcPr>
          <w:p>
            <w:pPr>
              <w:pStyle w:val="TableParagraph"/>
              <w:spacing w:before="0"/>
              <w:jc w:val="left"/>
              <w:rPr>
                <w:b/>
                <w:sz w:val="22"/>
              </w:rPr>
            </w:pPr>
          </w:p>
          <w:p>
            <w:pPr>
              <w:pStyle w:val="TableParagraph"/>
              <w:spacing w:before="133"/>
              <w:ind w:left="4"/>
              <w:jc w:val="center"/>
              <w:rPr>
                <w:sz w:val="23"/>
              </w:rPr>
            </w:pPr>
            <w:r>
              <w:rPr>
                <w:w w:val="101"/>
                <w:sz w:val="23"/>
              </w:rPr>
              <w:t>*</w:t>
            </w:r>
          </w:p>
        </w:tc>
      </w:tr>
    </w:tbl>
    <w:p>
      <w:pPr>
        <w:spacing w:before="2"/>
        <w:ind w:left="255" w:right="0" w:firstLine="0"/>
        <w:jc w:val="both"/>
        <w:rPr>
          <w:sz w:val="21"/>
        </w:rPr>
      </w:pPr>
      <w:r>
        <w:rPr>
          <w:b/>
          <w:sz w:val="21"/>
        </w:rPr>
        <w:t>Clave</w:t>
      </w:r>
      <w:r>
        <w:rPr>
          <w:sz w:val="21"/>
        </w:rPr>
        <w:t>: R = Remuneraciones al Trabajo,         E= Empleo,      H = Capital Humano,</w:t>
      </w:r>
    </w:p>
    <w:p>
      <w:pPr>
        <w:pStyle w:val="BodyText"/>
        <w:spacing w:before="7"/>
        <w:rPr>
          <w:sz w:val="17"/>
        </w:rPr>
      </w:pPr>
    </w:p>
    <w:p>
      <w:pPr>
        <w:tabs>
          <w:tab w:pos="3013" w:val="left" w:leader="none"/>
          <w:tab w:pos="4391" w:val="left" w:leader="none"/>
          <w:tab w:pos="6457" w:val="left" w:leader="none"/>
        </w:tabs>
        <w:spacing w:line="439" w:lineRule="auto" w:before="0"/>
        <w:ind w:left="944" w:right="877" w:firstLine="0"/>
        <w:jc w:val="left"/>
        <w:rPr>
          <w:sz w:val="21"/>
        </w:rPr>
      </w:pPr>
      <w:r>
        <w:rPr>
          <w:sz w:val="21"/>
        </w:rPr>
        <w:t>G =</w:t>
      </w:r>
      <w:r>
        <w:rPr>
          <w:spacing w:val="38"/>
          <w:sz w:val="21"/>
        </w:rPr>
        <w:t> </w:t>
      </w:r>
      <w:r>
        <w:rPr>
          <w:spacing w:val="-4"/>
          <w:sz w:val="21"/>
        </w:rPr>
        <w:t>Políticas</w:t>
      </w:r>
      <w:r>
        <w:rPr>
          <w:spacing w:val="15"/>
          <w:sz w:val="21"/>
        </w:rPr>
        <w:t> </w:t>
      </w:r>
      <w:r>
        <w:rPr>
          <w:spacing w:val="-4"/>
          <w:sz w:val="21"/>
        </w:rPr>
        <w:t>Gubernamentales,</w:t>
        <w:tab/>
      </w:r>
      <w:r>
        <w:rPr>
          <w:sz w:val="21"/>
        </w:rPr>
        <w:t>T =</w:t>
      </w:r>
      <w:r>
        <w:rPr>
          <w:spacing w:val="4"/>
          <w:sz w:val="21"/>
        </w:rPr>
        <w:t> </w:t>
      </w:r>
      <w:r>
        <w:rPr>
          <w:spacing w:val="-3"/>
          <w:sz w:val="21"/>
        </w:rPr>
        <w:t>Factor</w:t>
      </w:r>
      <w:r>
        <w:rPr>
          <w:sz w:val="21"/>
        </w:rPr>
        <w:t> </w:t>
      </w:r>
      <w:r>
        <w:rPr>
          <w:spacing w:val="-4"/>
          <w:sz w:val="21"/>
        </w:rPr>
        <w:t>Técnico,</w:t>
        <w:tab/>
      </w:r>
      <w:r>
        <w:rPr>
          <w:sz w:val="21"/>
        </w:rPr>
        <w:t>P</w:t>
      </w:r>
      <w:r>
        <w:rPr>
          <w:spacing w:val="14"/>
          <w:sz w:val="21"/>
        </w:rPr>
        <w:t> </w:t>
      </w:r>
      <w:r>
        <w:rPr>
          <w:sz w:val="21"/>
        </w:rPr>
        <w:t>=</w:t>
      </w:r>
      <w:r>
        <w:rPr>
          <w:spacing w:val="16"/>
          <w:sz w:val="21"/>
        </w:rPr>
        <w:t> </w:t>
      </w:r>
      <w:r>
        <w:rPr>
          <w:spacing w:val="-4"/>
          <w:sz w:val="21"/>
        </w:rPr>
        <w:t>Preferencias,</w:t>
      </w:r>
      <w:r>
        <w:rPr>
          <w:w w:val="102"/>
          <w:sz w:val="21"/>
        </w:rPr>
        <w:t> </w:t>
      </w:r>
      <w:r>
        <w:rPr>
          <w:sz w:val="21"/>
        </w:rPr>
        <w:t>Q</w:t>
      </w:r>
      <w:r>
        <w:rPr>
          <w:spacing w:val="5"/>
          <w:sz w:val="21"/>
        </w:rPr>
        <w:t> </w:t>
      </w:r>
      <w:r>
        <w:rPr>
          <w:sz w:val="21"/>
        </w:rPr>
        <w:t>=</w:t>
      </w:r>
      <w:r>
        <w:rPr>
          <w:spacing w:val="1"/>
          <w:sz w:val="21"/>
        </w:rPr>
        <w:t> </w:t>
      </w:r>
      <w:r>
        <w:rPr>
          <w:spacing w:val="-4"/>
          <w:sz w:val="21"/>
        </w:rPr>
        <w:t>Producción</w:t>
        <w:tab/>
      </w:r>
      <w:r>
        <w:rPr>
          <w:sz w:val="21"/>
        </w:rPr>
        <w:t>K = </w:t>
      </w:r>
      <w:r>
        <w:rPr>
          <w:spacing w:val="-4"/>
          <w:sz w:val="21"/>
        </w:rPr>
        <w:t>Capital </w:t>
      </w:r>
      <w:r>
        <w:rPr>
          <w:spacing w:val="-3"/>
          <w:sz w:val="21"/>
        </w:rPr>
        <w:t>Físico </w:t>
      </w:r>
      <w:r>
        <w:rPr>
          <w:sz w:val="21"/>
        </w:rPr>
        <w:t>o</w:t>
      </w:r>
      <w:r>
        <w:rPr>
          <w:spacing w:val="42"/>
          <w:sz w:val="21"/>
        </w:rPr>
        <w:t> </w:t>
      </w:r>
      <w:r>
        <w:rPr>
          <w:spacing w:val="-3"/>
          <w:sz w:val="21"/>
        </w:rPr>
        <w:t>Financiero</w:t>
      </w:r>
    </w:p>
    <w:p>
      <w:pPr>
        <w:spacing w:before="3"/>
        <w:ind w:left="944" w:right="0" w:firstLine="0"/>
        <w:jc w:val="left"/>
        <w:rPr>
          <w:sz w:val="21"/>
        </w:rPr>
      </w:pPr>
      <w:r>
        <w:rPr>
          <w:sz w:val="21"/>
        </w:rPr>
        <w:t>¤ En este caso se refiere al  desempleo.</w:t>
      </w:r>
    </w:p>
    <w:p>
      <w:pPr>
        <w:pStyle w:val="BodyText"/>
        <w:rPr>
          <w:sz w:val="20"/>
        </w:rPr>
      </w:pPr>
    </w:p>
    <w:p>
      <w:pPr>
        <w:pStyle w:val="BodyText"/>
        <w:rPr>
          <w:sz w:val="20"/>
        </w:rPr>
      </w:pPr>
    </w:p>
    <w:p>
      <w:pPr>
        <w:pStyle w:val="BodyText"/>
        <w:spacing w:before="4"/>
        <w:rPr>
          <w:sz w:val="29"/>
        </w:rPr>
      </w:pPr>
    </w:p>
    <w:p>
      <w:pPr>
        <w:pStyle w:val="BodyText"/>
        <w:spacing w:line="364" w:lineRule="auto"/>
        <w:ind w:left="255" w:right="121"/>
        <w:jc w:val="both"/>
      </w:pPr>
      <w:r>
        <w:rPr>
          <w:spacing w:val="-3"/>
        </w:rPr>
        <w:t>Los modelos del </w:t>
      </w:r>
      <w:r>
        <w:rPr>
          <w:spacing w:val="-4"/>
        </w:rPr>
        <w:t>enfoque </w:t>
      </w:r>
      <w:r>
        <w:rPr>
          <w:spacing w:val="-3"/>
        </w:rPr>
        <w:t>macrosocial </w:t>
      </w:r>
      <w:r>
        <w:rPr/>
        <w:t>se </w:t>
      </w:r>
      <w:r>
        <w:rPr>
          <w:spacing w:val="-4"/>
        </w:rPr>
        <w:t>relacionan </w:t>
      </w:r>
      <w:r>
        <w:rPr>
          <w:spacing w:val="-3"/>
        </w:rPr>
        <w:t>con el funcionamiento del  sistema en </w:t>
      </w:r>
      <w:r>
        <w:rPr/>
        <w:t>su </w:t>
      </w:r>
      <w:r>
        <w:rPr>
          <w:spacing w:val="-3"/>
        </w:rPr>
        <w:t>conjunto </w:t>
      </w:r>
      <w:r>
        <w:rPr/>
        <w:t>y </w:t>
      </w:r>
      <w:r>
        <w:rPr>
          <w:spacing w:val="-3"/>
        </w:rPr>
        <w:t>explican </w:t>
      </w:r>
      <w:r>
        <w:rPr/>
        <w:t>las </w:t>
      </w:r>
      <w:r>
        <w:rPr>
          <w:spacing w:val="-4"/>
        </w:rPr>
        <w:t>condiciones </w:t>
      </w:r>
      <w:r>
        <w:rPr>
          <w:spacing w:val="-3"/>
        </w:rPr>
        <w:t>objetivas </w:t>
      </w:r>
      <w:r>
        <w:rPr>
          <w:spacing w:val="-4"/>
        </w:rPr>
        <w:t>ambientales </w:t>
      </w:r>
      <w:r>
        <w:rPr/>
        <w:t>y su </w:t>
      </w:r>
      <w:r>
        <w:rPr>
          <w:spacing w:val="-3"/>
        </w:rPr>
        <w:t>evolución histórica, elementos que </w:t>
      </w:r>
      <w:r>
        <w:rPr>
          <w:spacing w:val="-4"/>
        </w:rPr>
        <w:t>influyen </w:t>
      </w:r>
      <w:r>
        <w:rPr/>
        <w:t>en la </w:t>
      </w:r>
      <w:r>
        <w:rPr>
          <w:spacing w:val="-3"/>
        </w:rPr>
        <w:t>dirección de </w:t>
      </w:r>
      <w:r>
        <w:rPr/>
        <w:t>la </w:t>
      </w:r>
      <w:r>
        <w:rPr>
          <w:spacing w:val="-3"/>
        </w:rPr>
        <w:t>migración </w:t>
      </w:r>
      <w:r>
        <w:rPr>
          <w:spacing w:val="-4"/>
        </w:rPr>
        <w:t>(Arroyo,</w:t>
      </w:r>
      <w:r>
        <w:rPr>
          <w:spacing w:val="55"/>
        </w:rPr>
        <w:t> </w:t>
      </w:r>
      <w:r>
        <w:rPr>
          <w:spacing w:val="-3"/>
        </w:rPr>
        <w:t>Winnie </w:t>
      </w:r>
      <w:r>
        <w:rPr/>
        <w:t>y </w:t>
      </w:r>
      <w:r>
        <w:rPr>
          <w:spacing w:val="-3"/>
        </w:rPr>
        <w:t>Velázquez, 1986:58). </w:t>
      </w:r>
      <w:r>
        <w:rPr/>
        <w:t>En </w:t>
      </w:r>
      <w:r>
        <w:rPr>
          <w:spacing w:val="-3"/>
        </w:rPr>
        <w:t>cambio, </w:t>
      </w:r>
      <w:r>
        <w:rPr/>
        <w:t>los </w:t>
      </w:r>
      <w:r>
        <w:rPr>
          <w:spacing w:val="-3"/>
        </w:rPr>
        <w:t>modelos </w:t>
      </w:r>
      <w:r>
        <w:rPr>
          <w:spacing w:val="-4"/>
        </w:rPr>
        <w:t>del </w:t>
      </w:r>
      <w:r>
        <w:rPr>
          <w:spacing w:val="-3"/>
        </w:rPr>
        <w:t>análisis microsocial complementan </w:t>
      </w:r>
      <w:r>
        <w:rPr/>
        <w:t>la </w:t>
      </w:r>
      <w:r>
        <w:rPr>
          <w:spacing w:val="-3"/>
        </w:rPr>
        <w:t>comprensión </w:t>
      </w:r>
      <w:r>
        <w:rPr/>
        <w:t>de las </w:t>
      </w:r>
      <w:r>
        <w:rPr>
          <w:spacing w:val="-3"/>
        </w:rPr>
        <w:t>conexiones entre el medio ambiente </w:t>
      </w:r>
      <w:r>
        <w:rPr/>
        <w:t>y las </w:t>
      </w:r>
      <w:r>
        <w:rPr>
          <w:spacing w:val="-3"/>
        </w:rPr>
        <w:t>especificidades del individuo </w:t>
      </w:r>
      <w:r>
        <w:rPr/>
        <w:t>y la </w:t>
      </w:r>
      <w:r>
        <w:rPr>
          <w:spacing w:val="-3"/>
        </w:rPr>
        <w:t>comunidad. Estos tratan </w:t>
      </w:r>
      <w:r>
        <w:rPr/>
        <w:t>de </w:t>
      </w:r>
      <w:r>
        <w:rPr>
          <w:spacing w:val="-4"/>
        </w:rPr>
        <w:t>explicar, </w:t>
      </w:r>
      <w:r>
        <w:rPr/>
        <w:t>al </w:t>
      </w:r>
      <w:r>
        <w:rPr>
          <w:spacing w:val="-3"/>
        </w:rPr>
        <w:t>nivel </w:t>
      </w:r>
      <w:r>
        <w:rPr>
          <w:spacing w:val="-4"/>
        </w:rPr>
        <w:t>del</w:t>
      </w:r>
      <w:r>
        <w:rPr>
          <w:spacing w:val="55"/>
        </w:rPr>
        <w:t> </w:t>
      </w:r>
      <w:r>
        <w:rPr>
          <w:spacing w:val="-3"/>
        </w:rPr>
        <w:t>individuo, </w:t>
      </w:r>
      <w:r>
        <w:rPr/>
        <w:t>el </w:t>
      </w:r>
      <w:r>
        <w:rPr>
          <w:spacing w:val="-3"/>
        </w:rPr>
        <w:t>proceso </w:t>
      </w:r>
      <w:r>
        <w:rPr/>
        <w:t>que se </w:t>
      </w:r>
      <w:r>
        <w:rPr>
          <w:spacing w:val="-3"/>
        </w:rPr>
        <w:t>sigue para </w:t>
      </w:r>
      <w:r>
        <w:rPr/>
        <w:t>tomar la </w:t>
      </w:r>
      <w:r>
        <w:rPr>
          <w:spacing w:val="-3"/>
        </w:rPr>
        <w:t>decisión </w:t>
      </w:r>
      <w:r>
        <w:rPr/>
        <w:t>de</w:t>
      </w:r>
      <w:r>
        <w:rPr>
          <w:spacing w:val="29"/>
        </w:rPr>
        <w:t> </w:t>
      </w:r>
      <w:r>
        <w:rPr>
          <w:spacing w:val="-3"/>
        </w:rPr>
        <w:t>migrar.</w:t>
      </w:r>
    </w:p>
    <w:p>
      <w:pPr>
        <w:spacing w:after="0" w:line="364" w:lineRule="auto"/>
        <w:jc w:val="both"/>
        <w:sectPr>
          <w:pgSz w:w="11900" w:h="16840"/>
          <w:pgMar w:header="0" w:footer="1679" w:top="1600" w:bottom="1860" w:left="1400" w:right="1560"/>
        </w:sectPr>
      </w:pPr>
    </w:p>
    <w:p>
      <w:pPr>
        <w:pStyle w:val="BodyText"/>
        <w:rPr>
          <w:sz w:val="20"/>
        </w:rPr>
      </w:pPr>
    </w:p>
    <w:p>
      <w:pPr>
        <w:pStyle w:val="BodyText"/>
        <w:spacing w:before="1"/>
        <w:rPr>
          <w:sz w:val="16"/>
        </w:rPr>
      </w:pPr>
    </w:p>
    <w:p>
      <w:pPr>
        <w:spacing w:before="77"/>
        <w:ind w:left="995" w:right="0" w:firstLine="0"/>
        <w:jc w:val="left"/>
        <w:rPr>
          <w:b/>
          <w:sz w:val="21"/>
        </w:rPr>
      </w:pPr>
      <w:r>
        <w:rPr>
          <w:b/>
          <w:sz w:val="21"/>
        </w:rPr>
        <w:t>Cuadro 4. Modelos migratorios de los enfoques de la teoría   microsocial</w:t>
      </w:r>
    </w:p>
    <w:p>
      <w:pPr>
        <w:pStyle w:val="BodyText"/>
        <w:spacing w:before="3"/>
        <w:rPr>
          <w:b/>
          <w:sz w:val="28"/>
        </w:rPr>
      </w:pPr>
    </w:p>
    <w:tbl>
      <w:tblPr>
        <w:tblW w:w="0" w:type="auto"/>
        <w:jc w:val="left"/>
        <w:tblInd w:w="104"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1104"/>
        <w:gridCol w:w="1656"/>
        <w:gridCol w:w="1534"/>
        <w:gridCol w:w="482"/>
        <w:gridCol w:w="487"/>
        <w:gridCol w:w="482"/>
        <w:gridCol w:w="463"/>
        <w:gridCol w:w="413"/>
        <w:gridCol w:w="413"/>
        <w:gridCol w:w="276"/>
        <w:gridCol w:w="416"/>
        <w:gridCol w:w="400"/>
        <w:gridCol w:w="444"/>
        <w:gridCol w:w="396"/>
      </w:tblGrid>
      <w:tr>
        <w:trPr>
          <w:trHeight w:val="246" w:hRule="exact"/>
        </w:trPr>
        <w:tc>
          <w:tcPr>
            <w:tcW w:w="1104" w:type="dxa"/>
            <w:tcBorders>
              <w:left w:val="single" w:sz="12" w:space="0" w:color="000000"/>
              <w:bottom w:val="single" w:sz="6" w:space="0" w:color="000000"/>
              <w:right w:val="single" w:sz="6" w:space="0" w:color="000000"/>
            </w:tcBorders>
          </w:tcPr>
          <w:p>
            <w:pPr/>
          </w:p>
        </w:tc>
        <w:tc>
          <w:tcPr>
            <w:tcW w:w="1656" w:type="dxa"/>
            <w:tcBorders>
              <w:left w:val="single" w:sz="6" w:space="0" w:color="000000"/>
              <w:bottom w:val="single" w:sz="6" w:space="0" w:color="000000"/>
              <w:right w:val="single" w:sz="6" w:space="0" w:color="000000"/>
            </w:tcBorders>
          </w:tcPr>
          <w:p>
            <w:pPr/>
          </w:p>
        </w:tc>
        <w:tc>
          <w:tcPr>
            <w:tcW w:w="1534" w:type="dxa"/>
            <w:tcBorders>
              <w:left w:val="single" w:sz="6" w:space="0" w:color="000000"/>
              <w:bottom w:val="single" w:sz="6" w:space="0" w:color="000000"/>
              <w:right w:val="single" w:sz="6" w:space="0" w:color="000000"/>
            </w:tcBorders>
          </w:tcPr>
          <w:p>
            <w:pPr/>
          </w:p>
        </w:tc>
        <w:tc>
          <w:tcPr>
            <w:tcW w:w="4673" w:type="dxa"/>
            <w:gridSpan w:val="11"/>
            <w:tcBorders>
              <w:left w:val="single" w:sz="6" w:space="0" w:color="000000"/>
              <w:bottom w:val="single" w:sz="6" w:space="0" w:color="000000"/>
              <w:right w:val="single" w:sz="12" w:space="0" w:color="000000"/>
            </w:tcBorders>
          </w:tcPr>
          <w:p>
            <w:pPr>
              <w:pStyle w:val="TableParagraph"/>
              <w:spacing w:line="215" w:lineRule="exact" w:before="0"/>
              <w:ind w:left="1135" w:right="100"/>
              <w:jc w:val="left"/>
              <w:rPr>
                <w:b/>
                <w:sz w:val="19"/>
              </w:rPr>
            </w:pPr>
            <w:r>
              <w:rPr>
                <w:b/>
                <w:sz w:val="19"/>
              </w:rPr>
              <w:t>VARIABLES OPERATIVAS</w:t>
            </w:r>
          </w:p>
        </w:tc>
      </w:tr>
      <w:tr>
        <w:trPr>
          <w:trHeight w:val="462" w:hRule="exact"/>
        </w:trPr>
        <w:tc>
          <w:tcPr>
            <w:tcW w:w="1104" w:type="dxa"/>
            <w:tcBorders>
              <w:top w:val="single" w:sz="6" w:space="0" w:color="000000"/>
              <w:left w:val="single" w:sz="12" w:space="0" w:color="000000"/>
              <w:bottom w:val="single" w:sz="5" w:space="0" w:color="000000"/>
              <w:right w:val="single" w:sz="6" w:space="0" w:color="000000"/>
            </w:tcBorders>
          </w:tcPr>
          <w:p>
            <w:pPr>
              <w:pStyle w:val="TableParagraph"/>
              <w:spacing w:before="10"/>
              <w:jc w:val="left"/>
              <w:rPr>
                <w:b/>
                <w:sz w:val="18"/>
              </w:rPr>
            </w:pPr>
          </w:p>
          <w:p>
            <w:pPr>
              <w:pStyle w:val="TableParagraph"/>
              <w:spacing w:before="1"/>
              <w:ind w:left="67"/>
              <w:jc w:val="left"/>
              <w:rPr>
                <w:b/>
                <w:sz w:val="19"/>
              </w:rPr>
            </w:pPr>
            <w:r>
              <w:rPr>
                <w:b/>
                <w:sz w:val="19"/>
              </w:rPr>
              <w:t>ENFOQUE</w:t>
            </w:r>
          </w:p>
        </w:tc>
        <w:tc>
          <w:tcPr>
            <w:tcW w:w="1656" w:type="dxa"/>
            <w:tcBorders>
              <w:top w:val="single" w:sz="6" w:space="0" w:color="000000"/>
              <w:left w:val="single" w:sz="6" w:space="0" w:color="000000"/>
              <w:bottom w:val="single" w:sz="5" w:space="0" w:color="000000"/>
              <w:right w:val="single" w:sz="6" w:space="0" w:color="000000"/>
            </w:tcBorders>
          </w:tcPr>
          <w:p>
            <w:pPr>
              <w:pStyle w:val="TableParagraph"/>
              <w:spacing w:before="10"/>
              <w:jc w:val="left"/>
              <w:rPr>
                <w:b/>
                <w:sz w:val="18"/>
              </w:rPr>
            </w:pPr>
          </w:p>
          <w:p>
            <w:pPr>
              <w:pStyle w:val="TableParagraph"/>
              <w:spacing w:before="1"/>
              <w:ind w:left="223"/>
              <w:jc w:val="left"/>
              <w:rPr>
                <w:b/>
                <w:sz w:val="19"/>
              </w:rPr>
            </w:pPr>
            <w:r>
              <w:rPr>
                <w:b/>
                <w:sz w:val="19"/>
              </w:rPr>
              <w:t>FUNDAMENTO</w:t>
            </w:r>
          </w:p>
        </w:tc>
        <w:tc>
          <w:tcPr>
            <w:tcW w:w="1534" w:type="dxa"/>
            <w:tcBorders>
              <w:top w:val="single" w:sz="6" w:space="0" w:color="000000"/>
              <w:left w:val="single" w:sz="6" w:space="0" w:color="000000"/>
              <w:bottom w:val="single" w:sz="5" w:space="0" w:color="000000"/>
              <w:right w:val="single" w:sz="6" w:space="0" w:color="000000"/>
            </w:tcBorders>
          </w:tcPr>
          <w:p>
            <w:pPr>
              <w:pStyle w:val="TableParagraph"/>
              <w:spacing w:before="10"/>
              <w:jc w:val="left"/>
              <w:rPr>
                <w:b/>
                <w:sz w:val="18"/>
              </w:rPr>
            </w:pPr>
          </w:p>
          <w:p>
            <w:pPr>
              <w:pStyle w:val="TableParagraph"/>
              <w:spacing w:before="1"/>
              <w:ind w:left="489"/>
              <w:jc w:val="left"/>
              <w:rPr>
                <w:b/>
                <w:sz w:val="19"/>
              </w:rPr>
            </w:pPr>
            <w:r>
              <w:rPr>
                <w:b/>
                <w:sz w:val="19"/>
              </w:rPr>
              <w:t>MODELOS</w:t>
            </w:r>
          </w:p>
        </w:tc>
        <w:tc>
          <w:tcPr>
            <w:tcW w:w="482" w:type="dxa"/>
            <w:tcBorders>
              <w:top w:val="single" w:sz="6" w:space="0" w:color="000000"/>
              <w:left w:val="single" w:sz="6" w:space="0" w:color="000000"/>
              <w:bottom w:val="single" w:sz="5" w:space="0" w:color="000000"/>
              <w:right w:val="single" w:sz="6" w:space="0" w:color="000000"/>
            </w:tcBorders>
          </w:tcPr>
          <w:p>
            <w:pPr>
              <w:pStyle w:val="TableParagraph"/>
              <w:spacing w:before="10"/>
              <w:jc w:val="left"/>
              <w:rPr>
                <w:b/>
                <w:sz w:val="18"/>
              </w:rPr>
            </w:pPr>
          </w:p>
          <w:p>
            <w:pPr>
              <w:pStyle w:val="TableParagraph"/>
              <w:spacing w:before="1"/>
              <w:ind w:right="54"/>
              <w:rPr>
                <w:b/>
                <w:sz w:val="19"/>
              </w:rPr>
            </w:pPr>
            <w:r>
              <w:rPr>
                <w:b/>
                <w:w w:val="101"/>
                <w:sz w:val="19"/>
              </w:rPr>
              <w:t>R</w:t>
            </w:r>
          </w:p>
        </w:tc>
        <w:tc>
          <w:tcPr>
            <w:tcW w:w="487" w:type="dxa"/>
            <w:tcBorders>
              <w:top w:val="single" w:sz="6" w:space="0" w:color="000000"/>
              <w:left w:val="single" w:sz="6" w:space="0" w:color="000000"/>
              <w:bottom w:val="single" w:sz="5" w:space="0" w:color="000000"/>
              <w:right w:val="single" w:sz="6" w:space="0" w:color="000000"/>
            </w:tcBorders>
          </w:tcPr>
          <w:p>
            <w:pPr>
              <w:pStyle w:val="TableParagraph"/>
              <w:spacing w:before="10"/>
              <w:jc w:val="left"/>
              <w:rPr>
                <w:b/>
                <w:sz w:val="18"/>
              </w:rPr>
            </w:pPr>
          </w:p>
          <w:p>
            <w:pPr>
              <w:pStyle w:val="TableParagraph"/>
              <w:spacing w:before="1"/>
              <w:ind w:right="58"/>
              <w:rPr>
                <w:b/>
                <w:sz w:val="19"/>
              </w:rPr>
            </w:pPr>
            <w:r>
              <w:rPr>
                <w:b/>
                <w:w w:val="101"/>
                <w:sz w:val="19"/>
              </w:rPr>
              <w:t>E</w:t>
            </w:r>
          </w:p>
        </w:tc>
        <w:tc>
          <w:tcPr>
            <w:tcW w:w="482" w:type="dxa"/>
            <w:tcBorders>
              <w:top w:val="single" w:sz="6" w:space="0" w:color="000000"/>
              <w:left w:val="single" w:sz="6" w:space="0" w:color="000000"/>
              <w:bottom w:val="single" w:sz="5" w:space="0" w:color="000000"/>
              <w:right w:val="single" w:sz="6" w:space="0" w:color="000000"/>
            </w:tcBorders>
          </w:tcPr>
          <w:p>
            <w:pPr>
              <w:pStyle w:val="TableParagraph"/>
              <w:spacing w:before="10"/>
              <w:jc w:val="left"/>
              <w:rPr>
                <w:b/>
                <w:sz w:val="18"/>
              </w:rPr>
            </w:pPr>
          </w:p>
          <w:p>
            <w:pPr>
              <w:pStyle w:val="TableParagraph"/>
              <w:spacing w:before="1"/>
              <w:ind w:right="57"/>
              <w:rPr>
                <w:b/>
                <w:sz w:val="19"/>
              </w:rPr>
            </w:pPr>
            <w:r>
              <w:rPr>
                <w:b/>
                <w:w w:val="101"/>
                <w:sz w:val="19"/>
              </w:rPr>
              <w:t>K</w:t>
            </w:r>
          </w:p>
        </w:tc>
        <w:tc>
          <w:tcPr>
            <w:tcW w:w="463" w:type="dxa"/>
            <w:tcBorders>
              <w:top w:val="single" w:sz="6" w:space="0" w:color="000000"/>
              <w:left w:val="single" w:sz="6" w:space="0" w:color="000000"/>
              <w:bottom w:val="single" w:sz="5" w:space="0" w:color="000000"/>
              <w:right w:val="single" w:sz="6" w:space="0" w:color="000000"/>
            </w:tcBorders>
          </w:tcPr>
          <w:p>
            <w:pPr>
              <w:pStyle w:val="TableParagraph"/>
              <w:spacing w:before="10"/>
              <w:jc w:val="left"/>
              <w:rPr>
                <w:b/>
                <w:sz w:val="18"/>
              </w:rPr>
            </w:pPr>
          </w:p>
          <w:p>
            <w:pPr>
              <w:pStyle w:val="TableParagraph"/>
              <w:spacing w:before="1"/>
              <w:ind w:right="60"/>
              <w:rPr>
                <w:b/>
                <w:sz w:val="19"/>
              </w:rPr>
            </w:pPr>
            <w:r>
              <w:rPr>
                <w:b/>
                <w:w w:val="101"/>
                <w:sz w:val="19"/>
              </w:rPr>
              <w:t>G</w:t>
            </w:r>
          </w:p>
        </w:tc>
        <w:tc>
          <w:tcPr>
            <w:tcW w:w="413" w:type="dxa"/>
            <w:tcBorders>
              <w:top w:val="single" w:sz="6" w:space="0" w:color="000000"/>
              <w:left w:val="single" w:sz="6" w:space="0" w:color="000000"/>
              <w:bottom w:val="single" w:sz="5" w:space="0" w:color="000000"/>
              <w:right w:val="single" w:sz="6" w:space="0" w:color="000000"/>
            </w:tcBorders>
          </w:tcPr>
          <w:p>
            <w:pPr>
              <w:pStyle w:val="TableParagraph"/>
              <w:spacing w:before="10"/>
              <w:jc w:val="left"/>
              <w:rPr>
                <w:b/>
                <w:sz w:val="18"/>
              </w:rPr>
            </w:pPr>
          </w:p>
          <w:p>
            <w:pPr>
              <w:pStyle w:val="TableParagraph"/>
              <w:spacing w:before="1"/>
              <w:ind w:right="57"/>
              <w:rPr>
                <w:b/>
                <w:sz w:val="19"/>
              </w:rPr>
            </w:pPr>
            <w:r>
              <w:rPr>
                <w:b/>
                <w:w w:val="101"/>
                <w:sz w:val="19"/>
              </w:rPr>
              <w:t>T</w:t>
            </w:r>
          </w:p>
        </w:tc>
        <w:tc>
          <w:tcPr>
            <w:tcW w:w="413" w:type="dxa"/>
            <w:tcBorders>
              <w:top w:val="single" w:sz="6" w:space="0" w:color="000000"/>
              <w:left w:val="single" w:sz="6" w:space="0" w:color="000000"/>
              <w:bottom w:val="single" w:sz="5" w:space="0" w:color="000000"/>
              <w:right w:val="single" w:sz="6" w:space="0" w:color="000000"/>
            </w:tcBorders>
          </w:tcPr>
          <w:p>
            <w:pPr>
              <w:pStyle w:val="TableParagraph"/>
              <w:spacing w:before="10"/>
              <w:jc w:val="left"/>
              <w:rPr>
                <w:b/>
                <w:sz w:val="18"/>
              </w:rPr>
            </w:pPr>
          </w:p>
          <w:p>
            <w:pPr>
              <w:pStyle w:val="TableParagraph"/>
              <w:spacing w:before="1"/>
              <w:ind w:right="53"/>
              <w:rPr>
                <w:b/>
                <w:sz w:val="19"/>
              </w:rPr>
            </w:pPr>
            <w:r>
              <w:rPr>
                <w:b/>
                <w:w w:val="101"/>
                <w:sz w:val="19"/>
              </w:rPr>
              <w:t>P</w:t>
            </w:r>
          </w:p>
        </w:tc>
        <w:tc>
          <w:tcPr>
            <w:tcW w:w="276" w:type="dxa"/>
            <w:tcBorders>
              <w:top w:val="single" w:sz="6" w:space="0" w:color="000000"/>
              <w:left w:val="single" w:sz="6" w:space="0" w:color="000000"/>
              <w:bottom w:val="single" w:sz="5" w:space="0" w:color="000000"/>
              <w:right w:val="single" w:sz="6" w:space="0" w:color="000000"/>
            </w:tcBorders>
          </w:tcPr>
          <w:p>
            <w:pPr>
              <w:pStyle w:val="TableParagraph"/>
              <w:spacing w:before="10"/>
              <w:jc w:val="left"/>
              <w:rPr>
                <w:b/>
                <w:sz w:val="18"/>
              </w:rPr>
            </w:pPr>
          </w:p>
          <w:p>
            <w:pPr>
              <w:pStyle w:val="TableParagraph"/>
              <w:spacing w:before="1"/>
              <w:ind w:right="46"/>
              <w:rPr>
                <w:b/>
                <w:sz w:val="19"/>
              </w:rPr>
            </w:pPr>
            <w:r>
              <w:rPr>
                <w:b/>
                <w:w w:val="101"/>
                <w:sz w:val="19"/>
              </w:rPr>
              <w:t>Q</w:t>
            </w:r>
          </w:p>
        </w:tc>
        <w:tc>
          <w:tcPr>
            <w:tcW w:w="416" w:type="dxa"/>
            <w:tcBorders>
              <w:top w:val="single" w:sz="6" w:space="0" w:color="000000"/>
              <w:left w:val="single" w:sz="6" w:space="0" w:color="000000"/>
              <w:bottom w:val="single" w:sz="5" w:space="0" w:color="000000"/>
              <w:right w:val="single" w:sz="5" w:space="0" w:color="000000"/>
            </w:tcBorders>
          </w:tcPr>
          <w:p>
            <w:pPr>
              <w:pStyle w:val="TableParagraph"/>
              <w:spacing w:before="10"/>
              <w:jc w:val="left"/>
              <w:rPr>
                <w:b/>
                <w:sz w:val="18"/>
              </w:rPr>
            </w:pPr>
          </w:p>
          <w:p>
            <w:pPr>
              <w:pStyle w:val="TableParagraph"/>
              <w:spacing w:before="1"/>
              <w:ind w:right="59"/>
              <w:rPr>
                <w:b/>
                <w:sz w:val="19"/>
              </w:rPr>
            </w:pPr>
            <w:r>
              <w:rPr>
                <w:b/>
                <w:w w:val="101"/>
                <w:sz w:val="19"/>
              </w:rPr>
              <w:t>F</w:t>
            </w:r>
          </w:p>
        </w:tc>
        <w:tc>
          <w:tcPr>
            <w:tcW w:w="400" w:type="dxa"/>
            <w:tcBorders>
              <w:top w:val="single" w:sz="6" w:space="0" w:color="000000"/>
              <w:left w:val="single" w:sz="5" w:space="0" w:color="000000"/>
              <w:bottom w:val="single" w:sz="5" w:space="0" w:color="000000"/>
              <w:right w:val="single" w:sz="6" w:space="0" w:color="000000"/>
            </w:tcBorders>
          </w:tcPr>
          <w:p>
            <w:pPr>
              <w:pStyle w:val="TableParagraph"/>
              <w:spacing w:before="10"/>
              <w:jc w:val="left"/>
              <w:rPr>
                <w:b/>
                <w:sz w:val="18"/>
              </w:rPr>
            </w:pPr>
          </w:p>
          <w:p>
            <w:pPr>
              <w:pStyle w:val="TableParagraph"/>
              <w:spacing w:before="1"/>
              <w:ind w:right="55"/>
              <w:rPr>
                <w:b/>
                <w:sz w:val="19"/>
              </w:rPr>
            </w:pPr>
            <w:r>
              <w:rPr>
                <w:b/>
                <w:w w:val="101"/>
                <w:sz w:val="19"/>
              </w:rPr>
              <w:t>S</w:t>
            </w:r>
          </w:p>
        </w:tc>
        <w:tc>
          <w:tcPr>
            <w:tcW w:w="444" w:type="dxa"/>
            <w:tcBorders>
              <w:top w:val="single" w:sz="6" w:space="0" w:color="000000"/>
              <w:left w:val="single" w:sz="6" w:space="0" w:color="000000"/>
              <w:bottom w:val="single" w:sz="5" w:space="0" w:color="000000"/>
              <w:right w:val="single" w:sz="6" w:space="0" w:color="000000"/>
            </w:tcBorders>
          </w:tcPr>
          <w:p>
            <w:pPr>
              <w:pStyle w:val="TableParagraph"/>
              <w:spacing w:before="10"/>
              <w:jc w:val="left"/>
              <w:rPr>
                <w:b/>
                <w:sz w:val="18"/>
              </w:rPr>
            </w:pPr>
          </w:p>
          <w:p>
            <w:pPr>
              <w:pStyle w:val="TableParagraph"/>
              <w:spacing w:before="1"/>
              <w:ind w:right="57"/>
              <w:rPr>
                <w:b/>
                <w:sz w:val="19"/>
              </w:rPr>
            </w:pPr>
            <w:r>
              <w:rPr>
                <w:b/>
                <w:w w:val="101"/>
                <w:sz w:val="19"/>
              </w:rPr>
              <w:t>A</w:t>
            </w:r>
          </w:p>
        </w:tc>
        <w:tc>
          <w:tcPr>
            <w:tcW w:w="396" w:type="dxa"/>
            <w:tcBorders>
              <w:top w:val="single" w:sz="6" w:space="0" w:color="000000"/>
              <w:left w:val="single" w:sz="6" w:space="0" w:color="000000"/>
              <w:bottom w:val="single" w:sz="5" w:space="0" w:color="000000"/>
              <w:right w:val="single" w:sz="12" w:space="0" w:color="000000"/>
            </w:tcBorders>
          </w:tcPr>
          <w:p>
            <w:pPr>
              <w:pStyle w:val="TableParagraph"/>
              <w:spacing w:before="10"/>
              <w:jc w:val="left"/>
              <w:rPr>
                <w:b/>
                <w:sz w:val="18"/>
              </w:rPr>
            </w:pPr>
          </w:p>
          <w:p>
            <w:pPr>
              <w:pStyle w:val="TableParagraph"/>
              <w:spacing w:before="1"/>
              <w:ind w:right="47"/>
              <w:rPr>
                <w:b/>
                <w:sz w:val="19"/>
              </w:rPr>
            </w:pPr>
            <w:r>
              <w:rPr>
                <w:b/>
                <w:w w:val="101"/>
                <w:sz w:val="19"/>
              </w:rPr>
              <w:t>C</w:t>
            </w:r>
          </w:p>
        </w:tc>
      </w:tr>
      <w:tr>
        <w:trPr>
          <w:trHeight w:val="239" w:hRule="exact"/>
        </w:trPr>
        <w:tc>
          <w:tcPr>
            <w:tcW w:w="1104" w:type="dxa"/>
            <w:tcBorders>
              <w:top w:val="single" w:sz="5" w:space="0" w:color="000000"/>
              <w:left w:val="single" w:sz="12" w:space="0" w:color="000000"/>
              <w:bottom w:val="nil"/>
              <w:right w:val="single" w:sz="6" w:space="0" w:color="000000"/>
            </w:tcBorders>
          </w:tcPr>
          <w:p>
            <w:pPr>
              <w:pStyle w:val="TableParagraph"/>
              <w:spacing w:before="1"/>
              <w:ind w:left="52"/>
              <w:jc w:val="left"/>
              <w:rPr>
                <w:sz w:val="19"/>
              </w:rPr>
            </w:pPr>
            <w:r>
              <w:rPr>
                <w:sz w:val="19"/>
              </w:rPr>
              <w:t>Análisis</w:t>
            </w:r>
          </w:p>
        </w:tc>
        <w:tc>
          <w:tcPr>
            <w:tcW w:w="1656" w:type="dxa"/>
            <w:tcBorders>
              <w:top w:val="single" w:sz="5" w:space="0" w:color="000000"/>
              <w:left w:val="single" w:sz="6" w:space="0" w:color="000000"/>
              <w:bottom w:val="nil"/>
              <w:right w:val="single" w:sz="6" w:space="0" w:color="000000"/>
            </w:tcBorders>
          </w:tcPr>
          <w:p>
            <w:pPr>
              <w:pStyle w:val="TableParagraph"/>
              <w:spacing w:before="1"/>
              <w:ind w:left="59"/>
              <w:jc w:val="left"/>
              <w:rPr>
                <w:sz w:val="19"/>
              </w:rPr>
            </w:pPr>
            <w:r>
              <w:rPr>
                <w:sz w:val="19"/>
              </w:rPr>
              <w:t>El mercado</w:t>
            </w:r>
          </w:p>
        </w:tc>
        <w:tc>
          <w:tcPr>
            <w:tcW w:w="1534" w:type="dxa"/>
            <w:tcBorders>
              <w:top w:val="single" w:sz="5" w:space="0" w:color="000000"/>
              <w:left w:val="single" w:sz="6" w:space="0" w:color="000000"/>
              <w:bottom w:val="nil"/>
              <w:right w:val="single" w:sz="6" w:space="0" w:color="000000"/>
            </w:tcBorders>
          </w:tcPr>
          <w:p>
            <w:pPr>
              <w:pStyle w:val="TableParagraph"/>
              <w:spacing w:before="1"/>
              <w:ind w:left="57"/>
              <w:jc w:val="left"/>
              <w:rPr>
                <w:sz w:val="19"/>
              </w:rPr>
            </w:pPr>
            <w:r>
              <w:rPr>
                <w:sz w:val="19"/>
              </w:rPr>
              <w:t>Selección-</w:t>
            </w:r>
          </w:p>
        </w:tc>
        <w:tc>
          <w:tcPr>
            <w:tcW w:w="482" w:type="dxa"/>
            <w:tcBorders>
              <w:top w:val="single" w:sz="5" w:space="0" w:color="000000"/>
              <w:left w:val="single" w:sz="6" w:space="0" w:color="000000"/>
              <w:bottom w:val="nil"/>
              <w:right w:val="single" w:sz="6" w:space="0" w:color="000000"/>
            </w:tcBorders>
          </w:tcPr>
          <w:p>
            <w:pPr>
              <w:pStyle w:val="TableParagraph"/>
              <w:spacing w:before="1"/>
              <w:ind w:right="54"/>
              <w:rPr>
                <w:i/>
                <w:sz w:val="19"/>
              </w:rPr>
            </w:pPr>
            <w:r>
              <w:rPr>
                <w:i/>
                <w:w w:val="101"/>
                <w:sz w:val="19"/>
              </w:rPr>
              <w:t>*</w:t>
            </w:r>
          </w:p>
        </w:tc>
        <w:tc>
          <w:tcPr>
            <w:tcW w:w="487" w:type="dxa"/>
            <w:tcBorders>
              <w:top w:val="single" w:sz="5" w:space="0" w:color="000000"/>
              <w:left w:val="single" w:sz="6" w:space="0" w:color="000000"/>
              <w:bottom w:val="nil"/>
              <w:right w:val="single" w:sz="6" w:space="0" w:color="000000"/>
            </w:tcBorders>
          </w:tcPr>
          <w:p>
            <w:pPr>
              <w:pStyle w:val="TableParagraph"/>
              <w:spacing w:before="1"/>
              <w:ind w:right="59"/>
              <w:rPr>
                <w:i/>
                <w:sz w:val="19"/>
              </w:rPr>
            </w:pPr>
            <w:r>
              <w:rPr>
                <w:i/>
                <w:w w:val="101"/>
                <w:sz w:val="19"/>
              </w:rPr>
              <w:t>*</w:t>
            </w:r>
          </w:p>
        </w:tc>
        <w:tc>
          <w:tcPr>
            <w:tcW w:w="482" w:type="dxa"/>
            <w:tcBorders>
              <w:top w:val="single" w:sz="5" w:space="0" w:color="000000"/>
              <w:left w:val="single" w:sz="6" w:space="0" w:color="000000"/>
              <w:bottom w:val="nil"/>
              <w:right w:val="single" w:sz="6" w:space="0" w:color="000000"/>
            </w:tcBorders>
          </w:tcPr>
          <w:p>
            <w:pPr>
              <w:pStyle w:val="TableParagraph"/>
              <w:spacing w:before="1"/>
              <w:ind w:right="54"/>
              <w:rPr>
                <w:i/>
                <w:sz w:val="19"/>
              </w:rPr>
            </w:pPr>
            <w:r>
              <w:rPr>
                <w:i/>
                <w:w w:val="101"/>
                <w:sz w:val="19"/>
              </w:rPr>
              <w:t>*</w:t>
            </w:r>
          </w:p>
        </w:tc>
        <w:tc>
          <w:tcPr>
            <w:tcW w:w="463" w:type="dxa"/>
            <w:tcBorders>
              <w:top w:val="single" w:sz="5" w:space="0" w:color="000000"/>
              <w:left w:val="single" w:sz="6" w:space="0" w:color="000000"/>
              <w:bottom w:val="nil"/>
              <w:right w:val="single" w:sz="6" w:space="0" w:color="000000"/>
            </w:tcBorders>
          </w:tcPr>
          <w:p>
            <w:pPr>
              <w:pStyle w:val="TableParagraph"/>
              <w:spacing w:before="1"/>
              <w:ind w:right="59"/>
              <w:rPr>
                <w:i/>
                <w:sz w:val="19"/>
              </w:rPr>
            </w:pPr>
            <w:r>
              <w:rPr>
                <w:i/>
                <w:w w:val="101"/>
                <w:sz w:val="19"/>
              </w:rPr>
              <w:t>*</w:t>
            </w:r>
          </w:p>
        </w:tc>
        <w:tc>
          <w:tcPr>
            <w:tcW w:w="413" w:type="dxa"/>
            <w:tcBorders>
              <w:top w:val="single" w:sz="5" w:space="0" w:color="000000"/>
              <w:left w:val="single" w:sz="6" w:space="0" w:color="000000"/>
              <w:bottom w:val="nil"/>
              <w:right w:val="single" w:sz="6" w:space="0" w:color="000000"/>
            </w:tcBorders>
          </w:tcPr>
          <w:p>
            <w:pPr>
              <w:pStyle w:val="TableParagraph"/>
              <w:spacing w:before="1"/>
              <w:ind w:right="54"/>
              <w:rPr>
                <w:i/>
                <w:sz w:val="19"/>
              </w:rPr>
            </w:pPr>
            <w:r>
              <w:rPr>
                <w:i/>
                <w:w w:val="101"/>
                <w:sz w:val="19"/>
              </w:rPr>
              <w:t>*</w:t>
            </w:r>
          </w:p>
        </w:tc>
        <w:tc>
          <w:tcPr>
            <w:tcW w:w="413" w:type="dxa"/>
            <w:tcBorders>
              <w:top w:val="single" w:sz="5" w:space="0" w:color="000000"/>
              <w:left w:val="single" w:sz="6" w:space="0" w:color="000000"/>
              <w:bottom w:val="nil"/>
              <w:right w:val="single" w:sz="6" w:space="0" w:color="000000"/>
            </w:tcBorders>
          </w:tcPr>
          <w:p>
            <w:pPr>
              <w:pStyle w:val="TableParagraph"/>
              <w:spacing w:before="1"/>
              <w:ind w:right="54"/>
              <w:rPr>
                <w:i/>
                <w:sz w:val="19"/>
              </w:rPr>
            </w:pPr>
            <w:r>
              <w:rPr>
                <w:i/>
                <w:w w:val="101"/>
                <w:sz w:val="19"/>
              </w:rPr>
              <w:t>*</w:t>
            </w:r>
          </w:p>
        </w:tc>
        <w:tc>
          <w:tcPr>
            <w:tcW w:w="276" w:type="dxa"/>
            <w:tcBorders>
              <w:top w:val="single" w:sz="5" w:space="0" w:color="000000"/>
              <w:left w:val="single" w:sz="6" w:space="0" w:color="000000"/>
              <w:bottom w:val="nil"/>
              <w:right w:val="single" w:sz="6" w:space="0" w:color="000000"/>
            </w:tcBorders>
          </w:tcPr>
          <w:p>
            <w:pPr/>
          </w:p>
        </w:tc>
        <w:tc>
          <w:tcPr>
            <w:tcW w:w="416" w:type="dxa"/>
            <w:tcBorders>
              <w:top w:val="single" w:sz="5" w:space="0" w:color="000000"/>
              <w:left w:val="single" w:sz="6" w:space="0" w:color="000000"/>
              <w:bottom w:val="nil"/>
              <w:right w:val="single" w:sz="5" w:space="0" w:color="000000"/>
            </w:tcBorders>
          </w:tcPr>
          <w:p>
            <w:pPr/>
          </w:p>
        </w:tc>
        <w:tc>
          <w:tcPr>
            <w:tcW w:w="400" w:type="dxa"/>
            <w:tcBorders>
              <w:top w:val="single" w:sz="5" w:space="0" w:color="000000"/>
              <w:left w:val="single" w:sz="5" w:space="0" w:color="000000"/>
              <w:bottom w:val="nil"/>
              <w:right w:val="single" w:sz="6" w:space="0" w:color="000000"/>
            </w:tcBorders>
          </w:tcPr>
          <w:p>
            <w:pPr/>
          </w:p>
        </w:tc>
        <w:tc>
          <w:tcPr>
            <w:tcW w:w="444" w:type="dxa"/>
            <w:tcBorders>
              <w:top w:val="single" w:sz="5" w:space="0" w:color="000000"/>
              <w:left w:val="single" w:sz="6" w:space="0" w:color="000000"/>
              <w:bottom w:val="nil"/>
              <w:right w:val="single" w:sz="6" w:space="0" w:color="000000"/>
            </w:tcBorders>
          </w:tcPr>
          <w:p>
            <w:pPr/>
          </w:p>
        </w:tc>
        <w:tc>
          <w:tcPr>
            <w:tcW w:w="396" w:type="dxa"/>
            <w:tcBorders>
              <w:top w:val="single" w:sz="5" w:space="0" w:color="000000"/>
              <w:left w:val="single" w:sz="6" w:space="0" w:color="000000"/>
              <w:bottom w:val="nil"/>
              <w:right w:val="single" w:sz="12" w:space="0" w:color="000000"/>
            </w:tcBorders>
          </w:tcPr>
          <w:p>
            <w:pPr/>
          </w:p>
        </w:tc>
      </w:tr>
      <w:tr>
        <w:trPr>
          <w:trHeight w:val="449" w:hRule="exact"/>
        </w:trPr>
        <w:tc>
          <w:tcPr>
            <w:tcW w:w="1104" w:type="dxa"/>
            <w:tcBorders>
              <w:top w:val="nil"/>
              <w:left w:val="single" w:sz="12" w:space="0" w:color="000000"/>
              <w:bottom w:val="nil"/>
              <w:right w:val="single" w:sz="6" w:space="0" w:color="000000"/>
            </w:tcBorders>
          </w:tcPr>
          <w:p>
            <w:pPr>
              <w:pStyle w:val="TableParagraph"/>
              <w:spacing w:line="244" w:lineRule="auto" w:before="0"/>
              <w:ind w:left="52" w:right="70"/>
              <w:jc w:val="left"/>
              <w:rPr>
                <w:sz w:val="19"/>
              </w:rPr>
            </w:pPr>
            <w:r>
              <w:rPr>
                <w:sz w:val="19"/>
              </w:rPr>
              <w:t>Micro Económico</w:t>
            </w:r>
          </w:p>
        </w:tc>
        <w:tc>
          <w:tcPr>
            <w:tcW w:w="1656" w:type="dxa"/>
            <w:tcBorders>
              <w:top w:val="nil"/>
              <w:left w:val="single" w:sz="6" w:space="0" w:color="000000"/>
              <w:bottom w:val="nil"/>
              <w:right w:val="single" w:sz="6" w:space="0" w:color="000000"/>
            </w:tcBorders>
          </w:tcPr>
          <w:p>
            <w:pPr>
              <w:pStyle w:val="TableParagraph"/>
              <w:spacing w:line="244" w:lineRule="auto" w:before="0"/>
              <w:ind w:left="59" w:right="60"/>
              <w:jc w:val="left"/>
              <w:rPr>
                <w:sz w:val="19"/>
              </w:rPr>
            </w:pPr>
            <w:r>
              <w:rPr>
                <w:sz w:val="19"/>
              </w:rPr>
              <w:t>del trabajo alcanza</w:t>
            </w:r>
          </w:p>
        </w:tc>
        <w:tc>
          <w:tcPr>
            <w:tcW w:w="1534" w:type="dxa"/>
            <w:tcBorders>
              <w:top w:val="nil"/>
              <w:left w:val="single" w:sz="6" w:space="0" w:color="000000"/>
              <w:bottom w:val="nil"/>
              <w:right w:val="single" w:sz="6" w:space="0" w:color="000000"/>
            </w:tcBorders>
          </w:tcPr>
          <w:p>
            <w:pPr>
              <w:pStyle w:val="TableParagraph"/>
              <w:spacing w:line="244" w:lineRule="auto" w:before="0"/>
              <w:ind w:left="57" w:right="481"/>
              <w:jc w:val="left"/>
              <w:rPr>
                <w:sz w:val="19"/>
              </w:rPr>
            </w:pPr>
            <w:r>
              <w:rPr>
                <w:sz w:val="19"/>
              </w:rPr>
              <w:t>Racional Causación-</w:t>
            </w:r>
          </w:p>
        </w:tc>
        <w:tc>
          <w:tcPr>
            <w:tcW w:w="482" w:type="dxa"/>
            <w:tcBorders>
              <w:top w:val="nil"/>
              <w:left w:val="single" w:sz="6" w:space="0" w:color="000000"/>
              <w:bottom w:val="nil"/>
              <w:right w:val="single" w:sz="6" w:space="0" w:color="000000"/>
            </w:tcBorders>
          </w:tcPr>
          <w:p>
            <w:pPr>
              <w:pStyle w:val="TableParagraph"/>
              <w:spacing w:before="107"/>
              <w:ind w:right="54"/>
              <w:rPr>
                <w:i/>
                <w:sz w:val="19"/>
              </w:rPr>
            </w:pPr>
            <w:r>
              <w:rPr>
                <w:i/>
                <w:w w:val="101"/>
                <w:sz w:val="19"/>
              </w:rPr>
              <w:t>*</w:t>
            </w:r>
          </w:p>
        </w:tc>
        <w:tc>
          <w:tcPr>
            <w:tcW w:w="487" w:type="dxa"/>
            <w:tcBorders>
              <w:top w:val="nil"/>
              <w:left w:val="single" w:sz="6" w:space="0" w:color="000000"/>
              <w:bottom w:val="nil"/>
              <w:right w:val="single" w:sz="6" w:space="0" w:color="000000"/>
            </w:tcBorders>
          </w:tcPr>
          <w:p>
            <w:pPr>
              <w:pStyle w:val="TableParagraph"/>
              <w:spacing w:before="107"/>
              <w:ind w:right="59"/>
              <w:rPr>
                <w:i/>
                <w:sz w:val="19"/>
              </w:rPr>
            </w:pPr>
            <w:r>
              <w:rPr>
                <w:i/>
                <w:w w:val="101"/>
                <w:sz w:val="19"/>
              </w:rPr>
              <w:t>*</w:t>
            </w:r>
          </w:p>
        </w:tc>
        <w:tc>
          <w:tcPr>
            <w:tcW w:w="482" w:type="dxa"/>
            <w:tcBorders>
              <w:top w:val="nil"/>
              <w:left w:val="single" w:sz="6" w:space="0" w:color="000000"/>
              <w:bottom w:val="nil"/>
              <w:right w:val="single" w:sz="6" w:space="0" w:color="000000"/>
            </w:tcBorders>
          </w:tcPr>
          <w:p>
            <w:pPr/>
          </w:p>
        </w:tc>
        <w:tc>
          <w:tcPr>
            <w:tcW w:w="463" w:type="dxa"/>
            <w:tcBorders>
              <w:top w:val="nil"/>
              <w:left w:val="single" w:sz="6" w:space="0" w:color="000000"/>
              <w:bottom w:val="nil"/>
              <w:right w:val="single" w:sz="6" w:space="0" w:color="000000"/>
            </w:tcBorders>
          </w:tcPr>
          <w:p>
            <w:pPr>
              <w:pStyle w:val="TableParagraph"/>
              <w:spacing w:before="107"/>
              <w:ind w:right="59"/>
              <w:rPr>
                <w:i/>
                <w:sz w:val="19"/>
              </w:rPr>
            </w:pPr>
            <w:r>
              <w:rPr>
                <w:i/>
                <w:w w:val="101"/>
                <w:sz w:val="19"/>
              </w:rPr>
              <w:t>*</w:t>
            </w:r>
          </w:p>
        </w:tc>
        <w:tc>
          <w:tcPr>
            <w:tcW w:w="413" w:type="dxa"/>
            <w:tcBorders>
              <w:top w:val="nil"/>
              <w:left w:val="single" w:sz="6" w:space="0" w:color="000000"/>
              <w:bottom w:val="nil"/>
              <w:right w:val="single" w:sz="6" w:space="0" w:color="000000"/>
            </w:tcBorders>
          </w:tcPr>
          <w:p>
            <w:pPr>
              <w:pStyle w:val="TableParagraph"/>
              <w:spacing w:before="107"/>
              <w:ind w:right="54"/>
              <w:rPr>
                <w:i/>
                <w:sz w:val="19"/>
              </w:rPr>
            </w:pPr>
            <w:r>
              <w:rPr>
                <w:i/>
                <w:w w:val="101"/>
                <w:sz w:val="19"/>
              </w:rPr>
              <w:t>*</w:t>
            </w:r>
          </w:p>
        </w:tc>
        <w:tc>
          <w:tcPr>
            <w:tcW w:w="413" w:type="dxa"/>
            <w:tcBorders>
              <w:top w:val="nil"/>
              <w:left w:val="single" w:sz="6" w:space="0" w:color="000000"/>
              <w:bottom w:val="nil"/>
              <w:right w:val="single" w:sz="6" w:space="0" w:color="000000"/>
            </w:tcBorders>
          </w:tcPr>
          <w:p>
            <w:pPr/>
          </w:p>
        </w:tc>
        <w:tc>
          <w:tcPr>
            <w:tcW w:w="276" w:type="dxa"/>
            <w:tcBorders>
              <w:top w:val="nil"/>
              <w:left w:val="single" w:sz="6" w:space="0" w:color="000000"/>
              <w:bottom w:val="nil"/>
              <w:right w:val="single" w:sz="6" w:space="0" w:color="000000"/>
            </w:tcBorders>
          </w:tcPr>
          <w:p>
            <w:pPr>
              <w:pStyle w:val="TableParagraph"/>
              <w:spacing w:before="107"/>
              <w:ind w:right="54"/>
              <w:rPr>
                <w:i/>
                <w:sz w:val="19"/>
              </w:rPr>
            </w:pPr>
            <w:r>
              <w:rPr>
                <w:i/>
                <w:w w:val="101"/>
                <w:sz w:val="19"/>
              </w:rPr>
              <w:t>*</w:t>
            </w:r>
          </w:p>
        </w:tc>
        <w:tc>
          <w:tcPr>
            <w:tcW w:w="416" w:type="dxa"/>
            <w:tcBorders>
              <w:top w:val="nil"/>
              <w:left w:val="single" w:sz="6" w:space="0" w:color="000000"/>
              <w:bottom w:val="nil"/>
              <w:right w:val="single" w:sz="5" w:space="0" w:color="000000"/>
            </w:tcBorders>
          </w:tcPr>
          <w:p>
            <w:pPr/>
          </w:p>
        </w:tc>
        <w:tc>
          <w:tcPr>
            <w:tcW w:w="400" w:type="dxa"/>
            <w:tcBorders>
              <w:top w:val="nil"/>
              <w:left w:val="single" w:sz="5" w:space="0" w:color="000000"/>
              <w:bottom w:val="nil"/>
              <w:right w:val="single" w:sz="6" w:space="0" w:color="000000"/>
            </w:tcBorders>
          </w:tcPr>
          <w:p>
            <w:pPr/>
          </w:p>
        </w:tc>
        <w:tc>
          <w:tcPr>
            <w:tcW w:w="444" w:type="dxa"/>
            <w:tcBorders>
              <w:top w:val="nil"/>
              <w:left w:val="single" w:sz="6" w:space="0" w:color="000000"/>
              <w:bottom w:val="nil"/>
              <w:right w:val="single" w:sz="6" w:space="0" w:color="000000"/>
            </w:tcBorders>
          </w:tcPr>
          <w:p>
            <w:pPr>
              <w:pStyle w:val="TableParagraph"/>
              <w:spacing w:before="107"/>
              <w:ind w:right="58"/>
              <w:rPr>
                <w:i/>
                <w:sz w:val="19"/>
              </w:rPr>
            </w:pPr>
            <w:r>
              <w:rPr>
                <w:i/>
                <w:w w:val="101"/>
                <w:sz w:val="19"/>
              </w:rPr>
              <w:t>*</w:t>
            </w:r>
          </w:p>
        </w:tc>
        <w:tc>
          <w:tcPr>
            <w:tcW w:w="396" w:type="dxa"/>
            <w:tcBorders>
              <w:top w:val="nil"/>
              <w:left w:val="single" w:sz="6" w:space="0" w:color="000000"/>
              <w:bottom w:val="nil"/>
              <w:right w:val="single" w:sz="12" w:space="0" w:color="000000"/>
            </w:tcBorders>
          </w:tcPr>
          <w:p>
            <w:pPr/>
          </w:p>
        </w:tc>
      </w:tr>
      <w:tr>
        <w:trPr>
          <w:trHeight w:val="224" w:hRule="exact"/>
        </w:trPr>
        <w:tc>
          <w:tcPr>
            <w:tcW w:w="1104" w:type="dxa"/>
            <w:tcBorders>
              <w:top w:val="nil"/>
              <w:left w:val="single" w:sz="12" w:space="0" w:color="000000"/>
              <w:bottom w:val="nil"/>
              <w:right w:val="single" w:sz="6" w:space="0" w:color="000000"/>
            </w:tcBorders>
          </w:tcPr>
          <w:p>
            <w:pPr>
              <w:pStyle w:val="TableParagraph"/>
              <w:spacing w:line="213" w:lineRule="exact" w:before="0"/>
              <w:ind w:left="52"/>
              <w:jc w:val="left"/>
              <w:rPr>
                <w:sz w:val="19"/>
              </w:rPr>
            </w:pPr>
            <w:r>
              <w:rPr>
                <w:sz w:val="19"/>
              </w:rPr>
              <w:t>Neoclásico</w:t>
            </w:r>
          </w:p>
        </w:tc>
        <w:tc>
          <w:tcPr>
            <w:tcW w:w="1656" w:type="dxa"/>
            <w:tcBorders>
              <w:top w:val="nil"/>
              <w:left w:val="single" w:sz="6" w:space="0" w:color="000000"/>
              <w:bottom w:val="nil"/>
              <w:right w:val="single" w:sz="6" w:space="0" w:color="000000"/>
            </w:tcBorders>
          </w:tcPr>
          <w:p>
            <w:pPr>
              <w:pStyle w:val="TableParagraph"/>
              <w:spacing w:line="213" w:lineRule="exact" w:before="0"/>
              <w:ind w:left="59"/>
              <w:jc w:val="left"/>
              <w:rPr>
                <w:sz w:val="19"/>
              </w:rPr>
            </w:pPr>
            <w:r>
              <w:rPr>
                <w:sz w:val="19"/>
              </w:rPr>
              <w:t>su equilibrio</w:t>
            </w:r>
          </w:p>
        </w:tc>
        <w:tc>
          <w:tcPr>
            <w:tcW w:w="1534" w:type="dxa"/>
            <w:tcBorders>
              <w:top w:val="nil"/>
              <w:left w:val="single" w:sz="6" w:space="0" w:color="000000"/>
              <w:bottom w:val="nil"/>
              <w:right w:val="single" w:sz="6" w:space="0" w:color="000000"/>
            </w:tcBorders>
          </w:tcPr>
          <w:p>
            <w:pPr>
              <w:pStyle w:val="TableParagraph"/>
              <w:spacing w:line="213" w:lineRule="exact" w:before="0"/>
              <w:ind w:left="57"/>
              <w:jc w:val="left"/>
              <w:rPr>
                <w:sz w:val="19"/>
              </w:rPr>
            </w:pPr>
            <w:r>
              <w:rPr>
                <w:sz w:val="19"/>
              </w:rPr>
              <w:t>Cumulativa</w:t>
            </w:r>
          </w:p>
        </w:tc>
        <w:tc>
          <w:tcPr>
            <w:tcW w:w="482" w:type="dxa"/>
            <w:tcBorders>
              <w:top w:val="nil"/>
              <w:left w:val="single" w:sz="6" w:space="0" w:color="000000"/>
              <w:bottom w:val="nil"/>
              <w:right w:val="single" w:sz="6" w:space="0" w:color="000000"/>
            </w:tcBorders>
          </w:tcPr>
          <w:p>
            <w:pPr/>
          </w:p>
        </w:tc>
        <w:tc>
          <w:tcPr>
            <w:tcW w:w="487" w:type="dxa"/>
            <w:tcBorders>
              <w:top w:val="nil"/>
              <w:left w:val="single" w:sz="6" w:space="0" w:color="000000"/>
              <w:bottom w:val="nil"/>
              <w:right w:val="single" w:sz="6" w:space="0" w:color="000000"/>
            </w:tcBorders>
          </w:tcPr>
          <w:p>
            <w:pPr/>
          </w:p>
        </w:tc>
        <w:tc>
          <w:tcPr>
            <w:tcW w:w="482" w:type="dxa"/>
            <w:tcBorders>
              <w:top w:val="nil"/>
              <w:left w:val="single" w:sz="6" w:space="0" w:color="000000"/>
              <w:bottom w:val="nil"/>
              <w:right w:val="single" w:sz="6" w:space="0" w:color="000000"/>
            </w:tcBorders>
          </w:tcPr>
          <w:p>
            <w:pPr/>
          </w:p>
        </w:tc>
        <w:tc>
          <w:tcPr>
            <w:tcW w:w="463" w:type="dxa"/>
            <w:tcBorders>
              <w:top w:val="nil"/>
              <w:left w:val="single" w:sz="6" w:space="0" w:color="000000"/>
              <w:bottom w:val="nil"/>
              <w:right w:val="single" w:sz="6" w:space="0" w:color="000000"/>
            </w:tcBorders>
          </w:tcPr>
          <w:p>
            <w:pPr/>
          </w:p>
        </w:tc>
        <w:tc>
          <w:tcPr>
            <w:tcW w:w="413" w:type="dxa"/>
            <w:tcBorders>
              <w:top w:val="nil"/>
              <w:left w:val="single" w:sz="6" w:space="0" w:color="000000"/>
              <w:bottom w:val="nil"/>
              <w:right w:val="single" w:sz="6" w:space="0" w:color="000000"/>
            </w:tcBorders>
          </w:tcPr>
          <w:p>
            <w:pPr/>
          </w:p>
        </w:tc>
        <w:tc>
          <w:tcPr>
            <w:tcW w:w="413" w:type="dxa"/>
            <w:tcBorders>
              <w:top w:val="nil"/>
              <w:left w:val="single" w:sz="6" w:space="0" w:color="000000"/>
              <w:bottom w:val="nil"/>
              <w:right w:val="single" w:sz="6" w:space="0" w:color="000000"/>
            </w:tcBorders>
          </w:tcPr>
          <w:p>
            <w:pPr/>
          </w:p>
        </w:tc>
        <w:tc>
          <w:tcPr>
            <w:tcW w:w="276" w:type="dxa"/>
            <w:tcBorders>
              <w:top w:val="nil"/>
              <w:left w:val="single" w:sz="6" w:space="0" w:color="000000"/>
              <w:bottom w:val="nil"/>
              <w:right w:val="single" w:sz="6" w:space="0" w:color="000000"/>
            </w:tcBorders>
          </w:tcPr>
          <w:p>
            <w:pPr/>
          </w:p>
        </w:tc>
        <w:tc>
          <w:tcPr>
            <w:tcW w:w="416" w:type="dxa"/>
            <w:tcBorders>
              <w:top w:val="nil"/>
              <w:left w:val="single" w:sz="6" w:space="0" w:color="000000"/>
              <w:bottom w:val="nil"/>
              <w:right w:val="single" w:sz="5" w:space="0" w:color="000000"/>
            </w:tcBorders>
          </w:tcPr>
          <w:p>
            <w:pPr/>
          </w:p>
        </w:tc>
        <w:tc>
          <w:tcPr>
            <w:tcW w:w="400" w:type="dxa"/>
            <w:tcBorders>
              <w:top w:val="nil"/>
              <w:left w:val="single" w:sz="5" w:space="0" w:color="000000"/>
              <w:bottom w:val="nil"/>
              <w:right w:val="single" w:sz="6" w:space="0" w:color="000000"/>
            </w:tcBorders>
          </w:tcPr>
          <w:p>
            <w:pPr/>
          </w:p>
        </w:tc>
        <w:tc>
          <w:tcPr>
            <w:tcW w:w="444" w:type="dxa"/>
            <w:tcBorders>
              <w:top w:val="nil"/>
              <w:left w:val="single" w:sz="6" w:space="0" w:color="000000"/>
              <w:bottom w:val="nil"/>
              <w:right w:val="single" w:sz="6" w:space="0" w:color="000000"/>
            </w:tcBorders>
          </w:tcPr>
          <w:p>
            <w:pPr/>
          </w:p>
        </w:tc>
        <w:tc>
          <w:tcPr>
            <w:tcW w:w="396" w:type="dxa"/>
            <w:tcBorders>
              <w:top w:val="nil"/>
              <w:left w:val="single" w:sz="6" w:space="0" w:color="000000"/>
              <w:bottom w:val="nil"/>
              <w:right w:val="single" w:sz="12" w:space="0" w:color="000000"/>
            </w:tcBorders>
          </w:tcPr>
          <w:p>
            <w:pPr/>
          </w:p>
        </w:tc>
      </w:tr>
      <w:tr>
        <w:trPr>
          <w:trHeight w:val="445" w:hRule="exact"/>
        </w:trPr>
        <w:tc>
          <w:tcPr>
            <w:tcW w:w="1104" w:type="dxa"/>
            <w:tcBorders>
              <w:top w:val="nil"/>
              <w:left w:val="single" w:sz="12" w:space="0" w:color="000000"/>
              <w:bottom w:val="single" w:sz="6" w:space="0" w:color="000000"/>
              <w:right w:val="single" w:sz="6" w:space="0" w:color="000000"/>
            </w:tcBorders>
          </w:tcPr>
          <w:p>
            <w:pPr/>
          </w:p>
        </w:tc>
        <w:tc>
          <w:tcPr>
            <w:tcW w:w="1656" w:type="dxa"/>
            <w:tcBorders>
              <w:top w:val="nil"/>
              <w:left w:val="single" w:sz="6" w:space="0" w:color="000000"/>
              <w:bottom w:val="single" w:sz="6" w:space="0" w:color="000000"/>
              <w:right w:val="single" w:sz="6" w:space="0" w:color="000000"/>
            </w:tcBorders>
          </w:tcPr>
          <w:p>
            <w:pPr>
              <w:pStyle w:val="TableParagraph"/>
              <w:spacing w:line="212" w:lineRule="exact" w:before="0"/>
              <w:ind w:left="59"/>
              <w:jc w:val="left"/>
              <w:rPr>
                <w:sz w:val="19"/>
              </w:rPr>
            </w:pPr>
            <w:r>
              <w:rPr>
                <w:sz w:val="19"/>
              </w:rPr>
              <w:t>automáticamente.</w:t>
            </w:r>
          </w:p>
        </w:tc>
        <w:tc>
          <w:tcPr>
            <w:tcW w:w="1534" w:type="dxa"/>
            <w:tcBorders>
              <w:top w:val="nil"/>
              <w:left w:val="single" w:sz="6" w:space="0" w:color="000000"/>
              <w:bottom w:val="single" w:sz="6" w:space="0" w:color="000000"/>
              <w:right w:val="single" w:sz="6" w:space="0" w:color="000000"/>
            </w:tcBorders>
          </w:tcPr>
          <w:p>
            <w:pPr>
              <w:pStyle w:val="TableParagraph"/>
              <w:spacing w:line="212" w:lineRule="exact" w:before="0"/>
              <w:ind w:left="57"/>
              <w:jc w:val="left"/>
              <w:rPr>
                <w:sz w:val="19"/>
              </w:rPr>
            </w:pPr>
            <w:r>
              <w:rPr>
                <w:sz w:val="19"/>
              </w:rPr>
              <w:t>Jalón-Empuje</w:t>
            </w:r>
          </w:p>
        </w:tc>
        <w:tc>
          <w:tcPr>
            <w:tcW w:w="482" w:type="dxa"/>
            <w:tcBorders>
              <w:top w:val="nil"/>
              <w:left w:val="single" w:sz="6" w:space="0" w:color="000000"/>
              <w:bottom w:val="single" w:sz="6" w:space="0" w:color="000000"/>
              <w:right w:val="single" w:sz="6" w:space="0" w:color="000000"/>
            </w:tcBorders>
          </w:tcPr>
          <w:p>
            <w:pPr>
              <w:pStyle w:val="TableParagraph"/>
              <w:spacing w:before="106"/>
              <w:ind w:right="54"/>
              <w:rPr>
                <w:i/>
                <w:sz w:val="19"/>
              </w:rPr>
            </w:pPr>
            <w:r>
              <w:rPr>
                <w:i/>
                <w:w w:val="101"/>
                <w:sz w:val="19"/>
              </w:rPr>
              <w:t>*</w:t>
            </w:r>
          </w:p>
        </w:tc>
        <w:tc>
          <w:tcPr>
            <w:tcW w:w="487" w:type="dxa"/>
            <w:tcBorders>
              <w:top w:val="nil"/>
              <w:left w:val="single" w:sz="6" w:space="0" w:color="000000"/>
              <w:bottom w:val="single" w:sz="6" w:space="0" w:color="000000"/>
              <w:right w:val="single" w:sz="6" w:space="0" w:color="000000"/>
            </w:tcBorders>
          </w:tcPr>
          <w:p>
            <w:pPr>
              <w:pStyle w:val="TableParagraph"/>
              <w:spacing w:before="106"/>
              <w:ind w:right="59"/>
              <w:rPr>
                <w:i/>
                <w:sz w:val="19"/>
              </w:rPr>
            </w:pPr>
            <w:r>
              <w:rPr>
                <w:i/>
                <w:w w:val="101"/>
                <w:sz w:val="19"/>
              </w:rPr>
              <w:t>*</w:t>
            </w:r>
          </w:p>
        </w:tc>
        <w:tc>
          <w:tcPr>
            <w:tcW w:w="482" w:type="dxa"/>
            <w:tcBorders>
              <w:top w:val="nil"/>
              <w:left w:val="single" w:sz="6" w:space="0" w:color="000000"/>
              <w:bottom w:val="single" w:sz="6" w:space="0" w:color="000000"/>
              <w:right w:val="single" w:sz="6" w:space="0" w:color="000000"/>
            </w:tcBorders>
          </w:tcPr>
          <w:p>
            <w:pPr>
              <w:pStyle w:val="TableParagraph"/>
              <w:spacing w:before="106"/>
              <w:ind w:right="54"/>
              <w:rPr>
                <w:i/>
                <w:sz w:val="19"/>
              </w:rPr>
            </w:pPr>
            <w:r>
              <w:rPr>
                <w:i/>
                <w:w w:val="101"/>
                <w:sz w:val="19"/>
              </w:rPr>
              <w:t>*</w:t>
            </w:r>
          </w:p>
        </w:tc>
        <w:tc>
          <w:tcPr>
            <w:tcW w:w="463" w:type="dxa"/>
            <w:tcBorders>
              <w:top w:val="nil"/>
              <w:left w:val="single" w:sz="6" w:space="0" w:color="000000"/>
              <w:bottom w:val="single" w:sz="6" w:space="0" w:color="000000"/>
              <w:right w:val="single" w:sz="6" w:space="0" w:color="000000"/>
            </w:tcBorders>
          </w:tcPr>
          <w:p>
            <w:pPr>
              <w:pStyle w:val="TableParagraph"/>
              <w:spacing w:before="106"/>
              <w:ind w:right="59"/>
              <w:rPr>
                <w:i/>
                <w:sz w:val="19"/>
              </w:rPr>
            </w:pPr>
            <w:r>
              <w:rPr>
                <w:i/>
                <w:w w:val="101"/>
                <w:sz w:val="19"/>
              </w:rPr>
              <w:t>*</w:t>
            </w:r>
          </w:p>
        </w:tc>
        <w:tc>
          <w:tcPr>
            <w:tcW w:w="413" w:type="dxa"/>
            <w:tcBorders>
              <w:top w:val="nil"/>
              <w:left w:val="single" w:sz="6" w:space="0" w:color="000000"/>
              <w:bottom w:val="single" w:sz="6" w:space="0" w:color="000000"/>
              <w:right w:val="single" w:sz="6" w:space="0" w:color="000000"/>
            </w:tcBorders>
          </w:tcPr>
          <w:p>
            <w:pPr/>
          </w:p>
        </w:tc>
        <w:tc>
          <w:tcPr>
            <w:tcW w:w="413" w:type="dxa"/>
            <w:tcBorders>
              <w:top w:val="nil"/>
              <w:left w:val="single" w:sz="6" w:space="0" w:color="000000"/>
              <w:bottom w:val="single" w:sz="6" w:space="0" w:color="000000"/>
              <w:right w:val="single" w:sz="6" w:space="0" w:color="000000"/>
            </w:tcBorders>
          </w:tcPr>
          <w:p>
            <w:pPr>
              <w:pStyle w:val="TableParagraph"/>
              <w:spacing w:before="106"/>
              <w:ind w:right="54"/>
              <w:rPr>
                <w:i/>
                <w:sz w:val="19"/>
              </w:rPr>
            </w:pPr>
            <w:r>
              <w:rPr>
                <w:i/>
                <w:w w:val="101"/>
                <w:sz w:val="19"/>
              </w:rPr>
              <w:t>*</w:t>
            </w:r>
          </w:p>
        </w:tc>
        <w:tc>
          <w:tcPr>
            <w:tcW w:w="276" w:type="dxa"/>
            <w:tcBorders>
              <w:top w:val="nil"/>
              <w:left w:val="single" w:sz="6" w:space="0" w:color="000000"/>
              <w:bottom w:val="single" w:sz="6" w:space="0" w:color="000000"/>
              <w:right w:val="single" w:sz="6" w:space="0" w:color="000000"/>
            </w:tcBorders>
          </w:tcPr>
          <w:p>
            <w:pPr>
              <w:pStyle w:val="TableParagraph"/>
              <w:spacing w:before="106"/>
              <w:ind w:right="54"/>
              <w:rPr>
                <w:i/>
                <w:sz w:val="19"/>
              </w:rPr>
            </w:pPr>
            <w:r>
              <w:rPr>
                <w:i/>
                <w:w w:val="101"/>
                <w:sz w:val="19"/>
              </w:rPr>
              <w:t>*</w:t>
            </w:r>
          </w:p>
        </w:tc>
        <w:tc>
          <w:tcPr>
            <w:tcW w:w="416" w:type="dxa"/>
            <w:tcBorders>
              <w:top w:val="nil"/>
              <w:left w:val="single" w:sz="6" w:space="0" w:color="000000"/>
              <w:bottom w:val="single" w:sz="6" w:space="0" w:color="000000"/>
              <w:right w:val="single" w:sz="5" w:space="0" w:color="000000"/>
            </w:tcBorders>
          </w:tcPr>
          <w:p>
            <w:pPr>
              <w:pStyle w:val="TableParagraph"/>
              <w:spacing w:before="106"/>
              <w:ind w:right="59"/>
              <w:rPr>
                <w:i/>
                <w:sz w:val="19"/>
              </w:rPr>
            </w:pPr>
            <w:r>
              <w:rPr>
                <w:i/>
                <w:w w:val="101"/>
                <w:sz w:val="19"/>
              </w:rPr>
              <w:t>*</w:t>
            </w:r>
          </w:p>
        </w:tc>
        <w:tc>
          <w:tcPr>
            <w:tcW w:w="400" w:type="dxa"/>
            <w:tcBorders>
              <w:top w:val="nil"/>
              <w:left w:val="single" w:sz="5" w:space="0" w:color="000000"/>
              <w:bottom w:val="single" w:sz="6" w:space="0" w:color="000000"/>
              <w:right w:val="single" w:sz="6" w:space="0" w:color="000000"/>
            </w:tcBorders>
          </w:tcPr>
          <w:p>
            <w:pPr>
              <w:pStyle w:val="TableParagraph"/>
              <w:spacing w:before="106"/>
              <w:ind w:right="54"/>
              <w:rPr>
                <w:i/>
                <w:sz w:val="19"/>
              </w:rPr>
            </w:pPr>
            <w:r>
              <w:rPr>
                <w:i/>
                <w:w w:val="101"/>
                <w:sz w:val="19"/>
              </w:rPr>
              <w:t>*</w:t>
            </w:r>
          </w:p>
        </w:tc>
        <w:tc>
          <w:tcPr>
            <w:tcW w:w="444" w:type="dxa"/>
            <w:tcBorders>
              <w:top w:val="nil"/>
              <w:left w:val="single" w:sz="6" w:space="0" w:color="000000"/>
              <w:bottom w:val="single" w:sz="6" w:space="0" w:color="000000"/>
              <w:right w:val="single" w:sz="6" w:space="0" w:color="000000"/>
            </w:tcBorders>
          </w:tcPr>
          <w:p>
            <w:pPr>
              <w:pStyle w:val="TableParagraph"/>
              <w:spacing w:before="106"/>
              <w:ind w:right="58"/>
              <w:rPr>
                <w:i/>
                <w:sz w:val="19"/>
              </w:rPr>
            </w:pPr>
            <w:r>
              <w:rPr>
                <w:i/>
                <w:w w:val="101"/>
                <w:sz w:val="19"/>
              </w:rPr>
              <w:t>*</w:t>
            </w:r>
          </w:p>
        </w:tc>
        <w:tc>
          <w:tcPr>
            <w:tcW w:w="396" w:type="dxa"/>
            <w:tcBorders>
              <w:top w:val="nil"/>
              <w:left w:val="single" w:sz="6" w:space="0" w:color="000000"/>
              <w:bottom w:val="single" w:sz="6" w:space="0" w:color="000000"/>
              <w:right w:val="single" w:sz="12" w:space="0" w:color="000000"/>
            </w:tcBorders>
          </w:tcPr>
          <w:p>
            <w:pPr>
              <w:pStyle w:val="TableParagraph"/>
              <w:spacing w:before="106"/>
              <w:ind w:right="47"/>
              <w:rPr>
                <w:i/>
                <w:sz w:val="19"/>
              </w:rPr>
            </w:pPr>
            <w:r>
              <w:rPr>
                <w:i/>
                <w:w w:val="101"/>
                <w:sz w:val="19"/>
              </w:rPr>
              <w:t>*</w:t>
            </w:r>
          </w:p>
        </w:tc>
      </w:tr>
      <w:tr>
        <w:trPr>
          <w:trHeight w:val="241" w:hRule="exact"/>
        </w:trPr>
        <w:tc>
          <w:tcPr>
            <w:tcW w:w="1104" w:type="dxa"/>
            <w:tcBorders>
              <w:top w:val="single" w:sz="6" w:space="0" w:color="000000"/>
              <w:left w:val="single" w:sz="12" w:space="0" w:color="000000"/>
              <w:bottom w:val="nil"/>
              <w:right w:val="single" w:sz="6" w:space="0" w:color="000000"/>
            </w:tcBorders>
          </w:tcPr>
          <w:p>
            <w:pPr>
              <w:pStyle w:val="TableParagraph"/>
              <w:spacing w:before="4"/>
              <w:ind w:left="52"/>
              <w:jc w:val="left"/>
              <w:rPr>
                <w:sz w:val="19"/>
              </w:rPr>
            </w:pPr>
            <w:r>
              <w:rPr>
                <w:sz w:val="19"/>
              </w:rPr>
              <w:t>Nueva</w:t>
            </w:r>
          </w:p>
        </w:tc>
        <w:tc>
          <w:tcPr>
            <w:tcW w:w="1656" w:type="dxa"/>
            <w:tcBorders>
              <w:top w:val="single" w:sz="6" w:space="0" w:color="000000"/>
              <w:left w:val="single" w:sz="6" w:space="0" w:color="000000"/>
              <w:bottom w:val="nil"/>
              <w:right w:val="single" w:sz="6" w:space="0" w:color="000000"/>
            </w:tcBorders>
          </w:tcPr>
          <w:p>
            <w:pPr>
              <w:pStyle w:val="TableParagraph"/>
              <w:spacing w:before="4"/>
              <w:ind w:left="59"/>
              <w:jc w:val="left"/>
              <w:rPr>
                <w:sz w:val="19"/>
              </w:rPr>
            </w:pPr>
            <w:r>
              <w:rPr>
                <w:sz w:val="19"/>
              </w:rPr>
              <w:t>Costos de tran-</w:t>
            </w:r>
          </w:p>
        </w:tc>
        <w:tc>
          <w:tcPr>
            <w:tcW w:w="1534" w:type="dxa"/>
            <w:tcBorders>
              <w:top w:val="single" w:sz="6" w:space="0" w:color="000000"/>
              <w:left w:val="single" w:sz="6" w:space="0" w:color="000000"/>
              <w:bottom w:val="nil"/>
              <w:right w:val="single" w:sz="6" w:space="0" w:color="000000"/>
            </w:tcBorders>
          </w:tcPr>
          <w:p>
            <w:pPr>
              <w:pStyle w:val="TableParagraph"/>
              <w:spacing w:before="4"/>
              <w:ind w:left="57"/>
              <w:jc w:val="left"/>
              <w:rPr>
                <w:sz w:val="19"/>
              </w:rPr>
            </w:pPr>
            <w:r>
              <w:rPr>
                <w:sz w:val="19"/>
              </w:rPr>
              <w:t>Redes</w:t>
            </w:r>
          </w:p>
        </w:tc>
        <w:tc>
          <w:tcPr>
            <w:tcW w:w="482" w:type="dxa"/>
            <w:tcBorders>
              <w:top w:val="single" w:sz="6" w:space="0" w:color="000000"/>
              <w:left w:val="single" w:sz="6" w:space="0" w:color="000000"/>
              <w:bottom w:val="nil"/>
              <w:right w:val="single" w:sz="6" w:space="0" w:color="000000"/>
            </w:tcBorders>
          </w:tcPr>
          <w:p>
            <w:pPr>
              <w:pStyle w:val="TableParagraph"/>
              <w:spacing w:before="6"/>
              <w:ind w:right="54"/>
              <w:rPr>
                <w:sz w:val="19"/>
              </w:rPr>
            </w:pPr>
            <w:r>
              <w:rPr>
                <w:w w:val="101"/>
                <w:sz w:val="19"/>
              </w:rPr>
              <w:t>*</w:t>
            </w:r>
          </w:p>
        </w:tc>
        <w:tc>
          <w:tcPr>
            <w:tcW w:w="487" w:type="dxa"/>
            <w:tcBorders>
              <w:top w:val="single" w:sz="6" w:space="0" w:color="000000"/>
              <w:left w:val="single" w:sz="6" w:space="0" w:color="000000"/>
              <w:bottom w:val="nil"/>
              <w:right w:val="single" w:sz="6" w:space="0" w:color="000000"/>
            </w:tcBorders>
          </w:tcPr>
          <w:p>
            <w:pPr>
              <w:pStyle w:val="TableParagraph"/>
              <w:spacing w:before="6"/>
              <w:ind w:right="59"/>
              <w:rPr>
                <w:sz w:val="19"/>
              </w:rPr>
            </w:pPr>
            <w:r>
              <w:rPr>
                <w:w w:val="101"/>
                <w:sz w:val="19"/>
              </w:rPr>
              <w:t>*</w:t>
            </w:r>
          </w:p>
        </w:tc>
        <w:tc>
          <w:tcPr>
            <w:tcW w:w="482" w:type="dxa"/>
            <w:vMerge w:val="restart"/>
            <w:tcBorders>
              <w:top w:val="single" w:sz="6" w:space="0" w:color="000000"/>
              <w:left w:val="single" w:sz="6" w:space="0" w:color="000000"/>
              <w:right w:val="single" w:sz="6" w:space="0" w:color="000000"/>
            </w:tcBorders>
          </w:tcPr>
          <w:p>
            <w:pPr/>
          </w:p>
        </w:tc>
        <w:tc>
          <w:tcPr>
            <w:tcW w:w="463" w:type="dxa"/>
            <w:tcBorders>
              <w:top w:val="single" w:sz="6" w:space="0" w:color="000000"/>
              <w:left w:val="single" w:sz="6" w:space="0" w:color="000000"/>
              <w:bottom w:val="nil"/>
              <w:right w:val="single" w:sz="6" w:space="0" w:color="000000"/>
            </w:tcBorders>
          </w:tcPr>
          <w:p>
            <w:pPr>
              <w:pStyle w:val="TableParagraph"/>
              <w:spacing w:before="6"/>
              <w:ind w:right="59"/>
              <w:rPr>
                <w:sz w:val="19"/>
              </w:rPr>
            </w:pPr>
            <w:r>
              <w:rPr>
                <w:w w:val="101"/>
                <w:sz w:val="19"/>
              </w:rPr>
              <w:t>*</w:t>
            </w:r>
          </w:p>
        </w:tc>
        <w:tc>
          <w:tcPr>
            <w:tcW w:w="413" w:type="dxa"/>
            <w:tcBorders>
              <w:top w:val="single" w:sz="6" w:space="0" w:color="000000"/>
              <w:left w:val="single" w:sz="6" w:space="0" w:color="000000"/>
              <w:bottom w:val="nil"/>
              <w:right w:val="single" w:sz="6" w:space="0" w:color="000000"/>
            </w:tcBorders>
          </w:tcPr>
          <w:p>
            <w:pPr/>
          </w:p>
        </w:tc>
        <w:tc>
          <w:tcPr>
            <w:tcW w:w="413" w:type="dxa"/>
            <w:tcBorders>
              <w:top w:val="single" w:sz="6" w:space="0" w:color="000000"/>
              <w:left w:val="single" w:sz="6" w:space="0" w:color="000000"/>
              <w:bottom w:val="nil"/>
              <w:right w:val="single" w:sz="6" w:space="0" w:color="000000"/>
            </w:tcBorders>
          </w:tcPr>
          <w:p>
            <w:pPr>
              <w:pStyle w:val="TableParagraph"/>
              <w:spacing w:before="6"/>
              <w:ind w:right="54"/>
              <w:rPr>
                <w:sz w:val="19"/>
              </w:rPr>
            </w:pPr>
            <w:r>
              <w:rPr>
                <w:w w:val="101"/>
                <w:sz w:val="19"/>
              </w:rPr>
              <w:t>*</w:t>
            </w:r>
          </w:p>
        </w:tc>
        <w:tc>
          <w:tcPr>
            <w:tcW w:w="276" w:type="dxa"/>
            <w:tcBorders>
              <w:top w:val="single" w:sz="6" w:space="0" w:color="000000"/>
              <w:left w:val="single" w:sz="6" w:space="0" w:color="000000"/>
              <w:bottom w:val="nil"/>
              <w:right w:val="single" w:sz="6" w:space="0" w:color="000000"/>
            </w:tcBorders>
          </w:tcPr>
          <w:p>
            <w:pPr/>
          </w:p>
        </w:tc>
        <w:tc>
          <w:tcPr>
            <w:tcW w:w="416" w:type="dxa"/>
            <w:tcBorders>
              <w:top w:val="single" w:sz="6" w:space="0" w:color="000000"/>
              <w:left w:val="single" w:sz="6" w:space="0" w:color="000000"/>
              <w:bottom w:val="nil"/>
              <w:right w:val="single" w:sz="5" w:space="0" w:color="000000"/>
            </w:tcBorders>
          </w:tcPr>
          <w:p>
            <w:pPr>
              <w:pStyle w:val="TableParagraph"/>
              <w:spacing w:before="6"/>
              <w:ind w:right="59"/>
              <w:rPr>
                <w:sz w:val="19"/>
              </w:rPr>
            </w:pPr>
            <w:r>
              <w:rPr>
                <w:w w:val="101"/>
                <w:sz w:val="19"/>
              </w:rPr>
              <w:t>*</w:t>
            </w:r>
          </w:p>
        </w:tc>
        <w:tc>
          <w:tcPr>
            <w:tcW w:w="400" w:type="dxa"/>
            <w:tcBorders>
              <w:top w:val="single" w:sz="6" w:space="0" w:color="000000"/>
              <w:left w:val="single" w:sz="5" w:space="0" w:color="000000"/>
              <w:bottom w:val="nil"/>
              <w:right w:val="single" w:sz="6" w:space="0" w:color="000000"/>
            </w:tcBorders>
          </w:tcPr>
          <w:p>
            <w:pPr>
              <w:pStyle w:val="TableParagraph"/>
              <w:spacing w:before="6"/>
              <w:ind w:right="54"/>
              <w:rPr>
                <w:sz w:val="19"/>
              </w:rPr>
            </w:pPr>
            <w:r>
              <w:rPr>
                <w:w w:val="101"/>
                <w:sz w:val="19"/>
              </w:rPr>
              <w:t>*</w:t>
            </w:r>
          </w:p>
        </w:tc>
        <w:tc>
          <w:tcPr>
            <w:tcW w:w="444" w:type="dxa"/>
            <w:tcBorders>
              <w:top w:val="single" w:sz="6" w:space="0" w:color="000000"/>
              <w:left w:val="single" w:sz="6" w:space="0" w:color="000000"/>
              <w:bottom w:val="nil"/>
              <w:right w:val="single" w:sz="6" w:space="0" w:color="000000"/>
            </w:tcBorders>
          </w:tcPr>
          <w:p>
            <w:pPr>
              <w:pStyle w:val="TableParagraph"/>
              <w:spacing w:before="6"/>
              <w:ind w:right="58"/>
              <w:rPr>
                <w:sz w:val="19"/>
              </w:rPr>
            </w:pPr>
            <w:r>
              <w:rPr>
                <w:w w:val="101"/>
                <w:sz w:val="19"/>
              </w:rPr>
              <w:t>*</w:t>
            </w:r>
          </w:p>
        </w:tc>
        <w:tc>
          <w:tcPr>
            <w:tcW w:w="396" w:type="dxa"/>
            <w:tcBorders>
              <w:top w:val="single" w:sz="6" w:space="0" w:color="000000"/>
              <w:left w:val="single" w:sz="6" w:space="0" w:color="000000"/>
              <w:bottom w:val="nil"/>
              <w:right w:val="single" w:sz="12" w:space="0" w:color="000000"/>
            </w:tcBorders>
          </w:tcPr>
          <w:p>
            <w:pPr>
              <w:pStyle w:val="TableParagraph"/>
              <w:spacing w:before="6"/>
              <w:ind w:right="47"/>
              <w:rPr>
                <w:sz w:val="19"/>
              </w:rPr>
            </w:pPr>
            <w:r>
              <w:rPr>
                <w:w w:val="101"/>
                <w:sz w:val="19"/>
              </w:rPr>
              <w:t>*</w:t>
            </w:r>
          </w:p>
        </w:tc>
      </w:tr>
      <w:tr>
        <w:trPr>
          <w:trHeight w:val="222" w:hRule="exact"/>
        </w:trPr>
        <w:tc>
          <w:tcPr>
            <w:tcW w:w="1104" w:type="dxa"/>
            <w:tcBorders>
              <w:top w:val="nil"/>
              <w:left w:val="single" w:sz="12" w:space="0" w:color="000000"/>
              <w:bottom w:val="nil"/>
              <w:right w:val="single" w:sz="6" w:space="0" w:color="000000"/>
            </w:tcBorders>
          </w:tcPr>
          <w:p>
            <w:pPr>
              <w:pStyle w:val="TableParagraph"/>
              <w:spacing w:line="210" w:lineRule="exact" w:before="0"/>
              <w:ind w:left="52"/>
              <w:jc w:val="left"/>
              <w:rPr>
                <w:sz w:val="19"/>
              </w:rPr>
            </w:pPr>
            <w:r>
              <w:rPr>
                <w:sz w:val="19"/>
              </w:rPr>
              <w:t>Economía</w:t>
            </w:r>
          </w:p>
        </w:tc>
        <w:tc>
          <w:tcPr>
            <w:tcW w:w="1656" w:type="dxa"/>
            <w:tcBorders>
              <w:top w:val="nil"/>
              <w:left w:val="single" w:sz="6" w:space="0" w:color="000000"/>
              <w:bottom w:val="nil"/>
              <w:right w:val="single" w:sz="6" w:space="0" w:color="000000"/>
            </w:tcBorders>
          </w:tcPr>
          <w:p>
            <w:pPr>
              <w:pStyle w:val="TableParagraph"/>
              <w:spacing w:line="210" w:lineRule="exact" w:before="0"/>
              <w:ind w:left="59"/>
              <w:jc w:val="left"/>
              <w:rPr>
                <w:sz w:val="19"/>
              </w:rPr>
            </w:pPr>
            <w:r>
              <w:rPr>
                <w:sz w:val="19"/>
              </w:rPr>
              <w:t>sacción y poder</w:t>
            </w:r>
          </w:p>
        </w:tc>
        <w:tc>
          <w:tcPr>
            <w:tcW w:w="1534" w:type="dxa"/>
            <w:tcBorders>
              <w:top w:val="nil"/>
              <w:left w:val="single" w:sz="6" w:space="0" w:color="000000"/>
              <w:bottom w:val="nil"/>
              <w:right w:val="single" w:sz="6" w:space="0" w:color="000000"/>
            </w:tcBorders>
          </w:tcPr>
          <w:p>
            <w:pPr/>
          </w:p>
        </w:tc>
        <w:tc>
          <w:tcPr>
            <w:tcW w:w="482" w:type="dxa"/>
            <w:tcBorders>
              <w:top w:val="nil"/>
              <w:left w:val="single" w:sz="6" w:space="0" w:color="000000"/>
              <w:bottom w:val="nil"/>
              <w:right w:val="single" w:sz="6" w:space="0" w:color="000000"/>
            </w:tcBorders>
          </w:tcPr>
          <w:p>
            <w:pPr/>
          </w:p>
        </w:tc>
        <w:tc>
          <w:tcPr>
            <w:tcW w:w="487" w:type="dxa"/>
            <w:tcBorders>
              <w:top w:val="nil"/>
              <w:left w:val="single" w:sz="6" w:space="0" w:color="000000"/>
              <w:bottom w:val="nil"/>
              <w:right w:val="single" w:sz="6" w:space="0" w:color="000000"/>
            </w:tcBorders>
          </w:tcPr>
          <w:p>
            <w:pPr/>
          </w:p>
        </w:tc>
        <w:tc>
          <w:tcPr>
            <w:tcW w:w="482" w:type="dxa"/>
            <w:vMerge/>
            <w:tcBorders>
              <w:left w:val="single" w:sz="6" w:space="0" w:color="000000"/>
              <w:right w:val="single" w:sz="6" w:space="0" w:color="000000"/>
            </w:tcBorders>
          </w:tcPr>
          <w:p>
            <w:pPr/>
          </w:p>
        </w:tc>
        <w:tc>
          <w:tcPr>
            <w:tcW w:w="463" w:type="dxa"/>
            <w:tcBorders>
              <w:top w:val="nil"/>
              <w:left w:val="single" w:sz="6" w:space="0" w:color="000000"/>
              <w:bottom w:val="nil"/>
              <w:right w:val="single" w:sz="6" w:space="0" w:color="000000"/>
            </w:tcBorders>
          </w:tcPr>
          <w:p>
            <w:pPr/>
          </w:p>
        </w:tc>
        <w:tc>
          <w:tcPr>
            <w:tcW w:w="413" w:type="dxa"/>
            <w:tcBorders>
              <w:top w:val="nil"/>
              <w:left w:val="single" w:sz="6" w:space="0" w:color="000000"/>
              <w:bottom w:val="nil"/>
              <w:right w:val="single" w:sz="6" w:space="0" w:color="000000"/>
            </w:tcBorders>
          </w:tcPr>
          <w:p>
            <w:pPr/>
          </w:p>
        </w:tc>
        <w:tc>
          <w:tcPr>
            <w:tcW w:w="413" w:type="dxa"/>
            <w:tcBorders>
              <w:top w:val="nil"/>
              <w:left w:val="single" w:sz="6" w:space="0" w:color="000000"/>
              <w:bottom w:val="nil"/>
              <w:right w:val="single" w:sz="6" w:space="0" w:color="000000"/>
            </w:tcBorders>
          </w:tcPr>
          <w:p>
            <w:pPr/>
          </w:p>
        </w:tc>
        <w:tc>
          <w:tcPr>
            <w:tcW w:w="276" w:type="dxa"/>
            <w:tcBorders>
              <w:top w:val="nil"/>
              <w:left w:val="single" w:sz="6" w:space="0" w:color="000000"/>
              <w:bottom w:val="nil"/>
              <w:right w:val="single" w:sz="6" w:space="0" w:color="000000"/>
            </w:tcBorders>
          </w:tcPr>
          <w:p>
            <w:pPr/>
          </w:p>
        </w:tc>
        <w:tc>
          <w:tcPr>
            <w:tcW w:w="416" w:type="dxa"/>
            <w:tcBorders>
              <w:top w:val="nil"/>
              <w:left w:val="single" w:sz="6" w:space="0" w:color="000000"/>
              <w:bottom w:val="nil"/>
              <w:right w:val="single" w:sz="5" w:space="0" w:color="000000"/>
            </w:tcBorders>
          </w:tcPr>
          <w:p>
            <w:pPr/>
          </w:p>
        </w:tc>
        <w:tc>
          <w:tcPr>
            <w:tcW w:w="400" w:type="dxa"/>
            <w:tcBorders>
              <w:top w:val="nil"/>
              <w:left w:val="single" w:sz="5" w:space="0" w:color="000000"/>
              <w:bottom w:val="nil"/>
              <w:right w:val="single" w:sz="6" w:space="0" w:color="000000"/>
            </w:tcBorders>
          </w:tcPr>
          <w:p>
            <w:pPr/>
          </w:p>
        </w:tc>
        <w:tc>
          <w:tcPr>
            <w:tcW w:w="444" w:type="dxa"/>
            <w:tcBorders>
              <w:top w:val="nil"/>
              <w:left w:val="single" w:sz="6" w:space="0" w:color="000000"/>
              <w:bottom w:val="nil"/>
              <w:right w:val="single" w:sz="6" w:space="0" w:color="000000"/>
            </w:tcBorders>
          </w:tcPr>
          <w:p>
            <w:pPr/>
          </w:p>
        </w:tc>
        <w:tc>
          <w:tcPr>
            <w:tcW w:w="396" w:type="dxa"/>
            <w:tcBorders>
              <w:top w:val="nil"/>
              <w:left w:val="single" w:sz="6" w:space="0" w:color="000000"/>
              <w:bottom w:val="nil"/>
              <w:right w:val="single" w:sz="12" w:space="0" w:color="000000"/>
            </w:tcBorders>
          </w:tcPr>
          <w:p>
            <w:pPr/>
          </w:p>
        </w:tc>
      </w:tr>
      <w:tr>
        <w:trPr>
          <w:trHeight w:val="615" w:hRule="exact"/>
        </w:trPr>
        <w:tc>
          <w:tcPr>
            <w:tcW w:w="1104" w:type="dxa"/>
            <w:tcBorders>
              <w:top w:val="nil"/>
              <w:left w:val="single" w:sz="12" w:space="0" w:color="000000"/>
              <w:bottom w:val="single" w:sz="6" w:space="0" w:color="000000"/>
              <w:right w:val="single" w:sz="6" w:space="0" w:color="000000"/>
            </w:tcBorders>
          </w:tcPr>
          <w:p>
            <w:pPr>
              <w:pStyle w:val="TableParagraph"/>
              <w:spacing w:line="244" w:lineRule="auto" w:before="0"/>
              <w:ind w:left="52"/>
              <w:jc w:val="left"/>
              <w:rPr>
                <w:sz w:val="19"/>
              </w:rPr>
            </w:pPr>
            <w:r>
              <w:rPr>
                <w:sz w:val="19"/>
              </w:rPr>
              <w:t>Institucio- nal</w:t>
            </w:r>
          </w:p>
        </w:tc>
        <w:tc>
          <w:tcPr>
            <w:tcW w:w="1656" w:type="dxa"/>
            <w:tcBorders>
              <w:top w:val="nil"/>
              <w:left w:val="single" w:sz="6" w:space="0" w:color="000000"/>
              <w:bottom w:val="single" w:sz="6" w:space="0" w:color="000000"/>
              <w:right w:val="single" w:sz="6" w:space="0" w:color="000000"/>
            </w:tcBorders>
          </w:tcPr>
          <w:p>
            <w:pPr>
              <w:pStyle w:val="TableParagraph"/>
              <w:spacing w:line="244" w:lineRule="auto" w:before="0"/>
              <w:ind w:left="59"/>
              <w:jc w:val="left"/>
              <w:rPr>
                <w:sz w:val="19"/>
              </w:rPr>
            </w:pPr>
            <w:r>
              <w:rPr>
                <w:sz w:val="19"/>
              </w:rPr>
              <w:t>de mercado: No equilibrio óptimo</w:t>
            </w:r>
          </w:p>
        </w:tc>
        <w:tc>
          <w:tcPr>
            <w:tcW w:w="1534" w:type="dxa"/>
            <w:tcBorders>
              <w:top w:val="nil"/>
              <w:left w:val="single" w:sz="6" w:space="0" w:color="000000"/>
              <w:bottom w:val="single" w:sz="6" w:space="0" w:color="000000"/>
              <w:right w:val="single" w:sz="6" w:space="0" w:color="000000"/>
            </w:tcBorders>
          </w:tcPr>
          <w:p>
            <w:pPr>
              <w:pStyle w:val="TableParagraph"/>
              <w:spacing w:line="244" w:lineRule="auto" w:before="0"/>
              <w:ind w:left="57" w:right="481"/>
              <w:jc w:val="left"/>
              <w:rPr>
                <w:sz w:val="19"/>
              </w:rPr>
            </w:pPr>
            <w:r>
              <w:rPr>
                <w:sz w:val="19"/>
              </w:rPr>
              <w:t>Causación- Cumulativa</w:t>
            </w:r>
          </w:p>
        </w:tc>
        <w:tc>
          <w:tcPr>
            <w:tcW w:w="482" w:type="dxa"/>
            <w:tcBorders>
              <w:top w:val="nil"/>
              <w:left w:val="single" w:sz="6" w:space="0" w:color="000000"/>
              <w:bottom w:val="single" w:sz="6" w:space="0" w:color="000000"/>
              <w:right w:val="single" w:sz="6" w:space="0" w:color="000000"/>
            </w:tcBorders>
          </w:tcPr>
          <w:p>
            <w:pPr>
              <w:pStyle w:val="TableParagraph"/>
              <w:spacing w:before="81"/>
              <w:ind w:right="54"/>
              <w:rPr>
                <w:sz w:val="19"/>
              </w:rPr>
            </w:pPr>
            <w:r>
              <w:rPr>
                <w:w w:val="101"/>
                <w:sz w:val="19"/>
              </w:rPr>
              <w:t>*</w:t>
            </w:r>
          </w:p>
        </w:tc>
        <w:tc>
          <w:tcPr>
            <w:tcW w:w="487" w:type="dxa"/>
            <w:tcBorders>
              <w:top w:val="nil"/>
              <w:left w:val="single" w:sz="6" w:space="0" w:color="000000"/>
              <w:bottom w:val="single" w:sz="6" w:space="0" w:color="000000"/>
              <w:right w:val="single" w:sz="6" w:space="0" w:color="000000"/>
            </w:tcBorders>
          </w:tcPr>
          <w:p>
            <w:pPr>
              <w:pStyle w:val="TableParagraph"/>
              <w:spacing w:before="81"/>
              <w:ind w:right="59"/>
              <w:rPr>
                <w:sz w:val="19"/>
              </w:rPr>
            </w:pPr>
            <w:r>
              <w:rPr>
                <w:w w:val="101"/>
                <w:sz w:val="19"/>
              </w:rPr>
              <w:t>*</w:t>
            </w:r>
          </w:p>
        </w:tc>
        <w:tc>
          <w:tcPr>
            <w:tcW w:w="482" w:type="dxa"/>
            <w:vMerge/>
            <w:tcBorders>
              <w:left w:val="single" w:sz="6" w:space="0" w:color="000000"/>
              <w:bottom w:val="single" w:sz="6" w:space="0" w:color="000000"/>
              <w:right w:val="single" w:sz="6" w:space="0" w:color="000000"/>
            </w:tcBorders>
          </w:tcPr>
          <w:p>
            <w:pPr/>
          </w:p>
        </w:tc>
        <w:tc>
          <w:tcPr>
            <w:tcW w:w="463" w:type="dxa"/>
            <w:tcBorders>
              <w:top w:val="nil"/>
              <w:left w:val="single" w:sz="6" w:space="0" w:color="000000"/>
              <w:bottom w:val="single" w:sz="6" w:space="0" w:color="000000"/>
              <w:right w:val="single" w:sz="6" w:space="0" w:color="000000"/>
            </w:tcBorders>
          </w:tcPr>
          <w:p>
            <w:pPr>
              <w:pStyle w:val="TableParagraph"/>
              <w:spacing w:before="81"/>
              <w:ind w:right="59"/>
              <w:rPr>
                <w:sz w:val="19"/>
              </w:rPr>
            </w:pPr>
            <w:r>
              <w:rPr>
                <w:w w:val="101"/>
                <w:sz w:val="19"/>
              </w:rPr>
              <w:t>*</w:t>
            </w:r>
          </w:p>
        </w:tc>
        <w:tc>
          <w:tcPr>
            <w:tcW w:w="413" w:type="dxa"/>
            <w:tcBorders>
              <w:top w:val="nil"/>
              <w:left w:val="single" w:sz="6" w:space="0" w:color="000000"/>
              <w:bottom w:val="single" w:sz="6" w:space="0" w:color="000000"/>
              <w:right w:val="single" w:sz="6" w:space="0" w:color="000000"/>
            </w:tcBorders>
          </w:tcPr>
          <w:p>
            <w:pPr>
              <w:pStyle w:val="TableParagraph"/>
              <w:spacing w:before="81"/>
              <w:ind w:right="54"/>
              <w:rPr>
                <w:sz w:val="19"/>
              </w:rPr>
            </w:pPr>
            <w:r>
              <w:rPr>
                <w:w w:val="101"/>
                <w:sz w:val="19"/>
              </w:rPr>
              <w:t>*</w:t>
            </w:r>
          </w:p>
        </w:tc>
        <w:tc>
          <w:tcPr>
            <w:tcW w:w="413" w:type="dxa"/>
            <w:tcBorders>
              <w:top w:val="nil"/>
              <w:left w:val="single" w:sz="6" w:space="0" w:color="000000"/>
              <w:bottom w:val="single" w:sz="6" w:space="0" w:color="000000"/>
              <w:right w:val="single" w:sz="6" w:space="0" w:color="000000"/>
            </w:tcBorders>
          </w:tcPr>
          <w:p>
            <w:pPr/>
          </w:p>
        </w:tc>
        <w:tc>
          <w:tcPr>
            <w:tcW w:w="276" w:type="dxa"/>
            <w:tcBorders>
              <w:top w:val="nil"/>
              <w:left w:val="single" w:sz="6" w:space="0" w:color="000000"/>
              <w:bottom w:val="single" w:sz="6" w:space="0" w:color="000000"/>
              <w:right w:val="single" w:sz="6" w:space="0" w:color="000000"/>
            </w:tcBorders>
          </w:tcPr>
          <w:p>
            <w:pPr>
              <w:pStyle w:val="TableParagraph"/>
              <w:spacing w:before="81"/>
              <w:ind w:right="54"/>
              <w:rPr>
                <w:sz w:val="19"/>
              </w:rPr>
            </w:pPr>
            <w:r>
              <w:rPr>
                <w:w w:val="101"/>
                <w:sz w:val="19"/>
              </w:rPr>
              <w:t>*</w:t>
            </w:r>
          </w:p>
        </w:tc>
        <w:tc>
          <w:tcPr>
            <w:tcW w:w="416" w:type="dxa"/>
            <w:tcBorders>
              <w:top w:val="nil"/>
              <w:left w:val="single" w:sz="6" w:space="0" w:color="000000"/>
              <w:bottom w:val="single" w:sz="6" w:space="0" w:color="000000"/>
              <w:right w:val="single" w:sz="5" w:space="0" w:color="000000"/>
            </w:tcBorders>
          </w:tcPr>
          <w:p>
            <w:pPr>
              <w:pStyle w:val="TableParagraph"/>
              <w:spacing w:before="81"/>
              <w:ind w:right="59"/>
              <w:rPr>
                <w:sz w:val="19"/>
              </w:rPr>
            </w:pPr>
            <w:r>
              <w:rPr>
                <w:w w:val="101"/>
                <w:sz w:val="19"/>
              </w:rPr>
              <w:t>*</w:t>
            </w:r>
          </w:p>
        </w:tc>
        <w:tc>
          <w:tcPr>
            <w:tcW w:w="400" w:type="dxa"/>
            <w:tcBorders>
              <w:top w:val="nil"/>
              <w:left w:val="single" w:sz="5" w:space="0" w:color="000000"/>
              <w:bottom w:val="single" w:sz="6" w:space="0" w:color="000000"/>
              <w:right w:val="single" w:sz="6" w:space="0" w:color="000000"/>
            </w:tcBorders>
          </w:tcPr>
          <w:p>
            <w:pPr>
              <w:pStyle w:val="TableParagraph"/>
              <w:spacing w:before="81"/>
              <w:ind w:right="54"/>
              <w:rPr>
                <w:sz w:val="19"/>
              </w:rPr>
            </w:pPr>
            <w:r>
              <w:rPr>
                <w:w w:val="101"/>
                <w:sz w:val="19"/>
              </w:rPr>
              <w:t>*</w:t>
            </w:r>
          </w:p>
        </w:tc>
        <w:tc>
          <w:tcPr>
            <w:tcW w:w="444" w:type="dxa"/>
            <w:tcBorders>
              <w:top w:val="nil"/>
              <w:left w:val="single" w:sz="6" w:space="0" w:color="000000"/>
              <w:bottom w:val="single" w:sz="6" w:space="0" w:color="000000"/>
              <w:right w:val="single" w:sz="6" w:space="0" w:color="000000"/>
            </w:tcBorders>
          </w:tcPr>
          <w:p>
            <w:pPr>
              <w:pStyle w:val="TableParagraph"/>
              <w:spacing w:before="81"/>
              <w:ind w:right="58"/>
              <w:rPr>
                <w:sz w:val="19"/>
              </w:rPr>
            </w:pPr>
            <w:r>
              <w:rPr>
                <w:w w:val="101"/>
                <w:sz w:val="19"/>
              </w:rPr>
              <w:t>*</w:t>
            </w:r>
          </w:p>
        </w:tc>
        <w:tc>
          <w:tcPr>
            <w:tcW w:w="396" w:type="dxa"/>
            <w:tcBorders>
              <w:top w:val="nil"/>
              <w:left w:val="single" w:sz="6" w:space="0" w:color="000000"/>
              <w:bottom w:val="single" w:sz="6" w:space="0" w:color="000000"/>
              <w:right w:val="single" w:sz="12" w:space="0" w:color="000000"/>
            </w:tcBorders>
          </w:tcPr>
          <w:p>
            <w:pPr>
              <w:pStyle w:val="TableParagraph"/>
              <w:spacing w:before="81"/>
              <w:ind w:right="47"/>
              <w:rPr>
                <w:sz w:val="19"/>
              </w:rPr>
            </w:pPr>
            <w:r>
              <w:rPr>
                <w:w w:val="101"/>
                <w:sz w:val="19"/>
              </w:rPr>
              <w:t>*</w:t>
            </w:r>
          </w:p>
        </w:tc>
      </w:tr>
      <w:tr>
        <w:trPr>
          <w:trHeight w:val="240" w:hRule="exact"/>
        </w:trPr>
        <w:tc>
          <w:tcPr>
            <w:tcW w:w="1104" w:type="dxa"/>
            <w:tcBorders>
              <w:top w:val="single" w:sz="6" w:space="0" w:color="000000"/>
              <w:left w:val="single" w:sz="12" w:space="0" w:color="000000"/>
              <w:bottom w:val="nil"/>
              <w:right w:val="single" w:sz="6" w:space="0" w:color="000000"/>
            </w:tcBorders>
          </w:tcPr>
          <w:p>
            <w:pPr>
              <w:pStyle w:val="TableParagraph"/>
              <w:spacing w:before="1"/>
              <w:ind w:left="52"/>
              <w:jc w:val="left"/>
              <w:rPr>
                <w:sz w:val="19"/>
              </w:rPr>
            </w:pPr>
            <w:r>
              <w:rPr>
                <w:sz w:val="19"/>
              </w:rPr>
              <w:t>Nueva</w:t>
            </w:r>
          </w:p>
        </w:tc>
        <w:tc>
          <w:tcPr>
            <w:tcW w:w="1656" w:type="dxa"/>
            <w:tcBorders>
              <w:top w:val="single" w:sz="6" w:space="0" w:color="000000"/>
              <w:left w:val="single" w:sz="6" w:space="0" w:color="000000"/>
              <w:bottom w:val="nil"/>
              <w:right w:val="single" w:sz="6" w:space="0" w:color="000000"/>
            </w:tcBorders>
          </w:tcPr>
          <w:p>
            <w:pPr/>
          </w:p>
        </w:tc>
        <w:tc>
          <w:tcPr>
            <w:tcW w:w="1534" w:type="dxa"/>
            <w:tcBorders>
              <w:top w:val="single" w:sz="6" w:space="0" w:color="000000"/>
              <w:left w:val="single" w:sz="6" w:space="0" w:color="000000"/>
              <w:bottom w:val="nil"/>
              <w:right w:val="single" w:sz="6" w:space="0" w:color="000000"/>
            </w:tcBorders>
          </w:tcPr>
          <w:p>
            <w:pPr>
              <w:pStyle w:val="TableParagraph"/>
              <w:spacing w:before="1"/>
              <w:ind w:left="57"/>
              <w:jc w:val="left"/>
              <w:rPr>
                <w:sz w:val="19"/>
              </w:rPr>
            </w:pPr>
            <w:r>
              <w:rPr>
                <w:sz w:val="19"/>
              </w:rPr>
              <w:t>Selección-</w:t>
            </w:r>
          </w:p>
        </w:tc>
        <w:tc>
          <w:tcPr>
            <w:tcW w:w="482" w:type="dxa"/>
            <w:tcBorders>
              <w:top w:val="single" w:sz="6" w:space="0" w:color="000000"/>
              <w:left w:val="single" w:sz="6" w:space="0" w:color="000000"/>
              <w:bottom w:val="nil"/>
              <w:right w:val="single" w:sz="6" w:space="0" w:color="000000"/>
            </w:tcBorders>
          </w:tcPr>
          <w:p>
            <w:pPr>
              <w:pStyle w:val="TableParagraph"/>
              <w:spacing w:before="4"/>
              <w:ind w:right="54"/>
              <w:rPr>
                <w:sz w:val="19"/>
              </w:rPr>
            </w:pPr>
            <w:r>
              <w:rPr>
                <w:w w:val="101"/>
                <w:sz w:val="19"/>
              </w:rPr>
              <w:t>*</w:t>
            </w:r>
          </w:p>
        </w:tc>
        <w:tc>
          <w:tcPr>
            <w:tcW w:w="487" w:type="dxa"/>
            <w:tcBorders>
              <w:top w:val="single" w:sz="6" w:space="0" w:color="000000"/>
              <w:left w:val="single" w:sz="6" w:space="0" w:color="000000"/>
              <w:bottom w:val="nil"/>
              <w:right w:val="single" w:sz="6" w:space="0" w:color="000000"/>
            </w:tcBorders>
          </w:tcPr>
          <w:p>
            <w:pPr/>
          </w:p>
        </w:tc>
        <w:tc>
          <w:tcPr>
            <w:tcW w:w="482" w:type="dxa"/>
            <w:tcBorders>
              <w:top w:val="single" w:sz="6" w:space="0" w:color="000000"/>
              <w:left w:val="single" w:sz="6" w:space="0" w:color="000000"/>
              <w:bottom w:val="nil"/>
              <w:right w:val="single" w:sz="6" w:space="0" w:color="000000"/>
            </w:tcBorders>
          </w:tcPr>
          <w:p>
            <w:pPr/>
          </w:p>
        </w:tc>
        <w:tc>
          <w:tcPr>
            <w:tcW w:w="463" w:type="dxa"/>
            <w:tcBorders>
              <w:top w:val="single" w:sz="6" w:space="0" w:color="000000"/>
              <w:left w:val="single" w:sz="6" w:space="0" w:color="000000"/>
              <w:bottom w:val="nil"/>
              <w:right w:val="single" w:sz="6" w:space="0" w:color="000000"/>
            </w:tcBorders>
          </w:tcPr>
          <w:p>
            <w:pPr>
              <w:pStyle w:val="TableParagraph"/>
              <w:spacing w:before="4"/>
              <w:ind w:right="59"/>
              <w:rPr>
                <w:sz w:val="19"/>
              </w:rPr>
            </w:pPr>
            <w:r>
              <w:rPr>
                <w:w w:val="101"/>
                <w:sz w:val="19"/>
              </w:rPr>
              <w:t>*</w:t>
            </w:r>
          </w:p>
        </w:tc>
        <w:tc>
          <w:tcPr>
            <w:tcW w:w="413" w:type="dxa"/>
            <w:tcBorders>
              <w:top w:val="single" w:sz="6" w:space="0" w:color="000000"/>
              <w:left w:val="single" w:sz="6" w:space="0" w:color="000000"/>
              <w:bottom w:val="nil"/>
              <w:right w:val="single" w:sz="6" w:space="0" w:color="000000"/>
            </w:tcBorders>
          </w:tcPr>
          <w:p>
            <w:pPr/>
          </w:p>
        </w:tc>
        <w:tc>
          <w:tcPr>
            <w:tcW w:w="413" w:type="dxa"/>
            <w:vMerge w:val="restart"/>
            <w:tcBorders>
              <w:top w:val="single" w:sz="6" w:space="0" w:color="000000"/>
              <w:left w:val="single" w:sz="6" w:space="0" w:color="000000"/>
              <w:right w:val="single" w:sz="6" w:space="0" w:color="000000"/>
            </w:tcBorders>
          </w:tcPr>
          <w:p>
            <w:pPr/>
          </w:p>
        </w:tc>
        <w:tc>
          <w:tcPr>
            <w:tcW w:w="276" w:type="dxa"/>
            <w:tcBorders>
              <w:top w:val="single" w:sz="6" w:space="0" w:color="000000"/>
              <w:left w:val="single" w:sz="6" w:space="0" w:color="000000"/>
              <w:bottom w:val="nil"/>
              <w:right w:val="single" w:sz="6" w:space="0" w:color="000000"/>
            </w:tcBorders>
          </w:tcPr>
          <w:p>
            <w:pPr>
              <w:pStyle w:val="TableParagraph"/>
              <w:spacing w:before="4"/>
              <w:ind w:right="54"/>
              <w:rPr>
                <w:sz w:val="19"/>
              </w:rPr>
            </w:pPr>
            <w:r>
              <w:rPr>
                <w:w w:val="101"/>
                <w:sz w:val="19"/>
              </w:rPr>
              <w:t>*</w:t>
            </w:r>
          </w:p>
        </w:tc>
        <w:tc>
          <w:tcPr>
            <w:tcW w:w="416" w:type="dxa"/>
            <w:tcBorders>
              <w:top w:val="single" w:sz="6" w:space="0" w:color="000000"/>
              <w:left w:val="single" w:sz="6" w:space="0" w:color="000000"/>
              <w:bottom w:val="nil"/>
              <w:right w:val="single" w:sz="5" w:space="0" w:color="000000"/>
            </w:tcBorders>
          </w:tcPr>
          <w:p>
            <w:pPr>
              <w:pStyle w:val="TableParagraph"/>
              <w:spacing w:before="4"/>
              <w:ind w:right="59"/>
              <w:rPr>
                <w:sz w:val="19"/>
              </w:rPr>
            </w:pPr>
            <w:r>
              <w:rPr>
                <w:w w:val="101"/>
                <w:sz w:val="19"/>
              </w:rPr>
              <w:t>*</w:t>
            </w:r>
          </w:p>
        </w:tc>
        <w:tc>
          <w:tcPr>
            <w:tcW w:w="400" w:type="dxa"/>
            <w:vMerge w:val="restart"/>
            <w:tcBorders>
              <w:top w:val="single" w:sz="6" w:space="0" w:color="000000"/>
              <w:left w:val="single" w:sz="5" w:space="0" w:color="000000"/>
              <w:right w:val="single" w:sz="6" w:space="0" w:color="000000"/>
            </w:tcBorders>
          </w:tcPr>
          <w:p>
            <w:pPr/>
          </w:p>
        </w:tc>
        <w:tc>
          <w:tcPr>
            <w:tcW w:w="444" w:type="dxa"/>
            <w:tcBorders>
              <w:top w:val="single" w:sz="6" w:space="0" w:color="000000"/>
              <w:left w:val="single" w:sz="6" w:space="0" w:color="000000"/>
              <w:bottom w:val="nil"/>
              <w:right w:val="single" w:sz="6" w:space="0" w:color="000000"/>
            </w:tcBorders>
          </w:tcPr>
          <w:p>
            <w:pPr/>
          </w:p>
        </w:tc>
        <w:tc>
          <w:tcPr>
            <w:tcW w:w="396" w:type="dxa"/>
            <w:tcBorders>
              <w:top w:val="single" w:sz="6" w:space="0" w:color="000000"/>
              <w:left w:val="single" w:sz="6" w:space="0" w:color="000000"/>
              <w:bottom w:val="nil"/>
              <w:right w:val="single" w:sz="12" w:space="0" w:color="000000"/>
            </w:tcBorders>
          </w:tcPr>
          <w:p>
            <w:pPr/>
          </w:p>
        </w:tc>
      </w:tr>
      <w:tr>
        <w:trPr>
          <w:trHeight w:val="223" w:hRule="exact"/>
        </w:trPr>
        <w:tc>
          <w:tcPr>
            <w:tcW w:w="1104" w:type="dxa"/>
            <w:tcBorders>
              <w:top w:val="nil"/>
              <w:left w:val="single" w:sz="12" w:space="0" w:color="000000"/>
              <w:bottom w:val="nil"/>
              <w:right w:val="single" w:sz="6" w:space="0" w:color="000000"/>
            </w:tcBorders>
          </w:tcPr>
          <w:p>
            <w:pPr>
              <w:pStyle w:val="TableParagraph"/>
              <w:spacing w:line="211" w:lineRule="exact" w:before="0"/>
              <w:ind w:left="52"/>
              <w:jc w:val="left"/>
              <w:rPr>
                <w:sz w:val="19"/>
              </w:rPr>
            </w:pPr>
            <w:r>
              <w:rPr>
                <w:sz w:val="19"/>
              </w:rPr>
              <w:t>Economía</w:t>
            </w:r>
          </w:p>
        </w:tc>
        <w:tc>
          <w:tcPr>
            <w:tcW w:w="1656" w:type="dxa"/>
            <w:tcBorders>
              <w:top w:val="nil"/>
              <w:left w:val="single" w:sz="6" w:space="0" w:color="000000"/>
              <w:bottom w:val="nil"/>
              <w:right w:val="single" w:sz="6" w:space="0" w:color="000000"/>
            </w:tcBorders>
          </w:tcPr>
          <w:p>
            <w:pPr>
              <w:pStyle w:val="TableParagraph"/>
              <w:spacing w:line="211" w:lineRule="exact" w:before="0"/>
              <w:ind w:left="59"/>
              <w:jc w:val="left"/>
              <w:rPr>
                <w:sz w:val="19"/>
              </w:rPr>
            </w:pPr>
            <w:r>
              <w:rPr>
                <w:sz w:val="19"/>
              </w:rPr>
              <w:t>La estrategia fa-</w:t>
            </w:r>
          </w:p>
        </w:tc>
        <w:tc>
          <w:tcPr>
            <w:tcW w:w="1534" w:type="dxa"/>
            <w:tcBorders>
              <w:top w:val="nil"/>
              <w:left w:val="single" w:sz="6" w:space="0" w:color="000000"/>
              <w:bottom w:val="nil"/>
              <w:right w:val="single" w:sz="6" w:space="0" w:color="000000"/>
            </w:tcBorders>
          </w:tcPr>
          <w:p>
            <w:pPr>
              <w:pStyle w:val="TableParagraph"/>
              <w:spacing w:line="211" w:lineRule="exact" w:before="0"/>
              <w:ind w:left="57"/>
              <w:jc w:val="left"/>
              <w:rPr>
                <w:sz w:val="19"/>
              </w:rPr>
            </w:pPr>
            <w:r>
              <w:rPr>
                <w:sz w:val="19"/>
              </w:rPr>
              <w:t>Racional</w:t>
            </w:r>
          </w:p>
        </w:tc>
        <w:tc>
          <w:tcPr>
            <w:tcW w:w="482" w:type="dxa"/>
            <w:tcBorders>
              <w:top w:val="nil"/>
              <w:left w:val="single" w:sz="6" w:space="0" w:color="000000"/>
              <w:bottom w:val="nil"/>
              <w:right w:val="single" w:sz="6" w:space="0" w:color="000000"/>
            </w:tcBorders>
          </w:tcPr>
          <w:p>
            <w:pPr/>
          </w:p>
        </w:tc>
        <w:tc>
          <w:tcPr>
            <w:tcW w:w="487" w:type="dxa"/>
            <w:tcBorders>
              <w:top w:val="nil"/>
              <w:left w:val="single" w:sz="6" w:space="0" w:color="000000"/>
              <w:bottom w:val="nil"/>
              <w:right w:val="single" w:sz="6" w:space="0" w:color="000000"/>
            </w:tcBorders>
          </w:tcPr>
          <w:p>
            <w:pPr/>
          </w:p>
        </w:tc>
        <w:tc>
          <w:tcPr>
            <w:tcW w:w="482" w:type="dxa"/>
            <w:tcBorders>
              <w:top w:val="nil"/>
              <w:left w:val="single" w:sz="6" w:space="0" w:color="000000"/>
              <w:bottom w:val="nil"/>
              <w:right w:val="single" w:sz="6" w:space="0" w:color="000000"/>
            </w:tcBorders>
          </w:tcPr>
          <w:p>
            <w:pPr/>
          </w:p>
        </w:tc>
        <w:tc>
          <w:tcPr>
            <w:tcW w:w="463" w:type="dxa"/>
            <w:tcBorders>
              <w:top w:val="nil"/>
              <w:left w:val="single" w:sz="6" w:space="0" w:color="000000"/>
              <w:bottom w:val="nil"/>
              <w:right w:val="single" w:sz="6" w:space="0" w:color="000000"/>
            </w:tcBorders>
          </w:tcPr>
          <w:p>
            <w:pPr/>
          </w:p>
        </w:tc>
        <w:tc>
          <w:tcPr>
            <w:tcW w:w="413" w:type="dxa"/>
            <w:tcBorders>
              <w:top w:val="nil"/>
              <w:left w:val="single" w:sz="6" w:space="0" w:color="000000"/>
              <w:bottom w:val="nil"/>
              <w:right w:val="single" w:sz="6" w:space="0" w:color="000000"/>
            </w:tcBorders>
          </w:tcPr>
          <w:p>
            <w:pPr/>
          </w:p>
        </w:tc>
        <w:tc>
          <w:tcPr>
            <w:tcW w:w="413" w:type="dxa"/>
            <w:vMerge/>
            <w:tcBorders>
              <w:left w:val="single" w:sz="6" w:space="0" w:color="000000"/>
              <w:right w:val="single" w:sz="6" w:space="0" w:color="000000"/>
            </w:tcBorders>
          </w:tcPr>
          <w:p>
            <w:pPr/>
          </w:p>
        </w:tc>
        <w:tc>
          <w:tcPr>
            <w:tcW w:w="276" w:type="dxa"/>
            <w:tcBorders>
              <w:top w:val="nil"/>
              <w:left w:val="single" w:sz="6" w:space="0" w:color="000000"/>
              <w:bottom w:val="nil"/>
              <w:right w:val="single" w:sz="6" w:space="0" w:color="000000"/>
            </w:tcBorders>
          </w:tcPr>
          <w:p>
            <w:pPr/>
          </w:p>
        </w:tc>
        <w:tc>
          <w:tcPr>
            <w:tcW w:w="416" w:type="dxa"/>
            <w:tcBorders>
              <w:top w:val="nil"/>
              <w:left w:val="single" w:sz="6" w:space="0" w:color="000000"/>
              <w:bottom w:val="nil"/>
              <w:right w:val="single" w:sz="5" w:space="0" w:color="000000"/>
            </w:tcBorders>
          </w:tcPr>
          <w:p>
            <w:pPr/>
          </w:p>
        </w:tc>
        <w:tc>
          <w:tcPr>
            <w:tcW w:w="400" w:type="dxa"/>
            <w:vMerge/>
            <w:tcBorders>
              <w:left w:val="single" w:sz="5" w:space="0" w:color="000000"/>
              <w:right w:val="single" w:sz="6" w:space="0" w:color="000000"/>
            </w:tcBorders>
          </w:tcPr>
          <w:p>
            <w:pPr/>
          </w:p>
        </w:tc>
        <w:tc>
          <w:tcPr>
            <w:tcW w:w="444" w:type="dxa"/>
            <w:tcBorders>
              <w:top w:val="nil"/>
              <w:left w:val="single" w:sz="6" w:space="0" w:color="000000"/>
              <w:bottom w:val="nil"/>
              <w:right w:val="single" w:sz="6" w:space="0" w:color="000000"/>
            </w:tcBorders>
          </w:tcPr>
          <w:p>
            <w:pPr/>
          </w:p>
        </w:tc>
        <w:tc>
          <w:tcPr>
            <w:tcW w:w="396" w:type="dxa"/>
            <w:tcBorders>
              <w:top w:val="nil"/>
              <w:left w:val="single" w:sz="6" w:space="0" w:color="000000"/>
              <w:bottom w:val="nil"/>
              <w:right w:val="single" w:sz="12" w:space="0" w:color="000000"/>
            </w:tcBorders>
          </w:tcPr>
          <w:p>
            <w:pPr/>
          </w:p>
        </w:tc>
      </w:tr>
      <w:tr>
        <w:trPr>
          <w:trHeight w:val="445" w:hRule="exact"/>
        </w:trPr>
        <w:tc>
          <w:tcPr>
            <w:tcW w:w="1104" w:type="dxa"/>
            <w:tcBorders>
              <w:top w:val="nil"/>
              <w:left w:val="single" w:sz="12" w:space="0" w:color="000000"/>
              <w:bottom w:val="nil"/>
              <w:right w:val="single" w:sz="6" w:space="0" w:color="000000"/>
            </w:tcBorders>
          </w:tcPr>
          <w:p>
            <w:pPr>
              <w:pStyle w:val="TableParagraph"/>
              <w:spacing w:line="242" w:lineRule="auto" w:before="0"/>
              <w:ind w:left="52" w:right="186"/>
              <w:jc w:val="left"/>
              <w:rPr>
                <w:sz w:val="19"/>
              </w:rPr>
            </w:pPr>
            <w:r>
              <w:rPr>
                <w:sz w:val="19"/>
              </w:rPr>
              <w:t>de la Migración</w:t>
            </w:r>
          </w:p>
        </w:tc>
        <w:tc>
          <w:tcPr>
            <w:tcW w:w="1656" w:type="dxa"/>
            <w:tcBorders>
              <w:top w:val="nil"/>
              <w:left w:val="single" w:sz="6" w:space="0" w:color="000000"/>
              <w:bottom w:val="nil"/>
              <w:right w:val="single" w:sz="6" w:space="0" w:color="000000"/>
            </w:tcBorders>
          </w:tcPr>
          <w:p>
            <w:pPr>
              <w:pStyle w:val="TableParagraph"/>
              <w:spacing w:line="242" w:lineRule="auto" w:before="0"/>
              <w:ind w:left="59"/>
              <w:jc w:val="left"/>
              <w:rPr>
                <w:sz w:val="19"/>
              </w:rPr>
            </w:pPr>
            <w:r>
              <w:rPr>
                <w:sz w:val="19"/>
              </w:rPr>
              <w:t>miliar: Optimizar ingreso/riesgo</w:t>
            </w:r>
          </w:p>
        </w:tc>
        <w:tc>
          <w:tcPr>
            <w:tcW w:w="1534" w:type="dxa"/>
            <w:tcBorders>
              <w:top w:val="nil"/>
              <w:left w:val="single" w:sz="6" w:space="0" w:color="000000"/>
              <w:bottom w:val="nil"/>
              <w:right w:val="single" w:sz="6" w:space="0" w:color="000000"/>
            </w:tcBorders>
          </w:tcPr>
          <w:p>
            <w:pPr>
              <w:pStyle w:val="TableParagraph"/>
              <w:spacing w:line="242" w:lineRule="auto" w:before="0"/>
              <w:ind w:left="57"/>
              <w:jc w:val="left"/>
              <w:rPr>
                <w:sz w:val="19"/>
              </w:rPr>
            </w:pPr>
            <w:r>
              <w:rPr>
                <w:sz w:val="19"/>
              </w:rPr>
              <w:t>Prestigio social/ Ingreso relativo</w:t>
            </w:r>
          </w:p>
        </w:tc>
        <w:tc>
          <w:tcPr>
            <w:tcW w:w="482" w:type="dxa"/>
            <w:tcBorders>
              <w:top w:val="nil"/>
              <w:left w:val="single" w:sz="6" w:space="0" w:color="000000"/>
              <w:bottom w:val="nil"/>
              <w:right w:val="single" w:sz="6" w:space="0" w:color="000000"/>
            </w:tcBorders>
          </w:tcPr>
          <w:p>
            <w:pPr>
              <w:pStyle w:val="TableParagraph"/>
              <w:spacing w:before="78"/>
              <w:ind w:right="54"/>
              <w:rPr>
                <w:sz w:val="19"/>
              </w:rPr>
            </w:pPr>
            <w:r>
              <w:rPr>
                <w:w w:val="101"/>
                <w:sz w:val="19"/>
              </w:rPr>
              <w:t>*</w:t>
            </w:r>
          </w:p>
        </w:tc>
        <w:tc>
          <w:tcPr>
            <w:tcW w:w="487" w:type="dxa"/>
            <w:tcBorders>
              <w:top w:val="nil"/>
              <w:left w:val="single" w:sz="6" w:space="0" w:color="000000"/>
              <w:bottom w:val="nil"/>
              <w:right w:val="single" w:sz="6" w:space="0" w:color="000000"/>
            </w:tcBorders>
          </w:tcPr>
          <w:p>
            <w:pPr>
              <w:pStyle w:val="TableParagraph"/>
              <w:spacing w:before="78"/>
              <w:ind w:right="59"/>
              <w:rPr>
                <w:sz w:val="19"/>
              </w:rPr>
            </w:pPr>
            <w:r>
              <w:rPr>
                <w:w w:val="101"/>
                <w:sz w:val="19"/>
              </w:rPr>
              <w:t>*</w:t>
            </w:r>
          </w:p>
        </w:tc>
        <w:tc>
          <w:tcPr>
            <w:tcW w:w="482" w:type="dxa"/>
            <w:tcBorders>
              <w:top w:val="nil"/>
              <w:left w:val="single" w:sz="6" w:space="0" w:color="000000"/>
              <w:bottom w:val="nil"/>
              <w:right w:val="single" w:sz="6" w:space="0" w:color="000000"/>
            </w:tcBorders>
          </w:tcPr>
          <w:p>
            <w:pPr>
              <w:pStyle w:val="TableParagraph"/>
              <w:spacing w:before="78"/>
              <w:ind w:right="54"/>
              <w:rPr>
                <w:sz w:val="19"/>
              </w:rPr>
            </w:pPr>
            <w:r>
              <w:rPr>
                <w:w w:val="101"/>
                <w:sz w:val="19"/>
              </w:rPr>
              <w:t>*</w:t>
            </w:r>
          </w:p>
        </w:tc>
        <w:tc>
          <w:tcPr>
            <w:tcW w:w="463" w:type="dxa"/>
            <w:tcBorders>
              <w:top w:val="nil"/>
              <w:left w:val="single" w:sz="6" w:space="0" w:color="000000"/>
              <w:bottom w:val="nil"/>
              <w:right w:val="single" w:sz="6" w:space="0" w:color="000000"/>
            </w:tcBorders>
          </w:tcPr>
          <w:p>
            <w:pPr>
              <w:pStyle w:val="TableParagraph"/>
              <w:spacing w:before="78"/>
              <w:ind w:right="59"/>
              <w:rPr>
                <w:sz w:val="19"/>
              </w:rPr>
            </w:pPr>
            <w:r>
              <w:rPr>
                <w:w w:val="101"/>
                <w:sz w:val="19"/>
              </w:rPr>
              <w:t>*</w:t>
            </w:r>
          </w:p>
        </w:tc>
        <w:tc>
          <w:tcPr>
            <w:tcW w:w="413" w:type="dxa"/>
            <w:tcBorders>
              <w:top w:val="nil"/>
              <w:left w:val="single" w:sz="6" w:space="0" w:color="000000"/>
              <w:bottom w:val="nil"/>
              <w:right w:val="single" w:sz="6" w:space="0" w:color="000000"/>
            </w:tcBorders>
          </w:tcPr>
          <w:p>
            <w:pPr>
              <w:pStyle w:val="TableParagraph"/>
              <w:spacing w:before="78"/>
              <w:ind w:right="54"/>
              <w:rPr>
                <w:sz w:val="19"/>
              </w:rPr>
            </w:pPr>
            <w:r>
              <w:rPr>
                <w:w w:val="101"/>
                <w:sz w:val="19"/>
              </w:rPr>
              <w:t>*</w:t>
            </w:r>
          </w:p>
        </w:tc>
        <w:tc>
          <w:tcPr>
            <w:tcW w:w="413" w:type="dxa"/>
            <w:vMerge/>
            <w:tcBorders>
              <w:left w:val="single" w:sz="6" w:space="0" w:color="000000"/>
              <w:right w:val="single" w:sz="6" w:space="0" w:color="000000"/>
            </w:tcBorders>
          </w:tcPr>
          <w:p>
            <w:pPr/>
          </w:p>
        </w:tc>
        <w:tc>
          <w:tcPr>
            <w:tcW w:w="276" w:type="dxa"/>
            <w:tcBorders>
              <w:top w:val="nil"/>
              <w:left w:val="single" w:sz="6" w:space="0" w:color="000000"/>
              <w:bottom w:val="nil"/>
              <w:right w:val="single" w:sz="6" w:space="0" w:color="000000"/>
            </w:tcBorders>
          </w:tcPr>
          <w:p>
            <w:pPr>
              <w:pStyle w:val="TableParagraph"/>
              <w:spacing w:before="78"/>
              <w:ind w:right="54"/>
              <w:rPr>
                <w:sz w:val="19"/>
              </w:rPr>
            </w:pPr>
            <w:r>
              <w:rPr>
                <w:w w:val="101"/>
                <w:sz w:val="19"/>
              </w:rPr>
              <w:t>*</w:t>
            </w:r>
          </w:p>
        </w:tc>
        <w:tc>
          <w:tcPr>
            <w:tcW w:w="416" w:type="dxa"/>
            <w:tcBorders>
              <w:top w:val="nil"/>
              <w:left w:val="single" w:sz="6" w:space="0" w:color="000000"/>
              <w:bottom w:val="nil"/>
              <w:right w:val="single" w:sz="5" w:space="0" w:color="000000"/>
            </w:tcBorders>
          </w:tcPr>
          <w:p>
            <w:pPr/>
          </w:p>
        </w:tc>
        <w:tc>
          <w:tcPr>
            <w:tcW w:w="400" w:type="dxa"/>
            <w:vMerge/>
            <w:tcBorders>
              <w:left w:val="single" w:sz="5" w:space="0" w:color="000000"/>
              <w:right w:val="single" w:sz="6" w:space="0" w:color="000000"/>
            </w:tcBorders>
          </w:tcPr>
          <w:p>
            <w:pPr/>
          </w:p>
        </w:tc>
        <w:tc>
          <w:tcPr>
            <w:tcW w:w="444" w:type="dxa"/>
            <w:tcBorders>
              <w:top w:val="nil"/>
              <w:left w:val="single" w:sz="6" w:space="0" w:color="000000"/>
              <w:bottom w:val="nil"/>
              <w:right w:val="single" w:sz="6" w:space="0" w:color="000000"/>
            </w:tcBorders>
          </w:tcPr>
          <w:p>
            <w:pPr>
              <w:pStyle w:val="TableParagraph"/>
              <w:spacing w:before="78"/>
              <w:ind w:right="58"/>
              <w:rPr>
                <w:sz w:val="19"/>
              </w:rPr>
            </w:pPr>
            <w:r>
              <w:rPr>
                <w:w w:val="101"/>
                <w:sz w:val="19"/>
              </w:rPr>
              <w:t>*</w:t>
            </w:r>
          </w:p>
        </w:tc>
        <w:tc>
          <w:tcPr>
            <w:tcW w:w="396" w:type="dxa"/>
            <w:tcBorders>
              <w:top w:val="nil"/>
              <w:left w:val="single" w:sz="6" w:space="0" w:color="000000"/>
              <w:bottom w:val="nil"/>
              <w:right w:val="single" w:sz="12" w:space="0" w:color="000000"/>
            </w:tcBorders>
          </w:tcPr>
          <w:p>
            <w:pPr>
              <w:pStyle w:val="TableParagraph"/>
              <w:spacing w:before="78"/>
              <w:ind w:right="47"/>
              <w:rPr>
                <w:sz w:val="19"/>
              </w:rPr>
            </w:pPr>
            <w:r>
              <w:rPr>
                <w:w w:val="101"/>
                <w:sz w:val="19"/>
              </w:rPr>
              <w:t>*</w:t>
            </w:r>
          </w:p>
        </w:tc>
      </w:tr>
      <w:tr>
        <w:trPr>
          <w:trHeight w:val="696" w:hRule="exact"/>
        </w:trPr>
        <w:tc>
          <w:tcPr>
            <w:tcW w:w="1104" w:type="dxa"/>
            <w:tcBorders>
              <w:top w:val="nil"/>
              <w:left w:val="single" w:sz="12" w:space="0" w:color="000000"/>
              <w:bottom w:val="single" w:sz="5" w:space="0" w:color="000000"/>
              <w:right w:val="single" w:sz="6" w:space="0" w:color="000000"/>
            </w:tcBorders>
          </w:tcPr>
          <w:p>
            <w:pPr/>
          </w:p>
        </w:tc>
        <w:tc>
          <w:tcPr>
            <w:tcW w:w="1656" w:type="dxa"/>
            <w:tcBorders>
              <w:top w:val="nil"/>
              <w:left w:val="single" w:sz="6" w:space="0" w:color="000000"/>
              <w:bottom w:val="single" w:sz="5" w:space="0" w:color="000000"/>
              <w:right w:val="single" w:sz="6" w:space="0" w:color="000000"/>
            </w:tcBorders>
          </w:tcPr>
          <w:p>
            <w:pPr/>
          </w:p>
        </w:tc>
        <w:tc>
          <w:tcPr>
            <w:tcW w:w="1534" w:type="dxa"/>
            <w:tcBorders>
              <w:top w:val="nil"/>
              <w:left w:val="single" w:sz="6" w:space="0" w:color="000000"/>
              <w:bottom w:val="single" w:sz="5" w:space="0" w:color="000000"/>
              <w:right w:val="single" w:sz="6" w:space="0" w:color="000000"/>
            </w:tcBorders>
          </w:tcPr>
          <w:p>
            <w:pPr>
              <w:pStyle w:val="TableParagraph"/>
              <w:spacing w:line="247" w:lineRule="auto" w:before="0"/>
              <w:ind w:left="57" w:right="523"/>
              <w:jc w:val="left"/>
              <w:rPr>
                <w:sz w:val="19"/>
              </w:rPr>
            </w:pPr>
            <w:r>
              <w:rPr>
                <w:sz w:val="19"/>
              </w:rPr>
              <w:t>Economía campesina</w:t>
            </w:r>
          </w:p>
        </w:tc>
        <w:tc>
          <w:tcPr>
            <w:tcW w:w="482" w:type="dxa"/>
            <w:tcBorders>
              <w:top w:val="nil"/>
              <w:left w:val="single" w:sz="6" w:space="0" w:color="000000"/>
              <w:bottom w:val="single" w:sz="5" w:space="0" w:color="000000"/>
              <w:right w:val="single" w:sz="6" w:space="0" w:color="000000"/>
            </w:tcBorders>
          </w:tcPr>
          <w:p>
            <w:pPr>
              <w:pStyle w:val="TableParagraph"/>
              <w:jc w:val="left"/>
              <w:rPr>
                <w:b/>
                <w:sz w:val="14"/>
              </w:rPr>
            </w:pPr>
          </w:p>
          <w:p>
            <w:pPr>
              <w:pStyle w:val="TableParagraph"/>
              <w:spacing w:before="1"/>
              <w:ind w:right="54"/>
              <w:rPr>
                <w:sz w:val="19"/>
              </w:rPr>
            </w:pPr>
            <w:r>
              <w:rPr>
                <w:w w:val="101"/>
                <w:sz w:val="19"/>
              </w:rPr>
              <w:t>*</w:t>
            </w:r>
          </w:p>
        </w:tc>
        <w:tc>
          <w:tcPr>
            <w:tcW w:w="487" w:type="dxa"/>
            <w:tcBorders>
              <w:top w:val="nil"/>
              <w:left w:val="single" w:sz="6" w:space="0" w:color="000000"/>
              <w:bottom w:val="single" w:sz="5" w:space="0" w:color="000000"/>
              <w:right w:val="single" w:sz="6" w:space="0" w:color="000000"/>
            </w:tcBorders>
          </w:tcPr>
          <w:p>
            <w:pPr>
              <w:pStyle w:val="TableParagraph"/>
              <w:jc w:val="left"/>
              <w:rPr>
                <w:b/>
                <w:sz w:val="14"/>
              </w:rPr>
            </w:pPr>
          </w:p>
          <w:p>
            <w:pPr>
              <w:pStyle w:val="TableParagraph"/>
              <w:spacing w:before="1"/>
              <w:ind w:right="59"/>
              <w:rPr>
                <w:sz w:val="19"/>
              </w:rPr>
            </w:pPr>
            <w:r>
              <w:rPr>
                <w:w w:val="101"/>
                <w:sz w:val="19"/>
              </w:rPr>
              <w:t>*</w:t>
            </w:r>
          </w:p>
        </w:tc>
        <w:tc>
          <w:tcPr>
            <w:tcW w:w="482" w:type="dxa"/>
            <w:tcBorders>
              <w:top w:val="nil"/>
              <w:left w:val="single" w:sz="6" w:space="0" w:color="000000"/>
              <w:bottom w:val="single" w:sz="5" w:space="0" w:color="000000"/>
              <w:right w:val="single" w:sz="6" w:space="0" w:color="000000"/>
            </w:tcBorders>
          </w:tcPr>
          <w:p>
            <w:pPr>
              <w:pStyle w:val="TableParagraph"/>
              <w:jc w:val="left"/>
              <w:rPr>
                <w:b/>
                <w:sz w:val="14"/>
              </w:rPr>
            </w:pPr>
          </w:p>
          <w:p>
            <w:pPr>
              <w:pStyle w:val="TableParagraph"/>
              <w:spacing w:before="1"/>
              <w:ind w:right="54"/>
              <w:rPr>
                <w:sz w:val="19"/>
              </w:rPr>
            </w:pPr>
            <w:r>
              <w:rPr>
                <w:w w:val="101"/>
                <w:sz w:val="19"/>
              </w:rPr>
              <w:t>*</w:t>
            </w:r>
          </w:p>
        </w:tc>
        <w:tc>
          <w:tcPr>
            <w:tcW w:w="463" w:type="dxa"/>
            <w:tcBorders>
              <w:top w:val="nil"/>
              <w:left w:val="single" w:sz="6" w:space="0" w:color="000000"/>
              <w:bottom w:val="single" w:sz="5" w:space="0" w:color="000000"/>
              <w:right w:val="single" w:sz="6" w:space="0" w:color="000000"/>
            </w:tcBorders>
          </w:tcPr>
          <w:p>
            <w:pPr>
              <w:pStyle w:val="TableParagraph"/>
              <w:jc w:val="left"/>
              <w:rPr>
                <w:b/>
                <w:sz w:val="14"/>
              </w:rPr>
            </w:pPr>
          </w:p>
          <w:p>
            <w:pPr>
              <w:pStyle w:val="TableParagraph"/>
              <w:spacing w:before="1"/>
              <w:ind w:right="59"/>
              <w:rPr>
                <w:sz w:val="19"/>
              </w:rPr>
            </w:pPr>
            <w:r>
              <w:rPr>
                <w:w w:val="101"/>
                <w:sz w:val="19"/>
              </w:rPr>
              <w:t>*</w:t>
            </w:r>
          </w:p>
        </w:tc>
        <w:tc>
          <w:tcPr>
            <w:tcW w:w="413" w:type="dxa"/>
            <w:tcBorders>
              <w:top w:val="nil"/>
              <w:left w:val="single" w:sz="6" w:space="0" w:color="000000"/>
              <w:bottom w:val="single" w:sz="5" w:space="0" w:color="000000"/>
              <w:right w:val="single" w:sz="6" w:space="0" w:color="000000"/>
            </w:tcBorders>
          </w:tcPr>
          <w:p>
            <w:pPr>
              <w:pStyle w:val="TableParagraph"/>
              <w:jc w:val="left"/>
              <w:rPr>
                <w:b/>
                <w:sz w:val="14"/>
              </w:rPr>
            </w:pPr>
          </w:p>
          <w:p>
            <w:pPr>
              <w:pStyle w:val="TableParagraph"/>
              <w:spacing w:before="1"/>
              <w:ind w:right="54"/>
              <w:rPr>
                <w:sz w:val="19"/>
              </w:rPr>
            </w:pPr>
            <w:r>
              <w:rPr>
                <w:w w:val="101"/>
                <w:sz w:val="19"/>
              </w:rPr>
              <w:t>*</w:t>
            </w:r>
          </w:p>
        </w:tc>
        <w:tc>
          <w:tcPr>
            <w:tcW w:w="413" w:type="dxa"/>
            <w:vMerge/>
            <w:tcBorders>
              <w:left w:val="single" w:sz="6" w:space="0" w:color="000000"/>
              <w:bottom w:val="single" w:sz="5" w:space="0" w:color="000000"/>
              <w:right w:val="single" w:sz="6" w:space="0" w:color="000000"/>
            </w:tcBorders>
          </w:tcPr>
          <w:p>
            <w:pPr/>
          </w:p>
        </w:tc>
        <w:tc>
          <w:tcPr>
            <w:tcW w:w="276" w:type="dxa"/>
            <w:tcBorders>
              <w:top w:val="nil"/>
              <w:left w:val="single" w:sz="6" w:space="0" w:color="000000"/>
              <w:bottom w:val="single" w:sz="5" w:space="0" w:color="000000"/>
              <w:right w:val="single" w:sz="6" w:space="0" w:color="000000"/>
            </w:tcBorders>
          </w:tcPr>
          <w:p>
            <w:pPr>
              <w:pStyle w:val="TableParagraph"/>
              <w:jc w:val="left"/>
              <w:rPr>
                <w:b/>
                <w:sz w:val="14"/>
              </w:rPr>
            </w:pPr>
          </w:p>
          <w:p>
            <w:pPr>
              <w:pStyle w:val="TableParagraph"/>
              <w:spacing w:before="1"/>
              <w:ind w:right="54"/>
              <w:rPr>
                <w:sz w:val="19"/>
              </w:rPr>
            </w:pPr>
            <w:r>
              <w:rPr>
                <w:w w:val="101"/>
                <w:sz w:val="19"/>
              </w:rPr>
              <w:t>*</w:t>
            </w:r>
          </w:p>
        </w:tc>
        <w:tc>
          <w:tcPr>
            <w:tcW w:w="416" w:type="dxa"/>
            <w:tcBorders>
              <w:top w:val="nil"/>
              <w:left w:val="single" w:sz="6" w:space="0" w:color="000000"/>
              <w:bottom w:val="single" w:sz="5" w:space="0" w:color="000000"/>
              <w:right w:val="single" w:sz="5" w:space="0" w:color="000000"/>
            </w:tcBorders>
          </w:tcPr>
          <w:p>
            <w:pPr>
              <w:pStyle w:val="TableParagraph"/>
              <w:jc w:val="left"/>
              <w:rPr>
                <w:b/>
                <w:sz w:val="14"/>
              </w:rPr>
            </w:pPr>
          </w:p>
          <w:p>
            <w:pPr>
              <w:pStyle w:val="TableParagraph"/>
              <w:spacing w:before="1"/>
              <w:ind w:right="59"/>
              <w:rPr>
                <w:sz w:val="19"/>
              </w:rPr>
            </w:pPr>
            <w:r>
              <w:rPr>
                <w:w w:val="101"/>
                <w:sz w:val="19"/>
              </w:rPr>
              <w:t>*</w:t>
            </w:r>
          </w:p>
        </w:tc>
        <w:tc>
          <w:tcPr>
            <w:tcW w:w="400" w:type="dxa"/>
            <w:vMerge/>
            <w:tcBorders>
              <w:left w:val="single" w:sz="5" w:space="0" w:color="000000"/>
              <w:bottom w:val="single" w:sz="5" w:space="0" w:color="000000"/>
              <w:right w:val="single" w:sz="6" w:space="0" w:color="000000"/>
            </w:tcBorders>
          </w:tcPr>
          <w:p>
            <w:pPr/>
          </w:p>
        </w:tc>
        <w:tc>
          <w:tcPr>
            <w:tcW w:w="444" w:type="dxa"/>
            <w:tcBorders>
              <w:top w:val="nil"/>
              <w:left w:val="single" w:sz="6" w:space="0" w:color="000000"/>
              <w:bottom w:val="single" w:sz="5" w:space="0" w:color="000000"/>
              <w:right w:val="single" w:sz="6" w:space="0" w:color="000000"/>
            </w:tcBorders>
          </w:tcPr>
          <w:p>
            <w:pPr/>
          </w:p>
        </w:tc>
        <w:tc>
          <w:tcPr>
            <w:tcW w:w="396" w:type="dxa"/>
            <w:tcBorders>
              <w:top w:val="nil"/>
              <w:left w:val="single" w:sz="6" w:space="0" w:color="000000"/>
              <w:bottom w:val="single" w:sz="5" w:space="0" w:color="000000"/>
              <w:right w:val="single" w:sz="12" w:space="0" w:color="000000"/>
            </w:tcBorders>
          </w:tcPr>
          <w:p>
            <w:pPr/>
          </w:p>
        </w:tc>
      </w:tr>
      <w:tr>
        <w:trPr>
          <w:trHeight w:val="911" w:hRule="exact"/>
        </w:trPr>
        <w:tc>
          <w:tcPr>
            <w:tcW w:w="1104" w:type="dxa"/>
            <w:tcBorders>
              <w:top w:val="single" w:sz="5" w:space="0" w:color="000000"/>
              <w:left w:val="single" w:sz="12" w:space="0" w:color="000000"/>
              <w:bottom w:val="single" w:sz="6" w:space="0" w:color="000000"/>
              <w:right w:val="single" w:sz="6" w:space="0" w:color="000000"/>
            </w:tcBorders>
          </w:tcPr>
          <w:p>
            <w:pPr>
              <w:pStyle w:val="TableParagraph"/>
              <w:spacing w:before="8"/>
              <w:jc w:val="left"/>
              <w:rPr>
                <w:b/>
                <w:sz w:val="19"/>
              </w:rPr>
            </w:pPr>
          </w:p>
          <w:p>
            <w:pPr>
              <w:pStyle w:val="TableParagraph"/>
              <w:spacing w:line="244" w:lineRule="auto" w:before="1"/>
              <w:ind w:left="52" w:right="218"/>
              <w:jc w:val="left"/>
              <w:rPr>
                <w:sz w:val="19"/>
              </w:rPr>
            </w:pPr>
            <w:r>
              <w:rPr>
                <w:sz w:val="19"/>
              </w:rPr>
              <w:t>Dualismo Laboral</w:t>
            </w:r>
          </w:p>
        </w:tc>
        <w:tc>
          <w:tcPr>
            <w:tcW w:w="1656" w:type="dxa"/>
            <w:tcBorders>
              <w:top w:val="single" w:sz="5" w:space="0" w:color="000000"/>
              <w:left w:val="single" w:sz="6" w:space="0" w:color="000000"/>
              <w:bottom w:val="single" w:sz="6" w:space="0" w:color="000000"/>
              <w:right w:val="single" w:sz="6" w:space="0" w:color="000000"/>
            </w:tcBorders>
          </w:tcPr>
          <w:p>
            <w:pPr>
              <w:pStyle w:val="TableParagraph"/>
              <w:spacing w:line="247" w:lineRule="auto" w:before="1"/>
              <w:ind w:left="59" w:right="60"/>
              <w:jc w:val="left"/>
              <w:rPr>
                <w:sz w:val="19"/>
              </w:rPr>
            </w:pPr>
            <w:r>
              <w:rPr>
                <w:sz w:val="19"/>
              </w:rPr>
              <w:t>Mercados seg- mentados inhi- ben la igualación de los salarios.</w:t>
            </w:r>
          </w:p>
        </w:tc>
        <w:tc>
          <w:tcPr>
            <w:tcW w:w="1534" w:type="dxa"/>
            <w:tcBorders>
              <w:top w:val="single" w:sz="5" w:space="0" w:color="000000"/>
              <w:left w:val="single" w:sz="6" w:space="0" w:color="000000"/>
              <w:bottom w:val="single" w:sz="6" w:space="0" w:color="000000"/>
              <w:right w:val="single" w:sz="6" w:space="0" w:color="000000"/>
            </w:tcBorders>
          </w:tcPr>
          <w:p>
            <w:pPr>
              <w:pStyle w:val="TableParagraph"/>
              <w:spacing w:before="8"/>
              <w:jc w:val="left"/>
              <w:rPr>
                <w:b/>
                <w:sz w:val="19"/>
              </w:rPr>
            </w:pPr>
          </w:p>
          <w:p>
            <w:pPr>
              <w:pStyle w:val="TableParagraph"/>
              <w:spacing w:before="1"/>
              <w:ind w:left="57"/>
              <w:jc w:val="left"/>
              <w:rPr>
                <w:sz w:val="19"/>
              </w:rPr>
            </w:pPr>
            <w:r>
              <w:rPr>
                <w:sz w:val="19"/>
              </w:rPr>
              <w:t>Mercado Dual</w:t>
            </w:r>
          </w:p>
        </w:tc>
        <w:tc>
          <w:tcPr>
            <w:tcW w:w="482" w:type="dxa"/>
            <w:tcBorders>
              <w:top w:val="single" w:sz="5" w:space="0" w:color="000000"/>
              <w:left w:val="single" w:sz="6" w:space="0" w:color="000000"/>
              <w:bottom w:val="single" w:sz="6" w:space="0" w:color="000000"/>
              <w:right w:val="single" w:sz="6" w:space="0" w:color="000000"/>
            </w:tcBorders>
          </w:tcPr>
          <w:p>
            <w:pPr>
              <w:pStyle w:val="TableParagraph"/>
              <w:spacing w:before="0"/>
              <w:jc w:val="left"/>
              <w:rPr>
                <w:b/>
                <w:sz w:val="18"/>
              </w:rPr>
            </w:pPr>
          </w:p>
          <w:p>
            <w:pPr>
              <w:pStyle w:val="TableParagraph"/>
              <w:spacing w:before="133"/>
              <w:ind w:right="54"/>
              <w:rPr>
                <w:sz w:val="19"/>
              </w:rPr>
            </w:pPr>
            <w:r>
              <w:rPr>
                <w:w w:val="101"/>
                <w:sz w:val="19"/>
              </w:rPr>
              <w:t>*</w:t>
            </w:r>
          </w:p>
        </w:tc>
        <w:tc>
          <w:tcPr>
            <w:tcW w:w="487" w:type="dxa"/>
            <w:tcBorders>
              <w:top w:val="single" w:sz="5" w:space="0" w:color="000000"/>
              <w:left w:val="single" w:sz="6" w:space="0" w:color="000000"/>
              <w:bottom w:val="single" w:sz="6" w:space="0" w:color="000000"/>
              <w:right w:val="single" w:sz="6" w:space="0" w:color="000000"/>
            </w:tcBorders>
          </w:tcPr>
          <w:p>
            <w:pPr>
              <w:pStyle w:val="TableParagraph"/>
              <w:spacing w:before="0"/>
              <w:jc w:val="left"/>
              <w:rPr>
                <w:b/>
                <w:sz w:val="18"/>
              </w:rPr>
            </w:pPr>
          </w:p>
          <w:p>
            <w:pPr>
              <w:pStyle w:val="TableParagraph"/>
              <w:spacing w:before="133"/>
              <w:ind w:right="59"/>
              <w:rPr>
                <w:sz w:val="19"/>
              </w:rPr>
            </w:pPr>
            <w:r>
              <w:rPr>
                <w:w w:val="101"/>
                <w:sz w:val="19"/>
              </w:rPr>
              <w:t>*</w:t>
            </w:r>
          </w:p>
        </w:tc>
        <w:tc>
          <w:tcPr>
            <w:tcW w:w="482" w:type="dxa"/>
            <w:tcBorders>
              <w:top w:val="single" w:sz="5" w:space="0" w:color="000000"/>
              <w:left w:val="single" w:sz="6" w:space="0" w:color="000000"/>
              <w:bottom w:val="single" w:sz="6" w:space="0" w:color="000000"/>
              <w:right w:val="single" w:sz="6" w:space="0" w:color="000000"/>
            </w:tcBorders>
          </w:tcPr>
          <w:p>
            <w:pPr>
              <w:pStyle w:val="TableParagraph"/>
              <w:spacing w:before="0"/>
              <w:jc w:val="left"/>
              <w:rPr>
                <w:b/>
                <w:sz w:val="18"/>
              </w:rPr>
            </w:pPr>
          </w:p>
          <w:p>
            <w:pPr>
              <w:pStyle w:val="TableParagraph"/>
              <w:spacing w:before="133"/>
              <w:ind w:right="54"/>
              <w:rPr>
                <w:sz w:val="19"/>
              </w:rPr>
            </w:pPr>
            <w:r>
              <w:rPr>
                <w:w w:val="101"/>
                <w:sz w:val="19"/>
              </w:rPr>
              <w:t>*</w:t>
            </w:r>
          </w:p>
        </w:tc>
        <w:tc>
          <w:tcPr>
            <w:tcW w:w="463" w:type="dxa"/>
            <w:tcBorders>
              <w:top w:val="single" w:sz="5" w:space="0" w:color="000000"/>
              <w:left w:val="single" w:sz="6" w:space="0" w:color="000000"/>
              <w:bottom w:val="single" w:sz="6" w:space="0" w:color="000000"/>
              <w:right w:val="single" w:sz="6" w:space="0" w:color="000000"/>
            </w:tcBorders>
          </w:tcPr>
          <w:p>
            <w:pPr>
              <w:pStyle w:val="TableParagraph"/>
              <w:spacing w:before="0"/>
              <w:jc w:val="left"/>
              <w:rPr>
                <w:b/>
                <w:sz w:val="18"/>
              </w:rPr>
            </w:pPr>
          </w:p>
          <w:p>
            <w:pPr>
              <w:pStyle w:val="TableParagraph"/>
              <w:spacing w:before="133"/>
              <w:ind w:right="59"/>
              <w:rPr>
                <w:sz w:val="19"/>
              </w:rPr>
            </w:pPr>
            <w:r>
              <w:rPr>
                <w:w w:val="101"/>
                <w:sz w:val="19"/>
              </w:rPr>
              <w:t>*</w:t>
            </w:r>
          </w:p>
        </w:tc>
        <w:tc>
          <w:tcPr>
            <w:tcW w:w="413" w:type="dxa"/>
            <w:tcBorders>
              <w:top w:val="single" w:sz="5" w:space="0" w:color="000000"/>
              <w:left w:val="single" w:sz="6" w:space="0" w:color="000000"/>
              <w:bottom w:val="single" w:sz="6" w:space="0" w:color="000000"/>
              <w:right w:val="single" w:sz="6" w:space="0" w:color="000000"/>
            </w:tcBorders>
          </w:tcPr>
          <w:p>
            <w:pPr>
              <w:pStyle w:val="TableParagraph"/>
              <w:spacing w:before="0"/>
              <w:jc w:val="left"/>
              <w:rPr>
                <w:b/>
                <w:sz w:val="18"/>
              </w:rPr>
            </w:pPr>
          </w:p>
          <w:p>
            <w:pPr>
              <w:pStyle w:val="TableParagraph"/>
              <w:spacing w:before="133"/>
              <w:ind w:right="54"/>
              <w:rPr>
                <w:sz w:val="19"/>
              </w:rPr>
            </w:pPr>
            <w:r>
              <w:rPr>
                <w:w w:val="101"/>
                <w:sz w:val="19"/>
              </w:rPr>
              <w:t>*</w:t>
            </w:r>
          </w:p>
        </w:tc>
        <w:tc>
          <w:tcPr>
            <w:tcW w:w="413" w:type="dxa"/>
            <w:tcBorders>
              <w:top w:val="single" w:sz="5" w:space="0" w:color="000000"/>
              <w:left w:val="single" w:sz="6" w:space="0" w:color="000000"/>
              <w:bottom w:val="single" w:sz="6" w:space="0" w:color="000000"/>
              <w:right w:val="single" w:sz="6" w:space="0" w:color="000000"/>
            </w:tcBorders>
          </w:tcPr>
          <w:p>
            <w:pPr/>
          </w:p>
        </w:tc>
        <w:tc>
          <w:tcPr>
            <w:tcW w:w="276" w:type="dxa"/>
            <w:tcBorders>
              <w:top w:val="single" w:sz="5" w:space="0" w:color="000000"/>
              <w:left w:val="single" w:sz="6" w:space="0" w:color="000000"/>
              <w:bottom w:val="single" w:sz="6" w:space="0" w:color="000000"/>
              <w:right w:val="single" w:sz="6" w:space="0" w:color="000000"/>
            </w:tcBorders>
          </w:tcPr>
          <w:p>
            <w:pPr>
              <w:pStyle w:val="TableParagraph"/>
              <w:spacing w:before="0"/>
              <w:jc w:val="left"/>
              <w:rPr>
                <w:b/>
                <w:sz w:val="18"/>
              </w:rPr>
            </w:pPr>
          </w:p>
          <w:p>
            <w:pPr>
              <w:pStyle w:val="TableParagraph"/>
              <w:spacing w:before="133"/>
              <w:ind w:right="54"/>
              <w:rPr>
                <w:sz w:val="19"/>
              </w:rPr>
            </w:pPr>
            <w:r>
              <w:rPr>
                <w:w w:val="101"/>
                <w:sz w:val="19"/>
              </w:rPr>
              <w:t>*</w:t>
            </w:r>
          </w:p>
        </w:tc>
        <w:tc>
          <w:tcPr>
            <w:tcW w:w="416" w:type="dxa"/>
            <w:tcBorders>
              <w:top w:val="single" w:sz="5" w:space="0" w:color="000000"/>
              <w:left w:val="single" w:sz="6" w:space="0" w:color="000000"/>
              <w:bottom w:val="single" w:sz="6" w:space="0" w:color="000000"/>
              <w:right w:val="single" w:sz="5" w:space="0" w:color="000000"/>
            </w:tcBorders>
          </w:tcPr>
          <w:p>
            <w:pPr/>
          </w:p>
        </w:tc>
        <w:tc>
          <w:tcPr>
            <w:tcW w:w="400" w:type="dxa"/>
            <w:tcBorders>
              <w:top w:val="single" w:sz="5" w:space="0" w:color="000000"/>
              <w:left w:val="single" w:sz="5" w:space="0" w:color="000000"/>
              <w:bottom w:val="single" w:sz="6" w:space="0" w:color="000000"/>
              <w:right w:val="single" w:sz="6" w:space="0" w:color="000000"/>
            </w:tcBorders>
          </w:tcPr>
          <w:p>
            <w:pPr/>
          </w:p>
        </w:tc>
        <w:tc>
          <w:tcPr>
            <w:tcW w:w="444" w:type="dxa"/>
            <w:tcBorders>
              <w:top w:val="single" w:sz="5" w:space="0" w:color="000000"/>
              <w:left w:val="single" w:sz="6" w:space="0" w:color="000000"/>
              <w:bottom w:val="single" w:sz="6" w:space="0" w:color="000000"/>
              <w:right w:val="single" w:sz="6" w:space="0" w:color="000000"/>
            </w:tcBorders>
          </w:tcPr>
          <w:p>
            <w:pPr/>
          </w:p>
        </w:tc>
        <w:tc>
          <w:tcPr>
            <w:tcW w:w="396" w:type="dxa"/>
            <w:tcBorders>
              <w:top w:val="single" w:sz="5" w:space="0" w:color="000000"/>
              <w:left w:val="single" w:sz="6" w:space="0" w:color="000000"/>
              <w:bottom w:val="single" w:sz="6" w:space="0" w:color="000000"/>
              <w:right w:val="single" w:sz="12" w:space="0" w:color="000000"/>
            </w:tcBorders>
          </w:tcPr>
          <w:p>
            <w:pPr/>
          </w:p>
        </w:tc>
      </w:tr>
      <w:tr>
        <w:trPr>
          <w:trHeight w:val="1075" w:hRule="exact"/>
        </w:trPr>
        <w:tc>
          <w:tcPr>
            <w:tcW w:w="1104" w:type="dxa"/>
            <w:tcBorders>
              <w:top w:val="single" w:sz="6" w:space="0" w:color="000000"/>
              <w:left w:val="single" w:sz="12" w:space="0" w:color="000000"/>
              <w:bottom w:val="single" w:sz="6" w:space="0" w:color="000000"/>
              <w:right w:val="single" w:sz="6" w:space="0" w:color="000000"/>
            </w:tcBorders>
          </w:tcPr>
          <w:p>
            <w:pPr>
              <w:pStyle w:val="TableParagraph"/>
              <w:spacing w:before="6"/>
              <w:jc w:val="left"/>
              <w:rPr>
                <w:b/>
                <w:sz w:val="19"/>
              </w:rPr>
            </w:pPr>
          </w:p>
          <w:p>
            <w:pPr>
              <w:pStyle w:val="TableParagraph"/>
              <w:spacing w:line="247" w:lineRule="auto" w:before="0"/>
              <w:ind w:left="52"/>
              <w:jc w:val="left"/>
              <w:rPr>
                <w:sz w:val="19"/>
              </w:rPr>
            </w:pPr>
            <w:r>
              <w:rPr>
                <w:sz w:val="19"/>
              </w:rPr>
              <w:t>Teoría de las Redes</w:t>
            </w:r>
          </w:p>
        </w:tc>
        <w:tc>
          <w:tcPr>
            <w:tcW w:w="1656" w:type="dxa"/>
            <w:tcBorders>
              <w:top w:val="single" w:sz="6" w:space="0" w:color="000000"/>
              <w:left w:val="single" w:sz="6" w:space="0" w:color="000000"/>
              <w:bottom w:val="single" w:sz="6" w:space="0" w:color="000000"/>
              <w:right w:val="single" w:sz="6" w:space="0" w:color="000000"/>
            </w:tcBorders>
          </w:tcPr>
          <w:p>
            <w:pPr>
              <w:pStyle w:val="TableParagraph"/>
              <w:spacing w:line="244" w:lineRule="auto" w:before="1"/>
              <w:ind w:left="59" w:right="60"/>
              <w:jc w:val="left"/>
              <w:rPr>
                <w:sz w:val="19"/>
              </w:rPr>
            </w:pPr>
            <w:r>
              <w:rPr>
                <w:sz w:val="19"/>
              </w:rPr>
              <w:t>Las familias en el exterior son la fuente informa- tiva y financiera</w:t>
            </w:r>
          </w:p>
        </w:tc>
        <w:tc>
          <w:tcPr>
            <w:tcW w:w="1534" w:type="dxa"/>
            <w:tcBorders>
              <w:top w:val="single" w:sz="6" w:space="0" w:color="000000"/>
              <w:left w:val="single" w:sz="6" w:space="0" w:color="000000"/>
              <w:bottom w:val="single" w:sz="6" w:space="0" w:color="000000"/>
              <w:right w:val="single" w:sz="6" w:space="0" w:color="000000"/>
            </w:tcBorders>
          </w:tcPr>
          <w:p>
            <w:pPr>
              <w:pStyle w:val="TableParagraph"/>
              <w:spacing w:before="6"/>
              <w:jc w:val="left"/>
              <w:rPr>
                <w:b/>
                <w:sz w:val="19"/>
              </w:rPr>
            </w:pPr>
          </w:p>
          <w:p>
            <w:pPr>
              <w:pStyle w:val="TableParagraph"/>
              <w:spacing w:before="0"/>
              <w:ind w:left="57"/>
              <w:jc w:val="left"/>
              <w:rPr>
                <w:sz w:val="19"/>
              </w:rPr>
            </w:pPr>
            <w:r>
              <w:rPr>
                <w:sz w:val="19"/>
              </w:rPr>
              <w:t>Redes Sociales</w:t>
            </w:r>
          </w:p>
        </w:tc>
        <w:tc>
          <w:tcPr>
            <w:tcW w:w="482" w:type="dxa"/>
            <w:tcBorders>
              <w:top w:val="single" w:sz="6" w:space="0" w:color="000000"/>
              <w:left w:val="single" w:sz="6" w:space="0" w:color="000000"/>
              <w:bottom w:val="single" w:sz="6" w:space="0" w:color="000000"/>
              <w:right w:val="single" w:sz="6" w:space="0" w:color="000000"/>
            </w:tcBorders>
          </w:tcPr>
          <w:p>
            <w:pPr>
              <w:pStyle w:val="TableParagraph"/>
              <w:spacing w:before="0"/>
              <w:jc w:val="left"/>
              <w:rPr>
                <w:b/>
                <w:sz w:val="18"/>
              </w:rPr>
            </w:pPr>
          </w:p>
          <w:p>
            <w:pPr>
              <w:pStyle w:val="TableParagraph"/>
              <w:spacing w:before="0"/>
              <w:jc w:val="left"/>
              <w:rPr>
                <w:b/>
                <w:sz w:val="18"/>
              </w:rPr>
            </w:pPr>
          </w:p>
          <w:p>
            <w:pPr>
              <w:pStyle w:val="TableParagraph"/>
              <w:spacing w:before="120"/>
              <w:ind w:right="54"/>
              <w:rPr>
                <w:sz w:val="19"/>
              </w:rPr>
            </w:pPr>
            <w:r>
              <w:rPr>
                <w:w w:val="101"/>
                <w:sz w:val="19"/>
              </w:rPr>
              <w:t>*</w:t>
            </w:r>
          </w:p>
        </w:tc>
        <w:tc>
          <w:tcPr>
            <w:tcW w:w="487" w:type="dxa"/>
            <w:tcBorders>
              <w:top w:val="single" w:sz="6" w:space="0" w:color="000000"/>
              <w:left w:val="single" w:sz="6" w:space="0" w:color="000000"/>
              <w:bottom w:val="single" w:sz="6" w:space="0" w:color="000000"/>
              <w:right w:val="single" w:sz="6" w:space="0" w:color="000000"/>
            </w:tcBorders>
          </w:tcPr>
          <w:p>
            <w:pPr>
              <w:pStyle w:val="TableParagraph"/>
              <w:spacing w:before="0"/>
              <w:jc w:val="left"/>
              <w:rPr>
                <w:b/>
                <w:sz w:val="18"/>
              </w:rPr>
            </w:pPr>
          </w:p>
          <w:p>
            <w:pPr>
              <w:pStyle w:val="TableParagraph"/>
              <w:spacing w:before="0"/>
              <w:jc w:val="left"/>
              <w:rPr>
                <w:b/>
                <w:sz w:val="18"/>
              </w:rPr>
            </w:pPr>
          </w:p>
          <w:p>
            <w:pPr>
              <w:pStyle w:val="TableParagraph"/>
              <w:spacing w:before="120"/>
              <w:ind w:right="59"/>
              <w:rPr>
                <w:sz w:val="19"/>
              </w:rPr>
            </w:pPr>
            <w:r>
              <w:rPr>
                <w:w w:val="101"/>
                <w:sz w:val="19"/>
              </w:rPr>
              <w:t>*</w:t>
            </w:r>
          </w:p>
        </w:tc>
        <w:tc>
          <w:tcPr>
            <w:tcW w:w="482" w:type="dxa"/>
            <w:tcBorders>
              <w:top w:val="single" w:sz="6" w:space="0" w:color="000000"/>
              <w:left w:val="single" w:sz="6" w:space="0" w:color="000000"/>
              <w:bottom w:val="single" w:sz="6" w:space="0" w:color="000000"/>
              <w:right w:val="single" w:sz="6" w:space="0" w:color="000000"/>
            </w:tcBorders>
          </w:tcPr>
          <w:p>
            <w:pPr/>
          </w:p>
        </w:tc>
        <w:tc>
          <w:tcPr>
            <w:tcW w:w="463" w:type="dxa"/>
            <w:tcBorders>
              <w:top w:val="single" w:sz="6" w:space="0" w:color="000000"/>
              <w:left w:val="single" w:sz="6" w:space="0" w:color="000000"/>
              <w:bottom w:val="single" w:sz="6" w:space="0" w:color="000000"/>
              <w:right w:val="single" w:sz="6" w:space="0" w:color="000000"/>
            </w:tcBorders>
          </w:tcPr>
          <w:p>
            <w:pPr>
              <w:pStyle w:val="TableParagraph"/>
              <w:spacing w:before="0"/>
              <w:jc w:val="left"/>
              <w:rPr>
                <w:b/>
                <w:sz w:val="18"/>
              </w:rPr>
            </w:pPr>
          </w:p>
          <w:p>
            <w:pPr>
              <w:pStyle w:val="TableParagraph"/>
              <w:spacing w:before="0"/>
              <w:jc w:val="left"/>
              <w:rPr>
                <w:b/>
                <w:sz w:val="18"/>
              </w:rPr>
            </w:pPr>
          </w:p>
          <w:p>
            <w:pPr>
              <w:pStyle w:val="TableParagraph"/>
              <w:spacing w:before="120"/>
              <w:ind w:right="59"/>
              <w:rPr>
                <w:sz w:val="19"/>
              </w:rPr>
            </w:pPr>
            <w:r>
              <w:rPr>
                <w:w w:val="101"/>
                <w:sz w:val="19"/>
              </w:rPr>
              <w:t>*</w:t>
            </w:r>
          </w:p>
        </w:tc>
        <w:tc>
          <w:tcPr>
            <w:tcW w:w="413" w:type="dxa"/>
            <w:tcBorders>
              <w:top w:val="single" w:sz="6" w:space="0" w:color="000000"/>
              <w:left w:val="single" w:sz="6" w:space="0" w:color="000000"/>
              <w:bottom w:val="single" w:sz="6" w:space="0" w:color="000000"/>
              <w:right w:val="single" w:sz="6" w:space="0" w:color="000000"/>
            </w:tcBorders>
          </w:tcPr>
          <w:p>
            <w:pPr/>
          </w:p>
        </w:tc>
        <w:tc>
          <w:tcPr>
            <w:tcW w:w="413" w:type="dxa"/>
            <w:tcBorders>
              <w:top w:val="single" w:sz="6" w:space="0" w:color="000000"/>
              <w:left w:val="single" w:sz="6" w:space="0" w:color="000000"/>
              <w:bottom w:val="single" w:sz="6" w:space="0" w:color="000000"/>
              <w:right w:val="single" w:sz="6" w:space="0" w:color="000000"/>
            </w:tcBorders>
          </w:tcPr>
          <w:p>
            <w:pPr/>
          </w:p>
        </w:tc>
        <w:tc>
          <w:tcPr>
            <w:tcW w:w="276" w:type="dxa"/>
            <w:tcBorders>
              <w:top w:val="single" w:sz="6" w:space="0" w:color="000000"/>
              <w:left w:val="single" w:sz="6" w:space="0" w:color="000000"/>
              <w:bottom w:val="single" w:sz="6" w:space="0" w:color="000000"/>
              <w:right w:val="single" w:sz="6" w:space="0" w:color="000000"/>
            </w:tcBorders>
          </w:tcPr>
          <w:p>
            <w:pPr/>
          </w:p>
        </w:tc>
        <w:tc>
          <w:tcPr>
            <w:tcW w:w="416" w:type="dxa"/>
            <w:tcBorders>
              <w:top w:val="single" w:sz="6" w:space="0" w:color="000000"/>
              <w:left w:val="single" w:sz="6" w:space="0" w:color="000000"/>
              <w:bottom w:val="single" w:sz="6" w:space="0" w:color="000000"/>
              <w:right w:val="single" w:sz="5" w:space="0" w:color="000000"/>
            </w:tcBorders>
          </w:tcPr>
          <w:p>
            <w:pPr>
              <w:pStyle w:val="TableParagraph"/>
              <w:spacing w:before="0"/>
              <w:jc w:val="left"/>
              <w:rPr>
                <w:b/>
                <w:sz w:val="18"/>
              </w:rPr>
            </w:pPr>
          </w:p>
          <w:p>
            <w:pPr>
              <w:pStyle w:val="TableParagraph"/>
              <w:spacing w:before="0"/>
              <w:jc w:val="left"/>
              <w:rPr>
                <w:b/>
                <w:sz w:val="18"/>
              </w:rPr>
            </w:pPr>
          </w:p>
          <w:p>
            <w:pPr>
              <w:pStyle w:val="TableParagraph"/>
              <w:spacing w:before="120"/>
              <w:ind w:right="59"/>
              <w:rPr>
                <w:sz w:val="19"/>
              </w:rPr>
            </w:pPr>
            <w:r>
              <w:rPr>
                <w:w w:val="101"/>
                <w:sz w:val="19"/>
              </w:rPr>
              <w:t>*</w:t>
            </w:r>
          </w:p>
        </w:tc>
        <w:tc>
          <w:tcPr>
            <w:tcW w:w="400" w:type="dxa"/>
            <w:tcBorders>
              <w:top w:val="single" w:sz="6" w:space="0" w:color="000000"/>
              <w:left w:val="single" w:sz="5" w:space="0" w:color="000000"/>
              <w:bottom w:val="single" w:sz="6" w:space="0" w:color="000000"/>
              <w:right w:val="single" w:sz="6" w:space="0" w:color="000000"/>
            </w:tcBorders>
          </w:tcPr>
          <w:p>
            <w:pPr/>
          </w:p>
        </w:tc>
        <w:tc>
          <w:tcPr>
            <w:tcW w:w="444" w:type="dxa"/>
            <w:tcBorders>
              <w:top w:val="single" w:sz="6" w:space="0" w:color="000000"/>
              <w:left w:val="single" w:sz="6" w:space="0" w:color="000000"/>
              <w:bottom w:val="single" w:sz="6" w:space="0" w:color="000000"/>
              <w:right w:val="single" w:sz="6" w:space="0" w:color="000000"/>
            </w:tcBorders>
          </w:tcPr>
          <w:p>
            <w:pPr>
              <w:pStyle w:val="TableParagraph"/>
              <w:spacing w:before="0"/>
              <w:jc w:val="left"/>
              <w:rPr>
                <w:b/>
                <w:sz w:val="18"/>
              </w:rPr>
            </w:pPr>
          </w:p>
          <w:p>
            <w:pPr>
              <w:pStyle w:val="TableParagraph"/>
              <w:spacing w:before="0"/>
              <w:jc w:val="left"/>
              <w:rPr>
                <w:b/>
                <w:sz w:val="18"/>
              </w:rPr>
            </w:pPr>
          </w:p>
          <w:p>
            <w:pPr>
              <w:pStyle w:val="TableParagraph"/>
              <w:spacing w:before="120"/>
              <w:ind w:right="58"/>
              <w:rPr>
                <w:sz w:val="19"/>
              </w:rPr>
            </w:pPr>
            <w:r>
              <w:rPr>
                <w:w w:val="101"/>
                <w:sz w:val="19"/>
              </w:rPr>
              <w:t>*</w:t>
            </w:r>
          </w:p>
        </w:tc>
        <w:tc>
          <w:tcPr>
            <w:tcW w:w="396" w:type="dxa"/>
            <w:tcBorders>
              <w:top w:val="single" w:sz="6" w:space="0" w:color="000000"/>
              <w:left w:val="single" w:sz="6" w:space="0" w:color="000000"/>
              <w:bottom w:val="single" w:sz="6" w:space="0" w:color="000000"/>
              <w:right w:val="single" w:sz="12" w:space="0" w:color="000000"/>
            </w:tcBorders>
          </w:tcPr>
          <w:p>
            <w:pPr>
              <w:pStyle w:val="TableParagraph"/>
              <w:spacing w:before="0"/>
              <w:jc w:val="left"/>
              <w:rPr>
                <w:b/>
                <w:sz w:val="18"/>
              </w:rPr>
            </w:pPr>
          </w:p>
          <w:p>
            <w:pPr>
              <w:pStyle w:val="TableParagraph"/>
              <w:spacing w:before="0"/>
              <w:jc w:val="left"/>
              <w:rPr>
                <w:b/>
                <w:sz w:val="18"/>
              </w:rPr>
            </w:pPr>
          </w:p>
          <w:p>
            <w:pPr>
              <w:pStyle w:val="TableParagraph"/>
              <w:spacing w:before="120"/>
              <w:ind w:right="47"/>
              <w:rPr>
                <w:sz w:val="19"/>
              </w:rPr>
            </w:pPr>
            <w:r>
              <w:rPr>
                <w:w w:val="101"/>
                <w:sz w:val="19"/>
              </w:rPr>
              <w:t>*</w:t>
            </w:r>
          </w:p>
        </w:tc>
      </w:tr>
      <w:tr>
        <w:trPr>
          <w:trHeight w:val="239" w:hRule="exact"/>
        </w:trPr>
        <w:tc>
          <w:tcPr>
            <w:tcW w:w="1104" w:type="dxa"/>
            <w:tcBorders>
              <w:top w:val="single" w:sz="6" w:space="0" w:color="000000"/>
              <w:left w:val="single" w:sz="12" w:space="0" w:color="000000"/>
              <w:bottom w:val="nil"/>
              <w:right w:val="single" w:sz="6" w:space="0" w:color="000000"/>
            </w:tcBorders>
          </w:tcPr>
          <w:p>
            <w:pPr>
              <w:pStyle w:val="TableParagraph"/>
              <w:spacing w:before="1"/>
              <w:ind w:left="52"/>
              <w:jc w:val="left"/>
              <w:rPr>
                <w:sz w:val="19"/>
              </w:rPr>
            </w:pPr>
            <w:r>
              <w:rPr>
                <w:sz w:val="19"/>
              </w:rPr>
              <w:t>Socio-De-</w:t>
            </w:r>
          </w:p>
        </w:tc>
        <w:tc>
          <w:tcPr>
            <w:tcW w:w="1656" w:type="dxa"/>
            <w:tcBorders>
              <w:top w:val="single" w:sz="6" w:space="0" w:color="000000"/>
              <w:left w:val="single" w:sz="6" w:space="0" w:color="000000"/>
              <w:bottom w:val="nil"/>
              <w:right w:val="single" w:sz="6" w:space="0" w:color="000000"/>
            </w:tcBorders>
          </w:tcPr>
          <w:p>
            <w:pPr>
              <w:pStyle w:val="TableParagraph"/>
              <w:spacing w:before="1"/>
              <w:ind w:left="59"/>
              <w:jc w:val="left"/>
              <w:rPr>
                <w:sz w:val="19"/>
              </w:rPr>
            </w:pPr>
            <w:r>
              <w:rPr>
                <w:sz w:val="19"/>
              </w:rPr>
              <w:t>Causas cultura-</w:t>
            </w:r>
          </w:p>
        </w:tc>
        <w:tc>
          <w:tcPr>
            <w:tcW w:w="1534" w:type="dxa"/>
            <w:tcBorders>
              <w:top w:val="single" w:sz="6" w:space="0" w:color="000000"/>
              <w:left w:val="single" w:sz="6" w:space="0" w:color="000000"/>
              <w:bottom w:val="nil"/>
              <w:right w:val="single" w:sz="6" w:space="0" w:color="000000"/>
            </w:tcBorders>
          </w:tcPr>
          <w:p>
            <w:pPr>
              <w:pStyle w:val="TableParagraph"/>
              <w:spacing w:before="1"/>
              <w:ind w:left="57"/>
              <w:jc w:val="left"/>
              <w:rPr>
                <w:sz w:val="19"/>
              </w:rPr>
            </w:pPr>
            <w:r>
              <w:rPr>
                <w:sz w:val="19"/>
              </w:rPr>
              <w:t>Antropológico</w:t>
            </w:r>
          </w:p>
        </w:tc>
        <w:tc>
          <w:tcPr>
            <w:tcW w:w="482" w:type="dxa"/>
            <w:tcBorders>
              <w:top w:val="single" w:sz="6" w:space="0" w:color="000000"/>
              <w:left w:val="single" w:sz="6" w:space="0" w:color="000000"/>
              <w:bottom w:val="nil"/>
              <w:right w:val="single" w:sz="6" w:space="0" w:color="000000"/>
            </w:tcBorders>
          </w:tcPr>
          <w:p>
            <w:pPr/>
          </w:p>
        </w:tc>
        <w:tc>
          <w:tcPr>
            <w:tcW w:w="487" w:type="dxa"/>
            <w:tcBorders>
              <w:top w:val="single" w:sz="6" w:space="0" w:color="000000"/>
              <w:left w:val="single" w:sz="6" w:space="0" w:color="000000"/>
              <w:bottom w:val="nil"/>
              <w:right w:val="single" w:sz="6" w:space="0" w:color="000000"/>
            </w:tcBorders>
          </w:tcPr>
          <w:p>
            <w:pPr>
              <w:pStyle w:val="TableParagraph"/>
              <w:spacing w:before="1"/>
              <w:ind w:right="59"/>
              <w:rPr>
                <w:sz w:val="19"/>
              </w:rPr>
            </w:pPr>
            <w:r>
              <w:rPr>
                <w:w w:val="101"/>
                <w:sz w:val="19"/>
              </w:rPr>
              <w:t>*</w:t>
            </w:r>
          </w:p>
        </w:tc>
        <w:tc>
          <w:tcPr>
            <w:tcW w:w="482" w:type="dxa"/>
            <w:tcBorders>
              <w:top w:val="single" w:sz="6" w:space="0" w:color="000000"/>
              <w:left w:val="single" w:sz="6" w:space="0" w:color="000000"/>
              <w:bottom w:val="nil"/>
              <w:right w:val="single" w:sz="6" w:space="0" w:color="000000"/>
            </w:tcBorders>
          </w:tcPr>
          <w:p>
            <w:pPr/>
          </w:p>
        </w:tc>
        <w:tc>
          <w:tcPr>
            <w:tcW w:w="463" w:type="dxa"/>
            <w:tcBorders>
              <w:top w:val="single" w:sz="6" w:space="0" w:color="000000"/>
              <w:left w:val="single" w:sz="6" w:space="0" w:color="000000"/>
              <w:bottom w:val="nil"/>
              <w:right w:val="single" w:sz="6" w:space="0" w:color="000000"/>
            </w:tcBorders>
          </w:tcPr>
          <w:p>
            <w:pPr>
              <w:pStyle w:val="TableParagraph"/>
              <w:spacing w:before="1"/>
              <w:ind w:right="59"/>
              <w:rPr>
                <w:sz w:val="19"/>
              </w:rPr>
            </w:pPr>
            <w:r>
              <w:rPr>
                <w:w w:val="101"/>
                <w:sz w:val="19"/>
              </w:rPr>
              <w:t>*</w:t>
            </w:r>
          </w:p>
        </w:tc>
        <w:tc>
          <w:tcPr>
            <w:tcW w:w="413" w:type="dxa"/>
            <w:tcBorders>
              <w:top w:val="single" w:sz="6" w:space="0" w:color="000000"/>
              <w:left w:val="single" w:sz="6" w:space="0" w:color="000000"/>
              <w:bottom w:val="nil"/>
              <w:right w:val="single" w:sz="6" w:space="0" w:color="000000"/>
            </w:tcBorders>
          </w:tcPr>
          <w:p>
            <w:pPr/>
          </w:p>
        </w:tc>
        <w:tc>
          <w:tcPr>
            <w:tcW w:w="413" w:type="dxa"/>
            <w:vMerge w:val="restart"/>
            <w:tcBorders>
              <w:top w:val="single" w:sz="6" w:space="0" w:color="000000"/>
              <w:left w:val="single" w:sz="6" w:space="0" w:color="000000"/>
              <w:right w:val="single" w:sz="6" w:space="0" w:color="000000"/>
            </w:tcBorders>
          </w:tcPr>
          <w:p>
            <w:pPr/>
          </w:p>
        </w:tc>
        <w:tc>
          <w:tcPr>
            <w:tcW w:w="276" w:type="dxa"/>
            <w:tcBorders>
              <w:top w:val="single" w:sz="6" w:space="0" w:color="000000"/>
              <w:left w:val="single" w:sz="6" w:space="0" w:color="000000"/>
              <w:bottom w:val="nil"/>
              <w:right w:val="single" w:sz="6" w:space="0" w:color="000000"/>
            </w:tcBorders>
          </w:tcPr>
          <w:p>
            <w:pPr>
              <w:pStyle w:val="TableParagraph"/>
              <w:spacing w:before="1"/>
              <w:ind w:right="54"/>
              <w:rPr>
                <w:sz w:val="19"/>
              </w:rPr>
            </w:pPr>
            <w:r>
              <w:rPr>
                <w:w w:val="101"/>
                <w:sz w:val="19"/>
              </w:rPr>
              <w:t>*</w:t>
            </w:r>
          </w:p>
        </w:tc>
        <w:tc>
          <w:tcPr>
            <w:tcW w:w="416" w:type="dxa"/>
            <w:tcBorders>
              <w:top w:val="single" w:sz="6" w:space="0" w:color="000000"/>
              <w:left w:val="single" w:sz="6" w:space="0" w:color="000000"/>
              <w:bottom w:val="nil"/>
              <w:right w:val="single" w:sz="5" w:space="0" w:color="000000"/>
            </w:tcBorders>
          </w:tcPr>
          <w:p>
            <w:pPr>
              <w:pStyle w:val="TableParagraph"/>
              <w:spacing w:before="1"/>
              <w:ind w:right="59"/>
              <w:rPr>
                <w:sz w:val="19"/>
              </w:rPr>
            </w:pPr>
            <w:r>
              <w:rPr>
                <w:w w:val="101"/>
                <w:sz w:val="19"/>
              </w:rPr>
              <w:t>*</w:t>
            </w:r>
          </w:p>
        </w:tc>
        <w:tc>
          <w:tcPr>
            <w:tcW w:w="400" w:type="dxa"/>
            <w:tcBorders>
              <w:top w:val="single" w:sz="6" w:space="0" w:color="000000"/>
              <w:left w:val="single" w:sz="5" w:space="0" w:color="000000"/>
              <w:bottom w:val="nil"/>
              <w:right w:val="single" w:sz="6" w:space="0" w:color="000000"/>
            </w:tcBorders>
          </w:tcPr>
          <w:p>
            <w:pPr/>
          </w:p>
        </w:tc>
        <w:tc>
          <w:tcPr>
            <w:tcW w:w="444" w:type="dxa"/>
            <w:tcBorders>
              <w:top w:val="single" w:sz="6" w:space="0" w:color="000000"/>
              <w:left w:val="single" w:sz="6" w:space="0" w:color="000000"/>
              <w:bottom w:val="nil"/>
              <w:right w:val="single" w:sz="6" w:space="0" w:color="000000"/>
            </w:tcBorders>
          </w:tcPr>
          <w:p>
            <w:pPr>
              <w:pStyle w:val="TableParagraph"/>
              <w:spacing w:before="1"/>
              <w:ind w:right="58"/>
              <w:rPr>
                <w:sz w:val="19"/>
              </w:rPr>
            </w:pPr>
            <w:r>
              <w:rPr>
                <w:w w:val="101"/>
                <w:sz w:val="19"/>
              </w:rPr>
              <w:t>*</w:t>
            </w:r>
          </w:p>
        </w:tc>
        <w:tc>
          <w:tcPr>
            <w:tcW w:w="396" w:type="dxa"/>
            <w:tcBorders>
              <w:top w:val="single" w:sz="6" w:space="0" w:color="000000"/>
              <w:left w:val="single" w:sz="6" w:space="0" w:color="000000"/>
              <w:bottom w:val="nil"/>
              <w:right w:val="single" w:sz="12" w:space="0" w:color="000000"/>
            </w:tcBorders>
          </w:tcPr>
          <w:p>
            <w:pPr>
              <w:pStyle w:val="TableParagraph"/>
              <w:spacing w:before="1"/>
              <w:ind w:right="47"/>
              <w:rPr>
                <w:sz w:val="19"/>
              </w:rPr>
            </w:pPr>
            <w:r>
              <w:rPr>
                <w:w w:val="101"/>
                <w:sz w:val="19"/>
              </w:rPr>
              <w:t>*</w:t>
            </w:r>
          </w:p>
        </w:tc>
      </w:tr>
      <w:tr>
        <w:trPr>
          <w:trHeight w:val="224" w:hRule="exact"/>
        </w:trPr>
        <w:tc>
          <w:tcPr>
            <w:tcW w:w="1104" w:type="dxa"/>
            <w:tcBorders>
              <w:top w:val="nil"/>
              <w:left w:val="single" w:sz="12" w:space="0" w:color="000000"/>
              <w:bottom w:val="nil"/>
              <w:right w:val="single" w:sz="6" w:space="0" w:color="000000"/>
            </w:tcBorders>
          </w:tcPr>
          <w:p>
            <w:pPr>
              <w:pStyle w:val="TableParagraph"/>
              <w:spacing w:line="212" w:lineRule="exact" w:before="0"/>
              <w:ind w:left="52"/>
              <w:jc w:val="left"/>
              <w:rPr>
                <w:sz w:val="19"/>
              </w:rPr>
            </w:pPr>
            <w:r>
              <w:rPr>
                <w:sz w:val="19"/>
              </w:rPr>
              <w:t>mográfico</w:t>
            </w:r>
          </w:p>
        </w:tc>
        <w:tc>
          <w:tcPr>
            <w:tcW w:w="1656" w:type="dxa"/>
            <w:tcBorders>
              <w:top w:val="nil"/>
              <w:left w:val="single" w:sz="6" w:space="0" w:color="000000"/>
              <w:bottom w:val="nil"/>
              <w:right w:val="single" w:sz="6" w:space="0" w:color="000000"/>
            </w:tcBorders>
          </w:tcPr>
          <w:p>
            <w:pPr>
              <w:pStyle w:val="TableParagraph"/>
              <w:spacing w:line="212" w:lineRule="exact" w:before="0"/>
              <w:ind w:left="59"/>
              <w:jc w:val="left"/>
              <w:rPr>
                <w:sz w:val="19"/>
              </w:rPr>
            </w:pPr>
            <w:r>
              <w:rPr>
                <w:sz w:val="19"/>
              </w:rPr>
              <w:t>les prehispánicas</w:t>
            </w:r>
          </w:p>
        </w:tc>
        <w:tc>
          <w:tcPr>
            <w:tcW w:w="1534" w:type="dxa"/>
            <w:tcBorders>
              <w:top w:val="nil"/>
              <w:left w:val="single" w:sz="6" w:space="0" w:color="000000"/>
              <w:bottom w:val="nil"/>
              <w:right w:val="single" w:sz="6" w:space="0" w:color="000000"/>
            </w:tcBorders>
          </w:tcPr>
          <w:p>
            <w:pPr>
              <w:pStyle w:val="TableParagraph"/>
              <w:spacing w:line="212" w:lineRule="exact" w:before="0"/>
              <w:ind w:left="57"/>
              <w:jc w:val="left"/>
              <w:rPr>
                <w:sz w:val="19"/>
              </w:rPr>
            </w:pPr>
            <w:r>
              <w:rPr>
                <w:sz w:val="19"/>
              </w:rPr>
              <w:t>Biografico-</w:t>
            </w:r>
          </w:p>
        </w:tc>
        <w:tc>
          <w:tcPr>
            <w:tcW w:w="482" w:type="dxa"/>
            <w:tcBorders>
              <w:top w:val="nil"/>
              <w:left w:val="single" w:sz="6" w:space="0" w:color="000000"/>
              <w:bottom w:val="nil"/>
              <w:right w:val="single" w:sz="6" w:space="0" w:color="000000"/>
            </w:tcBorders>
          </w:tcPr>
          <w:p>
            <w:pPr/>
          </w:p>
        </w:tc>
        <w:tc>
          <w:tcPr>
            <w:tcW w:w="487" w:type="dxa"/>
            <w:tcBorders>
              <w:top w:val="nil"/>
              <w:left w:val="single" w:sz="6" w:space="0" w:color="000000"/>
              <w:bottom w:val="nil"/>
              <w:right w:val="single" w:sz="6" w:space="0" w:color="000000"/>
            </w:tcBorders>
          </w:tcPr>
          <w:p>
            <w:pPr/>
          </w:p>
        </w:tc>
        <w:tc>
          <w:tcPr>
            <w:tcW w:w="482" w:type="dxa"/>
            <w:tcBorders>
              <w:top w:val="nil"/>
              <w:left w:val="single" w:sz="6" w:space="0" w:color="000000"/>
              <w:bottom w:val="nil"/>
              <w:right w:val="single" w:sz="6" w:space="0" w:color="000000"/>
            </w:tcBorders>
          </w:tcPr>
          <w:p>
            <w:pPr/>
          </w:p>
        </w:tc>
        <w:tc>
          <w:tcPr>
            <w:tcW w:w="463" w:type="dxa"/>
            <w:tcBorders>
              <w:top w:val="nil"/>
              <w:left w:val="single" w:sz="6" w:space="0" w:color="000000"/>
              <w:bottom w:val="nil"/>
              <w:right w:val="single" w:sz="6" w:space="0" w:color="000000"/>
            </w:tcBorders>
          </w:tcPr>
          <w:p>
            <w:pPr/>
          </w:p>
        </w:tc>
        <w:tc>
          <w:tcPr>
            <w:tcW w:w="413" w:type="dxa"/>
            <w:tcBorders>
              <w:top w:val="nil"/>
              <w:left w:val="single" w:sz="6" w:space="0" w:color="000000"/>
              <w:bottom w:val="nil"/>
              <w:right w:val="single" w:sz="6" w:space="0" w:color="000000"/>
            </w:tcBorders>
          </w:tcPr>
          <w:p>
            <w:pPr/>
          </w:p>
        </w:tc>
        <w:tc>
          <w:tcPr>
            <w:tcW w:w="413" w:type="dxa"/>
            <w:vMerge/>
            <w:tcBorders>
              <w:left w:val="single" w:sz="6" w:space="0" w:color="000000"/>
              <w:right w:val="single" w:sz="6" w:space="0" w:color="000000"/>
            </w:tcBorders>
          </w:tcPr>
          <w:p>
            <w:pPr/>
          </w:p>
        </w:tc>
        <w:tc>
          <w:tcPr>
            <w:tcW w:w="276" w:type="dxa"/>
            <w:tcBorders>
              <w:top w:val="nil"/>
              <w:left w:val="single" w:sz="6" w:space="0" w:color="000000"/>
              <w:bottom w:val="nil"/>
              <w:right w:val="single" w:sz="6" w:space="0" w:color="000000"/>
            </w:tcBorders>
          </w:tcPr>
          <w:p>
            <w:pPr/>
          </w:p>
        </w:tc>
        <w:tc>
          <w:tcPr>
            <w:tcW w:w="416" w:type="dxa"/>
            <w:tcBorders>
              <w:top w:val="nil"/>
              <w:left w:val="single" w:sz="6" w:space="0" w:color="000000"/>
              <w:bottom w:val="nil"/>
              <w:right w:val="single" w:sz="5" w:space="0" w:color="000000"/>
            </w:tcBorders>
          </w:tcPr>
          <w:p>
            <w:pPr/>
          </w:p>
        </w:tc>
        <w:tc>
          <w:tcPr>
            <w:tcW w:w="400" w:type="dxa"/>
            <w:tcBorders>
              <w:top w:val="nil"/>
              <w:left w:val="single" w:sz="5" w:space="0" w:color="000000"/>
              <w:bottom w:val="nil"/>
              <w:right w:val="single" w:sz="6" w:space="0" w:color="000000"/>
            </w:tcBorders>
          </w:tcPr>
          <w:p>
            <w:pPr/>
          </w:p>
        </w:tc>
        <w:tc>
          <w:tcPr>
            <w:tcW w:w="444" w:type="dxa"/>
            <w:tcBorders>
              <w:top w:val="nil"/>
              <w:left w:val="single" w:sz="6" w:space="0" w:color="000000"/>
              <w:bottom w:val="nil"/>
              <w:right w:val="single" w:sz="6" w:space="0" w:color="000000"/>
            </w:tcBorders>
          </w:tcPr>
          <w:p>
            <w:pPr/>
          </w:p>
        </w:tc>
        <w:tc>
          <w:tcPr>
            <w:tcW w:w="396" w:type="dxa"/>
            <w:tcBorders>
              <w:top w:val="nil"/>
              <w:left w:val="single" w:sz="6" w:space="0" w:color="000000"/>
              <w:bottom w:val="nil"/>
              <w:right w:val="single" w:sz="12" w:space="0" w:color="000000"/>
            </w:tcBorders>
          </w:tcPr>
          <w:p>
            <w:pPr/>
          </w:p>
        </w:tc>
      </w:tr>
      <w:tr>
        <w:trPr>
          <w:trHeight w:val="224" w:hRule="exact"/>
        </w:trPr>
        <w:tc>
          <w:tcPr>
            <w:tcW w:w="1104" w:type="dxa"/>
            <w:tcBorders>
              <w:top w:val="nil"/>
              <w:left w:val="single" w:sz="12" w:space="0" w:color="000000"/>
              <w:bottom w:val="nil"/>
              <w:right w:val="single" w:sz="6" w:space="0" w:color="000000"/>
            </w:tcBorders>
          </w:tcPr>
          <w:p>
            <w:pPr/>
          </w:p>
        </w:tc>
        <w:tc>
          <w:tcPr>
            <w:tcW w:w="1656" w:type="dxa"/>
            <w:tcBorders>
              <w:top w:val="nil"/>
              <w:left w:val="single" w:sz="6" w:space="0" w:color="000000"/>
              <w:bottom w:val="nil"/>
              <w:right w:val="single" w:sz="6" w:space="0" w:color="000000"/>
            </w:tcBorders>
          </w:tcPr>
          <w:p>
            <w:pPr>
              <w:pStyle w:val="TableParagraph"/>
              <w:spacing w:line="213" w:lineRule="exact" w:before="0"/>
              <w:ind w:left="59"/>
              <w:jc w:val="left"/>
              <w:rPr>
                <w:sz w:val="19"/>
              </w:rPr>
            </w:pPr>
            <w:r>
              <w:rPr>
                <w:sz w:val="19"/>
              </w:rPr>
              <w:t>y cotidianas</w:t>
            </w:r>
          </w:p>
        </w:tc>
        <w:tc>
          <w:tcPr>
            <w:tcW w:w="1534" w:type="dxa"/>
            <w:tcBorders>
              <w:top w:val="nil"/>
              <w:left w:val="single" w:sz="6" w:space="0" w:color="000000"/>
              <w:bottom w:val="nil"/>
              <w:right w:val="single" w:sz="6" w:space="0" w:color="000000"/>
            </w:tcBorders>
          </w:tcPr>
          <w:p>
            <w:pPr>
              <w:pStyle w:val="TableParagraph"/>
              <w:spacing w:line="213" w:lineRule="exact" w:before="0"/>
              <w:ind w:left="57"/>
              <w:jc w:val="left"/>
              <w:rPr>
                <w:sz w:val="19"/>
              </w:rPr>
            </w:pPr>
            <w:r>
              <w:rPr>
                <w:sz w:val="19"/>
              </w:rPr>
              <w:t>Laboral</w:t>
            </w:r>
          </w:p>
        </w:tc>
        <w:tc>
          <w:tcPr>
            <w:tcW w:w="482" w:type="dxa"/>
            <w:tcBorders>
              <w:top w:val="nil"/>
              <w:left w:val="single" w:sz="6" w:space="0" w:color="000000"/>
              <w:bottom w:val="nil"/>
              <w:right w:val="single" w:sz="6" w:space="0" w:color="000000"/>
            </w:tcBorders>
          </w:tcPr>
          <w:p>
            <w:pPr>
              <w:pStyle w:val="TableParagraph"/>
              <w:spacing w:line="213" w:lineRule="exact" w:before="0"/>
              <w:ind w:right="54"/>
              <w:rPr>
                <w:sz w:val="19"/>
              </w:rPr>
            </w:pPr>
            <w:r>
              <w:rPr>
                <w:w w:val="101"/>
                <w:sz w:val="19"/>
              </w:rPr>
              <w:t>*</w:t>
            </w:r>
          </w:p>
        </w:tc>
        <w:tc>
          <w:tcPr>
            <w:tcW w:w="487" w:type="dxa"/>
            <w:tcBorders>
              <w:top w:val="nil"/>
              <w:left w:val="single" w:sz="6" w:space="0" w:color="000000"/>
              <w:bottom w:val="nil"/>
              <w:right w:val="single" w:sz="6" w:space="0" w:color="000000"/>
            </w:tcBorders>
          </w:tcPr>
          <w:p>
            <w:pPr>
              <w:pStyle w:val="TableParagraph"/>
              <w:spacing w:line="213" w:lineRule="exact" w:before="0"/>
              <w:ind w:right="59"/>
              <w:rPr>
                <w:sz w:val="19"/>
              </w:rPr>
            </w:pPr>
            <w:r>
              <w:rPr>
                <w:w w:val="101"/>
                <w:sz w:val="19"/>
              </w:rPr>
              <w:t>*</w:t>
            </w:r>
          </w:p>
        </w:tc>
        <w:tc>
          <w:tcPr>
            <w:tcW w:w="482" w:type="dxa"/>
            <w:tcBorders>
              <w:top w:val="nil"/>
              <w:left w:val="single" w:sz="6" w:space="0" w:color="000000"/>
              <w:bottom w:val="nil"/>
              <w:right w:val="single" w:sz="6" w:space="0" w:color="000000"/>
            </w:tcBorders>
          </w:tcPr>
          <w:p>
            <w:pPr>
              <w:pStyle w:val="TableParagraph"/>
              <w:spacing w:line="213" w:lineRule="exact" w:before="0"/>
              <w:ind w:right="54"/>
              <w:rPr>
                <w:sz w:val="19"/>
              </w:rPr>
            </w:pPr>
            <w:r>
              <w:rPr>
                <w:w w:val="101"/>
                <w:sz w:val="19"/>
              </w:rPr>
              <w:t>*</w:t>
            </w:r>
          </w:p>
        </w:tc>
        <w:tc>
          <w:tcPr>
            <w:tcW w:w="463" w:type="dxa"/>
            <w:tcBorders>
              <w:top w:val="nil"/>
              <w:left w:val="single" w:sz="6" w:space="0" w:color="000000"/>
              <w:bottom w:val="nil"/>
              <w:right w:val="single" w:sz="6" w:space="0" w:color="000000"/>
            </w:tcBorders>
          </w:tcPr>
          <w:p>
            <w:pPr>
              <w:pStyle w:val="TableParagraph"/>
              <w:spacing w:line="213" w:lineRule="exact" w:before="0"/>
              <w:ind w:right="59"/>
              <w:rPr>
                <w:sz w:val="19"/>
              </w:rPr>
            </w:pPr>
            <w:r>
              <w:rPr>
                <w:w w:val="101"/>
                <w:sz w:val="19"/>
              </w:rPr>
              <w:t>*</w:t>
            </w:r>
          </w:p>
        </w:tc>
        <w:tc>
          <w:tcPr>
            <w:tcW w:w="413" w:type="dxa"/>
            <w:tcBorders>
              <w:top w:val="nil"/>
              <w:left w:val="single" w:sz="6" w:space="0" w:color="000000"/>
              <w:bottom w:val="nil"/>
              <w:right w:val="single" w:sz="6" w:space="0" w:color="000000"/>
            </w:tcBorders>
          </w:tcPr>
          <w:p>
            <w:pPr/>
          </w:p>
        </w:tc>
        <w:tc>
          <w:tcPr>
            <w:tcW w:w="413" w:type="dxa"/>
            <w:vMerge/>
            <w:tcBorders>
              <w:left w:val="single" w:sz="6" w:space="0" w:color="000000"/>
              <w:right w:val="single" w:sz="6" w:space="0" w:color="000000"/>
            </w:tcBorders>
          </w:tcPr>
          <w:p>
            <w:pPr/>
          </w:p>
        </w:tc>
        <w:tc>
          <w:tcPr>
            <w:tcW w:w="276" w:type="dxa"/>
            <w:tcBorders>
              <w:top w:val="nil"/>
              <w:left w:val="single" w:sz="6" w:space="0" w:color="000000"/>
              <w:bottom w:val="nil"/>
              <w:right w:val="single" w:sz="6" w:space="0" w:color="000000"/>
            </w:tcBorders>
          </w:tcPr>
          <w:p>
            <w:pPr>
              <w:pStyle w:val="TableParagraph"/>
              <w:spacing w:line="213" w:lineRule="exact" w:before="0"/>
              <w:ind w:right="54"/>
              <w:rPr>
                <w:sz w:val="19"/>
              </w:rPr>
            </w:pPr>
            <w:r>
              <w:rPr>
                <w:w w:val="101"/>
                <w:sz w:val="19"/>
              </w:rPr>
              <w:t>*</w:t>
            </w:r>
          </w:p>
        </w:tc>
        <w:tc>
          <w:tcPr>
            <w:tcW w:w="416" w:type="dxa"/>
            <w:tcBorders>
              <w:top w:val="nil"/>
              <w:left w:val="single" w:sz="6" w:space="0" w:color="000000"/>
              <w:bottom w:val="nil"/>
              <w:right w:val="single" w:sz="5" w:space="0" w:color="000000"/>
            </w:tcBorders>
          </w:tcPr>
          <w:p>
            <w:pPr>
              <w:pStyle w:val="TableParagraph"/>
              <w:spacing w:line="213" w:lineRule="exact" w:before="0"/>
              <w:ind w:right="59"/>
              <w:rPr>
                <w:sz w:val="19"/>
              </w:rPr>
            </w:pPr>
            <w:r>
              <w:rPr>
                <w:w w:val="101"/>
                <w:sz w:val="19"/>
              </w:rPr>
              <w:t>*</w:t>
            </w:r>
          </w:p>
        </w:tc>
        <w:tc>
          <w:tcPr>
            <w:tcW w:w="400" w:type="dxa"/>
            <w:tcBorders>
              <w:top w:val="nil"/>
              <w:left w:val="single" w:sz="5" w:space="0" w:color="000000"/>
              <w:bottom w:val="nil"/>
              <w:right w:val="single" w:sz="6" w:space="0" w:color="000000"/>
            </w:tcBorders>
          </w:tcPr>
          <w:p>
            <w:pPr/>
          </w:p>
        </w:tc>
        <w:tc>
          <w:tcPr>
            <w:tcW w:w="444" w:type="dxa"/>
            <w:tcBorders>
              <w:top w:val="nil"/>
              <w:left w:val="single" w:sz="6" w:space="0" w:color="000000"/>
              <w:bottom w:val="nil"/>
              <w:right w:val="single" w:sz="6" w:space="0" w:color="000000"/>
            </w:tcBorders>
          </w:tcPr>
          <w:p>
            <w:pPr/>
          </w:p>
        </w:tc>
        <w:tc>
          <w:tcPr>
            <w:tcW w:w="396" w:type="dxa"/>
            <w:tcBorders>
              <w:top w:val="nil"/>
              <w:left w:val="single" w:sz="6" w:space="0" w:color="000000"/>
              <w:bottom w:val="nil"/>
              <w:right w:val="single" w:sz="12" w:space="0" w:color="000000"/>
            </w:tcBorders>
          </w:tcPr>
          <w:p>
            <w:pPr/>
          </w:p>
        </w:tc>
      </w:tr>
      <w:tr>
        <w:trPr>
          <w:trHeight w:val="228" w:hRule="exact"/>
        </w:trPr>
        <w:tc>
          <w:tcPr>
            <w:tcW w:w="1104" w:type="dxa"/>
            <w:tcBorders>
              <w:top w:val="nil"/>
              <w:left w:val="single" w:sz="12" w:space="0" w:color="000000"/>
              <w:right w:val="single" w:sz="6" w:space="0" w:color="000000"/>
            </w:tcBorders>
          </w:tcPr>
          <w:p>
            <w:pPr/>
          </w:p>
        </w:tc>
        <w:tc>
          <w:tcPr>
            <w:tcW w:w="1656" w:type="dxa"/>
            <w:tcBorders>
              <w:top w:val="nil"/>
              <w:left w:val="single" w:sz="6" w:space="0" w:color="000000"/>
              <w:right w:val="single" w:sz="6" w:space="0" w:color="000000"/>
            </w:tcBorders>
          </w:tcPr>
          <w:p>
            <w:pPr/>
          </w:p>
        </w:tc>
        <w:tc>
          <w:tcPr>
            <w:tcW w:w="1534" w:type="dxa"/>
            <w:tcBorders>
              <w:top w:val="nil"/>
              <w:left w:val="single" w:sz="6" w:space="0" w:color="000000"/>
              <w:right w:val="single" w:sz="6" w:space="0" w:color="000000"/>
            </w:tcBorders>
          </w:tcPr>
          <w:p>
            <w:pPr>
              <w:pStyle w:val="TableParagraph"/>
              <w:spacing w:line="212" w:lineRule="exact" w:before="0"/>
              <w:ind w:left="57"/>
              <w:jc w:val="left"/>
              <w:rPr>
                <w:sz w:val="19"/>
              </w:rPr>
            </w:pPr>
            <w:r>
              <w:rPr>
                <w:sz w:val="19"/>
              </w:rPr>
              <w:t>Demográficos.</w:t>
            </w:r>
          </w:p>
        </w:tc>
        <w:tc>
          <w:tcPr>
            <w:tcW w:w="482" w:type="dxa"/>
            <w:tcBorders>
              <w:top w:val="nil"/>
              <w:left w:val="single" w:sz="6" w:space="0" w:color="000000"/>
              <w:right w:val="single" w:sz="6" w:space="0" w:color="000000"/>
            </w:tcBorders>
          </w:tcPr>
          <w:p>
            <w:pPr/>
          </w:p>
        </w:tc>
        <w:tc>
          <w:tcPr>
            <w:tcW w:w="487" w:type="dxa"/>
            <w:tcBorders>
              <w:top w:val="nil"/>
              <w:left w:val="single" w:sz="6" w:space="0" w:color="000000"/>
              <w:right w:val="single" w:sz="6" w:space="0" w:color="000000"/>
            </w:tcBorders>
          </w:tcPr>
          <w:p>
            <w:pPr/>
          </w:p>
        </w:tc>
        <w:tc>
          <w:tcPr>
            <w:tcW w:w="482" w:type="dxa"/>
            <w:tcBorders>
              <w:top w:val="nil"/>
              <w:left w:val="single" w:sz="6" w:space="0" w:color="000000"/>
              <w:right w:val="single" w:sz="6" w:space="0" w:color="000000"/>
            </w:tcBorders>
          </w:tcPr>
          <w:p>
            <w:pPr/>
          </w:p>
        </w:tc>
        <w:tc>
          <w:tcPr>
            <w:tcW w:w="463" w:type="dxa"/>
            <w:tcBorders>
              <w:top w:val="nil"/>
              <w:left w:val="single" w:sz="6" w:space="0" w:color="000000"/>
              <w:right w:val="single" w:sz="6" w:space="0" w:color="000000"/>
            </w:tcBorders>
          </w:tcPr>
          <w:p>
            <w:pPr/>
          </w:p>
        </w:tc>
        <w:tc>
          <w:tcPr>
            <w:tcW w:w="413" w:type="dxa"/>
            <w:tcBorders>
              <w:top w:val="nil"/>
              <w:left w:val="single" w:sz="6" w:space="0" w:color="000000"/>
              <w:right w:val="single" w:sz="6" w:space="0" w:color="000000"/>
            </w:tcBorders>
          </w:tcPr>
          <w:p>
            <w:pPr>
              <w:pStyle w:val="TableParagraph"/>
              <w:spacing w:line="212" w:lineRule="exact" w:before="0"/>
              <w:ind w:right="54"/>
              <w:rPr>
                <w:sz w:val="19"/>
              </w:rPr>
            </w:pPr>
            <w:r>
              <w:rPr>
                <w:w w:val="101"/>
                <w:sz w:val="19"/>
              </w:rPr>
              <w:t>*</w:t>
            </w:r>
          </w:p>
        </w:tc>
        <w:tc>
          <w:tcPr>
            <w:tcW w:w="413" w:type="dxa"/>
            <w:vMerge/>
            <w:tcBorders>
              <w:left w:val="single" w:sz="6" w:space="0" w:color="000000"/>
              <w:right w:val="single" w:sz="6" w:space="0" w:color="000000"/>
            </w:tcBorders>
          </w:tcPr>
          <w:p>
            <w:pPr/>
          </w:p>
        </w:tc>
        <w:tc>
          <w:tcPr>
            <w:tcW w:w="276" w:type="dxa"/>
            <w:tcBorders>
              <w:top w:val="nil"/>
              <w:left w:val="single" w:sz="6" w:space="0" w:color="000000"/>
              <w:right w:val="single" w:sz="6" w:space="0" w:color="000000"/>
            </w:tcBorders>
          </w:tcPr>
          <w:p>
            <w:pPr>
              <w:pStyle w:val="TableParagraph"/>
              <w:spacing w:line="212" w:lineRule="exact" w:before="0"/>
              <w:ind w:right="54"/>
              <w:rPr>
                <w:sz w:val="19"/>
              </w:rPr>
            </w:pPr>
            <w:r>
              <w:rPr>
                <w:w w:val="101"/>
                <w:sz w:val="19"/>
              </w:rPr>
              <w:t>*</w:t>
            </w:r>
          </w:p>
        </w:tc>
        <w:tc>
          <w:tcPr>
            <w:tcW w:w="416" w:type="dxa"/>
            <w:tcBorders>
              <w:top w:val="nil"/>
              <w:left w:val="single" w:sz="6" w:space="0" w:color="000000"/>
              <w:right w:val="single" w:sz="5" w:space="0" w:color="000000"/>
            </w:tcBorders>
          </w:tcPr>
          <w:p>
            <w:pPr>
              <w:pStyle w:val="TableParagraph"/>
              <w:spacing w:line="212" w:lineRule="exact" w:before="0"/>
              <w:ind w:right="59"/>
              <w:rPr>
                <w:sz w:val="19"/>
              </w:rPr>
            </w:pPr>
            <w:r>
              <w:rPr>
                <w:w w:val="101"/>
                <w:sz w:val="19"/>
              </w:rPr>
              <w:t>*</w:t>
            </w:r>
          </w:p>
        </w:tc>
        <w:tc>
          <w:tcPr>
            <w:tcW w:w="400" w:type="dxa"/>
            <w:tcBorders>
              <w:top w:val="nil"/>
              <w:left w:val="single" w:sz="5" w:space="0" w:color="000000"/>
              <w:right w:val="single" w:sz="6" w:space="0" w:color="000000"/>
            </w:tcBorders>
          </w:tcPr>
          <w:p>
            <w:pPr>
              <w:pStyle w:val="TableParagraph"/>
              <w:spacing w:line="212" w:lineRule="exact" w:before="0"/>
              <w:ind w:right="54"/>
              <w:rPr>
                <w:sz w:val="19"/>
              </w:rPr>
            </w:pPr>
            <w:r>
              <w:rPr>
                <w:w w:val="101"/>
                <w:sz w:val="19"/>
              </w:rPr>
              <w:t>*</w:t>
            </w:r>
          </w:p>
        </w:tc>
        <w:tc>
          <w:tcPr>
            <w:tcW w:w="444" w:type="dxa"/>
            <w:tcBorders>
              <w:top w:val="nil"/>
              <w:left w:val="single" w:sz="6" w:space="0" w:color="000000"/>
              <w:right w:val="single" w:sz="6" w:space="0" w:color="000000"/>
            </w:tcBorders>
          </w:tcPr>
          <w:p>
            <w:pPr/>
          </w:p>
        </w:tc>
        <w:tc>
          <w:tcPr>
            <w:tcW w:w="396" w:type="dxa"/>
            <w:tcBorders>
              <w:top w:val="nil"/>
              <w:left w:val="single" w:sz="6" w:space="0" w:color="000000"/>
              <w:right w:val="single" w:sz="12" w:space="0" w:color="000000"/>
            </w:tcBorders>
          </w:tcPr>
          <w:p>
            <w:pPr/>
          </w:p>
        </w:tc>
      </w:tr>
    </w:tbl>
    <w:p>
      <w:pPr>
        <w:spacing w:before="2"/>
        <w:ind w:left="255" w:right="0" w:firstLine="0"/>
        <w:jc w:val="both"/>
        <w:rPr>
          <w:sz w:val="21"/>
        </w:rPr>
      </w:pPr>
      <w:r>
        <w:rPr>
          <w:b/>
          <w:sz w:val="21"/>
        </w:rPr>
        <w:t>Clave</w:t>
      </w:r>
      <w:r>
        <w:rPr>
          <w:sz w:val="21"/>
        </w:rPr>
        <w:t>: R = Remuneraciones al Trabajo,         E= Empleo,      K = Capital,</w:t>
      </w:r>
    </w:p>
    <w:p>
      <w:pPr>
        <w:pStyle w:val="BodyText"/>
        <w:spacing w:before="7"/>
        <w:rPr>
          <w:sz w:val="17"/>
        </w:rPr>
      </w:pPr>
    </w:p>
    <w:p>
      <w:pPr>
        <w:tabs>
          <w:tab w:pos="4391" w:val="left" w:leader="none"/>
          <w:tab w:pos="6457" w:val="left" w:leader="none"/>
        </w:tabs>
        <w:spacing w:line="439" w:lineRule="auto" w:before="0"/>
        <w:ind w:left="944" w:right="1157" w:firstLine="0"/>
        <w:jc w:val="left"/>
        <w:rPr>
          <w:sz w:val="21"/>
        </w:rPr>
      </w:pPr>
      <w:r>
        <w:rPr>
          <w:sz w:val="21"/>
        </w:rPr>
        <w:t>G =</w:t>
      </w:r>
      <w:r>
        <w:rPr>
          <w:spacing w:val="19"/>
          <w:sz w:val="21"/>
        </w:rPr>
        <w:t> </w:t>
      </w:r>
      <w:r>
        <w:rPr>
          <w:spacing w:val="-4"/>
          <w:sz w:val="21"/>
        </w:rPr>
        <w:t>Políticas</w:t>
      </w:r>
      <w:r>
        <w:rPr>
          <w:spacing w:val="5"/>
          <w:sz w:val="21"/>
        </w:rPr>
        <w:t> </w:t>
      </w:r>
      <w:r>
        <w:rPr>
          <w:spacing w:val="-4"/>
          <w:sz w:val="21"/>
        </w:rPr>
        <w:t>Gubernamentales,</w:t>
        <w:tab/>
      </w:r>
      <w:r>
        <w:rPr>
          <w:sz w:val="21"/>
        </w:rPr>
        <w:t>T =</w:t>
      </w:r>
      <w:r>
        <w:rPr>
          <w:spacing w:val="4"/>
          <w:sz w:val="21"/>
        </w:rPr>
        <w:t> </w:t>
      </w:r>
      <w:r>
        <w:rPr>
          <w:spacing w:val="-3"/>
          <w:sz w:val="21"/>
        </w:rPr>
        <w:t>Factor</w:t>
      </w:r>
      <w:r>
        <w:rPr>
          <w:sz w:val="21"/>
        </w:rPr>
        <w:t> </w:t>
      </w:r>
      <w:r>
        <w:rPr>
          <w:spacing w:val="-4"/>
          <w:sz w:val="21"/>
        </w:rPr>
        <w:t>Técnico,</w:t>
        <w:tab/>
      </w:r>
      <w:r>
        <w:rPr>
          <w:sz w:val="21"/>
        </w:rPr>
        <w:t>P</w:t>
      </w:r>
      <w:r>
        <w:rPr>
          <w:spacing w:val="14"/>
          <w:sz w:val="21"/>
        </w:rPr>
        <w:t> </w:t>
      </w:r>
      <w:r>
        <w:rPr>
          <w:sz w:val="21"/>
        </w:rPr>
        <w:t>=</w:t>
      </w:r>
      <w:r>
        <w:rPr>
          <w:spacing w:val="16"/>
          <w:sz w:val="21"/>
        </w:rPr>
        <w:t> </w:t>
      </w:r>
      <w:r>
        <w:rPr>
          <w:spacing w:val="-4"/>
          <w:sz w:val="21"/>
        </w:rPr>
        <w:t>Preferencias,</w:t>
      </w:r>
      <w:r>
        <w:rPr>
          <w:w w:val="102"/>
          <w:sz w:val="21"/>
        </w:rPr>
        <w:t> </w:t>
      </w:r>
      <w:r>
        <w:rPr>
          <w:sz w:val="21"/>
        </w:rPr>
        <w:t>S =</w:t>
      </w:r>
      <w:r>
        <w:rPr>
          <w:spacing w:val="15"/>
          <w:sz w:val="21"/>
        </w:rPr>
        <w:t> </w:t>
      </w:r>
      <w:r>
        <w:rPr>
          <w:spacing w:val="-4"/>
          <w:sz w:val="21"/>
        </w:rPr>
        <w:t>Condiciones</w:t>
      </w:r>
      <w:r>
        <w:rPr>
          <w:spacing w:val="7"/>
          <w:sz w:val="21"/>
        </w:rPr>
        <w:t> </w:t>
      </w:r>
      <w:r>
        <w:rPr>
          <w:spacing w:val="-4"/>
          <w:sz w:val="21"/>
        </w:rPr>
        <w:t>Sociales</w:t>
        <w:tab/>
      </w:r>
      <w:r>
        <w:rPr>
          <w:sz w:val="21"/>
        </w:rPr>
        <w:t>Q</w:t>
      </w:r>
      <w:r>
        <w:rPr>
          <w:spacing w:val="3"/>
          <w:sz w:val="21"/>
        </w:rPr>
        <w:t> </w:t>
      </w:r>
      <w:r>
        <w:rPr>
          <w:sz w:val="21"/>
        </w:rPr>
        <w:t>=</w:t>
      </w:r>
      <w:r>
        <w:rPr>
          <w:spacing w:val="1"/>
          <w:sz w:val="21"/>
        </w:rPr>
        <w:t> </w:t>
      </w:r>
      <w:r>
        <w:rPr>
          <w:spacing w:val="-4"/>
          <w:sz w:val="21"/>
        </w:rPr>
        <w:t>Producción,</w:t>
        <w:tab/>
      </w:r>
      <w:r>
        <w:rPr>
          <w:sz w:val="21"/>
        </w:rPr>
        <w:t>F =</w:t>
      </w:r>
      <w:r>
        <w:rPr>
          <w:spacing w:val="17"/>
          <w:sz w:val="21"/>
        </w:rPr>
        <w:t> </w:t>
      </w:r>
      <w:r>
        <w:rPr>
          <w:spacing w:val="-4"/>
          <w:sz w:val="21"/>
        </w:rPr>
        <w:t>Familia,</w:t>
      </w:r>
    </w:p>
    <w:p>
      <w:pPr>
        <w:tabs>
          <w:tab w:pos="4390" w:val="left" w:leader="none"/>
        </w:tabs>
        <w:spacing w:before="3"/>
        <w:ind w:left="944" w:right="0" w:firstLine="0"/>
        <w:jc w:val="left"/>
        <w:rPr>
          <w:sz w:val="21"/>
        </w:rPr>
      </w:pPr>
      <w:r>
        <w:rPr>
          <w:sz w:val="21"/>
        </w:rPr>
        <w:t>A</w:t>
      </w:r>
      <w:r>
        <w:rPr>
          <w:spacing w:val="1"/>
          <w:sz w:val="21"/>
        </w:rPr>
        <w:t> </w:t>
      </w:r>
      <w:r>
        <w:rPr>
          <w:sz w:val="21"/>
        </w:rPr>
        <w:t>=</w:t>
      </w:r>
      <w:r>
        <w:rPr>
          <w:spacing w:val="2"/>
          <w:sz w:val="21"/>
        </w:rPr>
        <w:t> </w:t>
      </w:r>
      <w:r>
        <w:rPr>
          <w:spacing w:val="-4"/>
          <w:sz w:val="21"/>
        </w:rPr>
        <w:t>Amigos,</w:t>
        <w:tab/>
      </w:r>
      <w:r>
        <w:rPr>
          <w:sz w:val="21"/>
        </w:rPr>
        <w:t>C = </w:t>
      </w:r>
      <w:r>
        <w:rPr>
          <w:spacing w:val="-3"/>
          <w:sz w:val="21"/>
        </w:rPr>
        <w:t>Cultura</w:t>
      </w:r>
      <w:r>
        <w:rPr>
          <w:spacing w:val="25"/>
          <w:sz w:val="21"/>
        </w:rPr>
        <w:t> </w:t>
      </w:r>
      <w:r>
        <w:rPr>
          <w:spacing w:val="-3"/>
          <w:sz w:val="21"/>
        </w:rPr>
        <w:t>Migratoria</w:t>
      </w:r>
    </w:p>
    <w:p>
      <w:pPr>
        <w:pStyle w:val="BodyText"/>
        <w:rPr>
          <w:sz w:val="20"/>
        </w:rPr>
      </w:pPr>
    </w:p>
    <w:p>
      <w:pPr>
        <w:pStyle w:val="BodyText"/>
        <w:rPr>
          <w:sz w:val="20"/>
        </w:rPr>
      </w:pPr>
    </w:p>
    <w:p>
      <w:pPr>
        <w:pStyle w:val="BodyText"/>
        <w:spacing w:before="4"/>
        <w:rPr>
          <w:sz w:val="29"/>
        </w:rPr>
      </w:pPr>
    </w:p>
    <w:p>
      <w:pPr>
        <w:pStyle w:val="BodyText"/>
        <w:spacing w:line="364" w:lineRule="auto"/>
        <w:ind w:left="255" w:right="399"/>
        <w:jc w:val="both"/>
      </w:pPr>
      <w:r>
        <w:rPr/>
        <w:t>En </w:t>
      </w:r>
      <w:r>
        <w:rPr>
          <w:spacing w:val="-3"/>
        </w:rPr>
        <w:t>concreto, permiten generar explicaciones </w:t>
      </w:r>
      <w:r>
        <w:rPr/>
        <w:t>de la </w:t>
      </w:r>
      <w:r>
        <w:rPr>
          <w:spacing w:val="-3"/>
        </w:rPr>
        <w:t>magnitud </w:t>
      </w:r>
      <w:r>
        <w:rPr/>
        <w:t>y </w:t>
      </w:r>
      <w:r>
        <w:rPr>
          <w:spacing w:val="-3"/>
        </w:rPr>
        <w:t>causas generales </w:t>
      </w:r>
      <w:r>
        <w:rPr/>
        <w:t>de los </w:t>
      </w:r>
      <w:r>
        <w:rPr>
          <w:spacing w:val="-3"/>
        </w:rPr>
        <w:t>saldos migratorios netos </w:t>
      </w:r>
      <w:r>
        <w:rPr/>
        <w:t>o </w:t>
      </w:r>
      <w:r>
        <w:rPr>
          <w:spacing w:val="-3"/>
        </w:rPr>
        <w:t>el </w:t>
      </w:r>
      <w:r>
        <w:rPr>
          <w:spacing w:val="-4"/>
        </w:rPr>
        <w:t>comportamiento agregado </w:t>
      </w:r>
      <w:r>
        <w:rPr/>
        <w:t>de la </w:t>
      </w:r>
      <w:r>
        <w:rPr>
          <w:spacing w:val="-3"/>
        </w:rPr>
        <w:t>población </w:t>
      </w:r>
      <w:r>
        <w:rPr>
          <w:spacing w:val="-4"/>
        </w:rPr>
        <w:t>rural  </w:t>
      </w:r>
      <w:r>
        <w:rPr/>
        <w:t>y  </w:t>
      </w:r>
      <w:r>
        <w:rPr>
          <w:spacing w:val="-3"/>
        </w:rPr>
        <w:t>por </w:t>
      </w:r>
      <w:r>
        <w:rPr/>
        <w:t>ello </w:t>
      </w:r>
      <w:r>
        <w:rPr>
          <w:spacing w:val="-4"/>
        </w:rPr>
        <w:t>sirven </w:t>
      </w:r>
      <w:r>
        <w:rPr>
          <w:spacing w:val="-3"/>
        </w:rPr>
        <w:t>para explicar </w:t>
      </w:r>
      <w:r>
        <w:rPr/>
        <w:t>más </w:t>
      </w:r>
      <w:r>
        <w:rPr>
          <w:spacing w:val="-4"/>
        </w:rPr>
        <w:t>satisfactoriamente </w:t>
      </w:r>
      <w:r>
        <w:rPr>
          <w:spacing w:val="-3"/>
        </w:rPr>
        <w:t>diversas </w:t>
      </w:r>
      <w:r>
        <w:rPr>
          <w:spacing w:val="-4"/>
        </w:rPr>
        <w:t>interrogantes  </w:t>
      </w:r>
      <w:r>
        <w:rPr>
          <w:spacing w:val="-3"/>
        </w:rPr>
        <w:t>típicamente individuales: </w:t>
      </w:r>
      <w:r>
        <w:rPr/>
        <w:t>¿a </w:t>
      </w:r>
      <w:r>
        <w:rPr>
          <w:spacing w:val="-4"/>
        </w:rPr>
        <w:t>dónde </w:t>
      </w:r>
      <w:r>
        <w:rPr>
          <w:spacing w:val="-3"/>
        </w:rPr>
        <w:t>van?, ¿quiénes </w:t>
      </w:r>
      <w:r>
        <w:rPr/>
        <w:t>y </w:t>
      </w:r>
      <w:r>
        <w:rPr>
          <w:spacing w:val="-3"/>
        </w:rPr>
        <w:t>por qué? </w:t>
      </w:r>
      <w:r>
        <w:rPr/>
        <w:t>y </w:t>
      </w:r>
      <w:r>
        <w:rPr>
          <w:spacing w:val="-3"/>
        </w:rPr>
        <w:t>¿cómo deciden emigrar?</w:t>
      </w:r>
      <w:r>
        <w:rPr>
          <w:spacing w:val="42"/>
        </w:rPr>
        <w:t> </w:t>
      </w:r>
      <w:r>
        <w:rPr>
          <w:spacing w:val="-4"/>
        </w:rPr>
        <w:t>(Idem:53,58).</w:t>
      </w:r>
    </w:p>
    <w:p>
      <w:pPr>
        <w:spacing w:after="0" w:line="364" w:lineRule="auto"/>
        <w:jc w:val="both"/>
        <w:sectPr>
          <w:pgSz w:w="11900" w:h="16840"/>
          <w:pgMar w:header="0" w:footer="1679" w:top="1600" w:bottom="1860" w:left="1400" w:right="1280"/>
        </w:sectPr>
      </w:pPr>
    </w:p>
    <w:p>
      <w:pPr>
        <w:pStyle w:val="BodyText"/>
        <w:rPr>
          <w:sz w:val="20"/>
        </w:rPr>
      </w:pPr>
    </w:p>
    <w:p>
      <w:pPr>
        <w:pStyle w:val="BodyText"/>
        <w:spacing w:before="7"/>
        <w:rPr>
          <w:sz w:val="16"/>
        </w:rPr>
      </w:pPr>
    </w:p>
    <w:p>
      <w:pPr>
        <w:pStyle w:val="BodyText"/>
        <w:spacing w:line="364" w:lineRule="auto" w:before="74"/>
        <w:ind w:left="115" w:right="100"/>
        <w:jc w:val="both"/>
      </w:pPr>
      <w:r>
        <w:rPr/>
        <w:t>A </w:t>
      </w:r>
      <w:r>
        <w:rPr>
          <w:spacing w:val="-3"/>
        </w:rPr>
        <w:t>partir de tales fundamentos </w:t>
      </w:r>
      <w:r>
        <w:rPr/>
        <w:t>se </w:t>
      </w:r>
      <w:r>
        <w:rPr>
          <w:spacing w:val="-3"/>
        </w:rPr>
        <w:t>han derivado </w:t>
      </w:r>
      <w:r>
        <w:rPr>
          <w:spacing w:val="-4"/>
        </w:rPr>
        <w:t>numerosos </w:t>
      </w:r>
      <w:r>
        <w:rPr>
          <w:spacing w:val="-3"/>
        </w:rPr>
        <w:t>modelos </w:t>
      </w:r>
      <w:r>
        <w:rPr>
          <w:spacing w:val="-4"/>
        </w:rPr>
        <w:t>migratorios, </w:t>
      </w:r>
      <w:r>
        <w:rPr/>
        <w:t>los </w:t>
      </w:r>
      <w:r>
        <w:rPr>
          <w:spacing w:val="-3"/>
        </w:rPr>
        <w:t>cuales </w:t>
      </w:r>
      <w:r>
        <w:rPr/>
        <w:t>se </w:t>
      </w:r>
      <w:r>
        <w:rPr>
          <w:spacing w:val="-4"/>
        </w:rPr>
        <w:t>agrupan  </w:t>
      </w:r>
      <w:r>
        <w:rPr/>
        <w:t>de </w:t>
      </w:r>
      <w:r>
        <w:rPr>
          <w:spacing w:val="-3"/>
        </w:rPr>
        <w:t>acuerdo </w:t>
      </w:r>
      <w:r>
        <w:rPr/>
        <w:t>al </w:t>
      </w:r>
      <w:r>
        <w:rPr>
          <w:spacing w:val="-3"/>
        </w:rPr>
        <w:t>principio filosófico que </w:t>
      </w:r>
      <w:r>
        <w:rPr/>
        <w:t>les </w:t>
      </w:r>
      <w:r>
        <w:rPr>
          <w:spacing w:val="-3"/>
        </w:rPr>
        <w:t>da </w:t>
      </w:r>
      <w:r>
        <w:rPr>
          <w:spacing w:val="-4"/>
        </w:rPr>
        <w:t>coherencia:  </w:t>
      </w:r>
      <w:r>
        <w:rPr>
          <w:spacing w:val="-3"/>
        </w:rPr>
        <w:t>Dentro  </w:t>
      </w:r>
      <w:r>
        <w:rPr/>
        <w:t>de la </w:t>
      </w:r>
      <w:r>
        <w:rPr>
          <w:spacing w:val="-4"/>
        </w:rPr>
        <w:t>corriente macrosocial </w:t>
      </w:r>
      <w:r>
        <w:rPr>
          <w:spacing w:val="-3"/>
        </w:rPr>
        <w:t>(ver Cuadro 3, </w:t>
      </w:r>
      <w:r>
        <w:rPr>
          <w:i/>
          <w:spacing w:val="-4"/>
        </w:rPr>
        <w:t>supra</w:t>
      </w:r>
      <w:r>
        <w:rPr>
          <w:spacing w:val="-4"/>
        </w:rPr>
        <w:t>) </w:t>
      </w:r>
      <w:r>
        <w:rPr>
          <w:spacing w:val="-3"/>
        </w:rPr>
        <w:t>pueden </w:t>
      </w:r>
      <w:r>
        <w:rPr/>
        <w:t>ser </w:t>
      </w:r>
      <w:r>
        <w:rPr>
          <w:spacing w:val="-3"/>
        </w:rPr>
        <w:t>incluidos el Análisis Macroeconómico Neoclásico, </w:t>
      </w:r>
      <w:r>
        <w:rPr/>
        <w:t>el </w:t>
      </w:r>
      <w:r>
        <w:rPr>
          <w:spacing w:val="-3"/>
        </w:rPr>
        <w:t>Enfoque </w:t>
      </w:r>
      <w:r>
        <w:rPr>
          <w:spacing w:val="-4"/>
        </w:rPr>
        <w:t>Histórico-Estructural</w:t>
      </w:r>
      <w:r>
        <w:rPr>
          <w:spacing w:val="55"/>
        </w:rPr>
        <w:t> </w:t>
      </w:r>
      <w:r>
        <w:rPr/>
        <w:t>y la </w:t>
      </w:r>
      <w:r>
        <w:rPr>
          <w:spacing w:val="-3"/>
        </w:rPr>
        <w:t>Teoría </w:t>
      </w:r>
      <w:r>
        <w:rPr>
          <w:spacing w:val="-4"/>
        </w:rPr>
        <w:t>del </w:t>
      </w:r>
      <w:r>
        <w:rPr>
          <w:spacing w:val="55"/>
        </w:rPr>
        <w:t> </w:t>
      </w:r>
      <w:r>
        <w:rPr>
          <w:spacing w:val="-3"/>
        </w:rPr>
        <w:t>Sistema</w:t>
      </w:r>
      <w:r>
        <w:rPr>
          <w:spacing w:val="19"/>
        </w:rPr>
        <w:t> </w:t>
      </w:r>
      <w:r>
        <w:rPr>
          <w:spacing w:val="-3"/>
        </w:rPr>
        <w:t>Mundial,</w:t>
      </w:r>
      <w:r>
        <w:rPr>
          <w:spacing w:val="19"/>
        </w:rPr>
        <w:t> </w:t>
      </w:r>
      <w:r>
        <w:rPr/>
        <w:t>en</w:t>
      </w:r>
      <w:r>
        <w:rPr>
          <w:spacing w:val="16"/>
        </w:rPr>
        <w:t> </w:t>
      </w:r>
      <w:r>
        <w:rPr>
          <w:spacing w:val="-3"/>
        </w:rPr>
        <w:t>tanto</w:t>
      </w:r>
      <w:r>
        <w:rPr>
          <w:spacing w:val="19"/>
        </w:rPr>
        <w:t> </w:t>
      </w:r>
      <w:r>
        <w:rPr/>
        <w:t>que</w:t>
      </w:r>
      <w:r>
        <w:rPr>
          <w:spacing w:val="19"/>
        </w:rPr>
        <w:t> </w:t>
      </w:r>
      <w:r>
        <w:rPr>
          <w:spacing w:val="-3"/>
        </w:rPr>
        <w:t>el</w:t>
      </w:r>
      <w:r>
        <w:rPr>
          <w:spacing w:val="22"/>
        </w:rPr>
        <w:t> </w:t>
      </w:r>
      <w:r>
        <w:rPr>
          <w:spacing w:val="-3"/>
        </w:rPr>
        <w:t>resto</w:t>
      </w:r>
      <w:r>
        <w:rPr>
          <w:spacing w:val="19"/>
        </w:rPr>
        <w:t> </w:t>
      </w:r>
      <w:r>
        <w:rPr/>
        <w:t>de</w:t>
      </w:r>
      <w:r>
        <w:rPr>
          <w:spacing w:val="16"/>
        </w:rPr>
        <w:t> </w:t>
      </w:r>
      <w:r>
        <w:rPr/>
        <w:t>los</w:t>
      </w:r>
      <w:r>
        <w:rPr>
          <w:spacing w:val="20"/>
        </w:rPr>
        <w:t> </w:t>
      </w:r>
      <w:r>
        <w:rPr>
          <w:spacing w:val="-3"/>
        </w:rPr>
        <w:t>modelos</w:t>
      </w:r>
      <w:r>
        <w:rPr>
          <w:spacing w:val="20"/>
        </w:rPr>
        <w:t> </w:t>
      </w:r>
      <w:r>
        <w:rPr>
          <w:spacing w:val="-3"/>
        </w:rPr>
        <w:t>quedarían</w:t>
      </w:r>
      <w:r>
        <w:rPr>
          <w:spacing w:val="19"/>
        </w:rPr>
        <w:t> </w:t>
      </w:r>
      <w:r>
        <w:rPr>
          <w:spacing w:val="-3"/>
        </w:rPr>
        <w:t>comprendidos</w:t>
      </w:r>
      <w:r>
        <w:rPr>
          <w:spacing w:val="17"/>
        </w:rPr>
        <w:t> </w:t>
      </w:r>
      <w:r>
        <w:rPr/>
        <w:t>en</w:t>
      </w:r>
    </w:p>
    <w:p>
      <w:pPr>
        <w:pStyle w:val="BodyText"/>
        <w:spacing w:line="270" w:lineRule="exact"/>
        <w:ind w:left="115"/>
        <w:jc w:val="both"/>
      </w:pPr>
      <w:r>
        <w:rPr/>
        <w:t>la </w:t>
      </w:r>
      <w:r>
        <w:rPr>
          <w:spacing w:val="-3"/>
        </w:rPr>
        <w:t>corriente microsocial</w:t>
      </w:r>
      <w:r>
        <w:rPr>
          <w:spacing w:val="-3"/>
          <w:position w:val="11"/>
          <w:sz w:val="15"/>
        </w:rPr>
        <w:t>45  </w:t>
      </w:r>
      <w:r>
        <w:rPr>
          <w:spacing w:val="-3"/>
        </w:rPr>
        <w:t>(ver Cuadro 4,</w:t>
      </w:r>
      <w:r>
        <w:rPr>
          <w:spacing w:val="49"/>
        </w:rPr>
        <w:t> </w:t>
      </w:r>
      <w:r>
        <w:rPr>
          <w:i/>
          <w:spacing w:val="-4"/>
        </w:rPr>
        <w:t>supra</w:t>
      </w:r>
      <w:r>
        <w:rPr>
          <w:spacing w:val="-4"/>
        </w:rPr>
        <w:t>).</w:t>
      </w:r>
    </w:p>
    <w:p>
      <w:pPr>
        <w:pStyle w:val="BodyText"/>
        <w:rPr>
          <w:sz w:val="28"/>
        </w:rPr>
      </w:pPr>
    </w:p>
    <w:p>
      <w:pPr>
        <w:pStyle w:val="BodyText"/>
        <w:spacing w:line="364" w:lineRule="auto" w:before="222"/>
        <w:ind w:left="115" w:right="103"/>
        <w:jc w:val="both"/>
      </w:pPr>
      <w:r>
        <w:rPr/>
        <w:t>Como una </w:t>
      </w:r>
      <w:r>
        <w:rPr>
          <w:spacing w:val="-3"/>
        </w:rPr>
        <w:t>muestra </w:t>
      </w:r>
      <w:r>
        <w:rPr/>
        <w:t>de la </w:t>
      </w:r>
      <w:r>
        <w:rPr>
          <w:spacing w:val="-3"/>
        </w:rPr>
        <w:t>diversidad </w:t>
      </w:r>
      <w:r>
        <w:rPr/>
        <w:t>de </w:t>
      </w:r>
      <w:r>
        <w:rPr>
          <w:spacing w:val="-3"/>
        </w:rPr>
        <w:t>opiniones en torno al tema, </w:t>
      </w:r>
      <w:r>
        <w:rPr/>
        <w:t>a </w:t>
      </w:r>
      <w:r>
        <w:rPr>
          <w:spacing w:val="-3"/>
        </w:rPr>
        <w:t>continuación </w:t>
      </w:r>
      <w:r>
        <w:rPr/>
        <w:t>se </w:t>
      </w:r>
      <w:r>
        <w:rPr>
          <w:spacing w:val="-3"/>
        </w:rPr>
        <w:t>resume el contenido de </w:t>
      </w:r>
      <w:r>
        <w:rPr/>
        <w:t>los </w:t>
      </w:r>
      <w:r>
        <w:rPr>
          <w:spacing w:val="-4"/>
        </w:rPr>
        <w:t>enfoques </w:t>
      </w:r>
      <w:r>
        <w:rPr/>
        <w:t>más </w:t>
      </w:r>
      <w:r>
        <w:rPr>
          <w:spacing w:val="-4"/>
        </w:rPr>
        <w:t>relacionados </w:t>
      </w:r>
      <w:r>
        <w:rPr>
          <w:spacing w:val="-3"/>
        </w:rPr>
        <w:t>con </w:t>
      </w:r>
      <w:r>
        <w:rPr/>
        <w:t>este </w:t>
      </w:r>
      <w:r>
        <w:rPr>
          <w:spacing w:val="-3"/>
        </w:rPr>
        <w:t>trabajo, incluyendo algunas corrientes teóricas </w:t>
      </w:r>
      <w:r>
        <w:rPr/>
        <w:t>que </w:t>
      </w:r>
      <w:r>
        <w:rPr>
          <w:spacing w:val="-3"/>
        </w:rPr>
        <w:t>recién </w:t>
      </w:r>
      <w:r>
        <w:rPr>
          <w:spacing w:val="-4"/>
        </w:rPr>
        <w:t>comienzan </w:t>
      </w:r>
      <w:r>
        <w:rPr/>
        <w:t>a </w:t>
      </w:r>
      <w:r>
        <w:rPr>
          <w:spacing w:val="-3"/>
        </w:rPr>
        <w:t>prestarle alguna  atención.</w:t>
      </w:r>
    </w:p>
    <w:p>
      <w:pPr>
        <w:pStyle w:val="BodyText"/>
        <w:rPr>
          <w:sz w:val="22"/>
        </w:rPr>
      </w:pPr>
    </w:p>
    <w:p>
      <w:pPr>
        <w:pStyle w:val="ListParagraph"/>
        <w:numPr>
          <w:ilvl w:val="0"/>
          <w:numId w:val="4"/>
        </w:numPr>
        <w:tabs>
          <w:tab w:pos="397" w:val="left" w:leader="none"/>
        </w:tabs>
        <w:spacing w:line="355" w:lineRule="auto" w:before="155" w:after="0"/>
        <w:ind w:left="116" w:right="105" w:firstLine="0"/>
        <w:jc w:val="both"/>
        <w:rPr>
          <w:sz w:val="23"/>
        </w:rPr>
      </w:pPr>
      <w:r>
        <w:rPr>
          <w:sz w:val="23"/>
        </w:rPr>
        <w:t>Dentro de la visión “agriculturista” se puede destacar la escuela “campesinista” de la Comisión Económica para América Latina (CEPAL)</w:t>
      </w:r>
      <w:r>
        <w:rPr>
          <w:position w:val="11"/>
          <w:sz w:val="15"/>
        </w:rPr>
        <w:t>46</w:t>
      </w:r>
      <w:r>
        <w:rPr>
          <w:sz w:val="23"/>
        </w:rPr>
        <w:t>, la Economía Sustantivista y el enfoque microeconómico del agricultor-consumidor; donde, el balance  entre las  necesidades  de consumo  y la producción determinan en  </w:t>
      </w:r>
      <w:r>
        <w:rPr>
          <w:spacing w:val="41"/>
          <w:sz w:val="23"/>
        </w:rPr>
        <w:t> </w:t>
      </w:r>
      <w:r>
        <w:rPr>
          <w:sz w:val="23"/>
        </w:rPr>
        <w:t>gran</w:t>
      </w:r>
    </w:p>
    <w:p>
      <w:pPr>
        <w:pStyle w:val="BodyText"/>
        <w:spacing w:line="364" w:lineRule="auto" w:before="17"/>
        <w:ind w:left="115" w:right="104"/>
        <w:jc w:val="both"/>
      </w:pPr>
      <w:r>
        <w:rPr/>
        <w:t>medida el funcionamiento de la unidad de producción campesina, el trabajo fuera de la finca, y dentro de él la emigración, vista como un  elemento  que  complementa la búsqueda del ingreso necesario para la satisfacción de las necesidades familiares (Shejtman, 1986:62,65-77; Chayanov, 1974:69,95, y Ferguson y Gould, 1982:432-439). La emigración en este caso puede adoptar dos modalidades: ser voluntaria o ser inducida. En cualquiera caso  significará  de todas maneras un rompimiento con la seguridad que representa la estancia en el hogar.</w:t>
      </w:r>
    </w:p>
    <w:p>
      <w:pPr>
        <w:pStyle w:val="BodyText"/>
        <w:rPr>
          <w:sz w:val="22"/>
        </w:rPr>
      </w:pPr>
    </w:p>
    <w:p>
      <w:pPr>
        <w:pStyle w:val="BodyText"/>
        <w:spacing w:line="367" w:lineRule="auto" w:before="153"/>
        <w:ind w:left="115" w:right="105"/>
        <w:jc w:val="both"/>
      </w:pPr>
      <w:r>
        <w:rPr/>
        <w:t>Por el renovado brío que está tomando la Economía Sustantivista, una mención particular es requerida: Esta corriente se aboca al estudio de la organización de la actividad productiva en un espacio geográfico determinado y es un sistema que organiza la producción y la distribución de bienes de acuerdo a la cultura y a la</w:t>
      </w:r>
    </w:p>
    <w:p>
      <w:pPr>
        <w:pStyle w:val="BodyText"/>
        <w:spacing w:before="1"/>
        <w:rPr>
          <w:sz w:val="9"/>
        </w:rPr>
      </w:pPr>
      <w:r>
        <w:rPr/>
        <w:pict>
          <v:line style="position:absolute;mso-position-horizontal-relative:page;mso-position-vertical-relative:paragraph;z-index:1672;mso-wrap-distance-left:0;mso-wrap-distance-right:0" from="82.799995pt,7.553258pt" to="222.959992pt,7.553258pt" stroked="true" strokeweight=".72pt" strokecolor="#000000">
            <w10:wrap type="topAndBottom"/>
          </v:line>
        </w:pict>
      </w:r>
    </w:p>
    <w:p>
      <w:pPr>
        <w:spacing w:line="244" w:lineRule="auto" w:before="36"/>
        <w:ind w:left="116" w:right="259" w:firstLine="0"/>
        <w:jc w:val="left"/>
        <w:rPr>
          <w:sz w:val="19"/>
        </w:rPr>
      </w:pPr>
      <w:r>
        <w:rPr>
          <w:position w:val="10"/>
          <w:sz w:val="12"/>
        </w:rPr>
        <w:t>45 </w:t>
      </w:r>
      <w:r>
        <w:rPr>
          <w:sz w:val="19"/>
        </w:rPr>
        <w:t>Para una comprensión más detallada de los distintos modelos migratorios se recomienda consultar a Macías (1997:59-69) y Massey et al   (1994:701-741).</w:t>
      </w:r>
    </w:p>
    <w:p>
      <w:pPr>
        <w:pStyle w:val="BodyText"/>
        <w:spacing w:before="7"/>
        <w:rPr>
          <w:sz w:val="16"/>
        </w:rPr>
      </w:pPr>
    </w:p>
    <w:p>
      <w:pPr>
        <w:spacing w:line="244" w:lineRule="auto" w:before="0"/>
        <w:ind w:left="116" w:right="100" w:firstLine="0"/>
        <w:jc w:val="left"/>
        <w:rPr>
          <w:sz w:val="19"/>
        </w:rPr>
      </w:pPr>
      <w:r>
        <w:rPr>
          <w:position w:val="10"/>
          <w:sz w:val="12"/>
        </w:rPr>
        <w:t>46 </w:t>
      </w:r>
      <w:r>
        <w:rPr>
          <w:sz w:val="19"/>
        </w:rPr>
        <w:t>En el caso de la escuela de la CEPAL, también se considera como una fuente de emigración la descomposición de la familia  campesina</w:t>
      </w:r>
    </w:p>
    <w:p>
      <w:pPr>
        <w:spacing w:after="0" w:line="244" w:lineRule="auto"/>
        <w:jc w:val="left"/>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acción social local o regional. Su denominación proviene de la manera en que la sociedad organiza sus actividades para la obtención del sustento de sus integrantes, y de que se preocupa por describir fenómenos y modos concretos (sustanciales) del accionar económico,  pero,  también se relaciona  con el  hecho de que la actividad humana debe garantizar la sustentabilidad de la naturaleza y    la sociedad puesto que, según esta postura, la economía autorregulada conduce   al deterioro de la naturaleza y a la autodestrucción  social.</w:t>
      </w:r>
    </w:p>
    <w:p>
      <w:pPr>
        <w:pStyle w:val="BodyText"/>
        <w:rPr>
          <w:sz w:val="22"/>
        </w:rPr>
      </w:pPr>
    </w:p>
    <w:p>
      <w:pPr>
        <w:pStyle w:val="BodyText"/>
        <w:spacing w:line="364" w:lineRule="auto" w:before="155"/>
        <w:ind w:left="115" w:right="105"/>
        <w:jc w:val="both"/>
      </w:pPr>
      <w:r>
        <w:rPr/>
        <w:t>Ha sido desarrollada básicamente bajo la égida de la economía campesina a la  cual debería considerársele como un modo de producción específico. Al respecto, Chayanov (1974) desarrolló en forma integral la concepción de la organización de la unidad económica más completa de que se dispone desde 1924 y ha mostrado que sus descubrimientos acerca de la economía de la familia campesina son aplicables a otros contextos históricos donde la unidad familiar y el grado de autoexplotación de la fuerza de trabajo constituyen el  núcleo de la organización   de las actividades agrícolas, donde el principio que guía las decisiones  de  la unidad económica familiar es la valoración subjetiva del grado de autoexplotación de la fuerza de trabajo y la satisfacción de las necesidades </w:t>
      </w:r>
      <w:r>
        <w:rPr>
          <w:spacing w:val="14"/>
        </w:rPr>
        <w:t> </w:t>
      </w:r>
      <w:r>
        <w:rPr/>
        <w:t>familiares.</w:t>
      </w:r>
    </w:p>
    <w:p>
      <w:pPr>
        <w:pStyle w:val="BodyText"/>
        <w:rPr>
          <w:sz w:val="22"/>
        </w:rPr>
      </w:pPr>
    </w:p>
    <w:p>
      <w:pPr>
        <w:pStyle w:val="BodyText"/>
        <w:spacing w:line="364" w:lineRule="auto" w:before="153"/>
        <w:ind w:left="115" w:right="105"/>
        <w:jc w:val="both"/>
      </w:pPr>
      <w:r>
        <w:rPr/>
        <w:t>El trabajo de Chayanov posee una alta aplicabilidad y contemporaneidad por cuanto que él fue capaz de distinguir las interacciones y tendencias entre la economía familiar campesina y la economía capitalista incluso a nivel  mundial.  Así, cabe distinguir varios niveles de interacción, además de la dinámica interna o familiar, la comunitaria, la regional y la mundial. Por ejemplo, los cambios en el sistema económico mundial pueden repercutir inevitablemente al interior de la actividad familiar (en mayor o menor grado) pero la unidad familiar también tiene una cierta capacidad de respuesta a los cambios provenientes de su entorno mediato e inmediato. Es decir, las economías agrícolas familiares están sujetas a fuerzas políticas y económicas que emanan de su entorno (Cacian, 1993), pero también tienen cierto grado de autonomía con respecto a ellos. Así lo destacan Adelman  y Dalton  (1971) cuando en un estudio realizado en la India   </w:t>
      </w:r>
      <w:r>
        <w:rPr>
          <w:spacing w:val="53"/>
        </w:rPr>
        <w:t> </w:t>
      </w:r>
      <w:r>
        <w:rPr/>
        <w:t>encuentran</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que a pesar de que las economías campesinas de ese país han estado en  contacto con las economías de mercado por más de cien años no por ello han perdido su carácter auto</w:t>
      </w:r>
      <w:r>
        <w:rPr>
          <w:spacing w:val="40"/>
        </w:rPr>
        <w:t> </w:t>
      </w:r>
      <w:r>
        <w:rPr/>
        <w:t>organizativo.</w:t>
      </w:r>
    </w:p>
    <w:p>
      <w:pPr>
        <w:pStyle w:val="BodyText"/>
        <w:rPr>
          <w:sz w:val="22"/>
        </w:rPr>
      </w:pPr>
    </w:p>
    <w:p>
      <w:pPr>
        <w:pStyle w:val="BodyText"/>
        <w:spacing w:line="364" w:lineRule="auto" w:before="153"/>
        <w:ind w:left="115" w:right="105"/>
        <w:jc w:val="both"/>
      </w:pPr>
      <w:r>
        <w:rPr/>
        <w:t>Entre las diferencias más notables que se pueden percibir entre la Economía Sustantivista y la Economía Formal están que en la Economía Sustantivista no aparecen categorías económicas como son el salario, la ganancia, los intereses y la renta de la tierra ni la necesidad del cálculo económico. También es notable    que la economía formal subordine los aspectos políticos y sociales  a  las  relaciones de mercado cosa que no ocurre en el caso de la  Economía  Sustantivista según </w:t>
      </w:r>
      <w:r>
        <w:rPr>
          <w:spacing w:val="2"/>
        </w:rPr>
        <w:t>la </w:t>
      </w:r>
      <w:r>
        <w:rPr/>
        <w:t>cual todas las sociedades previas habían establecido mecanismos de control y defensa frente a cualquier intento de </w:t>
      </w:r>
      <w:r>
        <w:rPr>
          <w:spacing w:val="23"/>
        </w:rPr>
        <w:t> </w:t>
      </w:r>
      <w:r>
        <w:rPr/>
        <w:t>mercantilización.</w:t>
      </w:r>
    </w:p>
    <w:p>
      <w:pPr>
        <w:pStyle w:val="BodyText"/>
        <w:rPr>
          <w:sz w:val="22"/>
        </w:rPr>
      </w:pPr>
    </w:p>
    <w:p>
      <w:pPr>
        <w:pStyle w:val="BodyText"/>
        <w:spacing w:before="8"/>
      </w:pPr>
    </w:p>
    <w:p>
      <w:pPr>
        <w:pStyle w:val="BodyText"/>
        <w:spacing w:line="364" w:lineRule="auto"/>
        <w:ind w:left="115" w:right="105"/>
        <w:jc w:val="both"/>
      </w:pPr>
      <w:r>
        <w:rPr/>
        <w:t>Varios decenios después de Chayanov, el tema es continuado por Shanin (1976) quien tiene la virtud de extender algunos conceptos apenas esbozados por Chayanov, y de ampliar el concepto de economía campesina a otros campos teóricos como lo son sus bases interdisciplinarias, comunitarias, culturales, mercantiles y su estabilidad social; estableciendo cuatro  características  prototípicas del campesinado. Dalton por su parte, tuvo la audacia y el tino suficientes para continuar enriqueciendo esta teoría hasta darle una manera cuantificable con fines de aplicarla al concepto de desarrollo rural. Otros autores, entre ellos los latinoamericanos, han continuado la discusión del  tema  confirmando que sigue siendo un asunto vigente en la palestra económica. Entre todos ellos destacan Roseberry, 1993; Cancian, 1993; Plattner,  1993;  Smith,  1993; Archetti, 1974, y Hernández,</w:t>
      </w:r>
      <w:r>
        <w:rPr>
          <w:spacing w:val="45"/>
        </w:rPr>
        <w:t> </w:t>
      </w:r>
      <w:r>
        <w:rPr/>
        <w:t>2002.</w:t>
      </w:r>
    </w:p>
    <w:p>
      <w:pPr>
        <w:pStyle w:val="BodyText"/>
        <w:rPr>
          <w:sz w:val="22"/>
        </w:rPr>
      </w:pPr>
    </w:p>
    <w:p>
      <w:pPr>
        <w:pStyle w:val="BodyText"/>
        <w:spacing w:line="364" w:lineRule="auto" w:before="155"/>
        <w:ind w:left="115" w:right="107"/>
        <w:jc w:val="both"/>
      </w:pPr>
      <w:r>
        <w:rPr/>
        <w:t>El planteamiento de Chayanov ha sido un pilar muy importante en el desarrollo del pensamiento campesinista mexicano donde puede destacarse a Bartra (1974), Palerm (1980), Warman (1983) y Bartra (1998), para quien más del 20% de la población mexicana son campesinos.</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6"/>
        <w:jc w:val="both"/>
      </w:pPr>
      <w:r>
        <w:rPr/>
        <w:t>En 1987, Toledo hace patente su preocupación en torno a las repercusiones ecológicas que el desarrollo económico podría tener sobre la dinámica de la economía campesina; al mismo tiempo que puso en claro la importancia que el equilibrio ecológico tiene para los campesinos y la conciencia que ellos tienen al respecto. Ya con anticipación Martínez (1988) había estado reelaborando el concepto de unidad doméstica de producción agrícola, el cual, según dicho autor, “incluye a toda aquella gama amplia y rica de posibles adaptaciones ecológicas y económicas al medio agrícola nacional de las poblaciones  campesinas”.</w:t>
      </w:r>
    </w:p>
    <w:p>
      <w:pPr>
        <w:pStyle w:val="BodyText"/>
        <w:spacing w:before="2"/>
        <w:rPr>
          <w:sz w:val="32"/>
        </w:rPr>
      </w:pPr>
    </w:p>
    <w:p>
      <w:pPr>
        <w:pStyle w:val="ListParagraph"/>
        <w:numPr>
          <w:ilvl w:val="0"/>
          <w:numId w:val="4"/>
        </w:numPr>
        <w:tabs>
          <w:tab w:pos="428" w:val="left" w:leader="none"/>
        </w:tabs>
        <w:spacing w:line="364" w:lineRule="auto" w:before="1" w:after="0"/>
        <w:ind w:left="116" w:right="105" w:firstLine="0"/>
        <w:jc w:val="both"/>
        <w:rPr>
          <w:sz w:val="23"/>
        </w:rPr>
      </w:pPr>
      <w:r>
        <w:rPr>
          <w:sz w:val="23"/>
        </w:rPr>
        <w:t>Desde el punto de vista de la Economía Institucional</w:t>
      </w:r>
      <w:r>
        <w:rPr>
          <w:position w:val="11"/>
          <w:sz w:val="15"/>
        </w:rPr>
        <w:t>47</w:t>
      </w:r>
      <w:r>
        <w:rPr>
          <w:sz w:val="23"/>
        </w:rPr>
        <w:t>, la emigración es un campo que ha requerido de la creación y el aprovechamiento de modalidades de cooperación (financiada o filantrópica) entre los migrantes y otros tipos de agentes y la consideración de organizaciones que facilitan o restringen, según sea el caso, el acceso a los mercados externos de trabajo: En este ámbito destacan las redes sociales, la familia, los traficantes de mano de obra, los guías altruistas los cuales contribuyen a la supervivencia de los migrantes (De Janvry </w:t>
      </w:r>
      <w:r>
        <w:rPr>
          <w:i/>
          <w:sz w:val="23"/>
        </w:rPr>
        <w:t>et  al</w:t>
      </w:r>
      <w:r>
        <w:rPr>
          <w:sz w:val="23"/>
        </w:rPr>
        <w:t>,  1997:15;  Cebada, 2000:354-357, y Moctezuma, 2000:396-398), y los mecanismos instrumentales mediante los cuales se ejecuta la política inmigratoria (Cuamea, 2001:333, y Hamann,</w:t>
      </w:r>
      <w:r>
        <w:rPr>
          <w:spacing w:val="34"/>
          <w:sz w:val="23"/>
        </w:rPr>
        <w:t> </w:t>
      </w:r>
      <w:r>
        <w:rPr>
          <w:sz w:val="23"/>
        </w:rPr>
        <w:t>2001:5).</w:t>
      </w:r>
    </w:p>
    <w:p>
      <w:pPr>
        <w:pStyle w:val="BodyText"/>
        <w:rPr>
          <w:sz w:val="22"/>
        </w:rPr>
      </w:pPr>
    </w:p>
    <w:p>
      <w:pPr>
        <w:pStyle w:val="ListParagraph"/>
        <w:numPr>
          <w:ilvl w:val="0"/>
          <w:numId w:val="4"/>
        </w:numPr>
        <w:tabs>
          <w:tab w:pos="397" w:val="left" w:leader="none"/>
        </w:tabs>
        <w:spacing w:line="364" w:lineRule="auto" w:before="155" w:after="0"/>
        <w:ind w:left="116" w:right="104" w:firstLine="0"/>
        <w:jc w:val="both"/>
        <w:rPr>
          <w:sz w:val="23"/>
        </w:rPr>
      </w:pPr>
      <w:r>
        <w:rPr>
          <w:sz w:val="23"/>
        </w:rPr>
        <w:t>Abarcando en parte lo arriba descrito, destaca por su amplitud y trascendencia  la Teoría del Sistema Migratorio Mundial, la cual engloba en forma organizada a la teoría de las fuerzas que empujan más las fuerzas que jalan (push-pull) y la causación cumulativa como un conjunto de factores, históricos, sociales, demográficos, económicos y políticos que se van sumando y  reforzando, pero  bajo una clara predominancia de la influencia que la economía de las metrópolis ejercen sobre las áreas periféricas (Alba, 1993:743-749; Aragonés, 2001:323-332,  y Smith,</w:t>
      </w:r>
      <w:r>
        <w:rPr>
          <w:spacing w:val="26"/>
          <w:sz w:val="23"/>
        </w:rPr>
        <w:t> </w:t>
      </w:r>
      <w:r>
        <w:rPr>
          <w:sz w:val="23"/>
        </w:rPr>
        <w:t>2000:290-303).</w:t>
      </w:r>
    </w:p>
    <w:p>
      <w:pPr>
        <w:pStyle w:val="BodyText"/>
        <w:rPr>
          <w:sz w:val="20"/>
        </w:rPr>
      </w:pPr>
    </w:p>
    <w:p>
      <w:pPr>
        <w:pStyle w:val="BodyText"/>
        <w:rPr>
          <w:sz w:val="20"/>
        </w:rPr>
      </w:pPr>
    </w:p>
    <w:p>
      <w:pPr>
        <w:pStyle w:val="BodyText"/>
        <w:spacing w:before="6"/>
        <w:rPr>
          <w:sz w:val="27"/>
        </w:rPr>
      </w:pPr>
      <w:r>
        <w:rPr/>
        <w:pict>
          <v:line style="position:absolute;mso-position-horizontal-relative:page;mso-position-vertical-relative:paragraph;z-index:1696;mso-wrap-distance-left:0;mso-wrap-distance-right:0" from="82.799995pt,18.163687pt" to="222.959992pt,18.163687pt" stroked="true" strokeweight=".72pt" strokecolor="#000000">
            <w10:wrap type="topAndBottom"/>
          </v:line>
        </w:pict>
      </w:r>
    </w:p>
    <w:p>
      <w:pPr>
        <w:spacing w:line="244" w:lineRule="auto" w:before="39"/>
        <w:ind w:left="115" w:right="34" w:firstLine="0"/>
        <w:jc w:val="left"/>
        <w:rPr>
          <w:sz w:val="19"/>
        </w:rPr>
      </w:pPr>
      <w:r>
        <w:rPr>
          <w:position w:val="10"/>
          <w:sz w:val="12"/>
        </w:rPr>
        <w:t>47 </w:t>
      </w:r>
      <w:r>
        <w:rPr>
          <w:sz w:val="19"/>
        </w:rPr>
        <w:t>Los incentivos económicos están orientados por las instituciones las cuales son arreglos normativos para regular la convivencia  social.</w:t>
      </w:r>
    </w:p>
    <w:p>
      <w:pPr>
        <w:spacing w:after="0" w:line="244" w:lineRule="auto"/>
        <w:jc w:val="left"/>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ListParagraph"/>
        <w:numPr>
          <w:ilvl w:val="0"/>
          <w:numId w:val="4"/>
        </w:numPr>
        <w:tabs>
          <w:tab w:pos="457" w:val="left" w:leader="none"/>
        </w:tabs>
        <w:spacing w:line="364" w:lineRule="auto" w:before="74" w:after="0"/>
        <w:ind w:left="116" w:right="105" w:firstLine="0"/>
        <w:jc w:val="both"/>
        <w:rPr>
          <w:sz w:val="23"/>
        </w:rPr>
      </w:pPr>
      <w:r>
        <w:rPr>
          <w:sz w:val="23"/>
        </w:rPr>
        <w:t>Por otra parte, el estudio del mercado libre del trabajo concluye que las restricciones impuestas a los mercados nacionales redundan en la conformación  de un contingente de desempleados (Ferguson y Gould,  1982:383)  que estarían en la posibilidad de incorporarse a los flujos migratorios. Sin embargo, en un modelo de economía abierta, en donde el trabajo es considerado como una mercadería cualquiera, los excesos en la  oferta de mano de obra tenderían a  llenar el vacío que implica el exceso de demanda mediante el traslado voluntario  de la fuerza de trabajo hacia los países en donde prevalecerían los salarios más altos (Gemmell y Papps, 1991:45-51), a lo cual se agrega los efectos del tipo de cambio</w:t>
      </w:r>
      <w:r>
        <w:rPr>
          <w:spacing w:val="32"/>
          <w:sz w:val="23"/>
        </w:rPr>
        <w:t> </w:t>
      </w:r>
      <w:r>
        <w:rPr>
          <w:sz w:val="23"/>
        </w:rPr>
        <w:t>históricamente</w:t>
      </w:r>
      <w:r>
        <w:rPr>
          <w:spacing w:val="32"/>
          <w:sz w:val="23"/>
        </w:rPr>
        <w:t> </w:t>
      </w:r>
      <w:r>
        <w:rPr>
          <w:sz w:val="23"/>
        </w:rPr>
        <w:t>subvaluado</w:t>
      </w:r>
      <w:r>
        <w:rPr>
          <w:spacing w:val="35"/>
          <w:sz w:val="23"/>
        </w:rPr>
        <w:t> </w:t>
      </w:r>
      <w:r>
        <w:rPr>
          <w:sz w:val="23"/>
        </w:rPr>
        <w:t>en</w:t>
      </w:r>
      <w:r>
        <w:rPr>
          <w:spacing w:val="32"/>
          <w:sz w:val="23"/>
        </w:rPr>
        <w:t> </w:t>
      </w:r>
      <w:r>
        <w:rPr>
          <w:sz w:val="23"/>
        </w:rPr>
        <w:t>términos</w:t>
      </w:r>
      <w:r>
        <w:rPr>
          <w:spacing w:val="34"/>
          <w:sz w:val="23"/>
        </w:rPr>
        <w:t> </w:t>
      </w:r>
      <w:r>
        <w:rPr>
          <w:sz w:val="23"/>
        </w:rPr>
        <w:t>de</w:t>
      </w:r>
      <w:r>
        <w:rPr>
          <w:spacing w:val="32"/>
          <w:sz w:val="23"/>
        </w:rPr>
        <w:t> </w:t>
      </w:r>
      <w:r>
        <w:rPr>
          <w:sz w:val="23"/>
        </w:rPr>
        <w:t>moneda</w:t>
      </w:r>
      <w:r>
        <w:rPr>
          <w:spacing w:val="35"/>
          <w:sz w:val="23"/>
        </w:rPr>
        <w:t> </w:t>
      </w:r>
      <w:r>
        <w:rPr>
          <w:sz w:val="23"/>
        </w:rPr>
        <w:t>periférica/moneda</w:t>
      </w:r>
      <w:r>
        <w:rPr>
          <w:spacing w:val="32"/>
          <w:sz w:val="23"/>
        </w:rPr>
        <w:t> </w:t>
      </w:r>
      <w:r>
        <w:rPr>
          <w:sz w:val="23"/>
        </w:rPr>
        <w:t>de</w:t>
      </w:r>
    </w:p>
    <w:p>
      <w:pPr>
        <w:pStyle w:val="BodyText"/>
        <w:spacing w:line="270" w:lineRule="exact"/>
        <w:ind w:left="115"/>
        <w:jc w:val="both"/>
      </w:pPr>
      <w:r>
        <w:rPr/>
        <w:t>la metrópoli</w:t>
      </w:r>
      <w:r>
        <w:rPr>
          <w:position w:val="11"/>
          <w:sz w:val="15"/>
        </w:rPr>
        <w:t>48</w:t>
      </w:r>
      <w:r>
        <w:rPr/>
        <w:t>.</w:t>
      </w:r>
    </w:p>
    <w:p>
      <w:pPr>
        <w:pStyle w:val="BodyText"/>
        <w:rPr>
          <w:sz w:val="28"/>
        </w:rPr>
      </w:pPr>
    </w:p>
    <w:p>
      <w:pPr>
        <w:pStyle w:val="BodyText"/>
        <w:spacing w:line="355" w:lineRule="auto" w:before="220"/>
        <w:ind w:left="115" w:right="106"/>
        <w:jc w:val="both"/>
      </w:pPr>
      <w:r>
        <w:rPr/>
        <w:t>Bajo el argumento de la protección a la mano de obra local, los países  importadores de trabajo pueden imponer varios tipos de restricciones al flujo de fuerza de trabajo, lo cual constituiría un impedimento para la igualación de los salarios, descontados estos por los costos de la </w:t>
      </w:r>
      <w:r>
        <w:rPr>
          <w:spacing w:val="10"/>
        </w:rPr>
        <w:t> </w:t>
      </w:r>
      <w:r>
        <w:rPr/>
        <w:t>emigración</w:t>
      </w:r>
      <w:r>
        <w:rPr>
          <w:position w:val="11"/>
          <w:sz w:val="15"/>
        </w:rPr>
        <w:t>49</w:t>
      </w:r>
      <w:r>
        <w:rPr/>
        <w:t>.</w:t>
      </w:r>
    </w:p>
    <w:p>
      <w:pPr>
        <w:pStyle w:val="BodyText"/>
        <w:rPr>
          <w:sz w:val="28"/>
        </w:rPr>
      </w:pPr>
    </w:p>
    <w:p>
      <w:pPr>
        <w:pStyle w:val="BodyText"/>
        <w:rPr>
          <w:sz w:val="27"/>
        </w:rPr>
      </w:pPr>
    </w:p>
    <w:p>
      <w:pPr>
        <w:pStyle w:val="BodyText"/>
        <w:spacing w:line="364" w:lineRule="auto" w:before="1"/>
        <w:ind w:left="116" w:right="105"/>
        <w:jc w:val="both"/>
      </w:pPr>
      <w:r>
        <w:rPr/>
        <w:t>Además, el funcionamiento del mercado del trabajo también puede verse afectado por restricciones a la libre movilidad de la mano de obra, características de los mercados carentes de capilaridad social. En este tipo de mercados es posible encontrar que el mercado laboral se haya segmentado por razones técnicas o sociales dando lugar, frecuentemente, al subempleo, estrato del cual se podría estar nutriendo profusamente el proceso de emigración (Maloney, 1998:1-25; Muñoz, 1992:106-113; Márquez y Ross, 1990:343; Cooper, 1996:57-59, y Mazumdar, 1983:254), pudiendo así mismo caer, los migrantes, en mercados segmentados de la</w:t>
      </w:r>
      <w:r>
        <w:rPr>
          <w:spacing w:val="35"/>
        </w:rPr>
        <w:t> </w:t>
      </w:r>
      <w:r>
        <w:rPr/>
        <w:t>metrópoli.</w:t>
      </w:r>
    </w:p>
    <w:p>
      <w:pPr>
        <w:pStyle w:val="BodyText"/>
        <w:rPr>
          <w:sz w:val="20"/>
        </w:rPr>
      </w:pPr>
    </w:p>
    <w:p>
      <w:pPr>
        <w:pStyle w:val="BodyText"/>
        <w:spacing w:before="6"/>
        <w:rPr>
          <w:sz w:val="19"/>
        </w:rPr>
      </w:pPr>
      <w:r>
        <w:rPr/>
        <w:pict>
          <v:line style="position:absolute;mso-position-horizontal-relative:page;mso-position-vertical-relative:paragraph;z-index:1720;mso-wrap-distance-left:0;mso-wrap-distance-right:0" from="82.799995pt,13.582705pt" to="222.959992pt,13.582705pt" stroked="true" strokeweight=".72pt" strokecolor="#000000">
            <w10:wrap type="topAndBottom"/>
          </v:line>
        </w:pict>
      </w:r>
    </w:p>
    <w:p>
      <w:pPr>
        <w:spacing w:before="39"/>
        <w:ind w:left="115" w:right="0" w:firstLine="0"/>
        <w:jc w:val="both"/>
        <w:rPr>
          <w:sz w:val="19"/>
        </w:rPr>
      </w:pPr>
      <w:r>
        <w:rPr>
          <w:position w:val="10"/>
          <w:sz w:val="12"/>
        </w:rPr>
        <w:t>48  </w:t>
      </w:r>
      <w:r>
        <w:rPr>
          <w:sz w:val="19"/>
        </w:rPr>
        <w:t>Este enfoque es compatible con la visión de Todaro (1987) el cual es discutido más   abajo.</w:t>
      </w:r>
    </w:p>
    <w:p>
      <w:pPr>
        <w:spacing w:line="247" w:lineRule="auto" w:before="193"/>
        <w:ind w:left="116" w:right="105" w:firstLine="0"/>
        <w:jc w:val="both"/>
        <w:rPr>
          <w:sz w:val="19"/>
        </w:rPr>
      </w:pPr>
      <w:r>
        <w:rPr>
          <w:position w:val="10"/>
          <w:sz w:val="12"/>
        </w:rPr>
        <w:t>49  </w:t>
      </w:r>
      <w:r>
        <w:rPr>
          <w:sz w:val="19"/>
        </w:rPr>
        <w:t>Para ver como la evolución de las condiciones  del mercado de trabajo en los  Estados Unidos  han influido en la inmigración de mano de obra puede consultarse a Freeman (1980:349,350) para   el periodo 1900-1978 y Pescador (1998:927-932) y Bustamante (2000:18-44) para el periodo subsecuente.</w:t>
      </w:r>
    </w:p>
    <w:p>
      <w:pPr>
        <w:spacing w:after="0" w:line="247"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0" w:lineRule="auto" w:before="74"/>
        <w:ind w:left="115" w:right="105"/>
        <w:jc w:val="both"/>
      </w:pPr>
      <w:r>
        <w:rPr/>
        <w:t>Los enfoques 3) y 4) se acercan un poco al paradigma holístico de la emigración. Sin embargo para que su conversión fuera posible tendrían que ser sujetos de algunas transformaciones que van más allá del interés de este trabajo. Es decir, tanto el modelo microeconómico como el sistema migratorio  mundial  tienen  alguna posibilidad de convertirse, cada uno por su lado, en un modelo de carácter holístico</w:t>
      </w:r>
      <w:r>
        <w:rPr>
          <w:position w:val="11"/>
          <w:sz w:val="15"/>
        </w:rPr>
        <w:t>50</w:t>
      </w:r>
      <w:r>
        <w:rPr/>
        <w:t>.</w:t>
      </w:r>
    </w:p>
    <w:p>
      <w:pPr>
        <w:pStyle w:val="BodyText"/>
        <w:spacing w:before="1"/>
        <w:rPr>
          <w:sz w:val="34"/>
        </w:rPr>
      </w:pPr>
    </w:p>
    <w:p>
      <w:pPr>
        <w:pStyle w:val="BodyText"/>
        <w:spacing w:line="364" w:lineRule="auto"/>
        <w:ind w:left="115" w:right="100"/>
        <w:jc w:val="both"/>
      </w:pPr>
      <w:r>
        <w:rPr/>
        <w:t>En </w:t>
      </w:r>
      <w:r>
        <w:rPr>
          <w:spacing w:val="-3"/>
        </w:rPr>
        <w:t>una aproximación inicial, el cuadro  </w:t>
      </w:r>
      <w:r>
        <w:rPr/>
        <w:t>6 </w:t>
      </w:r>
      <w:r>
        <w:rPr>
          <w:spacing w:val="-3"/>
        </w:rPr>
        <w:t>(</w:t>
      </w:r>
      <w:r>
        <w:rPr>
          <w:i/>
          <w:spacing w:val="-3"/>
        </w:rPr>
        <w:t>infra</w:t>
      </w:r>
      <w:r>
        <w:rPr>
          <w:spacing w:val="-3"/>
        </w:rPr>
        <w:t>)  presenta  una  forma,  </w:t>
      </w:r>
      <w:r>
        <w:rPr/>
        <w:t>muy </w:t>
      </w:r>
      <w:r>
        <w:rPr>
          <w:spacing w:val="-3"/>
        </w:rPr>
        <w:t>simple pero </w:t>
      </w:r>
      <w:r>
        <w:rPr/>
        <w:t>a la </w:t>
      </w:r>
      <w:r>
        <w:rPr>
          <w:spacing w:val="-3"/>
        </w:rPr>
        <w:t>vez </w:t>
      </w:r>
      <w:r>
        <w:rPr/>
        <w:t>muy útil </w:t>
      </w:r>
      <w:r>
        <w:rPr>
          <w:spacing w:val="-3"/>
        </w:rPr>
        <w:t>de clasificar </w:t>
      </w:r>
      <w:r>
        <w:rPr/>
        <w:t>a la </w:t>
      </w:r>
      <w:r>
        <w:rPr>
          <w:spacing w:val="-3"/>
        </w:rPr>
        <w:t>migración. </w:t>
      </w:r>
      <w:r>
        <w:rPr/>
        <w:t>En </w:t>
      </w:r>
      <w:r>
        <w:rPr>
          <w:spacing w:val="-3"/>
        </w:rPr>
        <w:t>dicho cuadro </w:t>
      </w:r>
      <w:r>
        <w:rPr/>
        <w:t>se </w:t>
      </w:r>
      <w:r>
        <w:rPr>
          <w:spacing w:val="-3"/>
        </w:rPr>
        <w:t>aprecian tres modalidades migratorias: </w:t>
      </w:r>
      <w:r>
        <w:rPr/>
        <w:t>1) </w:t>
      </w:r>
      <w:r>
        <w:rPr>
          <w:spacing w:val="-3"/>
        </w:rPr>
        <w:t>compulsiva (política </w:t>
      </w:r>
      <w:r>
        <w:rPr/>
        <w:t>o </w:t>
      </w:r>
      <w:r>
        <w:rPr>
          <w:spacing w:val="-3"/>
        </w:rPr>
        <w:t>religiosa), </w:t>
      </w:r>
      <w:r>
        <w:rPr/>
        <w:t>2) </w:t>
      </w:r>
      <w:r>
        <w:rPr>
          <w:spacing w:val="-3"/>
        </w:rPr>
        <w:t>Socioafectiva (estrictamente social) </w:t>
      </w:r>
      <w:r>
        <w:rPr/>
        <w:t>y 3) </w:t>
      </w:r>
      <w:r>
        <w:rPr>
          <w:spacing w:val="-3"/>
        </w:rPr>
        <w:t>económica (por empleo </w:t>
      </w:r>
      <w:r>
        <w:rPr>
          <w:spacing w:val="-4"/>
        </w:rPr>
        <w:t>y/o </w:t>
      </w:r>
      <w:r>
        <w:rPr/>
        <w:t>más </w:t>
      </w:r>
      <w:r>
        <w:rPr>
          <w:spacing w:val="-3"/>
        </w:rPr>
        <w:t>ingreso). </w:t>
      </w:r>
      <w:r>
        <w:rPr/>
        <w:t>En el </w:t>
      </w:r>
      <w:r>
        <w:rPr>
          <w:spacing w:val="-3"/>
        </w:rPr>
        <w:t>segundo caso, </w:t>
      </w:r>
      <w:r>
        <w:rPr/>
        <w:t>los </w:t>
      </w:r>
      <w:r>
        <w:rPr>
          <w:spacing w:val="-3"/>
        </w:rPr>
        <w:t>objetivos que </w:t>
      </w:r>
      <w:r>
        <w:rPr/>
        <w:t>se les </w:t>
      </w:r>
      <w:r>
        <w:rPr>
          <w:spacing w:val="-3"/>
        </w:rPr>
        <w:t>supone </w:t>
      </w:r>
      <w:r>
        <w:rPr/>
        <w:t>a los </w:t>
      </w:r>
      <w:r>
        <w:rPr>
          <w:spacing w:val="-4"/>
        </w:rPr>
        <w:t>migrantes </w:t>
      </w:r>
      <w:r>
        <w:rPr/>
        <w:t>se </w:t>
      </w:r>
      <w:r>
        <w:rPr>
          <w:spacing w:val="-3"/>
        </w:rPr>
        <w:t>expresan en </w:t>
      </w:r>
      <w:r>
        <w:rPr/>
        <w:t>las </w:t>
      </w:r>
      <w:r>
        <w:rPr>
          <w:spacing w:val="-3"/>
        </w:rPr>
        <w:t>mismas variables que aparecen </w:t>
      </w:r>
      <w:r>
        <w:rPr/>
        <w:t>en </w:t>
      </w:r>
      <w:r>
        <w:rPr>
          <w:spacing w:val="-3"/>
        </w:rPr>
        <w:t>el tercero, </w:t>
      </w:r>
      <w:r>
        <w:rPr/>
        <w:t>a </w:t>
      </w:r>
      <w:r>
        <w:rPr>
          <w:spacing w:val="-3"/>
        </w:rPr>
        <w:t>pesar de que </w:t>
      </w:r>
      <w:r>
        <w:rPr/>
        <w:t>este </w:t>
      </w:r>
      <w:r>
        <w:rPr>
          <w:spacing w:val="-3"/>
        </w:rPr>
        <w:t>último es </w:t>
      </w:r>
      <w:r>
        <w:rPr/>
        <w:t>de una  </w:t>
      </w:r>
      <w:r>
        <w:rPr>
          <w:spacing w:val="-3"/>
        </w:rPr>
        <w:t>naturaleza diferente </w:t>
      </w:r>
      <w:r>
        <w:rPr/>
        <w:t>al</w:t>
      </w:r>
      <w:r>
        <w:rPr>
          <w:spacing w:val="34"/>
        </w:rPr>
        <w:t> </w:t>
      </w:r>
      <w:r>
        <w:rPr>
          <w:spacing w:val="-3"/>
        </w:rPr>
        <w:t>anterior.</w:t>
      </w:r>
    </w:p>
    <w:p>
      <w:pPr>
        <w:pStyle w:val="BodyText"/>
        <w:rPr>
          <w:sz w:val="22"/>
        </w:rPr>
      </w:pPr>
    </w:p>
    <w:p>
      <w:pPr>
        <w:pStyle w:val="BodyText"/>
        <w:spacing w:line="364" w:lineRule="auto" w:before="155"/>
        <w:ind w:left="115" w:right="104"/>
        <w:jc w:val="both"/>
      </w:pPr>
      <w:r>
        <w:rPr/>
        <w:t>En cambio en el primero, si un individuo es perseguido, la vida de sus familiares y la suya propia está expuesta al riesgo. Bajo esa situación, la migración  se  convierte en un acto de supervivencia y por ello es totalmente racional. Tarde o temprano el migrante y/o la familia podrán alcanzar un determinado nivel de vida gracias a que han podido conservarse unidos, sanos y salvos. En este caso la obtención de tales beneficios significa la posibilidad de perpetuar el periodo de consumo.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0"/>
        </w:rPr>
      </w:pPr>
      <w:r>
        <w:rPr/>
        <w:pict>
          <v:line style="position:absolute;mso-position-horizontal-relative:page;mso-position-vertical-relative:paragraph;z-index:1744;mso-wrap-distance-left:0;mso-wrap-distance-right:0" from="82.799995pt,14.38658pt" to="222.959992pt,14.38658pt" stroked="true" strokeweight=".72pt" strokecolor="#000000">
            <w10:wrap type="topAndBottom"/>
          </v:line>
        </w:pict>
      </w:r>
    </w:p>
    <w:p>
      <w:pPr>
        <w:spacing w:line="283" w:lineRule="auto" w:before="39"/>
        <w:ind w:left="116" w:right="105" w:firstLine="0"/>
        <w:jc w:val="both"/>
        <w:rPr>
          <w:sz w:val="19"/>
        </w:rPr>
      </w:pPr>
      <w:r>
        <w:rPr>
          <w:position w:val="10"/>
          <w:sz w:val="12"/>
        </w:rPr>
        <w:t>50 </w:t>
      </w:r>
      <w:r>
        <w:rPr>
          <w:sz w:val="19"/>
        </w:rPr>
        <w:t>En el primer caso, esto ocurriría si dejamos de lado el formalismo implícito en la relaciones de oferta y demanda y profundizamos en la evolución histórica de sus factores y además complementamos lo anterior con un análisis del entorno institucional (incluyendo costos de transacción, asimetrías de información, poder de mercado e instituciones pertinentes al proceso migratorio). En el segundo caso, si al estado actual de la teoría agregamos los elementos que provienen de la existencia de necesidades socioafectivas y de las presiones que surgen de las desigualdades en la distribución del ingreso, sólo nos faltaría para hacerlo operativo darle una representación matemática a todas aquellas relaciones que sean susceptibles de   ello.</w:t>
      </w:r>
    </w:p>
    <w:p>
      <w:pPr>
        <w:spacing w:after="0" w:line="283" w:lineRule="auto"/>
        <w:jc w:val="both"/>
        <w:rPr>
          <w:sz w:val="19"/>
        </w:rPr>
        <w:sectPr>
          <w:footerReference w:type="default" r:id="rId24"/>
          <w:pgSz w:w="11900" w:h="16840"/>
          <w:pgMar w:footer="1679" w:header="0" w:top="1600" w:bottom="1860" w:left="1540" w:right="1580"/>
          <w:pgNumType w:start="40"/>
        </w:sectPr>
      </w:pPr>
    </w:p>
    <w:p>
      <w:pPr>
        <w:pStyle w:val="BodyText"/>
        <w:rPr>
          <w:sz w:val="20"/>
        </w:rPr>
      </w:pPr>
    </w:p>
    <w:p>
      <w:pPr>
        <w:pStyle w:val="BodyText"/>
        <w:spacing w:before="5"/>
        <w:rPr>
          <w:sz w:val="16"/>
        </w:rPr>
      </w:pPr>
    </w:p>
    <w:p>
      <w:pPr>
        <w:pStyle w:val="Heading4"/>
        <w:spacing w:line="364" w:lineRule="auto" w:before="74"/>
        <w:ind w:left="3107" w:right="245" w:hanging="2772"/>
      </w:pPr>
      <w:r>
        <w:rPr/>
        <w:t>Cuadro 5. Beneficios esperados de la emigración y variables económicas en las cuales se manifiestan</w:t>
      </w:r>
    </w:p>
    <w:p>
      <w:pPr>
        <w:pStyle w:val="BodyText"/>
        <w:spacing w:before="6"/>
        <w:rPr>
          <w:b/>
          <w:sz w:val="17"/>
        </w:rPr>
      </w:pPr>
    </w:p>
    <w:tbl>
      <w:tblPr>
        <w:tblW w:w="0" w:type="auto"/>
        <w:jc w:val="left"/>
        <w:tblInd w:w="11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841"/>
        <w:gridCol w:w="2663"/>
        <w:gridCol w:w="4187"/>
      </w:tblGrid>
      <w:tr>
        <w:trPr>
          <w:trHeight w:val="643" w:hRule="exact"/>
        </w:trPr>
        <w:tc>
          <w:tcPr>
            <w:tcW w:w="1841" w:type="dxa"/>
            <w:tcBorders>
              <w:bottom w:val="single" w:sz="6" w:space="0" w:color="000000"/>
              <w:right w:val="single" w:sz="6" w:space="0" w:color="000000"/>
            </w:tcBorders>
          </w:tcPr>
          <w:p>
            <w:pPr>
              <w:pStyle w:val="TableParagraph"/>
              <w:spacing w:line="244" w:lineRule="auto" w:before="52"/>
              <w:ind w:left="196" w:right="87" w:hanging="99"/>
              <w:jc w:val="left"/>
              <w:rPr>
                <w:b/>
                <w:sz w:val="19"/>
              </w:rPr>
            </w:pPr>
            <w:r>
              <w:rPr>
                <w:b/>
                <w:sz w:val="19"/>
              </w:rPr>
              <w:t>NATURALEZA DE LA MIGRACION</w:t>
            </w:r>
          </w:p>
        </w:tc>
        <w:tc>
          <w:tcPr>
            <w:tcW w:w="2663" w:type="dxa"/>
            <w:tcBorders>
              <w:left w:val="single" w:sz="6" w:space="0" w:color="000000"/>
              <w:bottom w:val="single" w:sz="6" w:space="0" w:color="000000"/>
              <w:right w:val="single" w:sz="5" w:space="0" w:color="000000"/>
            </w:tcBorders>
          </w:tcPr>
          <w:p>
            <w:pPr>
              <w:pStyle w:val="TableParagraph"/>
              <w:spacing w:line="312" w:lineRule="auto" w:before="52"/>
              <w:ind w:left="724" w:right="712" w:firstLine="16"/>
              <w:jc w:val="left"/>
              <w:rPr>
                <w:b/>
                <w:sz w:val="19"/>
              </w:rPr>
            </w:pPr>
            <w:r>
              <w:rPr>
                <w:b/>
                <w:sz w:val="19"/>
              </w:rPr>
              <w:t>BENEFICIOS ESPERADOS</w:t>
            </w:r>
          </w:p>
        </w:tc>
        <w:tc>
          <w:tcPr>
            <w:tcW w:w="4187" w:type="dxa"/>
            <w:tcBorders>
              <w:left w:val="single" w:sz="5" w:space="0" w:color="000000"/>
              <w:bottom w:val="single" w:sz="6" w:space="0" w:color="000000"/>
            </w:tcBorders>
          </w:tcPr>
          <w:p>
            <w:pPr>
              <w:pStyle w:val="TableParagraph"/>
              <w:spacing w:before="52"/>
              <w:ind w:left="446" w:right="435"/>
              <w:jc w:val="center"/>
              <w:rPr>
                <w:b/>
                <w:sz w:val="19"/>
              </w:rPr>
            </w:pPr>
            <w:r>
              <w:rPr>
                <w:b/>
                <w:sz w:val="19"/>
              </w:rPr>
              <w:t>VARIABLES  ECONOMICAS</w:t>
            </w:r>
          </w:p>
          <w:p>
            <w:pPr>
              <w:pStyle w:val="TableParagraph"/>
              <w:spacing w:before="64"/>
              <w:ind w:left="446" w:right="439"/>
              <w:jc w:val="center"/>
              <w:rPr>
                <w:b/>
                <w:sz w:val="19"/>
              </w:rPr>
            </w:pPr>
            <w:r>
              <w:rPr>
                <w:b/>
                <w:sz w:val="19"/>
              </w:rPr>
              <w:t>EN LAS CUALES SE  MANIFIESTAN</w:t>
            </w:r>
          </w:p>
        </w:tc>
      </w:tr>
      <w:tr>
        <w:trPr>
          <w:trHeight w:val="1117" w:hRule="exact"/>
        </w:trPr>
        <w:tc>
          <w:tcPr>
            <w:tcW w:w="1841" w:type="dxa"/>
            <w:tcBorders>
              <w:top w:val="single" w:sz="6" w:space="0" w:color="000000"/>
              <w:bottom w:val="single" w:sz="5" w:space="0" w:color="000000"/>
              <w:right w:val="single" w:sz="6" w:space="0" w:color="000000"/>
            </w:tcBorders>
          </w:tcPr>
          <w:p>
            <w:pPr>
              <w:pStyle w:val="TableParagraph"/>
              <w:spacing w:before="0"/>
              <w:jc w:val="left"/>
              <w:rPr>
                <w:b/>
                <w:sz w:val="20"/>
              </w:rPr>
            </w:pPr>
          </w:p>
          <w:p>
            <w:pPr>
              <w:pStyle w:val="TableParagraph"/>
              <w:spacing w:before="134"/>
              <w:ind w:left="176" w:right="179"/>
              <w:jc w:val="center"/>
              <w:rPr>
                <w:b/>
                <w:sz w:val="21"/>
              </w:rPr>
            </w:pPr>
            <w:r>
              <w:rPr>
                <w:b/>
                <w:sz w:val="21"/>
              </w:rPr>
              <w:t>Compulsiva</w:t>
            </w:r>
          </w:p>
        </w:tc>
        <w:tc>
          <w:tcPr>
            <w:tcW w:w="2663" w:type="dxa"/>
            <w:tcBorders>
              <w:top w:val="single" w:sz="6" w:space="0" w:color="000000"/>
              <w:left w:val="single" w:sz="6" w:space="0" w:color="000000"/>
              <w:bottom w:val="single" w:sz="5" w:space="0" w:color="000000"/>
              <w:right w:val="single" w:sz="5" w:space="0" w:color="000000"/>
            </w:tcBorders>
          </w:tcPr>
          <w:p>
            <w:pPr>
              <w:pStyle w:val="TableParagraph"/>
              <w:spacing w:line="244" w:lineRule="auto" w:before="60"/>
              <w:ind w:left="55" w:right="140"/>
              <w:jc w:val="left"/>
              <w:rPr>
                <w:sz w:val="21"/>
              </w:rPr>
            </w:pPr>
            <w:r>
              <w:rPr>
                <w:sz w:val="21"/>
              </w:rPr>
              <w:t>Conservar la vida, la unidad familiar, la libertad política, de credo, de tránsito, etc.</w:t>
            </w:r>
          </w:p>
        </w:tc>
        <w:tc>
          <w:tcPr>
            <w:tcW w:w="4187" w:type="dxa"/>
            <w:tcBorders>
              <w:top w:val="single" w:sz="6" w:space="0" w:color="000000"/>
              <w:left w:val="single" w:sz="5" w:space="0" w:color="000000"/>
              <w:bottom w:val="single" w:sz="5" w:space="0" w:color="000000"/>
            </w:tcBorders>
          </w:tcPr>
          <w:p>
            <w:pPr>
              <w:pStyle w:val="TableParagraph"/>
              <w:spacing w:line="244" w:lineRule="auto" w:before="60"/>
              <w:ind w:left="59" w:right="127"/>
              <w:jc w:val="left"/>
              <w:rPr>
                <w:sz w:val="21"/>
              </w:rPr>
            </w:pPr>
            <w:r>
              <w:rPr>
                <w:sz w:val="21"/>
              </w:rPr>
              <w:t>Continuar el consumo de bienes y servicios </w:t>
            </w:r>
            <w:r>
              <w:rPr>
                <w:i/>
                <w:sz w:val="21"/>
              </w:rPr>
              <w:t>libres: </w:t>
            </w:r>
            <w:r>
              <w:rPr>
                <w:sz w:val="21"/>
              </w:rPr>
              <w:t>afecto, convivencia, paisaje, catarsis, etc., a través del uso del tiempo libre. Probabilidad de</w:t>
            </w:r>
            <w:r>
              <w:rPr>
                <w:spacing w:val="52"/>
                <w:sz w:val="21"/>
              </w:rPr>
              <w:t> </w:t>
            </w:r>
            <w:r>
              <w:rPr>
                <w:sz w:val="21"/>
              </w:rPr>
              <w:t>lograrlo</w:t>
            </w:r>
          </w:p>
        </w:tc>
      </w:tr>
      <w:tr>
        <w:trPr>
          <w:trHeight w:val="1607" w:hRule="exact"/>
        </w:trPr>
        <w:tc>
          <w:tcPr>
            <w:tcW w:w="1841" w:type="dxa"/>
            <w:tcBorders>
              <w:top w:val="single" w:sz="5" w:space="0" w:color="000000"/>
              <w:bottom w:val="single" w:sz="6" w:space="0" w:color="000000"/>
              <w:right w:val="single" w:sz="6" w:space="0" w:color="000000"/>
            </w:tcBorders>
          </w:tcPr>
          <w:p>
            <w:pPr>
              <w:pStyle w:val="TableParagraph"/>
              <w:spacing w:before="0"/>
              <w:jc w:val="left"/>
              <w:rPr>
                <w:b/>
                <w:sz w:val="20"/>
              </w:rPr>
            </w:pPr>
          </w:p>
          <w:p>
            <w:pPr>
              <w:pStyle w:val="TableParagraph"/>
              <w:spacing w:before="132"/>
              <w:ind w:left="176" w:right="179"/>
              <w:jc w:val="center"/>
              <w:rPr>
                <w:b/>
                <w:sz w:val="21"/>
              </w:rPr>
            </w:pPr>
            <w:r>
              <w:rPr>
                <w:b/>
                <w:sz w:val="21"/>
              </w:rPr>
              <w:t>Socio-afectiva</w:t>
            </w:r>
          </w:p>
        </w:tc>
        <w:tc>
          <w:tcPr>
            <w:tcW w:w="2663" w:type="dxa"/>
            <w:tcBorders>
              <w:top w:val="single" w:sz="5" w:space="0" w:color="000000"/>
              <w:left w:val="single" w:sz="6" w:space="0" w:color="000000"/>
              <w:bottom w:val="single" w:sz="6" w:space="0" w:color="000000"/>
              <w:right w:val="single" w:sz="5" w:space="0" w:color="000000"/>
            </w:tcBorders>
          </w:tcPr>
          <w:p>
            <w:pPr>
              <w:pStyle w:val="TableParagraph"/>
              <w:spacing w:line="244" w:lineRule="auto" w:before="62"/>
              <w:ind w:left="55" w:right="140"/>
              <w:jc w:val="left"/>
              <w:rPr>
                <w:sz w:val="21"/>
              </w:rPr>
            </w:pPr>
            <w:r>
              <w:rPr>
                <w:sz w:val="21"/>
              </w:rPr>
              <w:t>Reunir la familia, conseguir la aceptación y el reconocimiento social, cambiar de status social, obtener el afecto familiar, etc.</w:t>
            </w:r>
          </w:p>
        </w:tc>
        <w:tc>
          <w:tcPr>
            <w:tcW w:w="4187" w:type="dxa"/>
            <w:tcBorders>
              <w:top w:val="single" w:sz="5" w:space="0" w:color="000000"/>
              <w:left w:val="single" w:sz="5" w:space="0" w:color="000000"/>
              <w:bottom w:val="single" w:sz="6" w:space="0" w:color="000000"/>
            </w:tcBorders>
          </w:tcPr>
          <w:p>
            <w:pPr>
              <w:pStyle w:val="TableParagraph"/>
              <w:spacing w:line="244" w:lineRule="auto" w:before="62"/>
              <w:ind w:left="59" w:right="127"/>
              <w:jc w:val="left"/>
              <w:rPr>
                <w:sz w:val="21"/>
              </w:rPr>
            </w:pPr>
            <w:r>
              <w:rPr>
                <w:sz w:val="21"/>
              </w:rPr>
              <w:t>Asegurar satisfactores esenciales, incrementar y diversificar el consumo (bienestar), más educación y ahorro para invertir (consumo futuro), mayor comodidad en el trabajo (menos tedio), más ocio, etc.</w:t>
            </w:r>
          </w:p>
        </w:tc>
      </w:tr>
      <w:tr>
        <w:trPr>
          <w:trHeight w:val="1618" w:hRule="exact"/>
        </w:trPr>
        <w:tc>
          <w:tcPr>
            <w:tcW w:w="1841" w:type="dxa"/>
            <w:tcBorders>
              <w:top w:val="single" w:sz="6" w:space="0" w:color="000000"/>
              <w:right w:val="single" w:sz="6" w:space="0" w:color="000000"/>
            </w:tcBorders>
          </w:tcPr>
          <w:p>
            <w:pPr>
              <w:pStyle w:val="TableParagraph"/>
              <w:spacing w:before="0"/>
              <w:jc w:val="left"/>
              <w:rPr>
                <w:b/>
                <w:sz w:val="20"/>
              </w:rPr>
            </w:pPr>
          </w:p>
          <w:p>
            <w:pPr>
              <w:pStyle w:val="TableParagraph"/>
              <w:spacing w:before="134"/>
              <w:ind w:left="174" w:right="179"/>
              <w:jc w:val="center"/>
              <w:rPr>
                <w:b/>
                <w:sz w:val="21"/>
              </w:rPr>
            </w:pPr>
            <w:r>
              <w:rPr>
                <w:b/>
                <w:sz w:val="21"/>
              </w:rPr>
              <w:t>Económica</w:t>
            </w:r>
          </w:p>
        </w:tc>
        <w:tc>
          <w:tcPr>
            <w:tcW w:w="2663" w:type="dxa"/>
            <w:tcBorders>
              <w:top w:val="single" w:sz="6" w:space="0" w:color="000000"/>
              <w:left w:val="single" w:sz="6" w:space="0" w:color="000000"/>
              <w:right w:val="single" w:sz="5" w:space="0" w:color="000000"/>
            </w:tcBorders>
          </w:tcPr>
          <w:p>
            <w:pPr>
              <w:pStyle w:val="TableParagraph"/>
              <w:spacing w:before="0"/>
              <w:jc w:val="left"/>
              <w:rPr>
                <w:b/>
                <w:sz w:val="20"/>
              </w:rPr>
            </w:pPr>
          </w:p>
          <w:p>
            <w:pPr>
              <w:pStyle w:val="TableParagraph"/>
              <w:spacing w:line="302" w:lineRule="auto" w:before="137"/>
              <w:ind w:left="739" w:right="712" w:firstLine="48"/>
              <w:jc w:val="left"/>
              <w:rPr>
                <w:sz w:val="21"/>
              </w:rPr>
            </w:pPr>
            <w:r>
              <w:rPr>
                <w:sz w:val="21"/>
              </w:rPr>
              <w:t>Empleo y/o más ingreso</w:t>
            </w:r>
          </w:p>
        </w:tc>
        <w:tc>
          <w:tcPr>
            <w:tcW w:w="4187" w:type="dxa"/>
            <w:tcBorders>
              <w:top w:val="single" w:sz="6" w:space="0" w:color="000000"/>
              <w:left w:val="single" w:sz="5" w:space="0" w:color="000000"/>
            </w:tcBorders>
          </w:tcPr>
          <w:p>
            <w:pPr>
              <w:pStyle w:val="TableParagraph"/>
              <w:spacing w:line="244" w:lineRule="auto" w:before="62"/>
              <w:ind w:left="59" w:right="127"/>
              <w:jc w:val="left"/>
              <w:rPr>
                <w:sz w:val="21"/>
              </w:rPr>
            </w:pPr>
            <w:r>
              <w:rPr>
                <w:sz w:val="21"/>
              </w:rPr>
              <w:t>Asegurar satisfactores esenciales, incrementar y diversificar el consumo (bienestar), más educación y ahorro para invertir (consumo futuro), mayor comodidad en el trabajo (menos tedio), más ocio, etc.</w:t>
            </w:r>
          </w:p>
        </w:tc>
      </w:tr>
    </w:tbl>
    <w:p>
      <w:pPr>
        <w:pStyle w:val="BodyText"/>
        <w:rPr>
          <w:b/>
          <w:sz w:val="20"/>
        </w:rPr>
      </w:pPr>
    </w:p>
    <w:p>
      <w:pPr>
        <w:pStyle w:val="BodyText"/>
        <w:spacing w:before="6"/>
        <w:rPr>
          <w:b/>
          <w:sz w:val="25"/>
        </w:rPr>
      </w:pPr>
    </w:p>
    <w:p>
      <w:pPr>
        <w:pStyle w:val="BodyText"/>
        <w:spacing w:line="364" w:lineRule="auto" w:before="74"/>
        <w:ind w:left="195" w:right="205"/>
        <w:jc w:val="both"/>
      </w:pPr>
      <w:r>
        <w:rPr/>
        <w:t>Lo anterior puede constituir una base suficiente para sugerir que las motivaciones del primer tipo de migración enunciada en el cuadro 5 también pueden adquirir o pueden ser expresadas en una determinada forma económica. Si  esto  es  correcto, entonces es válido concluir que los tres tipos de migración pueden ser representados por un mismo</w:t>
      </w:r>
      <w:r>
        <w:rPr>
          <w:spacing w:val="43"/>
        </w:rPr>
        <w:t> </w:t>
      </w:r>
      <w:r>
        <w:rPr/>
        <w:t>modelo.</w:t>
      </w:r>
    </w:p>
    <w:p>
      <w:pPr>
        <w:pStyle w:val="BodyText"/>
        <w:rPr>
          <w:sz w:val="22"/>
        </w:rPr>
      </w:pPr>
    </w:p>
    <w:p>
      <w:pPr>
        <w:pStyle w:val="BodyText"/>
        <w:spacing w:line="350" w:lineRule="auto" w:before="155"/>
        <w:ind w:left="195" w:right="204"/>
        <w:jc w:val="both"/>
      </w:pPr>
      <w:r>
        <w:rPr/>
        <w:t>Si ello fuera posible, las cifras existentes de los flujos de  migración  las  dividiríamos en migración compulsiva, migración socio-afectiva y migración estrictamente   económica</w:t>
      </w:r>
      <w:r>
        <w:rPr>
          <w:position w:val="11"/>
          <w:sz w:val="15"/>
        </w:rPr>
        <w:t>51</w:t>
      </w:r>
      <w:r>
        <w:rPr/>
        <w:t>.   Lamentablemente   las   estadísticas   disponibles</w:t>
      </w:r>
      <w:r>
        <w:rPr>
          <w:spacing w:val="7"/>
        </w:rPr>
        <w:t> </w:t>
      </w:r>
      <w:r>
        <w:rPr/>
        <w:t>no</w:t>
      </w:r>
    </w:p>
    <w:p>
      <w:pPr>
        <w:pStyle w:val="BodyText"/>
        <w:rPr>
          <w:sz w:val="20"/>
        </w:rPr>
      </w:pPr>
    </w:p>
    <w:p>
      <w:pPr>
        <w:pStyle w:val="BodyText"/>
        <w:spacing w:before="3"/>
        <w:rPr>
          <w:sz w:val="21"/>
        </w:rPr>
      </w:pPr>
      <w:r>
        <w:rPr/>
        <w:pict>
          <v:line style="position:absolute;mso-position-horizontal-relative:page;mso-position-vertical-relative:paragraph;z-index:1768;mso-wrap-distance-left:0;mso-wrap-distance-right:0" from="82.799995pt,14.569257pt" to="222.959992pt,14.569257pt" stroked="true" strokeweight=".72pt" strokecolor="#000000">
            <w10:wrap type="topAndBottom"/>
          </v:line>
        </w:pict>
      </w:r>
    </w:p>
    <w:p>
      <w:pPr>
        <w:spacing w:line="244" w:lineRule="auto" w:before="39"/>
        <w:ind w:left="196" w:right="204" w:firstLine="0"/>
        <w:jc w:val="both"/>
        <w:rPr>
          <w:sz w:val="19"/>
        </w:rPr>
      </w:pPr>
      <w:r>
        <w:rPr>
          <w:position w:val="10"/>
          <w:sz w:val="12"/>
        </w:rPr>
        <w:t>51 </w:t>
      </w:r>
      <w:r>
        <w:rPr>
          <w:sz w:val="19"/>
        </w:rPr>
        <w:t>En el proceso de generación de conocimientos, frecuentemente, es necesario realizar algún tipo  de generalización, el cual algunas veces implica la elaboración de alguna taxonomía, para lo cual    es necesario recurrir a términos breves que representen en lo posible las características centrales   de la clasificación correspondiente. Es en este sentido en el que son usadas las categorías propuestas  en el cuadro 6.  En el debe entenderse  que con el término migración compulsiva se  hace referencia a las movilizaciones de personas que se ven obligadas a desplazarse, en forma definitiva o por un largo tiempo, de su lugar de residencia habitual por sentir  amenazada  su situación</w:t>
      </w:r>
      <w:r>
        <w:rPr>
          <w:spacing w:val="15"/>
          <w:sz w:val="19"/>
        </w:rPr>
        <w:t> </w:t>
      </w:r>
      <w:r>
        <w:rPr>
          <w:sz w:val="19"/>
        </w:rPr>
        <w:t>personal</w:t>
      </w:r>
      <w:r>
        <w:rPr>
          <w:spacing w:val="14"/>
          <w:sz w:val="19"/>
        </w:rPr>
        <w:t> </w:t>
      </w:r>
      <w:r>
        <w:rPr>
          <w:sz w:val="19"/>
        </w:rPr>
        <w:t>o</w:t>
      </w:r>
      <w:r>
        <w:rPr>
          <w:spacing w:val="15"/>
          <w:sz w:val="19"/>
        </w:rPr>
        <w:t> </w:t>
      </w:r>
      <w:r>
        <w:rPr>
          <w:sz w:val="19"/>
        </w:rPr>
        <w:t>familiar.</w:t>
      </w:r>
      <w:r>
        <w:rPr>
          <w:spacing w:val="19"/>
          <w:sz w:val="19"/>
        </w:rPr>
        <w:t> </w:t>
      </w:r>
      <w:r>
        <w:rPr>
          <w:sz w:val="19"/>
        </w:rPr>
        <w:t>Así</w:t>
      </w:r>
      <w:r>
        <w:rPr>
          <w:spacing w:val="16"/>
          <w:sz w:val="19"/>
        </w:rPr>
        <w:t> </w:t>
      </w:r>
      <w:r>
        <w:rPr>
          <w:sz w:val="19"/>
        </w:rPr>
        <w:t>mismo,</w:t>
      </w:r>
      <w:r>
        <w:rPr>
          <w:spacing w:val="16"/>
          <w:sz w:val="19"/>
        </w:rPr>
        <w:t> </w:t>
      </w:r>
      <w:r>
        <w:rPr>
          <w:sz w:val="19"/>
        </w:rPr>
        <w:t>el</w:t>
      </w:r>
      <w:r>
        <w:rPr>
          <w:spacing w:val="14"/>
          <w:sz w:val="19"/>
        </w:rPr>
        <w:t> </w:t>
      </w:r>
      <w:r>
        <w:rPr>
          <w:sz w:val="19"/>
        </w:rPr>
        <w:t>término</w:t>
      </w:r>
      <w:r>
        <w:rPr>
          <w:spacing w:val="15"/>
          <w:sz w:val="19"/>
        </w:rPr>
        <w:t> </w:t>
      </w:r>
      <w:r>
        <w:rPr>
          <w:sz w:val="19"/>
        </w:rPr>
        <w:t>migración</w:t>
      </w:r>
      <w:r>
        <w:rPr>
          <w:spacing w:val="15"/>
          <w:sz w:val="19"/>
        </w:rPr>
        <w:t> </w:t>
      </w:r>
      <w:r>
        <w:rPr>
          <w:sz w:val="19"/>
        </w:rPr>
        <w:t>socio-afectiva</w:t>
      </w:r>
      <w:r>
        <w:rPr>
          <w:spacing w:val="15"/>
          <w:sz w:val="19"/>
        </w:rPr>
        <w:t> </w:t>
      </w:r>
      <w:r>
        <w:rPr>
          <w:sz w:val="19"/>
        </w:rPr>
        <w:t>alude</w:t>
      </w:r>
      <w:r>
        <w:rPr>
          <w:spacing w:val="15"/>
          <w:sz w:val="19"/>
        </w:rPr>
        <w:t> </w:t>
      </w:r>
      <w:r>
        <w:rPr>
          <w:sz w:val="19"/>
        </w:rPr>
        <w:t>al</w:t>
      </w:r>
      <w:r>
        <w:rPr>
          <w:spacing w:val="14"/>
          <w:sz w:val="19"/>
        </w:rPr>
        <w:t> </w:t>
      </w:r>
      <w:r>
        <w:rPr>
          <w:sz w:val="19"/>
        </w:rPr>
        <w:t>hecho</w:t>
      </w:r>
      <w:r>
        <w:rPr>
          <w:spacing w:val="15"/>
          <w:sz w:val="19"/>
        </w:rPr>
        <w:t> </w:t>
      </w:r>
      <w:r>
        <w:rPr>
          <w:sz w:val="19"/>
        </w:rPr>
        <w:t>de</w:t>
      </w:r>
      <w:r>
        <w:rPr>
          <w:spacing w:val="15"/>
          <w:sz w:val="19"/>
        </w:rPr>
        <w:t> </w:t>
      </w:r>
      <w:r>
        <w:rPr>
          <w:sz w:val="19"/>
        </w:rPr>
        <w:t>que</w:t>
      </w:r>
    </w:p>
    <w:p>
      <w:pPr>
        <w:spacing w:after="0" w:line="244" w:lineRule="auto"/>
        <w:jc w:val="both"/>
        <w:rPr>
          <w:sz w:val="19"/>
        </w:rPr>
        <w:sectPr>
          <w:pgSz w:w="11900" w:h="16840"/>
          <w:pgMar w:header="0" w:footer="1679" w:top="1600" w:bottom="1860" w:left="1460" w:right="1480"/>
        </w:sectPr>
      </w:pPr>
    </w:p>
    <w:p>
      <w:pPr>
        <w:pStyle w:val="BodyText"/>
        <w:rPr>
          <w:sz w:val="20"/>
        </w:rPr>
      </w:pPr>
    </w:p>
    <w:p>
      <w:pPr>
        <w:pStyle w:val="BodyText"/>
        <w:spacing w:before="7"/>
        <w:rPr>
          <w:sz w:val="16"/>
        </w:rPr>
      </w:pPr>
    </w:p>
    <w:p>
      <w:pPr>
        <w:pStyle w:val="BodyText"/>
        <w:spacing w:line="364" w:lineRule="auto" w:before="74"/>
        <w:ind w:left="115" w:right="105"/>
        <w:jc w:val="both"/>
      </w:pPr>
      <w:r>
        <w:rPr/>
        <w:t>permiten totalmente tal diferenciación. Por lo tanto es necesario buscar, si es que   lo hay, el principio central que en forma general explique esos tres tipos de migración.</w:t>
      </w:r>
    </w:p>
    <w:p>
      <w:pPr>
        <w:pStyle w:val="BodyText"/>
        <w:rPr>
          <w:sz w:val="22"/>
        </w:rPr>
      </w:pPr>
    </w:p>
    <w:p>
      <w:pPr>
        <w:pStyle w:val="BodyText"/>
        <w:spacing w:line="364" w:lineRule="auto" w:before="153"/>
        <w:ind w:left="115" w:right="105"/>
        <w:jc w:val="both"/>
      </w:pPr>
      <w:r>
        <w:rPr/>
        <w:t>Para ello se parte de la siguiente reflexión: las decisiones humanas dependen esencialmente de la consideración, por parte de los individuos o familias, de dos elementos básicos: las necesidades y preferencias de la unidad que toma las decisiones y las posibilidades que dicha unidad tiene a su disposición para satisfacerlas. La constelación particular que ambos vectores puedan formar depende del grado de desarrollo económico de la unidad, el cual a su vez es una función del grado de desarrollo socioeconómico</w:t>
      </w:r>
      <w:r>
        <w:rPr>
          <w:spacing w:val="63"/>
        </w:rPr>
        <w:t> </w:t>
      </w:r>
      <w:r>
        <w:rPr/>
        <w:t>general.</w:t>
      </w:r>
    </w:p>
    <w:p>
      <w:pPr>
        <w:pStyle w:val="BodyText"/>
        <w:rPr>
          <w:sz w:val="22"/>
        </w:rPr>
      </w:pPr>
    </w:p>
    <w:p>
      <w:pPr>
        <w:pStyle w:val="BodyText"/>
        <w:spacing w:line="364" w:lineRule="auto" w:before="155"/>
        <w:ind w:left="115" w:right="103"/>
        <w:jc w:val="both"/>
      </w:pPr>
      <w:r>
        <w:rPr/>
        <w:t>Esto es cierto en dos sentidos: por ejemplo, las necesidades que una persona  tiene proceden, en gran medida, del grado en que tal persona se vincula con el resto de la sociedad, lo cual depende del desarrollo social alcanzado por ambas partes a la vez. Al mismo tiempo, la satisfacción de tales necesidades guarda una relación de dependencia con el grado de desarrollo de las habilidades de dicha persona, cosa que a su vez está en función del desarrollo social alcanzado y de la vinculación que la persona o la familia mantenga con el conglomerado social. Por ello se considera que el desarrollo es la creación de nuevas necesidades y los esfuerzos que se deben desplegar para estar en capacidad de satisfacerlas. Este desarrollo social se expresa también en un conjunto selecto de  variables  históricas, socio-económicas, psicológicas, culturales y </w:t>
      </w:r>
      <w:r>
        <w:rPr>
          <w:spacing w:val="10"/>
        </w:rPr>
        <w:t> </w:t>
      </w:r>
      <w:r>
        <w:rPr/>
        <w:t>demográficas.</w:t>
      </w:r>
    </w:p>
    <w:p>
      <w:pPr>
        <w:pStyle w:val="BodyText"/>
        <w:rPr>
          <w:sz w:val="22"/>
        </w:rPr>
      </w:pPr>
    </w:p>
    <w:p>
      <w:pPr>
        <w:pStyle w:val="BodyText"/>
        <w:rPr>
          <w:sz w:val="22"/>
        </w:rPr>
      </w:pPr>
    </w:p>
    <w:p>
      <w:pPr>
        <w:pStyle w:val="BodyText"/>
        <w:spacing w:line="364" w:lineRule="auto" w:before="132"/>
        <w:ind w:left="115" w:right="105"/>
        <w:jc w:val="both"/>
      </w:pPr>
      <w:r>
        <w:rPr/>
        <w:t>Así, las variables del cuadro 5 (</w:t>
      </w:r>
      <w:r>
        <w:rPr>
          <w:i/>
        </w:rPr>
        <w:t>supra</w:t>
      </w:r>
      <w:r>
        <w:rPr/>
        <w:t>), se enmarcan en o son resultado de sus preferencias y ellas representan las pretensiones concretas de  los  migrantes, como pueden ser el origen, el destino geográfico de sus viajes, la duración del mismo, la ocupación que se pretende desempeñar, la intensidad del trabajo a desplegar,  la composición demográfica,  los  estadios,  el  ahorro,  etc.  Lo  que  se</w:t>
      </w:r>
    </w:p>
    <w:p>
      <w:pPr>
        <w:pStyle w:val="BodyText"/>
        <w:spacing w:before="5"/>
        <w:rPr>
          <w:sz w:val="12"/>
        </w:rPr>
      </w:pPr>
      <w:r>
        <w:rPr/>
        <w:pict>
          <v:line style="position:absolute;mso-position-horizontal-relative:page;mso-position-vertical-relative:paragraph;z-index:1792;mso-wrap-distance-left:0;mso-wrap-distance-right:0" from="82.799995pt,9.481757pt" to="510.479986pt,9.481757pt" stroked="true" strokeweight=".72pt" strokecolor="#000000">
            <w10:wrap type="topAndBottom"/>
          </v:line>
        </w:pict>
      </w:r>
    </w:p>
    <w:p>
      <w:pPr>
        <w:spacing w:line="244" w:lineRule="auto" w:before="73"/>
        <w:ind w:left="115" w:right="375" w:firstLine="0"/>
        <w:jc w:val="left"/>
        <w:rPr>
          <w:sz w:val="19"/>
        </w:rPr>
      </w:pPr>
      <w:r>
        <w:rPr>
          <w:sz w:val="19"/>
        </w:rPr>
        <w:t>otro tipo de emigraciones se ven motivadas por factores que se relacionan con la discriminación y     la búsqueda de afecto y reconocimiento </w:t>
      </w:r>
      <w:r>
        <w:rPr>
          <w:spacing w:val="28"/>
          <w:sz w:val="19"/>
        </w:rPr>
        <w:t> </w:t>
      </w:r>
      <w:r>
        <w:rPr>
          <w:sz w:val="19"/>
        </w:rPr>
        <w:t>social.</w:t>
      </w:r>
    </w:p>
    <w:p>
      <w:pPr>
        <w:spacing w:after="0" w:line="244" w:lineRule="auto"/>
        <w:jc w:val="left"/>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lleve a cabo (migración temporal, permanente, interna, internacional, etc.) y quién  o quiénes la realicen depende de las posibilidades de la unidad económica cuya formulación incluye, además de los costos asociados al desplazamiento internacional, a la capacidad de crédito, habilidades, preparación, edad,  experiencia y reacción al riesgo, etc. Para ello se debe  aclarar en primer lugar  que, independientemente del tipo de migración de que se trate,  los  costos  tendrán, básicamente, los mismos componentes estructurales:  Traslado (incluyendo el pago al “coyote” en el caso de los indocumentados), asentamiento, costo</w:t>
      </w:r>
      <w:r>
        <w:rPr>
          <w:spacing w:val="19"/>
        </w:rPr>
        <w:t> </w:t>
      </w:r>
      <w:r>
        <w:rPr/>
        <w:t>de</w:t>
      </w:r>
      <w:r>
        <w:rPr>
          <w:spacing w:val="17"/>
        </w:rPr>
        <w:t> </w:t>
      </w:r>
      <w:r>
        <w:rPr/>
        <w:t>la</w:t>
      </w:r>
      <w:r>
        <w:rPr>
          <w:spacing w:val="17"/>
        </w:rPr>
        <w:t> </w:t>
      </w:r>
      <w:r>
        <w:rPr/>
        <w:t>canasta</w:t>
      </w:r>
      <w:r>
        <w:rPr>
          <w:spacing w:val="19"/>
        </w:rPr>
        <w:t> </w:t>
      </w:r>
      <w:r>
        <w:rPr/>
        <w:t>de</w:t>
      </w:r>
      <w:r>
        <w:rPr>
          <w:spacing w:val="19"/>
        </w:rPr>
        <w:t> </w:t>
      </w:r>
      <w:r>
        <w:rPr/>
        <w:t>los</w:t>
      </w:r>
      <w:r>
        <w:rPr>
          <w:spacing w:val="18"/>
        </w:rPr>
        <w:t> </w:t>
      </w:r>
      <w:r>
        <w:rPr/>
        <w:t>satisfactores</w:t>
      </w:r>
      <w:r>
        <w:rPr>
          <w:spacing w:val="18"/>
        </w:rPr>
        <w:t> </w:t>
      </w:r>
      <w:r>
        <w:rPr/>
        <w:t>vitales,</w:t>
      </w:r>
      <w:r>
        <w:rPr>
          <w:spacing w:val="19"/>
        </w:rPr>
        <w:t> </w:t>
      </w:r>
      <w:r>
        <w:rPr/>
        <w:t>costos</w:t>
      </w:r>
      <w:r>
        <w:rPr>
          <w:spacing w:val="20"/>
        </w:rPr>
        <w:t> </w:t>
      </w:r>
      <w:r>
        <w:rPr/>
        <w:t>no</w:t>
      </w:r>
      <w:r>
        <w:rPr>
          <w:spacing w:val="14"/>
        </w:rPr>
        <w:t> </w:t>
      </w:r>
      <w:r>
        <w:rPr/>
        <w:t>monetarios</w:t>
      </w:r>
      <w:r>
        <w:rPr>
          <w:spacing w:val="15"/>
        </w:rPr>
        <w:t> </w:t>
      </w:r>
      <w:r>
        <w:rPr/>
        <w:t>(tales</w:t>
      </w:r>
      <w:r>
        <w:rPr>
          <w:spacing w:val="18"/>
        </w:rPr>
        <w:t> </w:t>
      </w:r>
      <w:r>
        <w:rPr/>
        <w:t>como</w:t>
      </w:r>
    </w:p>
    <w:p>
      <w:pPr>
        <w:pStyle w:val="BodyText"/>
        <w:spacing w:line="270" w:lineRule="exact"/>
        <w:ind w:left="115"/>
        <w:jc w:val="both"/>
      </w:pPr>
      <w:r>
        <w:rPr/>
        <w:t>la adaptación al nuevo entorno, la soledad,</w:t>
      </w:r>
      <w:r>
        <w:rPr>
          <w:position w:val="11"/>
          <w:sz w:val="15"/>
        </w:rPr>
        <w:t>52  </w:t>
      </w:r>
      <w:r>
        <w:rPr/>
        <w:t>etc.) y la probabilidad de  </w:t>
      </w:r>
      <w:r>
        <w:rPr>
          <w:spacing w:val="59"/>
        </w:rPr>
        <w:t> </w:t>
      </w:r>
      <w:r>
        <w:rPr/>
        <w:t>desempleo</w:t>
      </w:r>
    </w:p>
    <w:p>
      <w:pPr>
        <w:pStyle w:val="BodyText"/>
        <w:spacing w:before="138"/>
        <w:ind w:left="116"/>
        <w:jc w:val="both"/>
      </w:pPr>
      <w:r>
        <w:rPr/>
        <w:t>temporal.</w:t>
      </w:r>
    </w:p>
    <w:p>
      <w:pPr>
        <w:pStyle w:val="BodyText"/>
        <w:rPr>
          <w:sz w:val="22"/>
        </w:rPr>
      </w:pPr>
    </w:p>
    <w:p>
      <w:pPr>
        <w:pStyle w:val="BodyText"/>
        <w:spacing w:before="1"/>
        <w:rPr>
          <w:sz w:val="25"/>
        </w:rPr>
      </w:pPr>
    </w:p>
    <w:p>
      <w:pPr>
        <w:pStyle w:val="BodyText"/>
        <w:spacing w:line="364" w:lineRule="auto"/>
        <w:ind w:left="116" w:right="105"/>
        <w:jc w:val="both"/>
      </w:pPr>
      <w:r>
        <w:rPr/>
        <w:t>Naturalmente, en lo que sí habrá notables diferencias es en los beneficios que los diferentes tipos de migrantes esperan obtener mediante su movilización a otro  país, especialmente si se encuentran apoyados por redes familiares y sociales previamente establecidas, si acaso las</w:t>
      </w:r>
      <w:r>
        <w:rPr>
          <w:spacing w:val="45"/>
        </w:rPr>
        <w:t> </w:t>
      </w:r>
      <w:r>
        <w:rPr/>
        <w:t>hay.</w:t>
      </w:r>
    </w:p>
    <w:p>
      <w:pPr>
        <w:pStyle w:val="BodyText"/>
        <w:rPr>
          <w:sz w:val="22"/>
        </w:rPr>
      </w:pPr>
    </w:p>
    <w:p>
      <w:pPr>
        <w:pStyle w:val="BodyText"/>
        <w:spacing w:before="2"/>
        <w:rPr>
          <w:sz w:val="30"/>
        </w:rPr>
      </w:pPr>
    </w:p>
    <w:p>
      <w:pPr>
        <w:pStyle w:val="BodyText"/>
        <w:spacing w:line="357" w:lineRule="auto"/>
        <w:ind w:left="115" w:right="105"/>
        <w:jc w:val="both"/>
      </w:pPr>
      <w:r>
        <w:rPr/>
        <w:t>Las evidencias de sus preferencias y restricciones se pueden extraer mediante la observación de un conjunto de variables relacionadas a nivel  familiar:  Por  ejemplo, el nivel de consumo, la etapa demográfica  y  las  relaciones  sociales, entre tantas otras. Esto es, la familia puede encontrarse en diferente etapa de consumo</w:t>
      </w:r>
      <w:r>
        <w:rPr>
          <w:spacing w:val="39"/>
        </w:rPr>
        <w:t> </w:t>
      </w:r>
      <w:r>
        <w:rPr/>
        <w:t>según</w:t>
      </w:r>
      <w:r>
        <w:rPr>
          <w:spacing w:val="44"/>
        </w:rPr>
        <w:t> </w:t>
      </w:r>
      <w:r>
        <w:rPr/>
        <w:t>la</w:t>
      </w:r>
      <w:r>
        <w:rPr>
          <w:spacing w:val="42"/>
        </w:rPr>
        <w:t> </w:t>
      </w:r>
      <w:r>
        <w:rPr/>
        <w:t>Pirámide</w:t>
      </w:r>
      <w:r>
        <w:rPr>
          <w:spacing w:val="39"/>
        </w:rPr>
        <w:t> </w:t>
      </w:r>
      <w:r>
        <w:rPr/>
        <w:t>de</w:t>
      </w:r>
      <w:r>
        <w:rPr>
          <w:spacing w:val="42"/>
        </w:rPr>
        <w:t> </w:t>
      </w:r>
      <w:r>
        <w:rPr/>
        <w:t>Máslow</w:t>
      </w:r>
      <w:r>
        <w:rPr>
          <w:position w:val="11"/>
          <w:sz w:val="15"/>
        </w:rPr>
        <w:t>53</w:t>
      </w:r>
      <w:r>
        <w:rPr/>
        <w:t>,</w:t>
      </w:r>
      <w:r>
        <w:rPr>
          <w:spacing w:val="42"/>
        </w:rPr>
        <w:t> </w:t>
      </w:r>
      <w:r>
        <w:rPr/>
        <w:t>la</w:t>
      </w:r>
      <w:r>
        <w:rPr>
          <w:spacing w:val="42"/>
        </w:rPr>
        <w:t> </w:t>
      </w:r>
      <w:r>
        <w:rPr/>
        <w:t>gente</w:t>
      </w:r>
      <w:r>
        <w:rPr>
          <w:spacing w:val="42"/>
        </w:rPr>
        <w:t> </w:t>
      </w:r>
      <w:r>
        <w:rPr/>
        <w:t>puede</w:t>
      </w:r>
      <w:r>
        <w:rPr>
          <w:spacing w:val="39"/>
        </w:rPr>
        <w:t> </w:t>
      </w:r>
      <w:r>
        <w:rPr/>
        <w:t>estar</w:t>
      </w:r>
      <w:r>
        <w:rPr>
          <w:spacing w:val="44"/>
        </w:rPr>
        <w:t> </w:t>
      </w:r>
      <w:r>
        <w:rPr/>
        <w:t>en</w:t>
      </w:r>
      <w:r>
        <w:rPr>
          <w:spacing w:val="42"/>
        </w:rPr>
        <w:t> </w:t>
      </w:r>
      <w:r>
        <w:rPr/>
        <w:t>determinada</w:t>
      </w:r>
    </w:p>
    <w:p>
      <w:pPr>
        <w:pStyle w:val="BodyText"/>
        <w:spacing w:line="367" w:lineRule="auto"/>
        <w:ind w:left="115" w:right="105"/>
        <w:jc w:val="both"/>
      </w:pPr>
      <w:r>
        <w:rPr/>
        <w:t>etapa demográfica y el país puede transitar en una cierta etapa histórica-socio- política debido al desarrollo del mercado, de la organización, de la tecnología y la solidez de las redes sociales. La conjunción de esas tres variables, que resumen  en  una  forma  muy  concisa  el  estado  del  desarrollo  de  la  unidad  </w:t>
      </w:r>
      <w:r>
        <w:rPr>
          <w:spacing w:val="58"/>
        </w:rPr>
        <w:t> </w:t>
      </w:r>
      <w:r>
        <w:rPr/>
        <w:t>económica</w:t>
      </w:r>
    </w:p>
    <w:p>
      <w:pPr>
        <w:pStyle w:val="BodyText"/>
        <w:rPr>
          <w:sz w:val="20"/>
        </w:rPr>
      </w:pPr>
    </w:p>
    <w:p>
      <w:pPr>
        <w:pStyle w:val="BodyText"/>
        <w:rPr>
          <w:sz w:val="20"/>
        </w:rPr>
      </w:pPr>
    </w:p>
    <w:p>
      <w:pPr>
        <w:pStyle w:val="BodyText"/>
        <w:rPr>
          <w:sz w:val="20"/>
        </w:rPr>
      </w:pPr>
    </w:p>
    <w:p>
      <w:pPr>
        <w:pStyle w:val="BodyText"/>
        <w:spacing w:before="4"/>
        <w:rPr>
          <w:sz w:val="18"/>
        </w:rPr>
      </w:pPr>
      <w:r>
        <w:rPr/>
        <w:pict>
          <v:line style="position:absolute;mso-position-horizontal-relative:page;mso-position-vertical-relative:paragraph;z-index:1816;mso-wrap-distance-left:0;mso-wrap-distance-right:0" from="82.799995pt,12.896179pt" to="222.959992pt,12.896179pt" stroked="true" strokeweight=".72pt" strokecolor="#000000">
            <w10:wrap type="topAndBottom"/>
          </v:line>
        </w:pict>
      </w:r>
    </w:p>
    <w:p>
      <w:pPr>
        <w:spacing w:line="283" w:lineRule="auto" w:before="39"/>
        <w:ind w:left="116" w:right="100" w:firstLine="0"/>
        <w:jc w:val="left"/>
        <w:rPr>
          <w:sz w:val="19"/>
        </w:rPr>
      </w:pPr>
      <w:r>
        <w:rPr>
          <w:position w:val="10"/>
          <w:sz w:val="12"/>
        </w:rPr>
        <w:t>52 </w:t>
      </w:r>
      <w:r>
        <w:rPr>
          <w:sz w:val="19"/>
        </w:rPr>
        <w:t>Separación temporal de la familia y de sus vivencias acumuladas: ambiente, panorama, amigos, difuntos, hijos, papás, novia,</w:t>
      </w:r>
      <w:r>
        <w:rPr>
          <w:spacing w:val="51"/>
          <w:sz w:val="19"/>
        </w:rPr>
        <w:t> </w:t>
      </w:r>
      <w:r>
        <w:rPr>
          <w:sz w:val="19"/>
        </w:rPr>
        <w:t>etc.</w:t>
      </w:r>
    </w:p>
    <w:p>
      <w:pPr>
        <w:spacing w:before="160"/>
        <w:ind w:left="115" w:right="100" w:firstLine="0"/>
        <w:jc w:val="left"/>
        <w:rPr>
          <w:sz w:val="19"/>
        </w:rPr>
      </w:pPr>
      <w:r>
        <w:rPr>
          <w:position w:val="10"/>
          <w:sz w:val="12"/>
        </w:rPr>
        <w:t>53  </w:t>
      </w:r>
      <w:r>
        <w:rPr>
          <w:sz w:val="19"/>
        </w:rPr>
        <w:t>La cual es una forma de expresar y por ello de identificar sus   preferencias.</w:t>
      </w:r>
    </w:p>
    <w:p>
      <w:pPr>
        <w:spacing w:after="0"/>
        <w:jc w:val="left"/>
        <w:rPr>
          <w:sz w:val="19"/>
        </w:rPr>
        <w:sectPr>
          <w:pgSz w:w="11900" w:h="16840"/>
          <w:pgMar w:header="0" w:footer="1679" w:top="1600" w:bottom="1860" w:left="1540" w:right="1580"/>
        </w:sectPr>
      </w:pPr>
    </w:p>
    <w:p>
      <w:pPr>
        <w:pStyle w:val="BodyText"/>
        <w:rPr>
          <w:sz w:val="20"/>
        </w:rPr>
      </w:pPr>
    </w:p>
    <w:p>
      <w:pPr>
        <w:pStyle w:val="BodyText"/>
        <w:rPr>
          <w:sz w:val="20"/>
        </w:rPr>
      </w:pPr>
    </w:p>
    <w:p>
      <w:pPr>
        <w:pStyle w:val="BodyText"/>
        <w:spacing w:line="364" w:lineRule="auto"/>
        <w:ind w:left="115" w:right="105"/>
        <w:jc w:val="both"/>
      </w:pPr>
      <w:r>
        <w:rPr/>
        <w:t>familiar y el entorno social</w:t>
      </w:r>
      <w:r>
        <w:rPr>
          <w:position w:val="11"/>
          <w:sz w:val="15"/>
        </w:rPr>
        <w:t>54</w:t>
      </w:r>
      <w:r>
        <w:rPr/>
        <w:t>, da como resultado una multitud de situaciones migratorias, aunque no las agota, que parecen provenir de distintas causas y que tal y como se mencionó, han dado lugar a una gran cantidad de interpretaciones teóricas. Al respecto se puede proponer que, en realidad, las distintas variaciones migratorias proceden de un solo modelo económico multipolar como el de la figura 2 tal y como se explica</w:t>
      </w:r>
      <w:r>
        <w:rPr>
          <w:spacing w:val="37"/>
        </w:rPr>
        <w:t> </w:t>
      </w:r>
      <w:r>
        <w:rPr/>
        <w:t>enseguida.</w:t>
      </w:r>
    </w:p>
    <w:p>
      <w:pPr>
        <w:pStyle w:val="BodyText"/>
        <w:spacing w:before="4"/>
        <w:rPr>
          <w:sz w:val="17"/>
        </w:rPr>
      </w:pPr>
    </w:p>
    <w:p>
      <w:pPr>
        <w:pStyle w:val="BodyText"/>
        <w:tabs>
          <w:tab w:pos="3371" w:val="left" w:leader="none"/>
          <w:tab w:pos="5224" w:val="left" w:leader="none"/>
          <w:tab w:pos="6760" w:val="left" w:leader="none"/>
        </w:tabs>
        <w:ind w:left="1030" w:right="100"/>
      </w:pPr>
      <w:r>
        <w:rPr/>
        <w:t>M = f(W,</w:t>
      </w:r>
      <w:r>
        <w:rPr>
          <w:spacing w:val="9"/>
        </w:rPr>
        <w:t> </w:t>
      </w:r>
      <w:r>
        <w:rPr/>
        <w:t>D,</w:t>
      </w:r>
      <w:r>
        <w:rPr>
          <w:spacing w:val="3"/>
        </w:rPr>
        <w:t> </w:t>
      </w:r>
      <w:r>
        <w:rPr/>
        <w:t>R,....);</w:t>
        <w:tab/>
        <w:t>W = r,</w:t>
      </w:r>
      <w:r>
        <w:rPr>
          <w:spacing w:val="9"/>
        </w:rPr>
        <w:t> </w:t>
      </w:r>
      <w:r>
        <w:rPr/>
        <w:t>v,</w:t>
      </w:r>
      <w:r>
        <w:rPr>
          <w:spacing w:val="1"/>
        </w:rPr>
        <w:t> </w:t>
      </w:r>
      <w:r>
        <w:rPr/>
        <w:t>e,....</w:t>
        <w:tab/>
        <w:t>D =</w:t>
      </w:r>
      <w:r>
        <w:rPr>
          <w:spacing w:val="3"/>
        </w:rPr>
        <w:t> </w:t>
      </w:r>
      <w:r>
        <w:rPr/>
        <w:t>n,</w:t>
      </w:r>
      <w:r>
        <w:rPr>
          <w:spacing w:val="4"/>
        </w:rPr>
        <w:t> </w:t>
      </w:r>
      <w:r>
        <w:rPr/>
        <w:t>t,....</w:t>
        <w:tab/>
        <w:t>R = s,</w:t>
      </w:r>
      <w:r>
        <w:rPr>
          <w:spacing w:val="13"/>
        </w:rPr>
        <w:t> </w:t>
      </w:r>
      <w:r>
        <w:rPr/>
        <w:t>i,...</w:t>
      </w:r>
    </w:p>
    <w:p>
      <w:pPr>
        <w:pStyle w:val="BodyText"/>
        <w:spacing w:before="7"/>
        <w:rPr>
          <w:sz w:val="20"/>
        </w:rPr>
      </w:pPr>
    </w:p>
    <w:p>
      <w:pPr>
        <w:pStyle w:val="BodyText"/>
        <w:ind w:left="115"/>
        <w:jc w:val="both"/>
      </w:pPr>
      <w:r>
        <w:rPr/>
        <w:t>en donde:</w:t>
      </w:r>
    </w:p>
    <w:p>
      <w:pPr>
        <w:pStyle w:val="BodyText"/>
        <w:spacing w:before="9"/>
        <w:rPr>
          <w:sz w:val="20"/>
        </w:rPr>
      </w:pPr>
    </w:p>
    <w:p>
      <w:pPr>
        <w:pStyle w:val="BodyText"/>
        <w:ind w:left="667" w:right="100"/>
      </w:pPr>
      <w:r>
        <w:rPr/>
        <w:t>M = flujo migratorio,</w:t>
      </w:r>
    </w:p>
    <w:p>
      <w:pPr>
        <w:pStyle w:val="BodyText"/>
        <w:spacing w:before="9"/>
        <w:rPr>
          <w:sz w:val="17"/>
        </w:rPr>
      </w:pPr>
    </w:p>
    <w:p>
      <w:pPr>
        <w:pStyle w:val="BodyText"/>
        <w:ind w:left="667" w:right="100"/>
      </w:pPr>
      <w:r>
        <w:rPr/>
        <w:t>W = etapa de Máslow</w:t>
      </w:r>
      <w:r>
        <w:rPr>
          <w:position w:val="11"/>
          <w:sz w:val="15"/>
        </w:rPr>
        <w:t>55</w:t>
      </w:r>
      <w:r>
        <w:rPr/>
        <w:t>,</w:t>
      </w:r>
    </w:p>
    <w:p>
      <w:pPr>
        <w:pStyle w:val="BodyText"/>
        <w:spacing w:line="458" w:lineRule="auto" w:before="239"/>
        <w:ind w:left="1219" w:right="1320"/>
      </w:pPr>
      <w:r>
        <w:rPr/>
        <w:t>r = tener satisfecho el consumo familiar de alimentos y ropa, v = r + vivienda,</w:t>
      </w:r>
    </w:p>
    <w:p>
      <w:pPr>
        <w:pStyle w:val="BodyText"/>
        <w:spacing w:line="458" w:lineRule="auto" w:before="3"/>
        <w:ind w:left="667" w:right="1638" w:firstLine="552"/>
      </w:pPr>
      <w:r>
        <w:rPr/>
        <w:t>e = v + esparcimiento, educación, seguridad, afecto, etc., D = etapa demográfica de la familia,</w:t>
      </w:r>
    </w:p>
    <w:p>
      <w:pPr>
        <w:pStyle w:val="BodyText"/>
        <w:spacing w:line="458" w:lineRule="auto" w:before="3"/>
        <w:ind w:left="1219" w:right="5580"/>
      </w:pPr>
      <w:r>
        <w:rPr/>
        <w:t>n = familia nuclear, t = familia troncal,</w:t>
      </w:r>
    </w:p>
    <w:p>
      <w:pPr>
        <w:pStyle w:val="BodyText"/>
        <w:spacing w:line="458" w:lineRule="auto" w:before="5"/>
        <w:ind w:left="1219" w:right="1638" w:hanging="552"/>
      </w:pPr>
      <w:r>
        <w:rPr/>
        <w:t>R = Solidez y extensión de las redes migratorias comunitarias,  s = existencia de redes migratorias</w:t>
      </w:r>
      <w:r>
        <w:rPr>
          <w:spacing w:val="54"/>
        </w:rPr>
        <w:t> </w:t>
      </w:r>
      <w:r>
        <w:rPr/>
        <w:t>comunitarias,</w:t>
      </w:r>
    </w:p>
    <w:p>
      <w:pPr>
        <w:pStyle w:val="BodyText"/>
        <w:spacing w:before="5"/>
        <w:ind w:left="1219" w:right="100"/>
      </w:pPr>
      <w:r>
        <w:rPr/>
        <w:t>i = inexistencia de redes familiares y de amigos,</w:t>
      </w:r>
      <w:r>
        <w:rPr>
          <w:spacing w:val="56"/>
        </w:rPr>
        <w:t> </w:t>
      </w:r>
      <w:r>
        <w:rPr/>
        <w:t>etc.</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5"/>
        </w:rPr>
      </w:pPr>
      <w:r>
        <w:rPr/>
        <w:pict>
          <v:line style="position:absolute;mso-position-horizontal-relative:page;mso-position-vertical-relative:paragraph;z-index:1840;mso-wrap-distance-left:0;mso-wrap-distance-right:0" from="82.799995pt,11.170289pt" to="222.959992pt,11.170289pt" stroked="true" strokeweight=".72pt" strokecolor="#000000">
            <w10:wrap type="topAndBottom"/>
          </v:line>
        </w:pict>
      </w:r>
    </w:p>
    <w:p>
      <w:pPr>
        <w:spacing w:line="244" w:lineRule="auto" w:before="39"/>
        <w:ind w:left="116" w:right="107" w:firstLine="0"/>
        <w:jc w:val="both"/>
        <w:rPr>
          <w:sz w:val="19"/>
        </w:rPr>
      </w:pPr>
      <w:r>
        <w:rPr>
          <w:position w:val="10"/>
          <w:sz w:val="12"/>
        </w:rPr>
        <w:t>54 </w:t>
      </w:r>
      <w:r>
        <w:rPr>
          <w:sz w:val="19"/>
        </w:rPr>
        <w:t>Esto equivale según Rionda (1992:23) a “...cruzar las variables histórico-sociales, como la lucha agrarista, la escisión social comunitaria, el desarrollo agrícola local, la mayor  demanda  de  productos agrícolas comerciales en relación a los productos  básicos,  etcétera,  con  las  modalidades migratorias adoptadas en un caso comunitario  </w:t>
      </w:r>
      <w:r>
        <w:rPr>
          <w:spacing w:val="10"/>
          <w:sz w:val="19"/>
        </w:rPr>
        <w:t> </w:t>
      </w:r>
      <w:r>
        <w:rPr>
          <w:sz w:val="19"/>
        </w:rPr>
        <w:t>concreto”.</w:t>
      </w:r>
    </w:p>
    <w:p>
      <w:pPr>
        <w:spacing w:line="219" w:lineRule="exact" w:before="0"/>
        <w:ind w:left="115" w:right="0" w:firstLine="0"/>
        <w:jc w:val="both"/>
        <w:rPr>
          <w:sz w:val="19"/>
        </w:rPr>
      </w:pPr>
      <w:r>
        <w:rPr>
          <w:position w:val="10"/>
          <w:sz w:val="12"/>
        </w:rPr>
        <w:t>55  </w:t>
      </w:r>
      <w:r>
        <w:rPr>
          <w:sz w:val="19"/>
        </w:rPr>
        <w:t>Inicialmente la familia se encontrará ubicada en determinada etapa de consumo y pretenderá,</w:t>
      </w:r>
    </w:p>
    <w:p>
      <w:pPr>
        <w:spacing w:line="244" w:lineRule="auto" w:before="7"/>
        <w:ind w:left="115" w:right="102" w:firstLine="0"/>
        <w:jc w:val="both"/>
        <w:rPr>
          <w:sz w:val="19"/>
        </w:rPr>
      </w:pPr>
      <w:r>
        <w:rPr>
          <w:sz w:val="19"/>
        </w:rPr>
        <w:t>mediante la migración, alcanzar una o algunas de las etapas superiores pero según sus recursos y  su tiempo tan sólo podrá estar en una de </w:t>
      </w:r>
      <w:r>
        <w:rPr>
          <w:spacing w:val="29"/>
          <w:sz w:val="19"/>
        </w:rPr>
        <w:t> </w:t>
      </w:r>
      <w:r>
        <w:rPr>
          <w:sz w:val="19"/>
        </w:rPr>
        <w:t>ellas.</w:t>
      </w:r>
    </w:p>
    <w:p>
      <w:pPr>
        <w:spacing w:after="0" w:line="244" w:lineRule="auto"/>
        <w:jc w:val="both"/>
        <w:rPr>
          <w:sz w:val="19"/>
        </w:rPr>
        <w:sectPr>
          <w:pgSz w:w="11900" w:h="16840"/>
          <w:pgMar w:header="0" w:footer="1679" w:top="1600" w:bottom="1860" w:left="1540" w:right="1580"/>
        </w:sectPr>
      </w:pPr>
    </w:p>
    <w:p>
      <w:pPr>
        <w:pStyle w:val="BodyText"/>
        <w:rPr>
          <w:sz w:val="20"/>
        </w:rPr>
      </w:pPr>
    </w:p>
    <w:p>
      <w:pPr>
        <w:pStyle w:val="BodyText"/>
        <w:spacing w:before="5"/>
        <w:rPr>
          <w:sz w:val="16"/>
        </w:rPr>
      </w:pPr>
    </w:p>
    <w:p>
      <w:pPr>
        <w:pStyle w:val="Heading4"/>
        <w:spacing w:line="280" w:lineRule="auto" w:before="74"/>
        <w:ind w:left="215" w:right="226"/>
        <w:jc w:val="both"/>
      </w:pPr>
      <w:r>
        <w:rPr/>
        <w:t>Cuadro 6. Variaciones del flujo migratorio resultantes de  combinar  solamente tres valores alternativos de la Pirámide de Máslow,  dos  de  la etapa demográfica familiar y dos del desarrollo de las redes </w:t>
      </w:r>
      <w:r>
        <w:rPr>
          <w:spacing w:val="23"/>
        </w:rPr>
        <w:t> </w:t>
      </w:r>
      <w:r>
        <w:rPr/>
        <w:t>migratorias</w:t>
      </w:r>
    </w:p>
    <w:p>
      <w:pPr>
        <w:pStyle w:val="BodyText"/>
        <w:spacing w:before="9"/>
        <w:rPr>
          <w:b/>
          <w:sz w:val="16"/>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37"/>
        <w:gridCol w:w="2214"/>
        <w:gridCol w:w="2082"/>
        <w:gridCol w:w="2232"/>
      </w:tblGrid>
      <w:tr>
        <w:trPr>
          <w:trHeight w:val="515" w:hRule="exact"/>
        </w:trPr>
        <w:tc>
          <w:tcPr>
            <w:tcW w:w="2237" w:type="dxa"/>
            <w:tcBorders>
              <w:bottom w:val="single" w:sz="3" w:space="0" w:color="000000"/>
            </w:tcBorders>
          </w:tcPr>
          <w:p>
            <w:pPr>
              <w:pStyle w:val="TableParagraph"/>
              <w:spacing w:before="120"/>
              <w:ind w:left="843" w:right="844"/>
              <w:jc w:val="center"/>
              <w:rPr>
                <w:sz w:val="23"/>
              </w:rPr>
            </w:pPr>
            <w:r>
              <w:rPr>
                <w:sz w:val="23"/>
              </w:rPr>
              <w:t>Mrni</w:t>
            </w:r>
          </w:p>
        </w:tc>
        <w:tc>
          <w:tcPr>
            <w:tcW w:w="2214" w:type="dxa"/>
            <w:tcBorders>
              <w:bottom w:val="single" w:sz="3" w:space="0" w:color="000000"/>
              <w:right w:val="single" w:sz="3" w:space="0" w:color="000000"/>
            </w:tcBorders>
          </w:tcPr>
          <w:p>
            <w:pPr>
              <w:pStyle w:val="TableParagraph"/>
              <w:spacing w:before="120"/>
              <w:ind w:left="799" w:right="799"/>
              <w:jc w:val="center"/>
              <w:rPr>
                <w:sz w:val="23"/>
              </w:rPr>
            </w:pPr>
            <w:r>
              <w:rPr>
                <w:sz w:val="23"/>
              </w:rPr>
              <w:t>mrns</w:t>
            </w:r>
          </w:p>
        </w:tc>
        <w:tc>
          <w:tcPr>
            <w:tcW w:w="2082" w:type="dxa"/>
            <w:tcBorders>
              <w:left w:val="single" w:sz="3" w:space="0" w:color="000000"/>
              <w:bottom w:val="single" w:sz="3" w:space="0" w:color="000000"/>
            </w:tcBorders>
          </w:tcPr>
          <w:p>
            <w:pPr>
              <w:pStyle w:val="TableParagraph"/>
              <w:spacing w:before="118"/>
              <w:ind w:left="799" w:right="797"/>
              <w:jc w:val="center"/>
              <w:rPr>
                <w:b/>
                <w:sz w:val="23"/>
              </w:rPr>
            </w:pPr>
            <w:r>
              <w:rPr>
                <w:b/>
                <w:sz w:val="23"/>
              </w:rPr>
              <w:t>Mrti</w:t>
            </w:r>
          </w:p>
        </w:tc>
        <w:tc>
          <w:tcPr>
            <w:tcW w:w="2232" w:type="dxa"/>
            <w:tcBorders>
              <w:bottom w:val="single" w:sz="3" w:space="0" w:color="000000"/>
            </w:tcBorders>
          </w:tcPr>
          <w:p>
            <w:pPr>
              <w:pStyle w:val="TableParagraph"/>
              <w:spacing w:before="120"/>
              <w:ind w:left="840" w:right="839"/>
              <w:jc w:val="center"/>
              <w:rPr>
                <w:sz w:val="23"/>
              </w:rPr>
            </w:pPr>
            <w:r>
              <w:rPr>
                <w:sz w:val="23"/>
              </w:rPr>
              <w:t>Mrts</w:t>
            </w:r>
          </w:p>
        </w:tc>
      </w:tr>
      <w:tr>
        <w:trPr>
          <w:trHeight w:val="512" w:hRule="exact"/>
        </w:trPr>
        <w:tc>
          <w:tcPr>
            <w:tcW w:w="2237" w:type="dxa"/>
            <w:tcBorders>
              <w:top w:val="single" w:sz="3" w:space="0" w:color="000000"/>
            </w:tcBorders>
          </w:tcPr>
          <w:p>
            <w:pPr>
              <w:pStyle w:val="TableParagraph"/>
              <w:spacing w:before="118"/>
              <w:ind w:left="843" w:right="844"/>
              <w:jc w:val="center"/>
              <w:rPr>
                <w:sz w:val="23"/>
              </w:rPr>
            </w:pPr>
            <w:r>
              <w:rPr>
                <w:sz w:val="23"/>
              </w:rPr>
              <w:t>Mvni</w:t>
            </w:r>
          </w:p>
        </w:tc>
        <w:tc>
          <w:tcPr>
            <w:tcW w:w="2214" w:type="dxa"/>
            <w:tcBorders>
              <w:top w:val="single" w:sz="3" w:space="0" w:color="000000"/>
              <w:right w:val="single" w:sz="3" w:space="0" w:color="000000"/>
            </w:tcBorders>
          </w:tcPr>
          <w:p>
            <w:pPr>
              <w:pStyle w:val="TableParagraph"/>
              <w:spacing w:before="118"/>
              <w:ind w:left="799" w:right="804"/>
              <w:jc w:val="center"/>
              <w:rPr>
                <w:sz w:val="23"/>
              </w:rPr>
            </w:pPr>
            <w:r>
              <w:rPr>
                <w:sz w:val="23"/>
              </w:rPr>
              <w:t>Mvns</w:t>
            </w:r>
          </w:p>
        </w:tc>
        <w:tc>
          <w:tcPr>
            <w:tcW w:w="2082" w:type="dxa"/>
            <w:tcBorders>
              <w:top w:val="single" w:sz="3" w:space="0" w:color="000000"/>
              <w:left w:val="single" w:sz="3" w:space="0" w:color="000000"/>
            </w:tcBorders>
          </w:tcPr>
          <w:p>
            <w:pPr>
              <w:pStyle w:val="TableParagraph"/>
              <w:spacing w:before="118"/>
              <w:ind w:left="799" w:right="798"/>
              <w:jc w:val="center"/>
              <w:rPr>
                <w:sz w:val="23"/>
              </w:rPr>
            </w:pPr>
            <w:r>
              <w:rPr>
                <w:sz w:val="23"/>
              </w:rPr>
              <w:t>Mvti</w:t>
            </w:r>
          </w:p>
        </w:tc>
        <w:tc>
          <w:tcPr>
            <w:tcW w:w="2232" w:type="dxa"/>
            <w:tcBorders>
              <w:top w:val="single" w:sz="3" w:space="0" w:color="000000"/>
            </w:tcBorders>
          </w:tcPr>
          <w:p>
            <w:pPr>
              <w:pStyle w:val="TableParagraph"/>
              <w:spacing w:before="118"/>
              <w:ind w:left="840" w:right="840"/>
              <w:jc w:val="center"/>
              <w:rPr>
                <w:sz w:val="23"/>
              </w:rPr>
            </w:pPr>
            <w:r>
              <w:rPr>
                <w:sz w:val="23"/>
              </w:rPr>
              <w:t>Mvts</w:t>
            </w:r>
          </w:p>
        </w:tc>
      </w:tr>
      <w:tr>
        <w:trPr>
          <w:trHeight w:val="511" w:hRule="exact"/>
        </w:trPr>
        <w:tc>
          <w:tcPr>
            <w:tcW w:w="2237" w:type="dxa"/>
          </w:tcPr>
          <w:p>
            <w:pPr>
              <w:pStyle w:val="TableParagraph"/>
              <w:spacing w:before="115"/>
              <w:ind w:left="843" w:right="844"/>
              <w:jc w:val="center"/>
              <w:rPr>
                <w:sz w:val="23"/>
              </w:rPr>
            </w:pPr>
            <w:r>
              <w:rPr>
                <w:sz w:val="23"/>
              </w:rPr>
              <w:t>Meni</w:t>
            </w:r>
          </w:p>
        </w:tc>
        <w:tc>
          <w:tcPr>
            <w:tcW w:w="2214" w:type="dxa"/>
            <w:tcBorders>
              <w:right w:val="single" w:sz="3" w:space="0" w:color="000000"/>
            </w:tcBorders>
          </w:tcPr>
          <w:p>
            <w:pPr>
              <w:pStyle w:val="TableParagraph"/>
              <w:spacing w:before="115"/>
              <w:ind w:left="799" w:right="804"/>
              <w:jc w:val="center"/>
              <w:rPr>
                <w:sz w:val="23"/>
              </w:rPr>
            </w:pPr>
            <w:r>
              <w:rPr>
                <w:sz w:val="23"/>
              </w:rPr>
              <w:t>Mens</w:t>
            </w:r>
          </w:p>
        </w:tc>
        <w:tc>
          <w:tcPr>
            <w:tcW w:w="2082" w:type="dxa"/>
            <w:tcBorders>
              <w:left w:val="single" w:sz="3" w:space="0" w:color="000000"/>
            </w:tcBorders>
          </w:tcPr>
          <w:p>
            <w:pPr>
              <w:pStyle w:val="TableParagraph"/>
              <w:spacing w:before="115"/>
              <w:ind w:left="799" w:right="799"/>
              <w:jc w:val="center"/>
              <w:rPr>
                <w:sz w:val="23"/>
              </w:rPr>
            </w:pPr>
            <w:r>
              <w:rPr>
                <w:sz w:val="23"/>
              </w:rPr>
              <w:t>Meti</w:t>
            </w:r>
          </w:p>
        </w:tc>
        <w:tc>
          <w:tcPr>
            <w:tcW w:w="2232" w:type="dxa"/>
          </w:tcPr>
          <w:p>
            <w:pPr>
              <w:pStyle w:val="TableParagraph"/>
              <w:spacing w:before="115"/>
              <w:ind w:left="840" w:right="843"/>
              <w:jc w:val="center"/>
              <w:rPr>
                <w:sz w:val="23"/>
              </w:rPr>
            </w:pPr>
            <w:r>
              <w:rPr>
                <w:sz w:val="23"/>
              </w:rPr>
              <w:t>Mets</w:t>
            </w:r>
          </w:p>
        </w:tc>
      </w:tr>
    </w:tbl>
    <w:p>
      <w:pPr>
        <w:pStyle w:val="BodyText"/>
        <w:rPr>
          <w:b/>
          <w:sz w:val="20"/>
        </w:rPr>
      </w:pPr>
    </w:p>
    <w:p>
      <w:pPr>
        <w:pStyle w:val="BodyText"/>
        <w:spacing w:before="2"/>
        <w:rPr>
          <w:b/>
          <w:sz w:val="25"/>
        </w:rPr>
      </w:pPr>
    </w:p>
    <w:p>
      <w:pPr>
        <w:pStyle w:val="BodyText"/>
        <w:spacing w:line="355" w:lineRule="auto" w:before="84"/>
        <w:ind w:left="215" w:right="369"/>
      </w:pPr>
      <w:r>
        <w:rPr/>
        <w:t>.Tomando en cuenta únicamente a los primeros tres</w:t>
      </w:r>
      <w:r>
        <w:rPr>
          <w:position w:val="11"/>
          <w:sz w:val="15"/>
        </w:rPr>
        <w:t>56 </w:t>
      </w:r>
      <w:r>
        <w:rPr/>
        <w:t>valores alternativos de W y  a los primeros dos de la etapa demográfica y de las redes, de su combinación tendríamos 12 situaciones posibles</w:t>
      </w:r>
      <w:r>
        <w:rPr>
          <w:position w:val="11"/>
          <w:sz w:val="15"/>
        </w:rPr>
        <w:t>57</w:t>
      </w:r>
      <w:r>
        <w:rPr/>
        <w:t>, las cuales pueden ser ordenadas en forma matricial y en forma gráfica tal como se hace en el cuadro 6  y la figura </w:t>
      </w:r>
      <w:r>
        <w:rPr>
          <w:spacing w:val="18"/>
        </w:rPr>
        <w:t> </w:t>
      </w:r>
      <w:r>
        <w:rPr/>
        <w:t>1.</w:t>
      </w:r>
    </w:p>
    <w:p>
      <w:pPr>
        <w:pStyle w:val="BodyText"/>
        <w:rPr>
          <w:sz w:val="22"/>
        </w:rPr>
      </w:pPr>
    </w:p>
    <w:p>
      <w:pPr>
        <w:pStyle w:val="BodyText"/>
        <w:rPr>
          <w:sz w:val="22"/>
        </w:rPr>
      </w:pPr>
    </w:p>
    <w:p>
      <w:pPr>
        <w:pStyle w:val="BodyText"/>
        <w:spacing w:line="367" w:lineRule="auto" w:before="145"/>
        <w:ind w:left="215" w:right="226"/>
        <w:jc w:val="both"/>
      </w:pPr>
      <w:r>
        <w:rPr/>
        <w:t>En esta última figura el modelo se aprecia como un prisma rectangular en cuyos vértices se ubica a cada uno de los movimientos migratorios  señalados.</w:t>
      </w:r>
    </w:p>
    <w:p>
      <w:pPr>
        <w:pStyle w:val="BodyText"/>
        <w:rPr>
          <w:sz w:val="22"/>
        </w:rPr>
      </w:pPr>
    </w:p>
    <w:p>
      <w:pPr>
        <w:pStyle w:val="BodyText"/>
        <w:spacing w:before="8"/>
        <w:rPr>
          <w:sz w:val="29"/>
        </w:rPr>
      </w:pPr>
    </w:p>
    <w:p>
      <w:pPr>
        <w:pStyle w:val="BodyText"/>
        <w:spacing w:line="367" w:lineRule="auto" w:before="1"/>
        <w:ind w:left="215" w:right="225"/>
        <w:jc w:val="both"/>
      </w:pPr>
      <w:r>
        <w:rPr/>
        <w:t>Si mediante una teoría parcial logramos  explicar la posición </w:t>
      </w:r>
      <w:r>
        <w:rPr>
          <w:b/>
        </w:rPr>
        <w:t>Mrti</w:t>
      </w:r>
      <w:r>
        <w:rPr/>
        <w:t>, seguramente  que esa misma teoría si es que acaso proporciona una explicación limitada de la posición Mets. Esto es precisamente lo que puede haber ocurrido con la mayoría  de las explicaciones precedentes. Para ellas no existe alguna teoría que explique satisfactoriamente todas las variantes registradas de la </w:t>
      </w:r>
      <w:r>
        <w:rPr>
          <w:spacing w:val="3"/>
        </w:rPr>
        <w:t> </w:t>
      </w:r>
      <w:r>
        <w:rPr/>
        <w:t>migración.</w:t>
      </w:r>
    </w:p>
    <w:p>
      <w:pPr>
        <w:pStyle w:val="BodyText"/>
        <w:rPr>
          <w:sz w:val="22"/>
        </w:rPr>
      </w:pPr>
    </w:p>
    <w:p>
      <w:pPr>
        <w:pStyle w:val="BodyText"/>
        <w:spacing w:line="364" w:lineRule="auto" w:before="152"/>
        <w:ind w:left="215" w:right="229"/>
        <w:jc w:val="both"/>
      </w:pPr>
      <w:r>
        <w:rPr/>
        <w:t>En cambio, bajo esta nueva perspectiva tal cosa sí es posible. Por ejemplo, Mrti   se identifica con el flujo de migrantes (M) de una familia dentro de cuyas necesidades solamente se encuentran satisfechas la alimentación y el vestido (r), se trata de una familia troncal (t) y no tiene acceso a las redes migratorias </w:t>
      </w:r>
      <w:r>
        <w:rPr>
          <w:spacing w:val="24"/>
        </w:rPr>
        <w:t> </w:t>
      </w:r>
      <w:r>
        <w:rPr/>
        <w:t>(i).</w:t>
      </w:r>
    </w:p>
    <w:p>
      <w:pPr>
        <w:pStyle w:val="BodyText"/>
        <w:spacing w:before="9"/>
        <w:rPr>
          <w:sz w:val="15"/>
        </w:rPr>
      </w:pPr>
      <w:r>
        <w:rPr/>
        <w:pict>
          <v:line style="position:absolute;mso-position-horizontal-relative:page;mso-position-vertical-relative:paragraph;z-index:1864;mso-wrap-distance-left:0;mso-wrap-distance-right:0" from="82.799995pt,11.401735pt" to="222.959992pt,11.401735pt" stroked="true" strokeweight=".72pt" strokecolor="#000000">
            <w10:wrap type="topAndBottom"/>
          </v:line>
        </w:pict>
      </w:r>
    </w:p>
    <w:p>
      <w:pPr>
        <w:spacing w:before="39"/>
        <w:ind w:left="215" w:right="0" w:firstLine="0"/>
        <w:jc w:val="both"/>
        <w:rPr>
          <w:sz w:val="19"/>
        </w:rPr>
      </w:pPr>
      <w:r>
        <w:rPr>
          <w:position w:val="10"/>
          <w:sz w:val="12"/>
        </w:rPr>
        <w:t>56  </w:t>
      </w:r>
      <w:r>
        <w:rPr>
          <w:sz w:val="19"/>
        </w:rPr>
        <w:t>pueden ser más en todas las variables e incluso constituir una   continuidad.</w:t>
      </w:r>
    </w:p>
    <w:p>
      <w:pPr>
        <w:spacing w:line="247" w:lineRule="auto" w:before="193"/>
        <w:ind w:left="216" w:right="228" w:firstLine="0"/>
        <w:jc w:val="both"/>
        <w:rPr>
          <w:sz w:val="19"/>
        </w:rPr>
      </w:pPr>
      <w:r>
        <w:rPr>
          <w:position w:val="10"/>
          <w:sz w:val="12"/>
        </w:rPr>
        <w:t>57 </w:t>
      </w:r>
      <w:r>
        <w:rPr>
          <w:sz w:val="19"/>
        </w:rPr>
        <w:t>En este caso suponemos que sólo son tres los factores que inciden en  la migración.  Si fueran  más tendríamos que multiplicar el número anterior por la cantidad de valores que pudiera tomar el cuarto factor y así </w:t>
      </w:r>
      <w:r>
        <w:rPr>
          <w:spacing w:val="5"/>
          <w:sz w:val="19"/>
        </w:rPr>
        <w:t> </w:t>
      </w:r>
      <w:r>
        <w:rPr>
          <w:sz w:val="19"/>
        </w:rPr>
        <w:t>sucesivamente.</w:t>
      </w:r>
    </w:p>
    <w:p>
      <w:pPr>
        <w:spacing w:after="0" w:line="247" w:lineRule="auto"/>
        <w:jc w:val="both"/>
        <w:rPr>
          <w:sz w:val="19"/>
        </w:rPr>
        <w:sectPr>
          <w:pgSz w:w="11900" w:h="16840"/>
          <w:pgMar w:header="0" w:footer="1679" w:top="1600" w:bottom="1860" w:left="1440" w:right="1460"/>
        </w:sectPr>
      </w:pPr>
    </w:p>
    <w:p>
      <w:pPr>
        <w:pStyle w:val="BodyText"/>
        <w:rPr>
          <w:sz w:val="20"/>
        </w:rPr>
      </w:pPr>
    </w:p>
    <w:p>
      <w:pPr>
        <w:pStyle w:val="BodyText"/>
        <w:rPr>
          <w:sz w:val="20"/>
        </w:rPr>
      </w:pPr>
    </w:p>
    <w:p>
      <w:pPr>
        <w:pStyle w:val="BodyText"/>
        <w:rPr>
          <w:sz w:val="20"/>
        </w:rPr>
      </w:pPr>
    </w:p>
    <w:p>
      <w:pPr>
        <w:pStyle w:val="BodyText"/>
        <w:spacing w:before="1"/>
        <w:rPr>
          <w:sz w:val="18"/>
        </w:rPr>
      </w:pPr>
    </w:p>
    <w:p>
      <w:pPr>
        <w:pStyle w:val="BodyText"/>
        <w:spacing w:line="355" w:lineRule="auto"/>
        <w:ind w:left="215" w:right="222"/>
        <w:jc w:val="both"/>
      </w:pPr>
      <w:r>
        <w:rPr/>
        <w:t>A su vez la posición Mets, significa un flujo migratorio procedente de una familia que incluso tiene satisfechas algunas necesidades de tipo social (e), no tiene vivienda propia</w:t>
      </w:r>
      <w:r>
        <w:rPr>
          <w:position w:val="11"/>
          <w:sz w:val="15"/>
        </w:rPr>
        <w:t>58</w:t>
      </w:r>
      <w:r>
        <w:rPr/>
        <w:t>, vive en la casa de los padres del marido (t) y  cuenta  con facilidad para acceder a las redes migratorias</w:t>
      </w:r>
      <w:r>
        <w:rPr>
          <w:spacing w:val="55"/>
        </w:rPr>
        <w:t> </w:t>
      </w:r>
      <w:r>
        <w:rPr/>
        <w:t>(s).</w:t>
      </w:r>
    </w:p>
    <w:p>
      <w:pPr>
        <w:pStyle w:val="BodyText"/>
        <w:rPr>
          <w:sz w:val="22"/>
        </w:rPr>
      </w:pPr>
    </w:p>
    <w:p>
      <w:pPr>
        <w:pStyle w:val="BodyText"/>
        <w:spacing w:before="4"/>
        <w:rPr>
          <w:sz w:val="24"/>
        </w:rPr>
      </w:pPr>
    </w:p>
    <w:p>
      <w:pPr>
        <w:pStyle w:val="Heading4"/>
        <w:spacing w:line="364" w:lineRule="auto" w:before="1"/>
        <w:ind w:left="215" w:right="225"/>
        <w:jc w:val="both"/>
      </w:pPr>
      <w:r>
        <w:rPr/>
        <w:pict>
          <v:group style="position:absolute;margin-left:77.029999pt;margin-top:45.986259pt;width:439.25pt;height:262.7pt;mso-position-horizontal-relative:page;mso-position-vertical-relative:paragraph;z-index:2104;mso-wrap-distance-left:0;mso-wrap-distance-right:0" coordorigin="1541,920" coordsize="8785,5254">
            <v:line style="position:absolute" from="1550,930" to="10315,930" stroked="true" strokeweight=".48pt" strokecolor="#000000"/>
            <v:line style="position:absolute" from="1550,6164" to="10315,6164" stroked="true" strokeweight=".48pt" strokecolor="#000000"/>
            <v:line style="position:absolute" from="1546,925" to="1546,6169" stroked="true" strokeweight=".48pt" strokecolor="#000000"/>
            <v:line style="position:absolute" from="10320,925" to="10320,6169" stroked="true" strokeweight=".48pt" strokecolor="#000000"/>
            <v:line style="position:absolute" from="5722,2876" to="6842,3159" stroked="true" strokeweight=".97338pt" strokecolor="#252525"/>
            <v:line style="position:absolute" from="5722,2876" to="3758,3718" stroked="true" strokeweight=".97338pt" strokecolor="#252525"/>
            <v:line style="position:absolute" from="6842,3157" to="4879,3999" stroked="true" strokeweight=".97338pt" strokecolor="#1f1f1f"/>
            <v:line style="position:absolute" from="3758,3735" to="4882,4016" stroked="true" strokeweight=".97338pt" strokecolor="#1f1f1f"/>
            <v:line style="position:absolute" from="6842,3157" to="6842,4064" stroked="true" strokeweight=".97338pt" strokecolor="#252525"/>
            <v:line style="position:absolute" from="6842,4064" to="4879,5046" stroked="true" strokeweight=".97338pt" strokecolor="#252525"/>
            <v:line style="position:absolute" from="4877,4016" to="4879,4998" stroked="true" strokeweight=".97338pt" strokecolor="#252525"/>
            <v:line style="position:absolute" from="3758,3735" to="3758,4717" stroked="true" strokeweight=".97338pt" strokecolor="#252525"/>
            <v:line style="position:absolute" from="4879,5046" to="3756,4765" stroked="true" strokeweight=".97338pt" strokecolor="#1f1f1f"/>
            <v:line style="position:absolute" from="5722,3642" to="4598,3361" stroked="true" strokeweight=".97338pt" strokecolor="#252525"/>
            <v:line style="position:absolute" from="5722,3642" to="5722,4626" stroked="true" strokeweight=".97338pt" strokecolor="#1f1f1f"/>
            <v:line style="position:absolute" from="5580,3831" to="5582,2989" stroked="true" strokeweight="1.946772pt" strokecolor="#000000">
              <v:stroke dashstyle="longDash"/>
            </v:line>
            <v:line style="position:absolute" from="5580,4016" to="6703,4297" stroked="true" strokeweight="1.946772pt" strokecolor="#000000">
              <v:stroke dashstyle="longDash"/>
            </v:line>
            <v:line style="position:absolute" from="6701,4297" to="9226,4940" stroked="true" strokeweight="1.946772pt" strokecolor="#000000"/>
            <v:line style="position:absolute" from="5582,4016" to="3898,4858" stroked="true" strokeweight="1.946772pt" strokecolor="#000000">
              <v:stroke dashstyle="longDash"/>
            </v:line>
            <v:line style="position:absolute" from="3986,4717" to="2724,5418" stroked="true" strokeweight="1.946772pt" strokecolor="#000000"/>
            <v:line style="position:absolute" from="3758,4765" to="5722,3783" stroked="true" strokeweight=".486684pt" strokecolor="#00007f">
              <v:stroke dashstyle="longDash"/>
            </v:line>
            <v:line style="position:absolute" from="5722,3692" to="5722,2850" stroked="true" strokeweight=".486684pt" strokecolor="#00007f">
              <v:stroke dashstyle="longDash"/>
            </v:line>
            <v:line style="position:absolute" from="5722,3783" to="6842,4064" stroked="true" strokeweight=".486684pt" strokecolor="#00007f">
              <v:stroke dashstyle="longDash"/>
            </v:line>
            <v:line style="position:absolute" from="4598,3361" to="4601,4342" stroked="true" strokeweight=".486684pt" strokecolor="#00007f">
              <v:stroke dashstyle="longDash"/>
            </v:line>
            <v:line style="position:absolute" from="4598,4297" to="5722,4626" stroked="true" strokeweight=".486684pt" strokecolor="#00007f">
              <v:stroke dashstyle="longDash"/>
            </v:line>
            <v:line style="position:absolute" from="5578,2362" to="5578,1359" stroked="true" strokeweight="1.946772pt" strokecolor="#000000"/>
            <v:shape style="position:absolute;left:5553;top:983;width:169;height:234" type="#_x0000_t202" filled="false" stroked="false">
              <v:textbox inset="0,0,0,0">
                <w:txbxContent>
                  <w:p>
                    <w:pPr>
                      <w:spacing w:line="234" w:lineRule="exact" w:before="0"/>
                      <w:ind w:left="0" w:right="0" w:firstLine="0"/>
                      <w:jc w:val="left"/>
                      <w:rPr>
                        <w:sz w:val="23"/>
                      </w:rPr>
                    </w:pPr>
                    <w:r>
                      <w:rPr>
                        <w:w w:val="101"/>
                        <w:sz w:val="23"/>
                      </w:rPr>
                      <w:t>D</w:t>
                    </w:r>
                  </w:p>
                </w:txbxContent>
              </v:textbox>
              <w10:wrap type="none"/>
            </v:shape>
            <v:shape style="position:absolute;left:5420;top:2775;width:130;height:832" type="#_x0000_t202" filled="false" stroked="false">
              <v:textbox inset="0,0,0,0">
                <w:txbxContent>
                  <w:p>
                    <w:pPr>
                      <w:spacing w:line="238" w:lineRule="exact" w:before="0"/>
                      <w:ind w:left="0" w:right="0" w:firstLine="64"/>
                      <w:jc w:val="left"/>
                      <w:rPr>
                        <w:sz w:val="23"/>
                      </w:rPr>
                    </w:pPr>
                    <w:r>
                      <w:rPr>
                        <w:w w:val="101"/>
                        <w:sz w:val="23"/>
                      </w:rPr>
                      <w:t>t</w:t>
                    </w:r>
                  </w:p>
                  <w:p>
                    <w:pPr>
                      <w:spacing w:line="240" w:lineRule="auto" w:before="11"/>
                      <w:rPr>
                        <w:b/>
                        <w:sz w:val="28"/>
                      </w:rPr>
                    </w:pPr>
                  </w:p>
                  <w:p>
                    <w:pPr>
                      <w:spacing w:line="260" w:lineRule="exact" w:before="0"/>
                      <w:ind w:left="0" w:right="0" w:firstLine="0"/>
                      <w:jc w:val="left"/>
                      <w:rPr>
                        <w:sz w:val="23"/>
                      </w:rPr>
                    </w:pPr>
                    <w:r>
                      <w:rPr>
                        <w:w w:val="101"/>
                        <w:sz w:val="23"/>
                      </w:rPr>
                      <w:t>n</w:t>
                    </w:r>
                  </w:p>
                </w:txbxContent>
              </v:textbox>
              <w10:wrap type="none"/>
            </v:shape>
            <v:shape style="position:absolute;left:5158;top:3971;width:130;height:234" type="#_x0000_t202" filled="false" stroked="false">
              <v:textbox inset="0,0,0,0">
                <w:txbxContent>
                  <w:p>
                    <w:pPr>
                      <w:spacing w:line="234" w:lineRule="exact" w:before="0"/>
                      <w:ind w:left="0" w:right="0" w:firstLine="0"/>
                      <w:jc w:val="left"/>
                      <w:rPr>
                        <w:sz w:val="23"/>
                      </w:rPr>
                    </w:pPr>
                    <w:r>
                      <w:rPr>
                        <w:w w:val="101"/>
                        <w:sz w:val="23"/>
                      </w:rPr>
                      <w:t>0</w:t>
                    </w:r>
                  </w:p>
                </w:txbxContent>
              </v:textbox>
              <w10:wrap type="none"/>
            </v:shape>
            <v:shape style="position:absolute;left:6976;top:3971;width:52;height:234" type="#_x0000_t202" filled="false" stroked="false">
              <v:textbox inset="0,0,0,0">
                <w:txbxContent>
                  <w:p>
                    <w:pPr>
                      <w:spacing w:line="234" w:lineRule="exact" w:before="0"/>
                      <w:ind w:left="0" w:right="0" w:firstLine="0"/>
                      <w:jc w:val="left"/>
                      <w:rPr>
                        <w:sz w:val="23"/>
                      </w:rPr>
                    </w:pPr>
                    <w:r>
                      <w:rPr>
                        <w:w w:val="101"/>
                        <w:sz w:val="23"/>
                      </w:rPr>
                      <w:t>i</w:t>
                    </w:r>
                  </w:p>
                </w:txbxContent>
              </v:textbox>
              <w10:wrap type="none"/>
            </v:shape>
            <v:shape style="position:absolute;left:3865;top:4568;width:78;height:234" type="#_x0000_t202" filled="false" stroked="false">
              <v:textbox inset="0,0,0,0">
                <w:txbxContent>
                  <w:p>
                    <w:pPr>
                      <w:spacing w:line="234" w:lineRule="exact" w:before="0"/>
                      <w:ind w:left="0" w:right="0" w:firstLine="0"/>
                      <w:jc w:val="left"/>
                      <w:rPr>
                        <w:sz w:val="23"/>
                      </w:rPr>
                    </w:pPr>
                    <w:r>
                      <w:rPr>
                        <w:w w:val="101"/>
                        <w:sz w:val="23"/>
                      </w:rPr>
                      <w:t>r</w:t>
                    </w:r>
                  </w:p>
                </w:txbxContent>
              </v:textbox>
              <w10:wrap type="none"/>
            </v:shape>
            <v:shape style="position:absolute;left:6019;top:4568;width:117;height:234" type="#_x0000_t202" filled="false" stroked="false">
              <v:textbox inset="0,0,0,0">
                <w:txbxContent>
                  <w:p>
                    <w:pPr>
                      <w:spacing w:line="234" w:lineRule="exact" w:before="0"/>
                      <w:ind w:left="0" w:right="0" w:firstLine="0"/>
                      <w:jc w:val="left"/>
                      <w:rPr>
                        <w:sz w:val="23"/>
                      </w:rPr>
                    </w:pPr>
                    <w:r>
                      <w:rPr>
                        <w:w w:val="101"/>
                        <w:sz w:val="23"/>
                      </w:rPr>
                      <w:t>s</w:t>
                    </w:r>
                  </w:p>
                </w:txbxContent>
              </v:textbox>
              <w10:wrap type="none"/>
            </v:shape>
            <v:shape style="position:absolute;left:3086;top:5166;width:117;height:234" type="#_x0000_t202" filled="false" stroked="false">
              <v:textbox inset="0,0,0,0">
                <w:txbxContent>
                  <w:p>
                    <w:pPr>
                      <w:spacing w:line="234" w:lineRule="exact" w:before="0"/>
                      <w:ind w:left="0" w:right="0" w:firstLine="0"/>
                      <w:jc w:val="left"/>
                      <w:rPr>
                        <w:sz w:val="23"/>
                      </w:rPr>
                    </w:pPr>
                    <w:r>
                      <w:rPr>
                        <w:w w:val="101"/>
                        <w:sz w:val="23"/>
                      </w:rPr>
                      <w:t>v</w:t>
                    </w:r>
                  </w:p>
                </w:txbxContent>
              </v:textbox>
              <w10:wrap type="none"/>
            </v:shape>
            <v:shape style="position:absolute;left:9363;top:5166;width:169;height:234" type="#_x0000_t202" filled="false" stroked="false">
              <v:textbox inset="0,0,0,0">
                <w:txbxContent>
                  <w:p>
                    <w:pPr>
                      <w:spacing w:line="234" w:lineRule="exact" w:before="0"/>
                      <w:ind w:left="0" w:right="0" w:firstLine="0"/>
                      <w:jc w:val="left"/>
                      <w:rPr>
                        <w:sz w:val="23"/>
                      </w:rPr>
                    </w:pPr>
                    <w:r>
                      <w:rPr>
                        <w:w w:val="101"/>
                        <w:sz w:val="23"/>
                      </w:rPr>
                      <w:t>R</w:t>
                    </w:r>
                  </w:p>
                </w:txbxContent>
              </v:textbox>
              <w10:wrap type="none"/>
            </v:shape>
            <v:shape style="position:absolute;left:1975;top:5763;width:747;height:234" type="#_x0000_t202" filled="false" stroked="false">
              <v:textbox inset="0,0,0,0">
                <w:txbxContent>
                  <w:p>
                    <w:pPr>
                      <w:tabs>
                        <w:tab w:pos="616" w:val="left" w:leader="none"/>
                      </w:tabs>
                      <w:spacing w:line="234" w:lineRule="exact" w:before="0"/>
                      <w:ind w:left="0" w:right="0" w:firstLine="0"/>
                      <w:jc w:val="left"/>
                      <w:rPr>
                        <w:sz w:val="23"/>
                      </w:rPr>
                    </w:pPr>
                    <w:r>
                      <w:rPr>
                        <w:sz w:val="23"/>
                      </w:rPr>
                      <w:t>W</w:t>
                      <w:tab/>
                      <w:t>e</w:t>
                    </w:r>
                  </w:p>
                </w:txbxContent>
              </v:textbox>
              <w10:wrap type="none"/>
            </v:shape>
            <w10:wrap type="topAndBottom"/>
          </v:group>
        </w:pict>
      </w:r>
      <w:r>
        <w:rPr/>
        <w:t>Figura 1. Esquema gráfico de las teorías migratorias  (cada  vértice  representa una de</w:t>
      </w:r>
      <w:r>
        <w:rPr>
          <w:spacing w:val="25"/>
        </w:rPr>
        <w:t> </w:t>
      </w:r>
      <w:r>
        <w:rPr/>
        <w:t>ellas)</w:t>
      </w:r>
    </w:p>
    <w:p>
      <w:pPr>
        <w:pStyle w:val="BodyText"/>
        <w:rPr>
          <w:b/>
          <w:sz w:val="20"/>
        </w:rPr>
      </w:pPr>
    </w:p>
    <w:p>
      <w:pPr>
        <w:pStyle w:val="BodyText"/>
        <w:rPr>
          <w:b/>
          <w:sz w:val="20"/>
        </w:rPr>
      </w:pPr>
    </w:p>
    <w:p>
      <w:pPr>
        <w:pStyle w:val="BodyText"/>
        <w:spacing w:before="10"/>
        <w:rPr>
          <w:b/>
          <w:sz w:val="22"/>
        </w:rPr>
      </w:pPr>
    </w:p>
    <w:p>
      <w:pPr>
        <w:pStyle w:val="BodyText"/>
        <w:spacing w:line="364" w:lineRule="auto" w:before="73"/>
        <w:ind w:left="215" w:right="222"/>
        <w:jc w:val="both"/>
      </w:pPr>
      <w:r>
        <w:rPr/>
        <w:t>Claramente, la Figura 1 es una sobresimplificación del modelo, hecha con la finalidad de representarlo gráficamente. Para superar tal nivel de simplificación imagínese la representación correspondiente a un modelo que tiene cuatro factores, cada uno con cuatro valores</w:t>
      </w:r>
      <w:r>
        <w:rPr>
          <w:spacing w:val="51"/>
        </w:rPr>
        <w:t> </w:t>
      </w:r>
      <w:r>
        <w:rPr/>
        <w:t>posibles.</w:t>
      </w:r>
    </w:p>
    <w:p>
      <w:pPr>
        <w:pStyle w:val="BodyText"/>
        <w:rPr>
          <w:sz w:val="20"/>
        </w:rPr>
      </w:pPr>
    </w:p>
    <w:p>
      <w:pPr>
        <w:pStyle w:val="BodyText"/>
        <w:rPr>
          <w:sz w:val="20"/>
        </w:rPr>
      </w:pPr>
    </w:p>
    <w:p>
      <w:pPr>
        <w:pStyle w:val="BodyText"/>
        <w:spacing w:before="5"/>
        <w:rPr>
          <w:sz w:val="20"/>
        </w:rPr>
      </w:pPr>
      <w:r>
        <w:rPr/>
        <w:pict>
          <v:line style="position:absolute;mso-position-horizontal-relative:page;mso-position-vertical-relative:paragraph;z-index:2128;mso-wrap-distance-left:0;mso-wrap-distance-right:0" from="82.799995pt,14.08369pt" to="222.959992pt,14.08369pt" stroked="true" strokeweight=".72pt" strokecolor="#000000">
            <w10:wrap type="topAndBottom"/>
          </v:line>
        </w:pict>
      </w:r>
    </w:p>
    <w:p>
      <w:pPr>
        <w:spacing w:line="247" w:lineRule="auto" w:before="36"/>
        <w:ind w:left="215" w:right="225" w:firstLine="0"/>
        <w:jc w:val="both"/>
        <w:rPr>
          <w:sz w:val="19"/>
        </w:rPr>
      </w:pPr>
      <w:r>
        <w:rPr>
          <w:position w:val="10"/>
          <w:sz w:val="12"/>
        </w:rPr>
        <w:t>58  </w:t>
      </w:r>
      <w:r>
        <w:rPr>
          <w:sz w:val="19"/>
        </w:rPr>
        <w:t>Al mismo tiempo que significa no tener lazos materiales que aten al trabajador o a su familia, a      la vez implica una motivación para intensificar su trabajo y mejorar su ingreso a través de la migración, con vistas a formar un ahorro que sería dedicado a la construcción de  </w:t>
      </w:r>
      <w:r>
        <w:rPr>
          <w:spacing w:val="51"/>
          <w:sz w:val="19"/>
        </w:rPr>
        <w:t> </w:t>
      </w:r>
      <w:r>
        <w:rPr>
          <w:sz w:val="19"/>
        </w:rPr>
        <w:t>su vivienda.</w:t>
      </w:r>
    </w:p>
    <w:p>
      <w:pPr>
        <w:spacing w:after="0" w:line="247" w:lineRule="auto"/>
        <w:jc w:val="both"/>
        <w:rPr>
          <w:sz w:val="19"/>
        </w:rPr>
        <w:sectPr>
          <w:pgSz w:w="11900" w:h="16840"/>
          <w:pgMar w:header="0" w:footer="1679" w:top="1600" w:bottom="1860" w:left="1440" w:right="1460"/>
        </w:sectPr>
      </w:pPr>
    </w:p>
    <w:p>
      <w:pPr>
        <w:pStyle w:val="BodyText"/>
        <w:rPr>
          <w:sz w:val="20"/>
        </w:rPr>
      </w:pPr>
    </w:p>
    <w:p>
      <w:pPr>
        <w:pStyle w:val="BodyText"/>
        <w:spacing w:before="7"/>
        <w:rPr>
          <w:sz w:val="16"/>
        </w:rPr>
      </w:pPr>
    </w:p>
    <w:p>
      <w:pPr>
        <w:pStyle w:val="BodyText"/>
        <w:spacing w:line="364" w:lineRule="auto" w:before="74"/>
        <w:ind w:left="115" w:right="105"/>
        <w:jc w:val="both"/>
      </w:pPr>
      <w:r>
        <w:rPr/>
        <w:t>El resultado arroja 256 combinaciones diferentes que generarían otros tantos valores diferentes del flujo migratorio (M) en distintas direcciones y así sucesivamente. De esta manera se ven confirmadas las continuidades de la migración vislumbradas por Massey, Goldring y Durand  (1994:1494).</w:t>
      </w:r>
    </w:p>
    <w:p>
      <w:pPr>
        <w:pStyle w:val="BodyText"/>
        <w:rPr>
          <w:sz w:val="22"/>
        </w:rPr>
      </w:pPr>
    </w:p>
    <w:p>
      <w:pPr>
        <w:pStyle w:val="BodyText"/>
        <w:spacing w:line="364" w:lineRule="auto" w:before="155"/>
        <w:ind w:left="115" w:right="105"/>
        <w:jc w:val="both"/>
      </w:pPr>
      <w:r>
        <w:rPr/>
        <w:t>En seguida, con fines de facilitar su identificación, se han ordenado las distintas posibilidades teóricas que este limitado modelo, descrito en el cuadro 6 y la figura 1, conjunta, relacionándolas con sus respectivas explicaciones previas  que  algunos autores han señalado como modelos teóricos de diferente </w:t>
      </w:r>
      <w:r>
        <w:rPr>
          <w:spacing w:val="24"/>
        </w:rPr>
        <w:t> </w:t>
      </w:r>
      <w:r>
        <w:rPr/>
        <w:t>naturaleza.</w:t>
      </w:r>
    </w:p>
    <w:p>
      <w:pPr>
        <w:pStyle w:val="BodyText"/>
        <w:spacing w:before="10"/>
        <w:rPr>
          <w:sz w:val="20"/>
        </w:rPr>
      </w:pPr>
    </w:p>
    <w:p>
      <w:pPr>
        <w:pStyle w:val="BodyText"/>
        <w:ind w:left="816" w:right="100"/>
      </w:pPr>
      <w:r>
        <w:rPr/>
        <w:t>Mrni = no migración, (enfoque</w:t>
      </w:r>
      <w:r>
        <w:rPr>
          <w:spacing w:val="50"/>
        </w:rPr>
        <w:t> </w:t>
      </w:r>
      <w:r>
        <w:rPr/>
        <w:t>antropológico)</w:t>
      </w:r>
    </w:p>
    <w:p>
      <w:pPr>
        <w:pStyle w:val="BodyText"/>
        <w:spacing w:before="7"/>
        <w:rPr>
          <w:sz w:val="20"/>
        </w:rPr>
      </w:pPr>
    </w:p>
    <w:p>
      <w:pPr>
        <w:pStyle w:val="BodyText"/>
        <w:spacing w:line="458" w:lineRule="auto"/>
        <w:ind w:left="816" w:right="1192"/>
      </w:pPr>
      <w:r>
        <w:rPr/>
        <w:t>Mrns= migración interna familiar, (proyecto biográfico-laboral)  Mrti = push-pull factors, (reducido acceso a recursos productivos) Mrts= redes migratorias, (búsqueda de status, ingreso </w:t>
      </w:r>
      <w:r>
        <w:rPr>
          <w:spacing w:val="4"/>
        </w:rPr>
        <w:t> </w:t>
      </w:r>
      <w:r>
        <w:rPr/>
        <w:t>relativo)</w:t>
      </w:r>
    </w:p>
    <w:p>
      <w:pPr>
        <w:pStyle w:val="BodyText"/>
        <w:spacing w:line="458" w:lineRule="auto" w:before="5"/>
        <w:ind w:left="816" w:right="921"/>
      </w:pPr>
      <w:r>
        <w:rPr/>
        <w:t>Mvni= economía institucional, (dualismo en el mercado del trabajo) Mvns= migración interna, (Nueva Economía de la  Migración)</w:t>
      </w:r>
    </w:p>
    <w:p>
      <w:pPr>
        <w:pStyle w:val="BodyText"/>
        <w:spacing w:before="3"/>
        <w:ind w:left="816" w:right="100"/>
      </w:pPr>
      <w:r>
        <w:rPr/>
        <w:t>Mvti = migración por relevos, (sistemas</w:t>
      </w:r>
      <w:r>
        <w:rPr>
          <w:spacing w:val="54"/>
        </w:rPr>
        <w:t> </w:t>
      </w:r>
      <w:r>
        <w:rPr/>
        <w:t>migratorios)</w:t>
      </w:r>
    </w:p>
    <w:p>
      <w:pPr>
        <w:pStyle w:val="BodyText"/>
        <w:spacing w:before="9"/>
        <w:rPr>
          <w:sz w:val="20"/>
        </w:rPr>
      </w:pPr>
    </w:p>
    <w:p>
      <w:pPr>
        <w:pStyle w:val="BodyText"/>
        <w:spacing w:line="458" w:lineRule="auto"/>
        <w:ind w:left="816" w:right="100"/>
      </w:pPr>
      <w:r>
        <w:rPr/>
        <w:t>Mvts=migración demográfica, (factores personales, psicología familiar). Meni= migración interna temporal, (capital humano)</w:t>
      </w:r>
    </w:p>
    <w:p>
      <w:pPr>
        <w:pStyle w:val="BodyText"/>
        <w:spacing w:line="458" w:lineRule="auto" w:before="5"/>
        <w:ind w:left="816" w:right="1638"/>
      </w:pPr>
      <w:r>
        <w:rPr/>
        <w:t>Mens= migración familiar internacional, (cultura migratoria) Meti= migración por conocer (curiosidad,</w:t>
      </w:r>
      <w:r>
        <w:rPr>
          <w:spacing w:val="56"/>
        </w:rPr>
        <w:t> </w:t>
      </w:r>
      <w:r>
        <w:rPr/>
        <w:t>prestigio)</w:t>
      </w:r>
    </w:p>
    <w:p>
      <w:pPr>
        <w:pStyle w:val="BodyText"/>
        <w:spacing w:line="278" w:lineRule="auto" w:before="5"/>
        <w:ind w:left="804" w:right="100"/>
      </w:pPr>
      <w:r>
        <w:rPr/>
        <w:t>Mets= migración para ahorro/inversión, (estrategia familiar para minimizar riesgo y maximizar ingreso).</w:t>
      </w:r>
    </w:p>
    <w:p>
      <w:pPr>
        <w:pStyle w:val="BodyText"/>
        <w:rPr>
          <w:sz w:val="22"/>
        </w:rPr>
      </w:pPr>
    </w:p>
    <w:p>
      <w:pPr>
        <w:pStyle w:val="BodyText"/>
        <w:rPr>
          <w:sz w:val="22"/>
        </w:rPr>
      </w:pPr>
    </w:p>
    <w:p>
      <w:pPr>
        <w:pStyle w:val="BodyText"/>
        <w:spacing w:before="3"/>
        <w:rPr>
          <w:sz w:val="18"/>
        </w:rPr>
      </w:pPr>
    </w:p>
    <w:p>
      <w:pPr>
        <w:pStyle w:val="BodyText"/>
        <w:spacing w:line="364" w:lineRule="auto" w:before="1"/>
        <w:ind w:left="115" w:right="103"/>
        <w:jc w:val="both"/>
      </w:pPr>
      <w:r>
        <w:rPr/>
        <w:t>Sin embargo, diferentes personas pertenecientes a los mismos tipos individuales que pudieran corresponder a las características de los enfoques enlistados arriba parece que tienen tanto la probabilidad de migrar como la de no hacerlo. Esto se debe a la restricción que impone la representación gráfica en donde  sólo  es posible visualizar tres dimensiones; pero esta proposición llevada a su más  amplia</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expresión, es decir, cuando hayamos tomado en cuenta a todos los factores de emigración y éstos sean llevados a su valor mínimo, entonces ocurrirá  el  fenómeno de la no migración, identificado arriba como la posición </w:t>
      </w:r>
      <w:r>
        <w:rPr>
          <w:spacing w:val="17"/>
        </w:rPr>
        <w:t> </w:t>
      </w:r>
      <w:r>
        <w:rPr/>
        <w:t>Mrni.</w:t>
      </w:r>
    </w:p>
    <w:p>
      <w:pPr>
        <w:pStyle w:val="BodyText"/>
        <w:rPr>
          <w:sz w:val="22"/>
        </w:rPr>
      </w:pPr>
    </w:p>
    <w:p>
      <w:pPr>
        <w:pStyle w:val="BodyText"/>
        <w:rPr>
          <w:sz w:val="22"/>
        </w:rPr>
      </w:pPr>
    </w:p>
    <w:p>
      <w:pPr>
        <w:pStyle w:val="BodyText"/>
        <w:spacing w:line="364" w:lineRule="auto" w:before="135"/>
        <w:ind w:left="115" w:right="231"/>
        <w:jc w:val="both"/>
      </w:pPr>
      <w:r>
        <w:rPr/>
        <w:t>Si es el caso de que hemos logrado identificar y cuantificar o cualificar, de alguna manera, a todos los factores de emigración, entonces habremos logrado formular un modelo holístico y por ello de carácter</w:t>
      </w:r>
      <w:r>
        <w:rPr>
          <w:spacing w:val="58"/>
        </w:rPr>
        <w:t> </w:t>
      </w:r>
      <w:r>
        <w:rPr/>
        <w:t>general.</w:t>
      </w:r>
    </w:p>
    <w:p>
      <w:pPr>
        <w:pStyle w:val="BodyText"/>
        <w:rPr>
          <w:sz w:val="22"/>
        </w:rPr>
      </w:pPr>
    </w:p>
    <w:p>
      <w:pPr>
        <w:pStyle w:val="BodyText"/>
        <w:rPr>
          <w:sz w:val="22"/>
        </w:rPr>
      </w:pPr>
    </w:p>
    <w:p>
      <w:pPr>
        <w:pStyle w:val="BodyText"/>
        <w:spacing w:before="1"/>
        <w:rPr>
          <w:sz w:val="32"/>
        </w:rPr>
      </w:pPr>
    </w:p>
    <w:p>
      <w:pPr>
        <w:pStyle w:val="Heading2"/>
        <w:numPr>
          <w:ilvl w:val="0"/>
          <w:numId w:val="3"/>
        </w:numPr>
        <w:tabs>
          <w:tab w:pos="1584" w:val="left" w:leader="none"/>
          <w:tab w:pos="1585" w:val="left" w:leader="none"/>
          <w:tab w:pos="4524" w:val="left" w:leader="none"/>
          <w:tab w:pos="5698" w:val="left" w:leader="none"/>
          <w:tab w:pos="6852" w:val="left" w:leader="none"/>
        </w:tabs>
        <w:spacing w:line="362" w:lineRule="auto" w:before="0" w:after="0"/>
        <w:ind w:left="466" w:right="107" w:firstLine="0"/>
        <w:jc w:val="left"/>
      </w:pPr>
      <w:r>
        <w:rPr/>
        <w:t>IMPORTANCIA</w:t>
        <w:tab/>
        <w:t>DE</w:t>
        <w:tab/>
        <w:t>LA</w:t>
        <w:tab/>
        <w:t>MIGRACIÒN INTERNACIONAL</w:t>
      </w:r>
    </w:p>
    <w:p>
      <w:pPr>
        <w:pStyle w:val="BodyText"/>
        <w:spacing w:line="364" w:lineRule="auto" w:before="242"/>
        <w:ind w:left="115" w:right="105"/>
        <w:jc w:val="both"/>
      </w:pPr>
      <w:r>
        <w:rPr/>
        <w:t>En realidad los movimientos migratorios internacionales no son un fenómeno reciente. En parte, su importancia se deriva entre otras cosas de la persistencia  con la que se han estado presentando a lo largo de la historia de la humanidad.   Así lo indica Mines (1982:1) cuando afirma que dicho movimiento es una actividad tan</w:t>
      </w:r>
      <w:r>
        <w:rPr>
          <w:spacing w:val="29"/>
        </w:rPr>
        <w:t> </w:t>
      </w:r>
      <w:r>
        <w:rPr/>
        <w:t>antigua</w:t>
      </w:r>
      <w:r>
        <w:rPr>
          <w:spacing w:val="29"/>
        </w:rPr>
        <w:t> </w:t>
      </w:r>
      <w:r>
        <w:rPr/>
        <w:t>como</w:t>
      </w:r>
      <w:r>
        <w:rPr>
          <w:spacing w:val="29"/>
        </w:rPr>
        <w:t> </w:t>
      </w:r>
      <w:r>
        <w:rPr/>
        <w:t>el</w:t>
      </w:r>
      <w:r>
        <w:rPr>
          <w:spacing w:val="31"/>
        </w:rPr>
        <w:t> </w:t>
      </w:r>
      <w:r>
        <w:rPr/>
        <w:t>Hombre</w:t>
      </w:r>
      <w:r>
        <w:rPr>
          <w:spacing w:val="32"/>
        </w:rPr>
        <w:t> </w:t>
      </w:r>
      <w:r>
        <w:rPr/>
        <w:t>mismo:</w:t>
      </w:r>
      <w:r>
        <w:rPr>
          <w:spacing w:val="29"/>
        </w:rPr>
        <w:t> </w:t>
      </w:r>
      <w:r>
        <w:rPr/>
        <w:t>Desde</w:t>
      </w:r>
      <w:r>
        <w:rPr>
          <w:spacing w:val="29"/>
        </w:rPr>
        <w:t> </w:t>
      </w:r>
      <w:r>
        <w:rPr/>
        <w:t>los</w:t>
      </w:r>
      <w:r>
        <w:rPr>
          <w:spacing w:val="31"/>
        </w:rPr>
        <w:t> </w:t>
      </w:r>
      <w:r>
        <w:rPr/>
        <w:t>tiempos</w:t>
      </w:r>
      <w:r>
        <w:rPr>
          <w:spacing w:val="29"/>
        </w:rPr>
        <w:t> </w:t>
      </w:r>
      <w:r>
        <w:rPr/>
        <w:t>más</w:t>
      </w:r>
      <w:r>
        <w:rPr>
          <w:spacing w:val="31"/>
        </w:rPr>
        <w:t> </w:t>
      </w:r>
      <w:r>
        <w:rPr/>
        <w:t>remotos,</w:t>
      </w:r>
      <w:r>
        <w:rPr>
          <w:spacing w:val="29"/>
        </w:rPr>
        <w:t> </w:t>
      </w:r>
      <w:r>
        <w:rPr/>
        <w:t>la</w:t>
      </w:r>
      <w:r>
        <w:rPr>
          <w:spacing w:val="29"/>
        </w:rPr>
        <w:t> </w:t>
      </w:r>
      <w:r>
        <w:rPr/>
        <w:t>historia</w:t>
      </w:r>
    </w:p>
    <w:p>
      <w:pPr>
        <w:pStyle w:val="BodyText"/>
        <w:spacing w:line="270" w:lineRule="exact"/>
        <w:ind w:left="115"/>
        <w:jc w:val="both"/>
        <w:rPr>
          <w:sz w:val="15"/>
        </w:rPr>
      </w:pPr>
      <w:r>
        <w:rPr/>
        <w:t>está llena de episodios en los cuales se relata la presencia de ese  fenómeno.</w:t>
      </w:r>
      <w:r>
        <w:rPr>
          <w:position w:val="11"/>
          <w:sz w:val="15"/>
        </w:rPr>
        <w:t>59</w:t>
      </w:r>
    </w:p>
    <w:p>
      <w:pPr>
        <w:pStyle w:val="BodyText"/>
        <w:spacing w:before="5"/>
        <w:rPr>
          <w:sz w:val="32"/>
        </w:rPr>
      </w:pPr>
    </w:p>
    <w:p>
      <w:pPr>
        <w:pStyle w:val="BodyText"/>
        <w:spacing w:line="331" w:lineRule="auto" w:before="1"/>
        <w:ind w:left="115" w:right="106"/>
        <w:jc w:val="both"/>
      </w:pPr>
      <w:r>
        <w:rPr/>
        <w:t>Aunque en la actualidad en una proporción considerable persisten los grupos nómadas y los conflictos étnicos y religiosos como motivos de migración</w:t>
      </w:r>
      <w:r>
        <w:rPr>
          <w:position w:val="11"/>
          <w:sz w:val="15"/>
        </w:rPr>
        <w:t>60, 61</w:t>
      </w:r>
      <w:r>
        <w:rPr/>
        <w:t>,   más</w:t>
      </w:r>
    </w:p>
    <w:p>
      <w:pPr>
        <w:pStyle w:val="BodyText"/>
        <w:rPr>
          <w:sz w:val="20"/>
        </w:rPr>
      </w:pPr>
    </w:p>
    <w:p>
      <w:pPr>
        <w:pStyle w:val="BodyText"/>
        <w:rPr>
          <w:sz w:val="11"/>
        </w:rPr>
      </w:pPr>
      <w:r>
        <w:rPr/>
        <w:pict>
          <v:line style="position:absolute;mso-position-horizontal-relative:page;mso-position-vertical-relative:paragraph;z-index:2152;mso-wrap-distance-left:0;mso-wrap-distance-right:0" from="82.799995pt,8.667356pt" to="222.959992pt,8.667356pt" stroked="true" strokeweight=".72pt" strokecolor="#000000">
            <w10:wrap type="topAndBottom"/>
          </v:line>
        </w:pict>
      </w:r>
    </w:p>
    <w:p>
      <w:pPr>
        <w:spacing w:line="283" w:lineRule="auto" w:before="39"/>
        <w:ind w:left="116" w:right="105" w:firstLine="0"/>
        <w:jc w:val="both"/>
        <w:rPr>
          <w:sz w:val="19"/>
        </w:rPr>
      </w:pPr>
      <w:r>
        <w:rPr>
          <w:position w:val="10"/>
          <w:sz w:val="12"/>
        </w:rPr>
        <w:t>59  </w:t>
      </w:r>
      <w:r>
        <w:rPr>
          <w:sz w:val="19"/>
        </w:rPr>
        <w:t>En la historia más lejana el Hombre nació como un ser migrante. Pasaron muchos siglos hasta  que se hizo sedentario aunque alguna parte de la población siguió  siendo  nómada.  Se  ha  señalado al descubrimiento de la agricultura como el factor de sedentarización si bien después de   tal proceso otros factores de carácter variado han conducido eventualmente a la  </w:t>
      </w:r>
      <w:r>
        <w:rPr>
          <w:spacing w:val="50"/>
          <w:sz w:val="19"/>
        </w:rPr>
        <w:t> </w:t>
      </w:r>
      <w:r>
        <w:rPr>
          <w:sz w:val="19"/>
        </w:rPr>
        <w:t>migración.</w:t>
      </w:r>
    </w:p>
    <w:p>
      <w:pPr>
        <w:spacing w:line="283" w:lineRule="auto" w:before="160"/>
        <w:ind w:left="116" w:right="103" w:firstLine="0"/>
        <w:jc w:val="both"/>
        <w:rPr>
          <w:sz w:val="19"/>
        </w:rPr>
      </w:pPr>
      <w:r>
        <w:rPr>
          <w:position w:val="10"/>
          <w:sz w:val="12"/>
        </w:rPr>
        <w:t>60 </w:t>
      </w:r>
      <w:r>
        <w:rPr>
          <w:sz w:val="19"/>
        </w:rPr>
        <w:t>Muy cercano a este tipo de eventos se ubican las causas políticas entre  las  cuales  se  encuentran el temor a la pérdida de la libertad y de la vida y a la represión; la cual conduce en muchos casos al exilio, las expulsiones y reasentamientos  forzados,  deportaciones  y  evacuaciones, migraciones compulsivas debidas al pánico (guerra) y la  repatriación  forzada  (Sowell, 1996:2). Para considerar la importancia que tiene esta última variante tómese en cuenta  que de los 120 millones de emigrantes existentes en el mundo en 1997, unos 26 millones se encontraban en calidad de  refugiados  de cuya  cifra se puede concluir  que  este tipo de migración es un problema sumamente importante   (SEGOB,</w:t>
      </w:r>
      <w:r>
        <w:rPr>
          <w:spacing w:val="48"/>
          <w:sz w:val="19"/>
        </w:rPr>
        <w:t> </w:t>
      </w:r>
      <w:r>
        <w:rPr>
          <w:sz w:val="19"/>
        </w:rPr>
        <w:t>1997:45).</w:t>
      </w:r>
    </w:p>
    <w:p>
      <w:pPr>
        <w:spacing w:after="0" w:line="283"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7"/>
        <w:jc w:val="both"/>
      </w:pPr>
      <w:r>
        <w:rPr/>
        <w:t>bien el grueso de la migración internacional es asociado frecuentemente a la búsqueda de trabajo, motivo que funciona como un elemento que sirve de núcleo   a otros tipos de migración</w:t>
      </w:r>
      <w:r>
        <w:rPr>
          <w:spacing w:val="42"/>
        </w:rPr>
        <w:t> </w:t>
      </w:r>
      <w:r>
        <w:rPr/>
        <w:t>asociados.</w:t>
      </w:r>
    </w:p>
    <w:p>
      <w:pPr>
        <w:pStyle w:val="BodyText"/>
        <w:rPr>
          <w:sz w:val="22"/>
        </w:rPr>
      </w:pPr>
    </w:p>
    <w:p>
      <w:pPr>
        <w:pStyle w:val="BodyText"/>
        <w:rPr>
          <w:sz w:val="22"/>
        </w:rPr>
      </w:pPr>
    </w:p>
    <w:p>
      <w:pPr>
        <w:pStyle w:val="BodyText"/>
        <w:spacing w:line="364" w:lineRule="auto" w:before="135"/>
        <w:ind w:left="115" w:right="105"/>
        <w:jc w:val="both"/>
      </w:pPr>
      <w:r>
        <w:rPr/>
        <w:t>Independientemente del grado de organización que las caracterice, las grandes movilizaciones de personas a través de las fronteras internacionales, tienen varios efectos sobre la estructura económica y social tanto de los  países de destino  como de las naciones de origen. En algunas ocasiones las emigraciones numerosas han dado lugar a la formación de grandes colonias e incluso a la conformación íntegra de países</w:t>
      </w:r>
      <w:r>
        <w:rPr>
          <w:spacing w:val="46"/>
        </w:rPr>
        <w:t> </w:t>
      </w:r>
      <w:r>
        <w:rPr/>
        <w:t>completos.</w:t>
      </w:r>
    </w:p>
    <w:p>
      <w:pPr>
        <w:pStyle w:val="BodyText"/>
        <w:rPr>
          <w:sz w:val="22"/>
        </w:rPr>
      </w:pPr>
    </w:p>
    <w:p>
      <w:pPr>
        <w:pStyle w:val="BodyText"/>
        <w:spacing w:before="2"/>
        <w:rPr>
          <w:sz w:val="30"/>
        </w:rPr>
      </w:pPr>
    </w:p>
    <w:p>
      <w:pPr>
        <w:pStyle w:val="BodyText"/>
        <w:spacing w:line="364" w:lineRule="auto"/>
        <w:ind w:left="115" w:right="106"/>
        <w:jc w:val="both"/>
      </w:pPr>
      <w:r>
        <w:rPr/>
        <w:t>En ciertos casos estos movimientos han sido también factores del avance tecnológico pues en ocasiones han dado lugar al nacimiento de nuevas industrias en  los  países  de  destino,  ya  sea  aportando  sus  conocimientos  para  impulsar</w:t>
      </w:r>
    </w:p>
    <w:p>
      <w:pPr>
        <w:pStyle w:val="BodyText"/>
        <w:spacing w:line="331" w:lineRule="auto" w:before="7"/>
        <w:ind w:left="115" w:right="110"/>
        <w:jc w:val="both"/>
        <w:rPr>
          <w:sz w:val="15"/>
        </w:rPr>
      </w:pPr>
      <w:r>
        <w:rPr/>
        <w:t>nuevos procesos económicos o bien aportando capital de inversión (Sowell, 1996: 6).</w:t>
      </w:r>
      <w:r>
        <w:rPr>
          <w:position w:val="11"/>
          <w:sz w:val="15"/>
        </w:rPr>
        <w:t>62</w:t>
      </w:r>
    </w:p>
    <w:p>
      <w:pPr>
        <w:pStyle w:val="BodyText"/>
        <w:spacing w:before="4"/>
        <w:rPr>
          <w:sz w:val="37"/>
        </w:rPr>
      </w:pPr>
    </w:p>
    <w:p>
      <w:pPr>
        <w:pStyle w:val="BodyText"/>
        <w:spacing w:line="364" w:lineRule="auto"/>
        <w:ind w:left="115" w:right="102"/>
        <w:jc w:val="both"/>
      </w:pPr>
      <w:r>
        <w:rPr/>
        <w:t>Otros hechos que reflejan su trascendencia, se encuentran en la contribución que tales movimientos de la población hacen al crecimiento económico cuyos efectos se ven magnificados cuando sus integrantes se incorporan a los procesos económicos  mundiales;  siendo,  así  mismo, factores  de  estabilidad</w:t>
      </w:r>
      <w:r>
        <w:rPr>
          <w:spacing w:val="30"/>
        </w:rPr>
        <w:t> </w:t>
      </w:r>
      <w:r>
        <w:rPr/>
        <w:t>y dinamismo</w:t>
      </w:r>
    </w:p>
    <w:p>
      <w:pPr>
        <w:pStyle w:val="BodyText"/>
        <w:rPr>
          <w:sz w:val="20"/>
        </w:rPr>
      </w:pPr>
    </w:p>
    <w:p>
      <w:pPr>
        <w:pStyle w:val="BodyText"/>
        <w:rPr>
          <w:sz w:val="20"/>
        </w:rPr>
      </w:pPr>
    </w:p>
    <w:p>
      <w:pPr>
        <w:pStyle w:val="BodyText"/>
        <w:spacing w:before="7"/>
        <w:rPr>
          <w:sz w:val="15"/>
        </w:rPr>
      </w:pPr>
      <w:r>
        <w:rPr/>
        <w:pict>
          <v:line style="position:absolute;mso-position-horizontal-relative:page;mso-position-vertical-relative:paragraph;z-index:2176;mso-wrap-distance-left:0;mso-wrap-distance-right:0" from="82.799995pt,11.323639pt" to="510.479986pt,11.323639pt" stroked="true" strokeweight=".72pt" strokecolor="#000000">
            <w10:wrap type="topAndBottom"/>
          </v:line>
        </w:pict>
      </w:r>
    </w:p>
    <w:p>
      <w:pPr>
        <w:spacing w:line="283" w:lineRule="auto" w:before="41"/>
        <w:ind w:left="116" w:right="104" w:firstLine="0"/>
        <w:jc w:val="both"/>
        <w:rPr>
          <w:sz w:val="19"/>
        </w:rPr>
      </w:pPr>
      <w:r>
        <w:rPr>
          <w:position w:val="10"/>
          <w:sz w:val="12"/>
        </w:rPr>
        <w:t>61 </w:t>
      </w:r>
      <w:r>
        <w:rPr>
          <w:sz w:val="19"/>
        </w:rPr>
        <w:t>Un hecho que llama la atención es que durante su travesía los refugiados guatemaltecos  y  durante los primeros  años  de su asentamiento en el estado de  Campeche, vivieron un ambiente   de ayuda mutua y cooperación, sin embargo, con el paso del tiempo regresaron a la organización   de la producción y el consumo vía los mecanismos de  </w:t>
      </w:r>
      <w:r>
        <w:rPr>
          <w:spacing w:val="3"/>
          <w:sz w:val="19"/>
        </w:rPr>
        <w:t> </w:t>
      </w:r>
      <w:r>
        <w:rPr>
          <w:sz w:val="19"/>
        </w:rPr>
        <w:t>mercado.</w:t>
      </w:r>
    </w:p>
    <w:p>
      <w:pPr>
        <w:pStyle w:val="BodyText"/>
        <w:spacing w:before="2"/>
        <w:rPr>
          <w:sz w:val="15"/>
        </w:rPr>
      </w:pPr>
    </w:p>
    <w:p>
      <w:pPr>
        <w:spacing w:line="283" w:lineRule="auto" w:before="0"/>
        <w:ind w:left="116" w:right="104" w:firstLine="0"/>
        <w:jc w:val="both"/>
        <w:rPr>
          <w:sz w:val="19"/>
        </w:rPr>
      </w:pPr>
      <w:r>
        <w:rPr>
          <w:position w:val="10"/>
          <w:sz w:val="12"/>
        </w:rPr>
        <w:t>62 </w:t>
      </w:r>
      <w:r>
        <w:rPr>
          <w:sz w:val="19"/>
        </w:rPr>
        <w:t>En este proceso particular la migración en cadenas </w:t>
      </w:r>
      <w:r>
        <w:rPr>
          <w:rFonts w:ascii="Symbol" w:hAnsi="Symbol"/>
          <w:sz w:val="19"/>
        </w:rPr>
        <w:t></w:t>
      </w:r>
      <w:r>
        <w:rPr>
          <w:sz w:val="19"/>
        </w:rPr>
        <w:t>chain migration</w:t>
      </w:r>
      <w:r>
        <w:rPr>
          <w:rFonts w:ascii="Symbol" w:hAnsi="Symbol"/>
          <w:sz w:val="19"/>
        </w:rPr>
        <w:t></w:t>
      </w:r>
      <w:r>
        <w:rPr>
          <w:rFonts w:ascii="Times New Roman" w:hAnsi="Times New Roman"/>
          <w:sz w:val="19"/>
        </w:rPr>
        <w:t> </w:t>
      </w:r>
      <w:r>
        <w:rPr>
          <w:sz w:val="19"/>
        </w:rPr>
        <w:t>juegan un papel cada vez  más importante en virtud de que la estructura social formada por los  eslabones  entre  varias  oleadas sucesivas representan una fuente de información altamente localizada (Sowell,  1996: 6,    7). Al respecto, según Rionda (1992: 63), es indudable que la migración pone en juego toda la red  de relaciones familiares - sanguíneas y ceremoniales - del migrante, quien se vería en serio riesgo  de fracasar de no contar con el respaldo de su red de parentesco  </w:t>
      </w:r>
      <w:r>
        <w:rPr>
          <w:spacing w:val="26"/>
          <w:sz w:val="19"/>
        </w:rPr>
        <w:t> </w:t>
      </w:r>
      <w:r>
        <w:rPr>
          <w:sz w:val="19"/>
        </w:rPr>
        <w:t>tradicional.</w:t>
      </w:r>
    </w:p>
    <w:p>
      <w:pPr>
        <w:spacing w:after="0" w:line="283"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9"/>
        <w:jc w:val="both"/>
      </w:pPr>
      <w:r>
        <w:rPr/>
        <w:t>de los procesos económicos internacionales, y portadores de un carácter sistémico-funcional en el proceso de la</w:t>
      </w:r>
      <w:r>
        <w:rPr>
          <w:spacing w:val="54"/>
        </w:rPr>
        <w:t> </w:t>
      </w:r>
      <w:r>
        <w:rPr/>
        <w:t>globalización.</w:t>
      </w:r>
    </w:p>
    <w:p>
      <w:pPr>
        <w:pStyle w:val="BodyText"/>
        <w:rPr>
          <w:sz w:val="22"/>
        </w:rPr>
      </w:pPr>
    </w:p>
    <w:p>
      <w:pPr>
        <w:pStyle w:val="BodyText"/>
        <w:spacing w:line="364" w:lineRule="auto" w:before="155"/>
        <w:ind w:left="115" w:right="105"/>
        <w:jc w:val="both"/>
      </w:pPr>
      <w:r>
        <w:rPr/>
        <w:t>Este proceso se identifica entre otras cosas por un alto dinamismo de las actividades económicas. Precisamente, esta característica requiere de un alto grado de flexibilidad de los factores  de la producción (especialmente de la mano  de obra) para enfrentar los frecuentes y repentinos cambios de la demanda de bienes y servicios a nivel mundial. De esta manera, la migración favorece la flexibilidad de los mercados laborales que tal proceso económico requiere y que “...afecta  a  todos  los  sectores  económicos  e  impacta  al  mercado  de  </w:t>
      </w:r>
      <w:r>
        <w:rPr>
          <w:spacing w:val="43"/>
        </w:rPr>
        <w:t> </w:t>
      </w:r>
      <w:r>
        <w:rPr/>
        <w:t>trabajo,</w:t>
      </w:r>
    </w:p>
    <w:p>
      <w:pPr>
        <w:pStyle w:val="BodyText"/>
        <w:spacing w:line="270" w:lineRule="exact"/>
        <w:ind w:left="115"/>
        <w:jc w:val="both"/>
      </w:pPr>
      <w:r>
        <w:rPr/>
        <w:t>modificando su estructura y composición...”(Lara,  1998:19)</w:t>
      </w:r>
      <w:r>
        <w:rPr>
          <w:position w:val="11"/>
          <w:sz w:val="15"/>
        </w:rPr>
        <w:t>63</w:t>
      </w:r>
      <w:r>
        <w:rPr/>
        <w:t>.</w:t>
      </w:r>
    </w:p>
    <w:p>
      <w:pPr>
        <w:pStyle w:val="BodyText"/>
        <w:rPr>
          <w:sz w:val="28"/>
        </w:rPr>
      </w:pPr>
    </w:p>
    <w:p>
      <w:pPr>
        <w:pStyle w:val="BodyText"/>
        <w:spacing w:line="364" w:lineRule="auto" w:before="220"/>
        <w:ind w:left="116" w:right="105"/>
        <w:jc w:val="both"/>
      </w:pPr>
      <w:r>
        <w:rPr/>
        <w:t>En este contexto, se aprecia claramente que las migraciones internacionales han sido un pilar importante del funcionamiento de la economía internacional, pues, tal movimiento ha funcionado como un factor de equilibrio en las dotaciones de recursos de los países desarrollados y  como una importante fuente de  divisas  para los países en vías de</w:t>
      </w:r>
      <w:r>
        <w:rPr>
          <w:spacing w:val="42"/>
        </w:rPr>
        <w:t> </w:t>
      </w:r>
      <w:r>
        <w:rPr/>
        <w:t>desarrollo.</w:t>
      </w:r>
    </w:p>
    <w:p>
      <w:pPr>
        <w:pStyle w:val="BodyText"/>
        <w:rPr>
          <w:sz w:val="22"/>
        </w:rPr>
      </w:pPr>
    </w:p>
    <w:p>
      <w:pPr>
        <w:pStyle w:val="BodyText"/>
        <w:spacing w:line="364" w:lineRule="auto" w:before="155"/>
        <w:ind w:left="115" w:right="105"/>
        <w:jc w:val="both"/>
      </w:pPr>
      <w:r>
        <w:rPr/>
        <w:t>Para tener una idea más clara de la importancia de los flujos migratorios internacionales pueden citarse las estadísticas del cuadro 7 (</w:t>
      </w:r>
      <w:r>
        <w:rPr>
          <w:i/>
        </w:rPr>
        <w:t>infra</w:t>
      </w:r>
      <w:r>
        <w:rPr/>
        <w:t>), el  cual  se refiere a los flujos migratorios que se registraron en algunos países de la Organización para la Cooperación y el Desarrollo Económico (OECD,  por  sus siglas en Inglés) (1999:38) en el año de</w:t>
      </w:r>
      <w:r>
        <w:rPr>
          <w:spacing w:val="52"/>
        </w:rPr>
        <w:t> </w:t>
      </w:r>
      <w:r>
        <w:rPr/>
        <w:t>1997.</w:t>
      </w:r>
    </w:p>
    <w:p>
      <w:pPr>
        <w:pStyle w:val="BodyText"/>
        <w:rPr>
          <w:sz w:val="20"/>
        </w:rPr>
      </w:pPr>
    </w:p>
    <w:p>
      <w:pPr>
        <w:pStyle w:val="BodyText"/>
        <w:rPr>
          <w:sz w:val="20"/>
        </w:rPr>
      </w:pPr>
    </w:p>
    <w:p>
      <w:pPr>
        <w:pStyle w:val="BodyText"/>
        <w:spacing w:before="6"/>
      </w:pPr>
      <w:r>
        <w:rPr/>
        <w:pict>
          <v:line style="position:absolute;mso-position-horizontal-relative:page;mso-position-vertical-relative:paragraph;z-index:2200;mso-wrap-distance-left:0;mso-wrap-distance-right:0" from="82.799995pt,15.883647pt" to="222.959992pt,15.883647pt" stroked="true" strokeweight=".72pt" strokecolor="#000000">
            <w10:wrap type="topAndBottom"/>
          </v:line>
        </w:pict>
      </w:r>
    </w:p>
    <w:p>
      <w:pPr>
        <w:spacing w:line="283" w:lineRule="auto" w:before="36"/>
        <w:ind w:left="115" w:right="103" w:firstLine="0"/>
        <w:jc w:val="both"/>
        <w:rPr>
          <w:sz w:val="19"/>
        </w:rPr>
      </w:pPr>
      <w:r>
        <w:rPr>
          <w:position w:val="10"/>
          <w:sz w:val="12"/>
        </w:rPr>
        <w:t>63 </w:t>
      </w:r>
      <w:r>
        <w:rPr>
          <w:sz w:val="19"/>
        </w:rPr>
        <w:t>La globalización ha obligado a las empresas a modernizar los métodos productivos, proceso que no se ha conducido por un solo camino ni ha tenido una ruptura con los procedimientos anteriores. Por el contrario, su análisis dinámico es utilizado para  determinar  qué cambios resultan rentables  de tal manera que las empresas no apuesten toda su competitividad a un  solo  factor.  Por  esta razón se imponen mayores exigencias en términos de calificación y polivalencia de  la  mano de  obra. En esos casos puede ocurrir que los cambios se hagan en tecnología conservando rígida la organización del trabajo o bien supliendo las limitaciones de las tecnologías viejas; haciendo un     uso flexible de la fuerza de trabajo. Para esto se requiere una amplia disponibilidad de la mano de obra, formas de empleo precario (Lara: 22,23) y escasas restricciones  </w:t>
      </w:r>
      <w:r>
        <w:rPr>
          <w:spacing w:val="43"/>
          <w:sz w:val="19"/>
        </w:rPr>
        <w:t> </w:t>
      </w:r>
      <w:r>
        <w:rPr>
          <w:sz w:val="19"/>
        </w:rPr>
        <w:t>legales-laborales.</w:t>
      </w:r>
    </w:p>
    <w:p>
      <w:pPr>
        <w:spacing w:after="0" w:line="283" w:lineRule="auto"/>
        <w:jc w:val="both"/>
        <w:rPr>
          <w:sz w:val="19"/>
        </w:rPr>
        <w:sectPr>
          <w:footerReference w:type="default" r:id="rId25"/>
          <w:pgSz w:w="11900" w:h="16840"/>
          <w:pgMar w:footer="1679" w:header="0" w:top="1600" w:bottom="1860" w:left="1540" w:right="1580"/>
          <w:pgNumType w:start="50"/>
        </w:sectPr>
      </w:pPr>
    </w:p>
    <w:p>
      <w:pPr>
        <w:pStyle w:val="BodyText"/>
        <w:rPr>
          <w:sz w:val="20"/>
        </w:rPr>
      </w:pPr>
    </w:p>
    <w:p>
      <w:pPr>
        <w:pStyle w:val="BodyText"/>
        <w:spacing w:before="7"/>
        <w:rPr>
          <w:sz w:val="16"/>
        </w:rPr>
      </w:pPr>
    </w:p>
    <w:p>
      <w:pPr>
        <w:pStyle w:val="BodyText"/>
        <w:spacing w:line="364" w:lineRule="auto" w:before="74"/>
        <w:ind w:left="115" w:right="104"/>
        <w:jc w:val="both"/>
      </w:pPr>
      <w:r>
        <w:rPr/>
        <w:t>En ellas se destaca que a excepción de Francia todos los países han registrado aumento, tanto en números absolutos cuanto en números relativos, en su  población extranjera. Los países más destacados por el total de inmigrantes que albergan son: Los Estados Unidos seguido de lejos por Alemania, Canadá, Australia, Francia y Reino Unido. Y por el porcentaje que los extranjeros representan en su población total sobresalen: Luxemburgo, Australia, Suiza, Canadá, Estados Unidos, Austria, Alemania y Bélgica. Con algunas excepciones, entre todos ellos se encuentran los más desarrollados y algunos de los más extensos, con una clara prominencia por parte de los Estados </w:t>
      </w:r>
      <w:r>
        <w:rPr>
          <w:spacing w:val="17"/>
        </w:rPr>
        <w:t> </w:t>
      </w:r>
      <w:r>
        <w:rPr/>
        <w:t>Unidos.</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1"/>
        <w:rPr>
          <w:sz w:val="16"/>
        </w:rPr>
      </w:pPr>
    </w:p>
    <w:p>
      <w:pPr>
        <w:spacing w:before="77"/>
        <w:ind w:left="946" w:right="223" w:firstLine="0"/>
        <w:jc w:val="left"/>
        <w:rPr>
          <w:b/>
          <w:sz w:val="21"/>
        </w:rPr>
      </w:pPr>
      <w:r>
        <w:rPr>
          <w:b/>
          <w:sz w:val="21"/>
        </w:rPr>
        <w:t>Cuadro 7. Población Extranjera en Países Seleccionados de la </w:t>
      </w:r>
      <w:r>
        <w:rPr>
          <w:b/>
          <w:spacing w:val="53"/>
          <w:sz w:val="21"/>
        </w:rPr>
        <w:t> </w:t>
      </w:r>
      <w:r>
        <w:rPr>
          <w:b/>
          <w:sz w:val="21"/>
        </w:rPr>
        <w:t>OECD</w:t>
      </w:r>
    </w:p>
    <w:p>
      <w:pPr>
        <w:pStyle w:val="BodyText"/>
        <w:spacing w:before="3"/>
        <w:rPr>
          <w:b/>
          <w:sz w:val="27"/>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738"/>
        <w:gridCol w:w="1738"/>
        <w:gridCol w:w="1738"/>
        <w:gridCol w:w="1739"/>
        <w:gridCol w:w="1739"/>
      </w:tblGrid>
      <w:tr>
        <w:trPr>
          <w:trHeight w:val="377" w:hRule="exact"/>
        </w:trPr>
        <w:tc>
          <w:tcPr>
            <w:tcW w:w="1738" w:type="dxa"/>
          </w:tcPr>
          <w:p>
            <w:pPr/>
          </w:p>
        </w:tc>
        <w:tc>
          <w:tcPr>
            <w:tcW w:w="3475" w:type="dxa"/>
            <w:gridSpan w:val="2"/>
          </w:tcPr>
          <w:p>
            <w:pPr>
              <w:pStyle w:val="TableParagraph"/>
              <w:spacing w:before="69"/>
              <w:ind w:left="1448" w:right="1447"/>
              <w:jc w:val="center"/>
              <w:rPr>
                <w:b/>
                <w:sz w:val="21"/>
              </w:rPr>
            </w:pPr>
            <w:r>
              <w:rPr>
                <w:b/>
                <w:sz w:val="21"/>
              </w:rPr>
              <w:t>Miles</w:t>
            </w:r>
          </w:p>
        </w:tc>
        <w:tc>
          <w:tcPr>
            <w:tcW w:w="3478" w:type="dxa"/>
            <w:gridSpan w:val="2"/>
          </w:tcPr>
          <w:p>
            <w:pPr>
              <w:pStyle w:val="TableParagraph"/>
              <w:spacing w:before="69"/>
              <w:ind w:left="535"/>
              <w:jc w:val="left"/>
              <w:rPr>
                <w:b/>
                <w:sz w:val="21"/>
              </w:rPr>
            </w:pPr>
            <w:r>
              <w:rPr>
                <w:b/>
                <w:sz w:val="21"/>
              </w:rPr>
              <w:t>% de la Población Total</w:t>
            </w:r>
          </w:p>
        </w:tc>
      </w:tr>
      <w:tr>
        <w:trPr>
          <w:trHeight w:val="401" w:hRule="exact"/>
        </w:trPr>
        <w:tc>
          <w:tcPr>
            <w:tcW w:w="1738" w:type="dxa"/>
          </w:tcPr>
          <w:p>
            <w:pPr>
              <w:pStyle w:val="TableParagraph"/>
              <w:spacing w:before="67"/>
              <w:ind w:left="59"/>
              <w:jc w:val="left"/>
              <w:rPr>
                <w:b/>
                <w:sz w:val="23"/>
              </w:rPr>
            </w:pPr>
            <w:r>
              <w:rPr>
                <w:b/>
                <w:sz w:val="23"/>
              </w:rPr>
              <w:t>País</w:t>
            </w:r>
          </w:p>
        </w:tc>
        <w:tc>
          <w:tcPr>
            <w:tcW w:w="1738" w:type="dxa"/>
          </w:tcPr>
          <w:p>
            <w:pPr>
              <w:pStyle w:val="TableParagraph"/>
              <w:spacing w:before="32"/>
              <w:ind w:left="571"/>
              <w:jc w:val="left"/>
              <w:rPr>
                <w:b/>
                <w:sz w:val="15"/>
              </w:rPr>
            </w:pPr>
            <w:r>
              <w:rPr>
                <w:b/>
                <w:sz w:val="23"/>
              </w:rPr>
              <w:t>1987</w:t>
            </w:r>
            <w:r>
              <w:rPr>
                <w:b/>
                <w:position w:val="11"/>
                <w:sz w:val="15"/>
              </w:rPr>
              <w:t>*</w:t>
            </w:r>
          </w:p>
        </w:tc>
        <w:tc>
          <w:tcPr>
            <w:tcW w:w="1738" w:type="dxa"/>
          </w:tcPr>
          <w:p>
            <w:pPr>
              <w:pStyle w:val="TableParagraph"/>
              <w:spacing w:before="32"/>
              <w:ind w:left="542"/>
              <w:jc w:val="left"/>
              <w:rPr>
                <w:b/>
                <w:sz w:val="15"/>
              </w:rPr>
            </w:pPr>
            <w:r>
              <w:rPr>
                <w:b/>
                <w:sz w:val="23"/>
              </w:rPr>
              <w:t>1997</w:t>
            </w:r>
            <w:r>
              <w:rPr>
                <w:b/>
                <w:position w:val="11"/>
                <w:sz w:val="15"/>
              </w:rPr>
              <w:t>**</w:t>
            </w:r>
          </w:p>
        </w:tc>
        <w:tc>
          <w:tcPr>
            <w:tcW w:w="1739" w:type="dxa"/>
            <w:tcBorders>
              <w:right w:val="single" w:sz="5" w:space="0" w:color="000000"/>
            </w:tcBorders>
          </w:tcPr>
          <w:p>
            <w:pPr>
              <w:pStyle w:val="TableParagraph"/>
              <w:spacing w:before="67"/>
              <w:ind w:left="586" w:right="586"/>
              <w:jc w:val="center"/>
              <w:rPr>
                <w:b/>
                <w:sz w:val="23"/>
              </w:rPr>
            </w:pPr>
            <w:r>
              <w:rPr>
                <w:b/>
                <w:sz w:val="23"/>
              </w:rPr>
              <w:t>1987</w:t>
            </w:r>
          </w:p>
        </w:tc>
        <w:tc>
          <w:tcPr>
            <w:tcW w:w="1739" w:type="dxa"/>
            <w:tcBorders>
              <w:left w:val="single" w:sz="5" w:space="0" w:color="000000"/>
            </w:tcBorders>
          </w:tcPr>
          <w:p>
            <w:pPr>
              <w:pStyle w:val="TableParagraph"/>
              <w:spacing w:before="67"/>
              <w:ind w:left="586" w:right="586"/>
              <w:jc w:val="center"/>
              <w:rPr>
                <w:b/>
                <w:sz w:val="23"/>
              </w:rPr>
            </w:pPr>
            <w:r>
              <w:rPr>
                <w:b/>
                <w:sz w:val="23"/>
              </w:rPr>
              <w:t>1997</w:t>
            </w:r>
          </w:p>
        </w:tc>
      </w:tr>
      <w:tr>
        <w:trPr>
          <w:trHeight w:val="376" w:hRule="exact"/>
        </w:trPr>
        <w:tc>
          <w:tcPr>
            <w:tcW w:w="1738" w:type="dxa"/>
            <w:tcBorders>
              <w:bottom w:val="single" w:sz="5" w:space="0" w:color="000000"/>
            </w:tcBorders>
          </w:tcPr>
          <w:p>
            <w:pPr>
              <w:pStyle w:val="TableParagraph"/>
              <w:spacing w:before="71"/>
              <w:ind w:left="59"/>
              <w:jc w:val="left"/>
              <w:rPr>
                <w:sz w:val="21"/>
              </w:rPr>
            </w:pPr>
            <w:r>
              <w:rPr>
                <w:sz w:val="21"/>
              </w:rPr>
              <w:t>Alemania</w:t>
            </w:r>
          </w:p>
        </w:tc>
        <w:tc>
          <w:tcPr>
            <w:tcW w:w="1738" w:type="dxa"/>
            <w:tcBorders>
              <w:bottom w:val="single" w:sz="5" w:space="0" w:color="000000"/>
            </w:tcBorders>
          </w:tcPr>
          <w:p>
            <w:pPr>
              <w:pStyle w:val="TableParagraph"/>
              <w:spacing w:before="71"/>
              <w:ind w:right="55"/>
              <w:rPr>
                <w:sz w:val="21"/>
              </w:rPr>
            </w:pPr>
            <w:r>
              <w:rPr>
                <w:sz w:val="21"/>
              </w:rPr>
              <w:t>4 241</w:t>
            </w:r>
          </w:p>
        </w:tc>
        <w:tc>
          <w:tcPr>
            <w:tcW w:w="1738" w:type="dxa"/>
            <w:tcBorders>
              <w:bottom w:val="single" w:sz="5" w:space="0" w:color="000000"/>
            </w:tcBorders>
          </w:tcPr>
          <w:p>
            <w:pPr>
              <w:pStyle w:val="TableParagraph"/>
              <w:spacing w:before="71"/>
              <w:ind w:right="53"/>
              <w:rPr>
                <w:sz w:val="21"/>
              </w:rPr>
            </w:pPr>
            <w:r>
              <w:rPr>
                <w:sz w:val="21"/>
              </w:rPr>
              <w:t>7 366</w:t>
            </w:r>
          </w:p>
        </w:tc>
        <w:tc>
          <w:tcPr>
            <w:tcW w:w="1739" w:type="dxa"/>
            <w:tcBorders>
              <w:bottom w:val="single" w:sz="5" w:space="0" w:color="000000"/>
              <w:right w:val="single" w:sz="5" w:space="0" w:color="000000"/>
            </w:tcBorders>
          </w:tcPr>
          <w:p>
            <w:pPr>
              <w:pStyle w:val="TableParagraph"/>
              <w:spacing w:before="71"/>
              <w:ind w:right="56"/>
              <w:rPr>
                <w:sz w:val="21"/>
              </w:rPr>
            </w:pPr>
            <w:r>
              <w:rPr>
                <w:sz w:val="21"/>
              </w:rPr>
              <w:t>6.9</w:t>
            </w:r>
          </w:p>
        </w:tc>
        <w:tc>
          <w:tcPr>
            <w:tcW w:w="1739" w:type="dxa"/>
            <w:tcBorders>
              <w:left w:val="single" w:sz="5" w:space="0" w:color="000000"/>
              <w:bottom w:val="single" w:sz="5" w:space="0" w:color="000000"/>
            </w:tcBorders>
          </w:tcPr>
          <w:p>
            <w:pPr>
              <w:pStyle w:val="TableParagraph"/>
              <w:spacing w:before="71"/>
              <w:ind w:right="56"/>
              <w:rPr>
                <w:sz w:val="21"/>
              </w:rPr>
            </w:pPr>
            <w:r>
              <w:rPr>
                <w:sz w:val="21"/>
              </w:rPr>
              <w:t>9.0</w:t>
            </w:r>
          </w:p>
        </w:tc>
      </w:tr>
      <w:tr>
        <w:trPr>
          <w:trHeight w:val="378" w:hRule="exact"/>
        </w:trPr>
        <w:tc>
          <w:tcPr>
            <w:tcW w:w="1738" w:type="dxa"/>
            <w:tcBorders>
              <w:top w:val="single" w:sz="5" w:space="0" w:color="000000"/>
            </w:tcBorders>
          </w:tcPr>
          <w:p>
            <w:pPr>
              <w:pStyle w:val="TableParagraph"/>
              <w:spacing w:before="76"/>
              <w:ind w:left="59"/>
              <w:jc w:val="left"/>
              <w:rPr>
                <w:sz w:val="21"/>
              </w:rPr>
            </w:pPr>
            <w:r>
              <w:rPr>
                <w:sz w:val="21"/>
              </w:rPr>
              <w:t>Australia</w:t>
            </w:r>
          </w:p>
        </w:tc>
        <w:tc>
          <w:tcPr>
            <w:tcW w:w="1738" w:type="dxa"/>
            <w:tcBorders>
              <w:top w:val="single" w:sz="5" w:space="0" w:color="000000"/>
            </w:tcBorders>
          </w:tcPr>
          <w:p>
            <w:pPr>
              <w:pStyle w:val="TableParagraph"/>
              <w:spacing w:before="76"/>
              <w:ind w:right="55"/>
              <w:rPr>
                <w:sz w:val="21"/>
              </w:rPr>
            </w:pPr>
            <w:r>
              <w:rPr>
                <w:sz w:val="21"/>
              </w:rPr>
              <w:t>3 247</w:t>
            </w:r>
          </w:p>
        </w:tc>
        <w:tc>
          <w:tcPr>
            <w:tcW w:w="1738" w:type="dxa"/>
            <w:tcBorders>
              <w:top w:val="single" w:sz="5" w:space="0" w:color="000000"/>
            </w:tcBorders>
          </w:tcPr>
          <w:p>
            <w:pPr>
              <w:pStyle w:val="TableParagraph"/>
              <w:spacing w:before="76"/>
              <w:ind w:right="53"/>
              <w:rPr>
                <w:sz w:val="21"/>
              </w:rPr>
            </w:pPr>
            <w:r>
              <w:rPr>
                <w:sz w:val="21"/>
              </w:rPr>
              <w:t>3 908</w:t>
            </w:r>
          </w:p>
        </w:tc>
        <w:tc>
          <w:tcPr>
            <w:tcW w:w="1739" w:type="dxa"/>
            <w:tcBorders>
              <w:top w:val="single" w:sz="5" w:space="0" w:color="000000"/>
              <w:right w:val="single" w:sz="5" w:space="0" w:color="000000"/>
            </w:tcBorders>
          </w:tcPr>
          <w:p>
            <w:pPr>
              <w:pStyle w:val="TableParagraph"/>
              <w:spacing w:before="76"/>
              <w:ind w:right="56"/>
              <w:rPr>
                <w:sz w:val="21"/>
              </w:rPr>
            </w:pPr>
            <w:r>
              <w:rPr>
                <w:sz w:val="21"/>
              </w:rPr>
              <w:t>20.8</w:t>
            </w:r>
          </w:p>
        </w:tc>
        <w:tc>
          <w:tcPr>
            <w:tcW w:w="1739" w:type="dxa"/>
            <w:tcBorders>
              <w:top w:val="single" w:sz="5" w:space="0" w:color="000000"/>
              <w:left w:val="single" w:sz="5" w:space="0" w:color="000000"/>
            </w:tcBorders>
          </w:tcPr>
          <w:p>
            <w:pPr>
              <w:pStyle w:val="TableParagraph"/>
              <w:spacing w:before="76"/>
              <w:ind w:right="56"/>
              <w:rPr>
                <w:sz w:val="21"/>
              </w:rPr>
            </w:pPr>
            <w:r>
              <w:rPr>
                <w:sz w:val="21"/>
              </w:rPr>
              <w:t>21.1</w:t>
            </w:r>
          </w:p>
        </w:tc>
      </w:tr>
      <w:tr>
        <w:trPr>
          <w:trHeight w:val="379" w:hRule="exact"/>
        </w:trPr>
        <w:tc>
          <w:tcPr>
            <w:tcW w:w="1738" w:type="dxa"/>
          </w:tcPr>
          <w:p>
            <w:pPr>
              <w:pStyle w:val="TableParagraph"/>
              <w:spacing w:before="71"/>
              <w:ind w:left="59"/>
              <w:jc w:val="left"/>
              <w:rPr>
                <w:sz w:val="21"/>
              </w:rPr>
            </w:pPr>
            <w:r>
              <w:rPr>
                <w:sz w:val="21"/>
              </w:rPr>
              <w:t>Austria</w:t>
            </w:r>
          </w:p>
        </w:tc>
        <w:tc>
          <w:tcPr>
            <w:tcW w:w="1738" w:type="dxa"/>
          </w:tcPr>
          <w:p>
            <w:pPr>
              <w:pStyle w:val="TableParagraph"/>
              <w:spacing w:before="71"/>
              <w:ind w:right="58"/>
              <w:rPr>
                <w:sz w:val="21"/>
              </w:rPr>
            </w:pPr>
            <w:r>
              <w:rPr>
                <w:sz w:val="21"/>
              </w:rPr>
              <w:t>326</w:t>
            </w:r>
          </w:p>
        </w:tc>
        <w:tc>
          <w:tcPr>
            <w:tcW w:w="1738" w:type="dxa"/>
          </w:tcPr>
          <w:p>
            <w:pPr>
              <w:pStyle w:val="TableParagraph"/>
              <w:spacing w:before="71"/>
              <w:ind w:right="58"/>
              <w:rPr>
                <w:sz w:val="21"/>
              </w:rPr>
            </w:pPr>
            <w:r>
              <w:rPr>
                <w:sz w:val="21"/>
              </w:rPr>
              <w:t>733</w:t>
            </w:r>
          </w:p>
        </w:tc>
        <w:tc>
          <w:tcPr>
            <w:tcW w:w="1739" w:type="dxa"/>
            <w:tcBorders>
              <w:right w:val="single" w:sz="5" w:space="0" w:color="000000"/>
            </w:tcBorders>
          </w:tcPr>
          <w:p>
            <w:pPr>
              <w:pStyle w:val="TableParagraph"/>
              <w:spacing w:before="71"/>
              <w:ind w:right="56"/>
              <w:rPr>
                <w:sz w:val="21"/>
              </w:rPr>
            </w:pPr>
            <w:r>
              <w:rPr>
                <w:sz w:val="21"/>
              </w:rPr>
              <w:t>4.3</w:t>
            </w:r>
          </w:p>
        </w:tc>
        <w:tc>
          <w:tcPr>
            <w:tcW w:w="1739" w:type="dxa"/>
            <w:tcBorders>
              <w:left w:val="single" w:sz="5" w:space="0" w:color="000000"/>
            </w:tcBorders>
          </w:tcPr>
          <w:p>
            <w:pPr>
              <w:pStyle w:val="TableParagraph"/>
              <w:spacing w:before="71"/>
              <w:ind w:right="56"/>
              <w:rPr>
                <w:sz w:val="21"/>
              </w:rPr>
            </w:pPr>
            <w:r>
              <w:rPr>
                <w:sz w:val="21"/>
              </w:rPr>
              <w:t>9.1</w:t>
            </w:r>
          </w:p>
        </w:tc>
      </w:tr>
      <w:tr>
        <w:trPr>
          <w:trHeight w:val="377" w:hRule="exact"/>
        </w:trPr>
        <w:tc>
          <w:tcPr>
            <w:tcW w:w="1738" w:type="dxa"/>
          </w:tcPr>
          <w:p>
            <w:pPr>
              <w:pStyle w:val="TableParagraph"/>
              <w:spacing w:before="71"/>
              <w:ind w:left="59"/>
              <w:jc w:val="left"/>
              <w:rPr>
                <w:sz w:val="21"/>
              </w:rPr>
            </w:pPr>
            <w:r>
              <w:rPr>
                <w:sz w:val="21"/>
              </w:rPr>
              <w:t>Bélgica</w:t>
            </w:r>
          </w:p>
        </w:tc>
        <w:tc>
          <w:tcPr>
            <w:tcW w:w="1738" w:type="dxa"/>
          </w:tcPr>
          <w:p>
            <w:pPr>
              <w:pStyle w:val="TableParagraph"/>
              <w:spacing w:before="71"/>
              <w:ind w:right="58"/>
              <w:rPr>
                <w:sz w:val="21"/>
              </w:rPr>
            </w:pPr>
            <w:r>
              <w:rPr>
                <w:sz w:val="21"/>
              </w:rPr>
              <w:t>863</w:t>
            </w:r>
          </w:p>
        </w:tc>
        <w:tc>
          <w:tcPr>
            <w:tcW w:w="1738" w:type="dxa"/>
          </w:tcPr>
          <w:p>
            <w:pPr>
              <w:pStyle w:val="TableParagraph"/>
              <w:spacing w:before="71"/>
              <w:ind w:right="58"/>
              <w:rPr>
                <w:sz w:val="21"/>
              </w:rPr>
            </w:pPr>
            <w:r>
              <w:rPr>
                <w:sz w:val="21"/>
              </w:rPr>
              <w:t>903</w:t>
            </w:r>
          </w:p>
        </w:tc>
        <w:tc>
          <w:tcPr>
            <w:tcW w:w="1739" w:type="dxa"/>
            <w:tcBorders>
              <w:right w:val="single" w:sz="5" w:space="0" w:color="000000"/>
            </w:tcBorders>
          </w:tcPr>
          <w:p>
            <w:pPr>
              <w:pStyle w:val="TableParagraph"/>
              <w:spacing w:before="71"/>
              <w:ind w:right="56"/>
              <w:rPr>
                <w:sz w:val="21"/>
              </w:rPr>
            </w:pPr>
            <w:r>
              <w:rPr>
                <w:sz w:val="21"/>
              </w:rPr>
              <w:t>8.7</w:t>
            </w:r>
          </w:p>
        </w:tc>
        <w:tc>
          <w:tcPr>
            <w:tcW w:w="1739" w:type="dxa"/>
            <w:tcBorders>
              <w:left w:val="single" w:sz="5" w:space="0" w:color="000000"/>
            </w:tcBorders>
          </w:tcPr>
          <w:p>
            <w:pPr>
              <w:pStyle w:val="TableParagraph"/>
              <w:spacing w:before="71"/>
              <w:ind w:right="56"/>
              <w:rPr>
                <w:sz w:val="21"/>
              </w:rPr>
            </w:pPr>
            <w:r>
              <w:rPr>
                <w:sz w:val="21"/>
              </w:rPr>
              <w:t>8.9</w:t>
            </w:r>
          </w:p>
        </w:tc>
      </w:tr>
      <w:tr>
        <w:trPr>
          <w:trHeight w:val="377" w:hRule="exact"/>
        </w:trPr>
        <w:tc>
          <w:tcPr>
            <w:tcW w:w="1738" w:type="dxa"/>
          </w:tcPr>
          <w:p>
            <w:pPr>
              <w:pStyle w:val="TableParagraph"/>
              <w:spacing w:before="73"/>
              <w:ind w:left="59"/>
              <w:jc w:val="left"/>
              <w:rPr>
                <w:sz w:val="21"/>
              </w:rPr>
            </w:pPr>
            <w:r>
              <w:rPr>
                <w:sz w:val="21"/>
              </w:rPr>
              <w:t>Canadá</w:t>
            </w:r>
          </w:p>
        </w:tc>
        <w:tc>
          <w:tcPr>
            <w:tcW w:w="1738" w:type="dxa"/>
          </w:tcPr>
          <w:p>
            <w:pPr>
              <w:pStyle w:val="TableParagraph"/>
              <w:spacing w:before="73"/>
              <w:ind w:right="55"/>
              <w:rPr>
                <w:sz w:val="21"/>
              </w:rPr>
            </w:pPr>
            <w:r>
              <w:rPr>
                <w:sz w:val="21"/>
              </w:rPr>
              <w:t>3 908</w:t>
            </w:r>
          </w:p>
        </w:tc>
        <w:tc>
          <w:tcPr>
            <w:tcW w:w="1738" w:type="dxa"/>
          </w:tcPr>
          <w:p>
            <w:pPr>
              <w:pStyle w:val="TableParagraph"/>
              <w:spacing w:before="73"/>
              <w:ind w:right="53"/>
              <w:rPr>
                <w:sz w:val="21"/>
              </w:rPr>
            </w:pPr>
            <w:r>
              <w:rPr>
                <w:sz w:val="21"/>
              </w:rPr>
              <w:t>4 971</w:t>
            </w:r>
          </w:p>
        </w:tc>
        <w:tc>
          <w:tcPr>
            <w:tcW w:w="1739" w:type="dxa"/>
            <w:tcBorders>
              <w:right w:val="single" w:sz="5" w:space="0" w:color="000000"/>
            </w:tcBorders>
          </w:tcPr>
          <w:p>
            <w:pPr>
              <w:pStyle w:val="TableParagraph"/>
              <w:spacing w:before="73"/>
              <w:ind w:right="56"/>
              <w:rPr>
                <w:sz w:val="21"/>
              </w:rPr>
            </w:pPr>
            <w:r>
              <w:rPr>
                <w:sz w:val="21"/>
              </w:rPr>
              <w:t>15.4</w:t>
            </w:r>
          </w:p>
        </w:tc>
        <w:tc>
          <w:tcPr>
            <w:tcW w:w="1739" w:type="dxa"/>
            <w:tcBorders>
              <w:left w:val="single" w:sz="5" w:space="0" w:color="000000"/>
            </w:tcBorders>
          </w:tcPr>
          <w:p>
            <w:pPr>
              <w:pStyle w:val="TableParagraph"/>
              <w:spacing w:before="73"/>
              <w:ind w:right="56"/>
              <w:rPr>
                <w:sz w:val="21"/>
              </w:rPr>
            </w:pPr>
            <w:r>
              <w:rPr>
                <w:sz w:val="21"/>
              </w:rPr>
              <w:t>17.4</w:t>
            </w:r>
          </w:p>
        </w:tc>
      </w:tr>
      <w:tr>
        <w:trPr>
          <w:trHeight w:val="379" w:hRule="exact"/>
        </w:trPr>
        <w:tc>
          <w:tcPr>
            <w:tcW w:w="1738" w:type="dxa"/>
          </w:tcPr>
          <w:p>
            <w:pPr>
              <w:pStyle w:val="TableParagraph"/>
              <w:spacing w:before="71"/>
              <w:ind w:left="59"/>
              <w:jc w:val="left"/>
              <w:rPr>
                <w:sz w:val="21"/>
              </w:rPr>
            </w:pPr>
            <w:r>
              <w:rPr>
                <w:sz w:val="21"/>
              </w:rPr>
              <w:t>Dinamarca</w:t>
            </w:r>
          </w:p>
        </w:tc>
        <w:tc>
          <w:tcPr>
            <w:tcW w:w="1738" w:type="dxa"/>
          </w:tcPr>
          <w:p>
            <w:pPr>
              <w:pStyle w:val="TableParagraph"/>
              <w:spacing w:before="71"/>
              <w:ind w:right="58"/>
              <w:rPr>
                <w:sz w:val="21"/>
              </w:rPr>
            </w:pPr>
            <w:r>
              <w:rPr>
                <w:sz w:val="21"/>
              </w:rPr>
              <w:t>136</w:t>
            </w:r>
          </w:p>
        </w:tc>
        <w:tc>
          <w:tcPr>
            <w:tcW w:w="1738" w:type="dxa"/>
          </w:tcPr>
          <w:p>
            <w:pPr>
              <w:pStyle w:val="TableParagraph"/>
              <w:spacing w:before="71"/>
              <w:ind w:right="58"/>
              <w:rPr>
                <w:sz w:val="21"/>
              </w:rPr>
            </w:pPr>
            <w:r>
              <w:rPr>
                <w:sz w:val="21"/>
              </w:rPr>
              <w:t>250</w:t>
            </w:r>
          </w:p>
        </w:tc>
        <w:tc>
          <w:tcPr>
            <w:tcW w:w="1739" w:type="dxa"/>
            <w:tcBorders>
              <w:right w:val="single" w:sz="5" w:space="0" w:color="000000"/>
            </w:tcBorders>
          </w:tcPr>
          <w:p>
            <w:pPr>
              <w:pStyle w:val="TableParagraph"/>
              <w:spacing w:before="71"/>
              <w:ind w:right="56"/>
              <w:rPr>
                <w:sz w:val="21"/>
              </w:rPr>
            </w:pPr>
            <w:r>
              <w:rPr>
                <w:sz w:val="21"/>
              </w:rPr>
              <w:t>2.7</w:t>
            </w:r>
          </w:p>
        </w:tc>
        <w:tc>
          <w:tcPr>
            <w:tcW w:w="1739" w:type="dxa"/>
            <w:tcBorders>
              <w:left w:val="single" w:sz="5" w:space="0" w:color="000000"/>
            </w:tcBorders>
          </w:tcPr>
          <w:p>
            <w:pPr>
              <w:pStyle w:val="TableParagraph"/>
              <w:spacing w:before="71"/>
              <w:ind w:right="56"/>
              <w:rPr>
                <w:sz w:val="21"/>
              </w:rPr>
            </w:pPr>
            <w:r>
              <w:rPr>
                <w:sz w:val="21"/>
              </w:rPr>
              <w:t>4.7</w:t>
            </w:r>
          </w:p>
        </w:tc>
      </w:tr>
      <w:tr>
        <w:trPr>
          <w:trHeight w:val="377" w:hRule="exact"/>
        </w:trPr>
        <w:tc>
          <w:tcPr>
            <w:tcW w:w="1738" w:type="dxa"/>
          </w:tcPr>
          <w:p>
            <w:pPr>
              <w:pStyle w:val="TableParagraph"/>
              <w:spacing w:before="71"/>
              <w:ind w:left="59"/>
              <w:jc w:val="left"/>
              <w:rPr>
                <w:sz w:val="21"/>
              </w:rPr>
            </w:pPr>
            <w:r>
              <w:rPr>
                <w:sz w:val="21"/>
              </w:rPr>
              <w:t>España</w:t>
            </w:r>
          </w:p>
        </w:tc>
        <w:tc>
          <w:tcPr>
            <w:tcW w:w="1738" w:type="dxa"/>
          </w:tcPr>
          <w:p>
            <w:pPr>
              <w:pStyle w:val="TableParagraph"/>
              <w:spacing w:before="71"/>
              <w:ind w:right="58"/>
              <w:rPr>
                <w:sz w:val="21"/>
              </w:rPr>
            </w:pPr>
            <w:r>
              <w:rPr>
                <w:sz w:val="21"/>
              </w:rPr>
              <w:t>335</w:t>
            </w:r>
          </w:p>
        </w:tc>
        <w:tc>
          <w:tcPr>
            <w:tcW w:w="1738" w:type="dxa"/>
          </w:tcPr>
          <w:p>
            <w:pPr>
              <w:pStyle w:val="TableParagraph"/>
              <w:spacing w:before="71"/>
              <w:ind w:right="58"/>
              <w:rPr>
                <w:sz w:val="21"/>
              </w:rPr>
            </w:pPr>
            <w:r>
              <w:rPr>
                <w:sz w:val="21"/>
              </w:rPr>
              <w:t>610</w:t>
            </w:r>
          </w:p>
        </w:tc>
        <w:tc>
          <w:tcPr>
            <w:tcW w:w="1739" w:type="dxa"/>
            <w:tcBorders>
              <w:right w:val="single" w:sz="5" w:space="0" w:color="000000"/>
            </w:tcBorders>
          </w:tcPr>
          <w:p>
            <w:pPr>
              <w:pStyle w:val="TableParagraph"/>
              <w:spacing w:before="71"/>
              <w:ind w:right="56"/>
              <w:rPr>
                <w:sz w:val="21"/>
              </w:rPr>
            </w:pPr>
            <w:r>
              <w:rPr>
                <w:sz w:val="21"/>
              </w:rPr>
              <w:t>0.9</w:t>
            </w:r>
          </w:p>
        </w:tc>
        <w:tc>
          <w:tcPr>
            <w:tcW w:w="1739" w:type="dxa"/>
            <w:tcBorders>
              <w:left w:val="single" w:sz="5" w:space="0" w:color="000000"/>
            </w:tcBorders>
          </w:tcPr>
          <w:p>
            <w:pPr>
              <w:pStyle w:val="TableParagraph"/>
              <w:spacing w:before="71"/>
              <w:ind w:right="56"/>
              <w:rPr>
                <w:sz w:val="21"/>
              </w:rPr>
            </w:pPr>
            <w:r>
              <w:rPr>
                <w:sz w:val="21"/>
              </w:rPr>
              <w:t>1.5</w:t>
            </w:r>
          </w:p>
        </w:tc>
      </w:tr>
      <w:tr>
        <w:trPr>
          <w:trHeight w:val="377" w:hRule="exact"/>
        </w:trPr>
        <w:tc>
          <w:tcPr>
            <w:tcW w:w="1738" w:type="dxa"/>
          </w:tcPr>
          <w:p>
            <w:pPr>
              <w:pStyle w:val="TableParagraph"/>
              <w:spacing w:before="73"/>
              <w:ind w:left="59"/>
              <w:jc w:val="left"/>
              <w:rPr>
                <w:sz w:val="21"/>
              </w:rPr>
            </w:pPr>
            <w:r>
              <w:rPr>
                <w:sz w:val="21"/>
              </w:rPr>
              <w:t>Estados Unidos</w:t>
            </w:r>
          </w:p>
        </w:tc>
        <w:tc>
          <w:tcPr>
            <w:tcW w:w="1738" w:type="dxa"/>
          </w:tcPr>
          <w:p>
            <w:pPr>
              <w:pStyle w:val="TableParagraph"/>
              <w:spacing w:before="73"/>
              <w:ind w:right="55"/>
              <w:rPr>
                <w:sz w:val="21"/>
              </w:rPr>
            </w:pPr>
            <w:r>
              <w:rPr>
                <w:sz w:val="21"/>
              </w:rPr>
              <w:t>14 080</w:t>
            </w:r>
          </w:p>
        </w:tc>
        <w:tc>
          <w:tcPr>
            <w:tcW w:w="1738" w:type="dxa"/>
          </w:tcPr>
          <w:p>
            <w:pPr>
              <w:pStyle w:val="TableParagraph"/>
              <w:spacing w:before="73"/>
              <w:ind w:right="56"/>
              <w:rPr>
                <w:sz w:val="21"/>
              </w:rPr>
            </w:pPr>
            <w:r>
              <w:rPr>
                <w:sz w:val="21"/>
              </w:rPr>
              <w:t>24 600</w:t>
            </w:r>
          </w:p>
        </w:tc>
        <w:tc>
          <w:tcPr>
            <w:tcW w:w="1739" w:type="dxa"/>
            <w:tcBorders>
              <w:right w:val="single" w:sz="5" w:space="0" w:color="000000"/>
            </w:tcBorders>
          </w:tcPr>
          <w:p>
            <w:pPr>
              <w:pStyle w:val="TableParagraph"/>
              <w:spacing w:before="73"/>
              <w:ind w:right="56"/>
              <w:rPr>
                <w:sz w:val="21"/>
              </w:rPr>
            </w:pPr>
            <w:r>
              <w:rPr>
                <w:sz w:val="21"/>
              </w:rPr>
              <w:t>6.2</w:t>
            </w:r>
          </w:p>
        </w:tc>
        <w:tc>
          <w:tcPr>
            <w:tcW w:w="1739" w:type="dxa"/>
            <w:tcBorders>
              <w:left w:val="single" w:sz="5" w:space="0" w:color="000000"/>
            </w:tcBorders>
          </w:tcPr>
          <w:p>
            <w:pPr>
              <w:pStyle w:val="TableParagraph"/>
              <w:spacing w:before="73"/>
              <w:ind w:right="56"/>
              <w:rPr>
                <w:sz w:val="21"/>
              </w:rPr>
            </w:pPr>
            <w:r>
              <w:rPr>
                <w:sz w:val="21"/>
              </w:rPr>
              <w:t>9.3</w:t>
            </w:r>
          </w:p>
        </w:tc>
      </w:tr>
      <w:tr>
        <w:trPr>
          <w:trHeight w:val="379" w:hRule="exact"/>
        </w:trPr>
        <w:tc>
          <w:tcPr>
            <w:tcW w:w="1738" w:type="dxa"/>
          </w:tcPr>
          <w:p>
            <w:pPr>
              <w:pStyle w:val="TableParagraph"/>
              <w:spacing w:before="71"/>
              <w:ind w:left="59"/>
              <w:jc w:val="left"/>
              <w:rPr>
                <w:sz w:val="21"/>
              </w:rPr>
            </w:pPr>
            <w:r>
              <w:rPr>
                <w:sz w:val="21"/>
              </w:rPr>
              <w:t>Finlandia</w:t>
            </w:r>
          </w:p>
        </w:tc>
        <w:tc>
          <w:tcPr>
            <w:tcW w:w="1738" w:type="dxa"/>
          </w:tcPr>
          <w:p>
            <w:pPr>
              <w:pStyle w:val="TableParagraph"/>
              <w:spacing w:before="71"/>
              <w:ind w:right="58"/>
              <w:rPr>
                <w:sz w:val="21"/>
              </w:rPr>
            </w:pPr>
            <w:r>
              <w:rPr>
                <w:sz w:val="21"/>
              </w:rPr>
              <w:t>18</w:t>
            </w:r>
          </w:p>
        </w:tc>
        <w:tc>
          <w:tcPr>
            <w:tcW w:w="1738" w:type="dxa"/>
          </w:tcPr>
          <w:p>
            <w:pPr>
              <w:pStyle w:val="TableParagraph"/>
              <w:spacing w:before="71"/>
              <w:ind w:right="58"/>
              <w:rPr>
                <w:sz w:val="21"/>
              </w:rPr>
            </w:pPr>
            <w:r>
              <w:rPr>
                <w:sz w:val="21"/>
              </w:rPr>
              <w:t>81</w:t>
            </w:r>
          </w:p>
        </w:tc>
        <w:tc>
          <w:tcPr>
            <w:tcW w:w="1739" w:type="dxa"/>
            <w:tcBorders>
              <w:right w:val="single" w:sz="5" w:space="0" w:color="000000"/>
            </w:tcBorders>
          </w:tcPr>
          <w:p>
            <w:pPr>
              <w:pStyle w:val="TableParagraph"/>
              <w:spacing w:before="71"/>
              <w:ind w:right="56"/>
              <w:rPr>
                <w:sz w:val="21"/>
              </w:rPr>
            </w:pPr>
            <w:r>
              <w:rPr>
                <w:sz w:val="21"/>
              </w:rPr>
              <w:t>0.4</w:t>
            </w:r>
          </w:p>
        </w:tc>
        <w:tc>
          <w:tcPr>
            <w:tcW w:w="1739" w:type="dxa"/>
            <w:tcBorders>
              <w:left w:val="single" w:sz="5" w:space="0" w:color="000000"/>
            </w:tcBorders>
          </w:tcPr>
          <w:p>
            <w:pPr>
              <w:pStyle w:val="TableParagraph"/>
              <w:spacing w:before="71"/>
              <w:ind w:right="56"/>
              <w:rPr>
                <w:sz w:val="21"/>
              </w:rPr>
            </w:pPr>
            <w:r>
              <w:rPr>
                <w:sz w:val="21"/>
              </w:rPr>
              <w:t>1.6</w:t>
            </w:r>
          </w:p>
        </w:tc>
      </w:tr>
      <w:tr>
        <w:trPr>
          <w:trHeight w:val="377" w:hRule="exact"/>
        </w:trPr>
        <w:tc>
          <w:tcPr>
            <w:tcW w:w="1738" w:type="dxa"/>
          </w:tcPr>
          <w:p>
            <w:pPr>
              <w:pStyle w:val="TableParagraph"/>
              <w:spacing w:before="71"/>
              <w:ind w:left="59"/>
              <w:jc w:val="left"/>
              <w:rPr>
                <w:sz w:val="21"/>
              </w:rPr>
            </w:pPr>
            <w:r>
              <w:rPr>
                <w:sz w:val="21"/>
              </w:rPr>
              <w:t>Francia</w:t>
            </w:r>
          </w:p>
        </w:tc>
        <w:tc>
          <w:tcPr>
            <w:tcW w:w="1738" w:type="dxa"/>
          </w:tcPr>
          <w:p>
            <w:pPr>
              <w:pStyle w:val="TableParagraph"/>
              <w:spacing w:before="71"/>
              <w:ind w:right="56"/>
              <w:rPr>
                <w:sz w:val="21"/>
              </w:rPr>
            </w:pPr>
            <w:r>
              <w:rPr>
                <w:sz w:val="21"/>
              </w:rPr>
              <w:t>3 714</w:t>
            </w:r>
          </w:p>
        </w:tc>
        <w:tc>
          <w:tcPr>
            <w:tcW w:w="1738" w:type="dxa"/>
          </w:tcPr>
          <w:p>
            <w:pPr>
              <w:pStyle w:val="TableParagraph"/>
              <w:spacing w:before="71"/>
              <w:ind w:right="53"/>
              <w:rPr>
                <w:sz w:val="21"/>
              </w:rPr>
            </w:pPr>
            <w:r>
              <w:rPr>
                <w:sz w:val="21"/>
              </w:rPr>
              <w:t>3 597</w:t>
            </w:r>
          </w:p>
        </w:tc>
        <w:tc>
          <w:tcPr>
            <w:tcW w:w="1739" w:type="dxa"/>
            <w:tcBorders>
              <w:right w:val="single" w:sz="5" w:space="0" w:color="000000"/>
            </w:tcBorders>
          </w:tcPr>
          <w:p>
            <w:pPr>
              <w:pStyle w:val="TableParagraph"/>
              <w:spacing w:before="71"/>
              <w:ind w:right="56"/>
              <w:rPr>
                <w:sz w:val="21"/>
              </w:rPr>
            </w:pPr>
            <w:r>
              <w:rPr>
                <w:sz w:val="21"/>
              </w:rPr>
              <w:t>6.8</w:t>
            </w:r>
          </w:p>
        </w:tc>
        <w:tc>
          <w:tcPr>
            <w:tcW w:w="1739" w:type="dxa"/>
            <w:tcBorders>
              <w:left w:val="single" w:sz="5" w:space="0" w:color="000000"/>
            </w:tcBorders>
          </w:tcPr>
          <w:p>
            <w:pPr>
              <w:pStyle w:val="TableParagraph"/>
              <w:spacing w:before="71"/>
              <w:ind w:right="56"/>
              <w:rPr>
                <w:sz w:val="21"/>
              </w:rPr>
            </w:pPr>
            <w:r>
              <w:rPr>
                <w:sz w:val="21"/>
              </w:rPr>
              <w:t>6.3</w:t>
            </w:r>
          </w:p>
        </w:tc>
      </w:tr>
      <w:tr>
        <w:trPr>
          <w:trHeight w:val="378" w:hRule="exact"/>
        </w:trPr>
        <w:tc>
          <w:tcPr>
            <w:tcW w:w="1738" w:type="dxa"/>
            <w:tcBorders>
              <w:bottom w:val="single" w:sz="5" w:space="0" w:color="000000"/>
            </w:tcBorders>
          </w:tcPr>
          <w:p>
            <w:pPr>
              <w:pStyle w:val="TableParagraph"/>
              <w:spacing w:before="73"/>
              <w:ind w:left="59"/>
              <w:jc w:val="left"/>
              <w:rPr>
                <w:sz w:val="21"/>
              </w:rPr>
            </w:pPr>
            <w:r>
              <w:rPr>
                <w:sz w:val="21"/>
              </w:rPr>
              <w:t>Holanda</w:t>
            </w:r>
          </w:p>
        </w:tc>
        <w:tc>
          <w:tcPr>
            <w:tcW w:w="1738" w:type="dxa"/>
            <w:tcBorders>
              <w:bottom w:val="single" w:sz="5" w:space="0" w:color="000000"/>
            </w:tcBorders>
          </w:tcPr>
          <w:p>
            <w:pPr>
              <w:pStyle w:val="TableParagraph"/>
              <w:spacing w:before="73"/>
              <w:ind w:right="58"/>
              <w:rPr>
                <w:sz w:val="21"/>
              </w:rPr>
            </w:pPr>
            <w:r>
              <w:rPr>
                <w:sz w:val="21"/>
              </w:rPr>
              <w:t>592</w:t>
            </w:r>
          </w:p>
        </w:tc>
        <w:tc>
          <w:tcPr>
            <w:tcW w:w="1738" w:type="dxa"/>
            <w:tcBorders>
              <w:bottom w:val="single" w:sz="5" w:space="0" w:color="000000"/>
            </w:tcBorders>
          </w:tcPr>
          <w:p>
            <w:pPr>
              <w:pStyle w:val="TableParagraph"/>
              <w:spacing w:before="73"/>
              <w:ind w:right="58"/>
              <w:rPr>
                <w:sz w:val="21"/>
              </w:rPr>
            </w:pPr>
            <w:r>
              <w:rPr>
                <w:sz w:val="21"/>
              </w:rPr>
              <w:t>678</w:t>
            </w:r>
          </w:p>
        </w:tc>
        <w:tc>
          <w:tcPr>
            <w:tcW w:w="1739" w:type="dxa"/>
            <w:tcBorders>
              <w:bottom w:val="single" w:sz="5" w:space="0" w:color="000000"/>
              <w:right w:val="single" w:sz="5" w:space="0" w:color="000000"/>
            </w:tcBorders>
          </w:tcPr>
          <w:p>
            <w:pPr>
              <w:pStyle w:val="TableParagraph"/>
              <w:spacing w:before="73"/>
              <w:ind w:right="56"/>
              <w:rPr>
                <w:sz w:val="21"/>
              </w:rPr>
            </w:pPr>
            <w:r>
              <w:rPr>
                <w:sz w:val="21"/>
              </w:rPr>
              <w:t>4.0</w:t>
            </w:r>
          </w:p>
        </w:tc>
        <w:tc>
          <w:tcPr>
            <w:tcW w:w="1739" w:type="dxa"/>
            <w:tcBorders>
              <w:left w:val="single" w:sz="5" w:space="0" w:color="000000"/>
              <w:bottom w:val="single" w:sz="5" w:space="0" w:color="000000"/>
            </w:tcBorders>
          </w:tcPr>
          <w:p>
            <w:pPr>
              <w:pStyle w:val="TableParagraph"/>
              <w:spacing w:before="73"/>
              <w:ind w:right="56"/>
              <w:rPr>
                <w:sz w:val="21"/>
              </w:rPr>
            </w:pPr>
            <w:r>
              <w:rPr>
                <w:sz w:val="21"/>
              </w:rPr>
              <w:t>4.4</w:t>
            </w:r>
          </w:p>
        </w:tc>
      </w:tr>
      <w:tr>
        <w:trPr>
          <w:trHeight w:val="378" w:hRule="exact"/>
        </w:trPr>
        <w:tc>
          <w:tcPr>
            <w:tcW w:w="1738" w:type="dxa"/>
            <w:tcBorders>
              <w:top w:val="single" w:sz="5" w:space="0" w:color="000000"/>
            </w:tcBorders>
          </w:tcPr>
          <w:p>
            <w:pPr>
              <w:pStyle w:val="TableParagraph"/>
              <w:spacing w:before="71"/>
              <w:ind w:left="59"/>
              <w:jc w:val="left"/>
              <w:rPr>
                <w:sz w:val="21"/>
              </w:rPr>
            </w:pPr>
            <w:r>
              <w:rPr>
                <w:sz w:val="21"/>
              </w:rPr>
              <w:t>Irlanda</w:t>
            </w:r>
          </w:p>
        </w:tc>
        <w:tc>
          <w:tcPr>
            <w:tcW w:w="1738" w:type="dxa"/>
            <w:tcBorders>
              <w:top w:val="single" w:sz="5" w:space="0" w:color="000000"/>
            </w:tcBorders>
          </w:tcPr>
          <w:p>
            <w:pPr>
              <w:pStyle w:val="TableParagraph"/>
              <w:spacing w:before="71"/>
              <w:ind w:right="58"/>
              <w:rPr>
                <w:sz w:val="21"/>
              </w:rPr>
            </w:pPr>
            <w:r>
              <w:rPr>
                <w:sz w:val="21"/>
              </w:rPr>
              <w:t>77</w:t>
            </w:r>
          </w:p>
        </w:tc>
        <w:tc>
          <w:tcPr>
            <w:tcW w:w="1738" w:type="dxa"/>
            <w:tcBorders>
              <w:top w:val="single" w:sz="5" w:space="0" w:color="000000"/>
            </w:tcBorders>
          </w:tcPr>
          <w:p>
            <w:pPr>
              <w:pStyle w:val="TableParagraph"/>
              <w:spacing w:before="71"/>
              <w:ind w:right="58"/>
              <w:rPr>
                <w:sz w:val="21"/>
              </w:rPr>
            </w:pPr>
            <w:r>
              <w:rPr>
                <w:sz w:val="21"/>
              </w:rPr>
              <w:t>114</w:t>
            </w:r>
          </w:p>
        </w:tc>
        <w:tc>
          <w:tcPr>
            <w:tcW w:w="1739" w:type="dxa"/>
            <w:tcBorders>
              <w:top w:val="single" w:sz="5" w:space="0" w:color="000000"/>
              <w:right w:val="single" w:sz="5" w:space="0" w:color="000000"/>
            </w:tcBorders>
          </w:tcPr>
          <w:p>
            <w:pPr>
              <w:pStyle w:val="TableParagraph"/>
              <w:spacing w:before="71"/>
              <w:ind w:right="56"/>
              <w:rPr>
                <w:sz w:val="21"/>
              </w:rPr>
            </w:pPr>
            <w:r>
              <w:rPr>
                <w:sz w:val="21"/>
              </w:rPr>
              <w:t>2.2</w:t>
            </w:r>
          </w:p>
        </w:tc>
        <w:tc>
          <w:tcPr>
            <w:tcW w:w="1739" w:type="dxa"/>
            <w:tcBorders>
              <w:top w:val="single" w:sz="5" w:space="0" w:color="000000"/>
              <w:left w:val="single" w:sz="5" w:space="0" w:color="000000"/>
            </w:tcBorders>
          </w:tcPr>
          <w:p>
            <w:pPr>
              <w:pStyle w:val="TableParagraph"/>
              <w:spacing w:before="71"/>
              <w:ind w:right="56"/>
              <w:rPr>
                <w:sz w:val="21"/>
              </w:rPr>
            </w:pPr>
            <w:r>
              <w:rPr>
                <w:sz w:val="21"/>
              </w:rPr>
              <w:t>3.1</w:t>
            </w:r>
          </w:p>
        </w:tc>
      </w:tr>
      <w:tr>
        <w:trPr>
          <w:trHeight w:val="377" w:hRule="exact"/>
        </w:trPr>
        <w:tc>
          <w:tcPr>
            <w:tcW w:w="1738" w:type="dxa"/>
          </w:tcPr>
          <w:p>
            <w:pPr>
              <w:pStyle w:val="TableParagraph"/>
              <w:spacing w:before="71"/>
              <w:ind w:left="59"/>
              <w:jc w:val="left"/>
              <w:rPr>
                <w:sz w:val="21"/>
              </w:rPr>
            </w:pPr>
            <w:r>
              <w:rPr>
                <w:sz w:val="21"/>
              </w:rPr>
              <w:t>Italia</w:t>
            </w:r>
          </w:p>
        </w:tc>
        <w:tc>
          <w:tcPr>
            <w:tcW w:w="1738" w:type="dxa"/>
          </w:tcPr>
          <w:p>
            <w:pPr>
              <w:pStyle w:val="TableParagraph"/>
              <w:spacing w:before="71"/>
              <w:ind w:right="58"/>
              <w:rPr>
                <w:sz w:val="21"/>
              </w:rPr>
            </w:pPr>
            <w:r>
              <w:rPr>
                <w:sz w:val="21"/>
              </w:rPr>
              <w:t>572</w:t>
            </w:r>
          </w:p>
        </w:tc>
        <w:tc>
          <w:tcPr>
            <w:tcW w:w="1738" w:type="dxa"/>
          </w:tcPr>
          <w:p>
            <w:pPr>
              <w:pStyle w:val="TableParagraph"/>
              <w:spacing w:before="71"/>
              <w:ind w:right="53"/>
              <w:rPr>
                <w:sz w:val="21"/>
              </w:rPr>
            </w:pPr>
            <w:r>
              <w:rPr>
                <w:sz w:val="21"/>
              </w:rPr>
              <w:t>1 241</w:t>
            </w:r>
          </w:p>
        </w:tc>
        <w:tc>
          <w:tcPr>
            <w:tcW w:w="1739" w:type="dxa"/>
            <w:tcBorders>
              <w:right w:val="single" w:sz="5" w:space="0" w:color="000000"/>
            </w:tcBorders>
          </w:tcPr>
          <w:p>
            <w:pPr>
              <w:pStyle w:val="TableParagraph"/>
              <w:spacing w:before="71"/>
              <w:ind w:right="56"/>
              <w:rPr>
                <w:sz w:val="21"/>
              </w:rPr>
            </w:pPr>
            <w:r>
              <w:rPr>
                <w:sz w:val="21"/>
              </w:rPr>
              <w:t>1.0</w:t>
            </w:r>
          </w:p>
        </w:tc>
        <w:tc>
          <w:tcPr>
            <w:tcW w:w="1739" w:type="dxa"/>
            <w:tcBorders>
              <w:left w:val="single" w:sz="5" w:space="0" w:color="000000"/>
            </w:tcBorders>
          </w:tcPr>
          <w:p>
            <w:pPr>
              <w:pStyle w:val="TableParagraph"/>
              <w:spacing w:before="71"/>
              <w:ind w:right="56"/>
              <w:rPr>
                <w:sz w:val="21"/>
              </w:rPr>
            </w:pPr>
            <w:r>
              <w:rPr>
                <w:sz w:val="21"/>
              </w:rPr>
              <w:t>2.2</w:t>
            </w:r>
          </w:p>
        </w:tc>
      </w:tr>
      <w:tr>
        <w:trPr>
          <w:trHeight w:val="378" w:hRule="exact"/>
        </w:trPr>
        <w:tc>
          <w:tcPr>
            <w:tcW w:w="1738" w:type="dxa"/>
            <w:tcBorders>
              <w:bottom w:val="single" w:sz="5" w:space="0" w:color="000000"/>
            </w:tcBorders>
          </w:tcPr>
          <w:p>
            <w:pPr>
              <w:pStyle w:val="TableParagraph"/>
              <w:spacing w:before="73"/>
              <w:ind w:left="59"/>
              <w:jc w:val="left"/>
              <w:rPr>
                <w:sz w:val="21"/>
              </w:rPr>
            </w:pPr>
            <w:r>
              <w:rPr>
                <w:sz w:val="21"/>
              </w:rPr>
              <w:t>Japón</w:t>
            </w:r>
          </w:p>
        </w:tc>
        <w:tc>
          <w:tcPr>
            <w:tcW w:w="1738" w:type="dxa"/>
            <w:tcBorders>
              <w:bottom w:val="single" w:sz="5" w:space="0" w:color="000000"/>
            </w:tcBorders>
          </w:tcPr>
          <w:p>
            <w:pPr>
              <w:pStyle w:val="TableParagraph"/>
              <w:spacing w:before="73"/>
              <w:ind w:right="58"/>
              <w:rPr>
                <w:sz w:val="21"/>
              </w:rPr>
            </w:pPr>
            <w:r>
              <w:rPr>
                <w:sz w:val="21"/>
              </w:rPr>
              <w:t>884</w:t>
            </w:r>
          </w:p>
        </w:tc>
        <w:tc>
          <w:tcPr>
            <w:tcW w:w="1738" w:type="dxa"/>
            <w:tcBorders>
              <w:bottom w:val="single" w:sz="5" w:space="0" w:color="000000"/>
            </w:tcBorders>
          </w:tcPr>
          <w:p>
            <w:pPr>
              <w:pStyle w:val="TableParagraph"/>
              <w:spacing w:before="73"/>
              <w:ind w:right="53"/>
              <w:rPr>
                <w:sz w:val="21"/>
              </w:rPr>
            </w:pPr>
            <w:r>
              <w:rPr>
                <w:sz w:val="21"/>
              </w:rPr>
              <w:t>1 483</w:t>
            </w:r>
          </w:p>
        </w:tc>
        <w:tc>
          <w:tcPr>
            <w:tcW w:w="1739" w:type="dxa"/>
            <w:tcBorders>
              <w:bottom w:val="single" w:sz="5" w:space="0" w:color="000000"/>
              <w:right w:val="single" w:sz="5" w:space="0" w:color="000000"/>
            </w:tcBorders>
          </w:tcPr>
          <w:p>
            <w:pPr>
              <w:pStyle w:val="TableParagraph"/>
              <w:spacing w:before="73"/>
              <w:ind w:right="56"/>
              <w:rPr>
                <w:sz w:val="21"/>
              </w:rPr>
            </w:pPr>
            <w:r>
              <w:rPr>
                <w:sz w:val="21"/>
              </w:rPr>
              <w:t>0.7</w:t>
            </w:r>
          </w:p>
        </w:tc>
        <w:tc>
          <w:tcPr>
            <w:tcW w:w="1739" w:type="dxa"/>
            <w:tcBorders>
              <w:left w:val="single" w:sz="5" w:space="0" w:color="000000"/>
              <w:bottom w:val="single" w:sz="5" w:space="0" w:color="000000"/>
            </w:tcBorders>
          </w:tcPr>
          <w:p>
            <w:pPr>
              <w:pStyle w:val="TableParagraph"/>
              <w:spacing w:before="73"/>
              <w:ind w:right="56"/>
              <w:rPr>
                <w:sz w:val="21"/>
              </w:rPr>
            </w:pPr>
            <w:r>
              <w:rPr>
                <w:sz w:val="21"/>
              </w:rPr>
              <w:t>1.2</w:t>
            </w:r>
          </w:p>
        </w:tc>
      </w:tr>
      <w:tr>
        <w:trPr>
          <w:trHeight w:val="378" w:hRule="exact"/>
        </w:trPr>
        <w:tc>
          <w:tcPr>
            <w:tcW w:w="1738" w:type="dxa"/>
            <w:tcBorders>
              <w:top w:val="single" w:sz="5" w:space="0" w:color="000000"/>
            </w:tcBorders>
          </w:tcPr>
          <w:p>
            <w:pPr>
              <w:pStyle w:val="TableParagraph"/>
              <w:spacing w:before="73"/>
              <w:ind w:left="59"/>
              <w:jc w:val="left"/>
              <w:rPr>
                <w:sz w:val="21"/>
              </w:rPr>
            </w:pPr>
            <w:r>
              <w:rPr>
                <w:sz w:val="21"/>
              </w:rPr>
              <w:t>Luxemburgo</w:t>
            </w:r>
          </w:p>
        </w:tc>
        <w:tc>
          <w:tcPr>
            <w:tcW w:w="1738" w:type="dxa"/>
            <w:tcBorders>
              <w:top w:val="single" w:sz="5" w:space="0" w:color="000000"/>
            </w:tcBorders>
          </w:tcPr>
          <w:p>
            <w:pPr>
              <w:pStyle w:val="TableParagraph"/>
              <w:spacing w:before="73"/>
              <w:ind w:right="58"/>
              <w:rPr>
                <w:sz w:val="21"/>
              </w:rPr>
            </w:pPr>
            <w:r>
              <w:rPr>
                <w:sz w:val="21"/>
              </w:rPr>
              <w:t>103</w:t>
            </w:r>
          </w:p>
        </w:tc>
        <w:tc>
          <w:tcPr>
            <w:tcW w:w="1738" w:type="dxa"/>
            <w:tcBorders>
              <w:top w:val="single" w:sz="5" w:space="0" w:color="000000"/>
            </w:tcBorders>
          </w:tcPr>
          <w:p>
            <w:pPr>
              <w:pStyle w:val="TableParagraph"/>
              <w:spacing w:before="73"/>
              <w:ind w:right="58"/>
              <w:rPr>
                <w:sz w:val="21"/>
              </w:rPr>
            </w:pPr>
            <w:r>
              <w:rPr>
                <w:sz w:val="21"/>
              </w:rPr>
              <w:t>148</w:t>
            </w:r>
          </w:p>
        </w:tc>
        <w:tc>
          <w:tcPr>
            <w:tcW w:w="1739" w:type="dxa"/>
            <w:tcBorders>
              <w:top w:val="single" w:sz="5" w:space="0" w:color="000000"/>
              <w:right w:val="single" w:sz="5" w:space="0" w:color="000000"/>
            </w:tcBorders>
          </w:tcPr>
          <w:p>
            <w:pPr>
              <w:pStyle w:val="TableParagraph"/>
              <w:spacing w:before="73"/>
              <w:ind w:right="56"/>
              <w:rPr>
                <w:sz w:val="21"/>
              </w:rPr>
            </w:pPr>
            <w:r>
              <w:rPr>
                <w:sz w:val="21"/>
              </w:rPr>
              <w:t>26.8</w:t>
            </w:r>
          </w:p>
        </w:tc>
        <w:tc>
          <w:tcPr>
            <w:tcW w:w="1739" w:type="dxa"/>
            <w:tcBorders>
              <w:top w:val="single" w:sz="5" w:space="0" w:color="000000"/>
              <w:left w:val="single" w:sz="5" w:space="0" w:color="000000"/>
            </w:tcBorders>
          </w:tcPr>
          <w:p>
            <w:pPr>
              <w:pStyle w:val="TableParagraph"/>
              <w:spacing w:before="73"/>
              <w:ind w:right="56"/>
              <w:rPr>
                <w:sz w:val="21"/>
              </w:rPr>
            </w:pPr>
            <w:r>
              <w:rPr>
                <w:sz w:val="21"/>
              </w:rPr>
              <w:t>34.9</w:t>
            </w:r>
          </w:p>
        </w:tc>
      </w:tr>
      <w:tr>
        <w:trPr>
          <w:trHeight w:val="377" w:hRule="exact"/>
        </w:trPr>
        <w:tc>
          <w:tcPr>
            <w:tcW w:w="1738" w:type="dxa"/>
          </w:tcPr>
          <w:p>
            <w:pPr>
              <w:pStyle w:val="TableParagraph"/>
              <w:spacing w:before="71"/>
              <w:ind w:left="59"/>
              <w:jc w:val="left"/>
              <w:rPr>
                <w:sz w:val="21"/>
              </w:rPr>
            </w:pPr>
            <w:r>
              <w:rPr>
                <w:sz w:val="21"/>
              </w:rPr>
              <w:t>Noruega</w:t>
            </w:r>
          </w:p>
        </w:tc>
        <w:tc>
          <w:tcPr>
            <w:tcW w:w="1738" w:type="dxa"/>
          </w:tcPr>
          <w:p>
            <w:pPr>
              <w:pStyle w:val="TableParagraph"/>
              <w:spacing w:before="71"/>
              <w:ind w:right="58"/>
              <w:rPr>
                <w:sz w:val="21"/>
              </w:rPr>
            </w:pPr>
            <w:r>
              <w:rPr>
                <w:sz w:val="21"/>
              </w:rPr>
              <w:t>124</w:t>
            </w:r>
          </w:p>
        </w:tc>
        <w:tc>
          <w:tcPr>
            <w:tcW w:w="1738" w:type="dxa"/>
          </w:tcPr>
          <w:p>
            <w:pPr>
              <w:pStyle w:val="TableParagraph"/>
              <w:spacing w:before="71"/>
              <w:ind w:right="58"/>
              <w:rPr>
                <w:sz w:val="21"/>
              </w:rPr>
            </w:pPr>
            <w:r>
              <w:rPr>
                <w:sz w:val="21"/>
              </w:rPr>
              <w:t>158</w:t>
            </w:r>
          </w:p>
        </w:tc>
        <w:tc>
          <w:tcPr>
            <w:tcW w:w="1739" w:type="dxa"/>
            <w:tcBorders>
              <w:right w:val="single" w:sz="5" w:space="0" w:color="000000"/>
            </w:tcBorders>
          </w:tcPr>
          <w:p>
            <w:pPr>
              <w:pStyle w:val="TableParagraph"/>
              <w:spacing w:before="71"/>
              <w:ind w:right="56"/>
              <w:rPr>
                <w:sz w:val="21"/>
              </w:rPr>
            </w:pPr>
            <w:r>
              <w:rPr>
                <w:sz w:val="21"/>
              </w:rPr>
              <w:t>2.9</w:t>
            </w:r>
          </w:p>
        </w:tc>
        <w:tc>
          <w:tcPr>
            <w:tcW w:w="1739" w:type="dxa"/>
            <w:tcBorders>
              <w:left w:val="single" w:sz="5" w:space="0" w:color="000000"/>
            </w:tcBorders>
          </w:tcPr>
          <w:p>
            <w:pPr>
              <w:pStyle w:val="TableParagraph"/>
              <w:spacing w:before="71"/>
              <w:ind w:right="56"/>
              <w:rPr>
                <w:sz w:val="21"/>
              </w:rPr>
            </w:pPr>
            <w:r>
              <w:rPr>
                <w:sz w:val="21"/>
              </w:rPr>
              <w:t>3.6</w:t>
            </w:r>
          </w:p>
        </w:tc>
      </w:tr>
      <w:tr>
        <w:trPr>
          <w:trHeight w:val="378" w:hRule="exact"/>
        </w:trPr>
        <w:tc>
          <w:tcPr>
            <w:tcW w:w="1738" w:type="dxa"/>
            <w:tcBorders>
              <w:bottom w:val="single" w:sz="5" w:space="0" w:color="000000"/>
            </w:tcBorders>
          </w:tcPr>
          <w:p>
            <w:pPr>
              <w:pStyle w:val="TableParagraph"/>
              <w:spacing w:before="73"/>
              <w:ind w:left="59"/>
              <w:jc w:val="left"/>
              <w:rPr>
                <w:sz w:val="21"/>
              </w:rPr>
            </w:pPr>
            <w:r>
              <w:rPr>
                <w:sz w:val="21"/>
              </w:rPr>
              <w:t>Portugal</w:t>
            </w:r>
          </w:p>
        </w:tc>
        <w:tc>
          <w:tcPr>
            <w:tcW w:w="1738" w:type="dxa"/>
            <w:tcBorders>
              <w:bottom w:val="single" w:sz="5" w:space="0" w:color="000000"/>
            </w:tcBorders>
          </w:tcPr>
          <w:p>
            <w:pPr>
              <w:pStyle w:val="TableParagraph"/>
              <w:spacing w:before="73"/>
              <w:ind w:right="58"/>
              <w:rPr>
                <w:sz w:val="21"/>
              </w:rPr>
            </w:pPr>
            <w:r>
              <w:rPr>
                <w:sz w:val="21"/>
              </w:rPr>
              <w:t>95</w:t>
            </w:r>
          </w:p>
        </w:tc>
        <w:tc>
          <w:tcPr>
            <w:tcW w:w="1738" w:type="dxa"/>
            <w:tcBorders>
              <w:bottom w:val="single" w:sz="5" w:space="0" w:color="000000"/>
            </w:tcBorders>
          </w:tcPr>
          <w:p>
            <w:pPr>
              <w:pStyle w:val="TableParagraph"/>
              <w:spacing w:before="73"/>
              <w:ind w:right="58"/>
              <w:rPr>
                <w:sz w:val="21"/>
              </w:rPr>
            </w:pPr>
            <w:r>
              <w:rPr>
                <w:sz w:val="21"/>
              </w:rPr>
              <w:t>175</w:t>
            </w:r>
          </w:p>
        </w:tc>
        <w:tc>
          <w:tcPr>
            <w:tcW w:w="1739" w:type="dxa"/>
            <w:tcBorders>
              <w:bottom w:val="single" w:sz="5" w:space="0" w:color="000000"/>
              <w:right w:val="single" w:sz="5" w:space="0" w:color="000000"/>
            </w:tcBorders>
          </w:tcPr>
          <w:p>
            <w:pPr>
              <w:pStyle w:val="TableParagraph"/>
              <w:spacing w:before="73"/>
              <w:ind w:right="56"/>
              <w:rPr>
                <w:sz w:val="21"/>
              </w:rPr>
            </w:pPr>
            <w:r>
              <w:rPr>
                <w:sz w:val="21"/>
              </w:rPr>
              <w:t>1.0</w:t>
            </w:r>
          </w:p>
        </w:tc>
        <w:tc>
          <w:tcPr>
            <w:tcW w:w="1739" w:type="dxa"/>
            <w:tcBorders>
              <w:left w:val="single" w:sz="5" w:space="0" w:color="000000"/>
              <w:bottom w:val="single" w:sz="5" w:space="0" w:color="000000"/>
            </w:tcBorders>
          </w:tcPr>
          <w:p>
            <w:pPr>
              <w:pStyle w:val="TableParagraph"/>
              <w:spacing w:before="73"/>
              <w:ind w:right="56"/>
              <w:rPr>
                <w:sz w:val="21"/>
              </w:rPr>
            </w:pPr>
            <w:r>
              <w:rPr>
                <w:sz w:val="21"/>
              </w:rPr>
              <w:t>1.8</w:t>
            </w:r>
          </w:p>
        </w:tc>
      </w:tr>
      <w:tr>
        <w:trPr>
          <w:trHeight w:val="378" w:hRule="exact"/>
        </w:trPr>
        <w:tc>
          <w:tcPr>
            <w:tcW w:w="1738" w:type="dxa"/>
            <w:tcBorders>
              <w:top w:val="single" w:sz="5" w:space="0" w:color="000000"/>
            </w:tcBorders>
          </w:tcPr>
          <w:p>
            <w:pPr>
              <w:pStyle w:val="TableParagraph"/>
              <w:spacing w:before="73"/>
              <w:ind w:left="59"/>
              <w:jc w:val="left"/>
              <w:rPr>
                <w:sz w:val="21"/>
              </w:rPr>
            </w:pPr>
            <w:r>
              <w:rPr>
                <w:sz w:val="21"/>
              </w:rPr>
              <w:t>Reino Unido</w:t>
            </w:r>
          </w:p>
        </w:tc>
        <w:tc>
          <w:tcPr>
            <w:tcW w:w="1738" w:type="dxa"/>
            <w:tcBorders>
              <w:top w:val="single" w:sz="5" w:space="0" w:color="000000"/>
            </w:tcBorders>
          </w:tcPr>
          <w:p>
            <w:pPr>
              <w:pStyle w:val="TableParagraph"/>
              <w:spacing w:before="73"/>
              <w:ind w:right="55"/>
              <w:rPr>
                <w:sz w:val="21"/>
              </w:rPr>
            </w:pPr>
            <w:r>
              <w:rPr>
                <w:sz w:val="21"/>
              </w:rPr>
              <w:t>1 839</w:t>
            </w:r>
          </w:p>
        </w:tc>
        <w:tc>
          <w:tcPr>
            <w:tcW w:w="1738" w:type="dxa"/>
            <w:tcBorders>
              <w:top w:val="single" w:sz="5" w:space="0" w:color="000000"/>
            </w:tcBorders>
          </w:tcPr>
          <w:p>
            <w:pPr>
              <w:pStyle w:val="TableParagraph"/>
              <w:spacing w:before="73"/>
              <w:ind w:right="53"/>
              <w:rPr>
                <w:sz w:val="21"/>
              </w:rPr>
            </w:pPr>
            <w:r>
              <w:rPr>
                <w:sz w:val="21"/>
              </w:rPr>
              <w:t>2 066</w:t>
            </w:r>
          </w:p>
        </w:tc>
        <w:tc>
          <w:tcPr>
            <w:tcW w:w="1739" w:type="dxa"/>
            <w:tcBorders>
              <w:top w:val="single" w:sz="5" w:space="0" w:color="000000"/>
              <w:right w:val="single" w:sz="5" w:space="0" w:color="000000"/>
            </w:tcBorders>
          </w:tcPr>
          <w:p>
            <w:pPr>
              <w:pStyle w:val="TableParagraph"/>
              <w:spacing w:before="73"/>
              <w:ind w:right="56"/>
              <w:rPr>
                <w:sz w:val="21"/>
              </w:rPr>
            </w:pPr>
            <w:r>
              <w:rPr>
                <w:sz w:val="21"/>
              </w:rPr>
              <w:t>3.2</w:t>
            </w:r>
          </w:p>
        </w:tc>
        <w:tc>
          <w:tcPr>
            <w:tcW w:w="1739" w:type="dxa"/>
            <w:tcBorders>
              <w:top w:val="single" w:sz="5" w:space="0" w:color="000000"/>
              <w:left w:val="single" w:sz="5" w:space="0" w:color="000000"/>
            </w:tcBorders>
          </w:tcPr>
          <w:p>
            <w:pPr>
              <w:pStyle w:val="TableParagraph"/>
              <w:spacing w:before="73"/>
              <w:ind w:right="56"/>
              <w:rPr>
                <w:sz w:val="21"/>
              </w:rPr>
            </w:pPr>
            <w:r>
              <w:rPr>
                <w:sz w:val="21"/>
              </w:rPr>
              <w:t>3.6</w:t>
            </w:r>
          </w:p>
        </w:tc>
      </w:tr>
      <w:tr>
        <w:trPr>
          <w:trHeight w:val="377" w:hRule="exact"/>
        </w:trPr>
        <w:tc>
          <w:tcPr>
            <w:tcW w:w="1738" w:type="dxa"/>
          </w:tcPr>
          <w:p>
            <w:pPr>
              <w:pStyle w:val="TableParagraph"/>
              <w:spacing w:before="71"/>
              <w:ind w:left="59"/>
              <w:jc w:val="left"/>
              <w:rPr>
                <w:sz w:val="21"/>
              </w:rPr>
            </w:pPr>
            <w:r>
              <w:rPr>
                <w:sz w:val="21"/>
              </w:rPr>
              <w:t>Suecia</w:t>
            </w:r>
          </w:p>
        </w:tc>
        <w:tc>
          <w:tcPr>
            <w:tcW w:w="1738" w:type="dxa"/>
          </w:tcPr>
          <w:p>
            <w:pPr>
              <w:pStyle w:val="TableParagraph"/>
              <w:spacing w:before="71"/>
              <w:ind w:right="58"/>
              <w:rPr>
                <w:sz w:val="21"/>
              </w:rPr>
            </w:pPr>
            <w:r>
              <w:rPr>
                <w:sz w:val="21"/>
              </w:rPr>
              <w:t>401</w:t>
            </w:r>
          </w:p>
        </w:tc>
        <w:tc>
          <w:tcPr>
            <w:tcW w:w="1738" w:type="dxa"/>
          </w:tcPr>
          <w:p>
            <w:pPr>
              <w:pStyle w:val="TableParagraph"/>
              <w:spacing w:before="71"/>
              <w:ind w:right="58"/>
              <w:rPr>
                <w:sz w:val="21"/>
              </w:rPr>
            </w:pPr>
            <w:r>
              <w:rPr>
                <w:sz w:val="21"/>
              </w:rPr>
              <w:t>522</w:t>
            </w:r>
          </w:p>
        </w:tc>
        <w:tc>
          <w:tcPr>
            <w:tcW w:w="1739" w:type="dxa"/>
            <w:tcBorders>
              <w:right w:val="single" w:sz="5" w:space="0" w:color="000000"/>
            </w:tcBorders>
          </w:tcPr>
          <w:p>
            <w:pPr>
              <w:pStyle w:val="TableParagraph"/>
              <w:spacing w:before="71"/>
              <w:ind w:right="56"/>
              <w:rPr>
                <w:sz w:val="21"/>
              </w:rPr>
            </w:pPr>
            <w:r>
              <w:rPr>
                <w:sz w:val="21"/>
              </w:rPr>
              <w:t>4.8</w:t>
            </w:r>
          </w:p>
        </w:tc>
        <w:tc>
          <w:tcPr>
            <w:tcW w:w="1739" w:type="dxa"/>
            <w:tcBorders>
              <w:left w:val="single" w:sz="5" w:space="0" w:color="000000"/>
            </w:tcBorders>
          </w:tcPr>
          <w:p>
            <w:pPr>
              <w:pStyle w:val="TableParagraph"/>
              <w:spacing w:before="71"/>
              <w:ind w:right="56"/>
              <w:rPr>
                <w:sz w:val="21"/>
              </w:rPr>
            </w:pPr>
            <w:r>
              <w:rPr>
                <w:sz w:val="21"/>
              </w:rPr>
              <w:t>6.0</w:t>
            </w:r>
          </w:p>
        </w:tc>
      </w:tr>
      <w:tr>
        <w:trPr>
          <w:trHeight w:val="379" w:hRule="exact"/>
        </w:trPr>
        <w:tc>
          <w:tcPr>
            <w:tcW w:w="1738" w:type="dxa"/>
          </w:tcPr>
          <w:p>
            <w:pPr>
              <w:pStyle w:val="TableParagraph"/>
              <w:spacing w:before="73"/>
              <w:ind w:left="59"/>
              <w:jc w:val="left"/>
              <w:rPr>
                <w:sz w:val="21"/>
              </w:rPr>
            </w:pPr>
            <w:r>
              <w:rPr>
                <w:sz w:val="21"/>
              </w:rPr>
              <w:t>Suiza</w:t>
            </w:r>
          </w:p>
        </w:tc>
        <w:tc>
          <w:tcPr>
            <w:tcW w:w="1738" w:type="dxa"/>
          </w:tcPr>
          <w:p>
            <w:pPr>
              <w:pStyle w:val="TableParagraph"/>
              <w:spacing w:before="73"/>
              <w:ind w:right="58"/>
              <w:rPr>
                <w:sz w:val="21"/>
              </w:rPr>
            </w:pPr>
            <w:r>
              <w:rPr>
                <w:sz w:val="21"/>
              </w:rPr>
              <w:t>979</w:t>
            </w:r>
          </w:p>
        </w:tc>
        <w:tc>
          <w:tcPr>
            <w:tcW w:w="1738" w:type="dxa"/>
          </w:tcPr>
          <w:p>
            <w:pPr>
              <w:pStyle w:val="TableParagraph"/>
              <w:spacing w:before="73"/>
              <w:ind w:right="53"/>
              <w:rPr>
                <w:sz w:val="21"/>
              </w:rPr>
            </w:pPr>
            <w:r>
              <w:rPr>
                <w:sz w:val="21"/>
              </w:rPr>
              <w:t>1 341</w:t>
            </w:r>
          </w:p>
        </w:tc>
        <w:tc>
          <w:tcPr>
            <w:tcW w:w="1739" w:type="dxa"/>
            <w:tcBorders>
              <w:right w:val="single" w:sz="5" w:space="0" w:color="000000"/>
            </w:tcBorders>
          </w:tcPr>
          <w:p>
            <w:pPr>
              <w:pStyle w:val="TableParagraph"/>
              <w:spacing w:before="73"/>
              <w:ind w:right="56"/>
              <w:rPr>
                <w:sz w:val="21"/>
              </w:rPr>
            </w:pPr>
            <w:r>
              <w:rPr>
                <w:sz w:val="21"/>
              </w:rPr>
              <w:t>14.9</w:t>
            </w:r>
          </w:p>
        </w:tc>
        <w:tc>
          <w:tcPr>
            <w:tcW w:w="1739" w:type="dxa"/>
            <w:tcBorders>
              <w:left w:val="single" w:sz="5" w:space="0" w:color="000000"/>
            </w:tcBorders>
          </w:tcPr>
          <w:p>
            <w:pPr>
              <w:pStyle w:val="TableParagraph"/>
              <w:spacing w:before="73"/>
              <w:ind w:right="56"/>
              <w:rPr>
                <w:sz w:val="21"/>
              </w:rPr>
            </w:pPr>
            <w:r>
              <w:rPr>
                <w:sz w:val="21"/>
              </w:rPr>
              <w:t>19.0</w:t>
            </w:r>
          </w:p>
        </w:tc>
      </w:tr>
    </w:tbl>
    <w:p>
      <w:pPr>
        <w:spacing w:line="248" w:lineRule="exact" w:before="9"/>
        <w:ind w:left="175" w:right="184" w:firstLine="0"/>
        <w:jc w:val="both"/>
        <w:rPr>
          <w:sz w:val="21"/>
        </w:rPr>
      </w:pPr>
      <w:r>
        <w:rPr>
          <w:position w:val="10"/>
          <w:sz w:val="13"/>
        </w:rPr>
        <w:t>* </w:t>
      </w:r>
      <w:r>
        <w:rPr>
          <w:sz w:val="21"/>
        </w:rPr>
        <w:t>1980 para los Estados Unidos, 1982 para Francia, 1986 para Australia y Canadá y 1988 para Portugal, </w:t>
      </w:r>
      <w:r>
        <w:rPr>
          <w:position w:val="10"/>
          <w:sz w:val="13"/>
        </w:rPr>
        <w:t>** </w:t>
      </w:r>
      <w:r>
        <w:rPr>
          <w:sz w:val="21"/>
        </w:rPr>
        <w:t>1990 para Francia y 1996 para Dinamarca, Australia, Canadá y  los Estados</w:t>
      </w:r>
      <w:r>
        <w:rPr>
          <w:spacing w:val="26"/>
          <w:sz w:val="21"/>
        </w:rPr>
        <w:t> </w:t>
      </w:r>
      <w:r>
        <w:rPr>
          <w:sz w:val="21"/>
        </w:rPr>
        <w:t>Unidos.</w:t>
      </w:r>
    </w:p>
    <w:p>
      <w:pPr>
        <w:pStyle w:val="BodyText"/>
        <w:spacing w:before="11"/>
        <w:rPr>
          <w:sz w:val="16"/>
        </w:rPr>
      </w:pPr>
    </w:p>
    <w:p>
      <w:pPr>
        <w:spacing w:before="0"/>
        <w:ind w:left="175" w:right="0" w:firstLine="0"/>
        <w:jc w:val="both"/>
        <w:rPr>
          <w:sz w:val="21"/>
        </w:rPr>
      </w:pPr>
      <w:r>
        <w:rPr>
          <w:sz w:val="21"/>
        </w:rPr>
        <w:t>Fuente: OECD, 1999. Trends in International Migration. SOPEMI. Annual report.   París.</w:t>
      </w:r>
    </w:p>
    <w:p>
      <w:pPr>
        <w:pStyle w:val="BodyText"/>
        <w:rPr>
          <w:sz w:val="20"/>
        </w:rPr>
      </w:pPr>
    </w:p>
    <w:p>
      <w:pPr>
        <w:pStyle w:val="BodyText"/>
        <w:rPr>
          <w:sz w:val="20"/>
        </w:rPr>
      </w:pPr>
    </w:p>
    <w:p>
      <w:pPr>
        <w:pStyle w:val="BodyText"/>
        <w:spacing w:line="364" w:lineRule="auto" w:before="158"/>
        <w:ind w:left="175" w:right="184"/>
        <w:jc w:val="both"/>
      </w:pPr>
      <w:r>
        <w:rPr/>
        <w:t>De acuerdo a los datos del U.S. Census Bureau este último país contaba,  en marzo de 2000, con 28.4 millones de extranjeros de los cuales  el  34.5%  procedían de Centroamérica (incluyendo a México), el 25.5% de Asia, el 15.3% de Europa y el 9.9 % del Caribe (Lollock, 2001:1). Al mismo tiempo se destaca que la población  de  origen  mexicano  según  esa  oficina  eran  el  66.1%  de  los   </w:t>
      </w:r>
      <w:r>
        <w:rPr>
          <w:spacing w:val="38"/>
        </w:rPr>
        <w:t> </w:t>
      </w:r>
      <w:r>
        <w:rPr/>
        <w:t>32.8</w:t>
      </w:r>
    </w:p>
    <w:p>
      <w:pPr>
        <w:spacing w:after="0" w:line="364" w:lineRule="auto"/>
        <w:jc w:val="both"/>
        <w:sectPr>
          <w:pgSz w:w="11900" w:h="16840"/>
          <w:pgMar w:header="0" w:footer="1679" w:top="1600" w:bottom="1860" w:left="1480" w:right="1500"/>
        </w:sectPr>
      </w:pPr>
    </w:p>
    <w:p>
      <w:pPr>
        <w:pStyle w:val="BodyText"/>
        <w:rPr>
          <w:sz w:val="20"/>
        </w:rPr>
      </w:pPr>
    </w:p>
    <w:p>
      <w:pPr>
        <w:pStyle w:val="BodyText"/>
        <w:spacing w:before="7"/>
        <w:rPr>
          <w:sz w:val="16"/>
        </w:rPr>
      </w:pPr>
    </w:p>
    <w:p>
      <w:pPr>
        <w:pStyle w:val="BodyText"/>
        <w:spacing w:line="357" w:lineRule="auto" w:before="74"/>
        <w:ind w:left="115" w:right="105"/>
        <w:jc w:val="both"/>
      </w:pPr>
      <w:r>
        <w:rPr/>
        <w:t>millones de latinos que en esa fecha vivían ahí (Therrien y Ramírez, 2001:1) o sea unos 21.7 millones de personas</w:t>
      </w:r>
      <w:r>
        <w:rPr>
          <w:position w:val="11"/>
          <w:sz w:val="15"/>
        </w:rPr>
        <w:t>64</w:t>
      </w:r>
      <w:r>
        <w:rPr/>
        <w:t>. La inmigración mexicana significa para los Estados Unidos un complemento muy importante de su fuerza laboral</w:t>
      </w:r>
      <w:r>
        <w:rPr>
          <w:position w:val="11"/>
          <w:sz w:val="15"/>
        </w:rPr>
        <w:t>65</w:t>
      </w:r>
      <w:r>
        <w:rPr/>
        <w:t>. Lollock (2001:3) muestra que la pirámide de edades de los nacidos en el extranjero complementa notablemente a la figura respectiva de los nativos  y entre aquellos  “la población nacida en México ha sido el grupo más grande nacido en el  extranjero dentro de la población de los Estados Unidos,  aproximadamente  durante</w:t>
      </w:r>
      <w:r>
        <w:rPr>
          <w:spacing w:val="23"/>
        </w:rPr>
        <w:t> </w:t>
      </w:r>
      <w:r>
        <w:rPr>
          <w:rFonts w:ascii="Symbol" w:hAnsi="Symbol"/>
        </w:rPr>
        <w:t></w:t>
      </w:r>
      <w:r>
        <w:rPr/>
        <w:t>las</w:t>
      </w:r>
      <w:r>
        <w:rPr>
          <w:spacing w:val="26"/>
        </w:rPr>
        <w:t> </w:t>
      </w:r>
      <w:r>
        <w:rPr/>
        <w:t>últimas</w:t>
      </w:r>
      <w:r>
        <w:rPr>
          <w:rFonts w:ascii="Symbol" w:hAnsi="Symbol"/>
        </w:rPr>
        <w:t></w:t>
      </w:r>
      <w:r>
        <w:rPr>
          <w:rFonts w:ascii="Times New Roman" w:hAnsi="Times New Roman"/>
          <w:spacing w:val="36"/>
        </w:rPr>
        <w:t> </w:t>
      </w:r>
      <w:r>
        <w:rPr/>
        <w:t>dos</w:t>
      </w:r>
      <w:r>
        <w:rPr>
          <w:spacing w:val="24"/>
        </w:rPr>
        <w:t> </w:t>
      </w:r>
      <w:r>
        <w:rPr/>
        <w:t>décadas</w:t>
      </w:r>
      <w:r>
        <w:rPr>
          <w:spacing w:val="26"/>
        </w:rPr>
        <w:t> </w:t>
      </w:r>
      <w:r>
        <w:rPr/>
        <w:t>y</w:t>
      </w:r>
      <w:r>
        <w:rPr>
          <w:spacing w:val="24"/>
        </w:rPr>
        <w:t> </w:t>
      </w:r>
      <w:r>
        <w:rPr/>
        <w:t>ahora</w:t>
      </w:r>
      <w:r>
        <w:rPr>
          <w:spacing w:val="23"/>
        </w:rPr>
        <w:t> </w:t>
      </w:r>
      <w:r>
        <w:rPr/>
        <w:t>es</w:t>
      </w:r>
      <w:r>
        <w:rPr>
          <w:spacing w:val="24"/>
        </w:rPr>
        <w:t> </w:t>
      </w:r>
      <w:r>
        <w:rPr/>
        <w:t>cerca</w:t>
      </w:r>
      <w:r>
        <w:rPr>
          <w:spacing w:val="29"/>
        </w:rPr>
        <w:t> </w:t>
      </w:r>
      <w:r>
        <w:rPr/>
        <w:t>de</w:t>
      </w:r>
      <w:r>
        <w:rPr>
          <w:spacing w:val="25"/>
        </w:rPr>
        <w:t> </w:t>
      </w:r>
      <w:r>
        <w:rPr/>
        <w:t>cuatro</w:t>
      </w:r>
      <w:r>
        <w:rPr>
          <w:spacing w:val="25"/>
        </w:rPr>
        <w:t> </w:t>
      </w:r>
      <w:r>
        <w:rPr/>
        <w:t>veces</w:t>
      </w:r>
      <w:r>
        <w:rPr>
          <w:spacing w:val="26"/>
        </w:rPr>
        <w:t> </w:t>
      </w:r>
      <w:r>
        <w:rPr/>
        <w:t>más</w:t>
      </w:r>
      <w:r>
        <w:rPr>
          <w:spacing w:val="26"/>
        </w:rPr>
        <w:t> </w:t>
      </w:r>
      <w:r>
        <w:rPr/>
        <w:t>grande</w:t>
      </w:r>
    </w:p>
    <w:p>
      <w:pPr>
        <w:pStyle w:val="BodyText"/>
        <w:spacing w:line="364" w:lineRule="auto" w:before="11"/>
        <w:ind w:left="115" w:right="107"/>
        <w:jc w:val="both"/>
      </w:pPr>
      <w:r>
        <w:rPr/>
        <w:t>que el grupo de los filipinos (segundo lugar)” (Passel, 1997:18), siendo por ello un fenómeno que atrae la atención al encontrarse entre los desplazamientos demográfico laborales más grandes del</w:t>
      </w:r>
      <w:r>
        <w:rPr>
          <w:spacing w:val="57"/>
        </w:rPr>
        <w:t> </w:t>
      </w:r>
      <w:r>
        <w:rPr/>
        <w:t>mundo.</w:t>
      </w:r>
    </w:p>
    <w:p>
      <w:pPr>
        <w:pStyle w:val="BodyText"/>
        <w:rPr>
          <w:sz w:val="22"/>
        </w:rPr>
      </w:pPr>
    </w:p>
    <w:p>
      <w:pPr>
        <w:pStyle w:val="BodyText"/>
        <w:spacing w:line="364" w:lineRule="auto" w:before="155"/>
        <w:ind w:left="115" w:right="105"/>
        <w:jc w:val="both"/>
      </w:pPr>
      <w:r>
        <w:rPr/>
        <w:t>Al respecto, Preibisch (1996:79) dice que “Para los capitalistas norteamericanos,  los </w:t>
      </w:r>
      <w:r>
        <w:rPr>
          <w:rFonts w:ascii="Symbol" w:hAnsi="Symbol"/>
        </w:rPr>
        <w:t></w:t>
      </w:r>
      <w:r>
        <w:rPr/>
        <w:t>estos</w:t>
      </w:r>
      <w:r>
        <w:rPr>
          <w:rFonts w:ascii="Symbol" w:hAnsi="Symbol"/>
        </w:rPr>
        <w:t></w:t>
      </w:r>
      <w:r>
        <w:rPr>
          <w:rFonts w:ascii="Times New Roman" w:hAnsi="Times New Roman"/>
        </w:rPr>
        <w:t> </w:t>
      </w:r>
      <w:r>
        <w:rPr/>
        <w:t>flujos de mano de obra son ventajosos para la estrategia de competitividad en el mercado mundial”, pero el proceso no es privativo de la economía</w:t>
      </w:r>
      <w:r>
        <w:rPr>
          <w:spacing w:val="29"/>
        </w:rPr>
        <w:t> </w:t>
      </w:r>
      <w:r>
        <w:rPr/>
        <w:t>estadounidense.</w:t>
      </w:r>
    </w:p>
    <w:p>
      <w:pPr>
        <w:pStyle w:val="BodyText"/>
        <w:rPr>
          <w:sz w:val="22"/>
        </w:rPr>
      </w:pPr>
    </w:p>
    <w:p>
      <w:pPr>
        <w:pStyle w:val="BodyText"/>
        <w:spacing w:line="364" w:lineRule="auto" w:before="155"/>
        <w:ind w:left="115" w:right="104" w:firstLine="62"/>
        <w:jc w:val="both"/>
      </w:pPr>
      <w:r>
        <w:rPr/>
        <w:t>“Un elemento más que explicaría la creciente </w:t>
      </w:r>
      <w:r>
        <w:rPr>
          <w:spacing w:val="-3"/>
        </w:rPr>
        <w:t>necesidad </w:t>
      </w:r>
      <w:r>
        <w:rPr/>
        <w:t>de trabajo </w:t>
      </w:r>
      <w:r>
        <w:rPr>
          <w:spacing w:val="-3"/>
        </w:rPr>
        <w:t>inmigrante </w:t>
      </w:r>
      <w:r>
        <w:rPr/>
        <w:t>por parte de Estados Unidos </w:t>
      </w:r>
      <w:r>
        <w:rPr>
          <w:spacing w:val="-3"/>
        </w:rPr>
        <w:t>es </w:t>
      </w:r>
      <w:r>
        <w:rPr/>
        <w:t>que se ha convertido en el más grande </w:t>
      </w:r>
      <w:r>
        <w:rPr>
          <w:spacing w:val="-3"/>
        </w:rPr>
        <w:t>importador </w:t>
      </w:r>
      <w:r>
        <w:rPr/>
        <w:t>neto de </w:t>
      </w:r>
      <w:r>
        <w:rPr>
          <w:spacing w:val="-2"/>
        </w:rPr>
        <w:t>Inversión </w:t>
      </w:r>
      <w:r>
        <w:rPr/>
        <w:t>Extranjera Directa (IED), lo que </w:t>
      </w:r>
      <w:r>
        <w:rPr>
          <w:spacing w:val="-3"/>
        </w:rPr>
        <w:t>ha </w:t>
      </w:r>
      <w:r>
        <w:rPr/>
        <w:t>favorecido su </w:t>
      </w:r>
      <w:r>
        <w:rPr>
          <w:spacing w:val="-3"/>
        </w:rPr>
        <w:t>recuperación, </w:t>
      </w:r>
      <w:r>
        <w:rPr/>
        <w:t>la </w:t>
      </w:r>
      <w:r>
        <w:rPr>
          <w:spacing w:val="-3"/>
        </w:rPr>
        <w:t>reestructuración </w:t>
      </w:r>
      <w:r>
        <w:rPr/>
        <w:t>del capitalismo y </w:t>
      </w:r>
      <w:r>
        <w:rPr>
          <w:spacing w:val="-3"/>
        </w:rPr>
        <w:t>el </w:t>
      </w:r>
      <w:r>
        <w:rPr/>
        <w:t>nuevo ciclo </w:t>
      </w:r>
      <w:r>
        <w:rPr>
          <w:spacing w:val="-3"/>
        </w:rPr>
        <w:t>expansivo </w:t>
      </w:r>
      <w:r>
        <w:rPr/>
        <w:t>de las </w:t>
      </w:r>
      <w:r>
        <w:rPr>
          <w:spacing w:val="-3"/>
        </w:rPr>
        <w:t>empresas transnacionales.  </w:t>
      </w:r>
      <w:r>
        <w:rPr/>
        <w:t>Por  </w:t>
      </w:r>
      <w:r>
        <w:rPr>
          <w:spacing w:val="-3"/>
        </w:rPr>
        <w:t>tanto,  </w:t>
      </w:r>
      <w:r>
        <w:rPr/>
        <w:t>no  es  </w:t>
      </w:r>
      <w:r>
        <w:rPr>
          <w:spacing w:val="-3"/>
        </w:rPr>
        <w:t>extraño  </w:t>
      </w:r>
      <w:r>
        <w:rPr/>
        <w:t>que  se  le  considere  como  el    </w:t>
      </w:r>
      <w:r>
        <w:rPr>
          <w:spacing w:val="53"/>
        </w:rPr>
        <w:t> </w:t>
      </w:r>
      <w:r>
        <w:rPr/>
        <w:t>más</w:t>
      </w:r>
    </w:p>
    <w:p>
      <w:pPr>
        <w:pStyle w:val="BodyText"/>
        <w:rPr>
          <w:sz w:val="20"/>
        </w:rPr>
      </w:pPr>
    </w:p>
    <w:p>
      <w:pPr>
        <w:pStyle w:val="BodyText"/>
        <w:spacing w:before="4"/>
        <w:rPr>
          <w:sz w:val="15"/>
        </w:rPr>
      </w:pPr>
      <w:r>
        <w:rPr/>
        <w:pict>
          <v:line style="position:absolute;mso-position-horizontal-relative:page;mso-position-vertical-relative:paragraph;z-index:2224;mso-wrap-distance-left:0;mso-wrap-distance-right:0" from="82.799995pt,11.18266pt" to="222.959992pt,11.18266pt" stroked="true" strokeweight=".72pt" strokecolor="#000000">
            <w10:wrap type="topAndBottom"/>
          </v:line>
        </w:pict>
      </w:r>
    </w:p>
    <w:p>
      <w:pPr>
        <w:spacing w:line="244" w:lineRule="auto" w:before="39"/>
        <w:ind w:left="115" w:right="100" w:firstLine="0"/>
        <w:jc w:val="left"/>
        <w:rPr>
          <w:sz w:val="19"/>
        </w:rPr>
      </w:pPr>
      <w:r>
        <w:rPr>
          <w:position w:val="10"/>
          <w:sz w:val="12"/>
        </w:rPr>
        <w:t>64 </w:t>
      </w:r>
      <w:r>
        <w:rPr>
          <w:sz w:val="19"/>
        </w:rPr>
        <w:t>Las cifras no coinciden completamente porque una parte de los latinos son nativos y el término latino se aplica a toda persona que tiene al español como lengua   madre.</w:t>
      </w:r>
    </w:p>
    <w:p>
      <w:pPr>
        <w:pStyle w:val="BodyText"/>
        <w:spacing w:before="7"/>
        <w:rPr>
          <w:sz w:val="16"/>
        </w:rPr>
      </w:pPr>
    </w:p>
    <w:p>
      <w:pPr>
        <w:spacing w:line="283" w:lineRule="auto" w:before="0"/>
        <w:ind w:left="116" w:right="105" w:firstLine="0"/>
        <w:jc w:val="both"/>
        <w:rPr>
          <w:sz w:val="19"/>
        </w:rPr>
      </w:pPr>
      <w:r>
        <w:rPr>
          <w:position w:val="10"/>
          <w:sz w:val="12"/>
        </w:rPr>
        <w:t>65  </w:t>
      </w:r>
      <w:r>
        <w:rPr>
          <w:sz w:val="19"/>
        </w:rPr>
        <w:t>Cornelius (1989:46-49) muestra que las empresas que emplean migrantes que no sobrevivirían     si expulsaran a los indocumentados eran el 50% en la agricultura, 50% en  mantenimiento  de edificios y jardines, 69% en ropa el calzado y cuero y 44% en restaurantes.  En  promedio,  incluyendo otras ramas 69% prefieren contratar a los recomendados de sus propios empleados,   50% con hablantes monolingües de español: 80% en agricultura, 63% en elaboración de alimentos    y 61%  en hoteles. Pagando entre las 10 ramas un 50% menos por  hora (cuatro dólares en lugar    de seis) a los obreros recién contratados (cuando que el periodo de aprendizaje promedio es de   siete días), destacando entre ellas: construcción (–70%), mantenimiento de edificios y jardines (- 85%) y hoteles</w:t>
      </w:r>
      <w:r>
        <w:rPr>
          <w:spacing w:val="41"/>
          <w:sz w:val="19"/>
        </w:rPr>
        <w:t> </w:t>
      </w:r>
      <w:r>
        <w:rPr>
          <w:sz w:val="19"/>
        </w:rPr>
        <w:t>(-67%).</w:t>
      </w:r>
    </w:p>
    <w:p>
      <w:pPr>
        <w:spacing w:after="0" w:line="283"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importante receptor mundial de fuerza de trabajo en el mundo, tendencia que seguramente se mantendrá...” (Aragonés,  2001:330).</w:t>
      </w:r>
    </w:p>
    <w:p>
      <w:pPr>
        <w:pStyle w:val="BodyText"/>
        <w:spacing w:before="5"/>
        <w:rPr>
          <w:sz w:val="32"/>
        </w:rPr>
      </w:pPr>
    </w:p>
    <w:p>
      <w:pPr>
        <w:pStyle w:val="BodyText"/>
        <w:spacing w:line="364" w:lineRule="auto"/>
        <w:ind w:left="116" w:right="105"/>
        <w:jc w:val="both"/>
      </w:pPr>
      <w:r>
        <w:rPr/>
        <w:t>Dicho país, y recientemente Canadá</w:t>
      </w:r>
      <w:r>
        <w:rPr>
          <w:position w:val="11"/>
          <w:sz w:val="15"/>
        </w:rPr>
        <w:t>66</w:t>
      </w:r>
      <w:r>
        <w:rPr/>
        <w:t>, es el destino por excelencia de la  emigración mexicana especialmente la de carácter laboral. Por  varias  razones, para los Estados Unidos constituye un flujo de gran importancia pero se diluye en cierta medida entre todas las corrientes de inmigrantes que reciben. Pero para México esta emigración que tiene como destino a los Estados  Unidos realmente  es la más importante pues los movimientos migratorios hacia otras partes del  globo terráqueo son prácticamente</w:t>
      </w:r>
      <w:r>
        <w:rPr>
          <w:spacing w:val="48"/>
        </w:rPr>
        <w:t> </w:t>
      </w:r>
      <w:r>
        <w:rPr/>
        <w:t>insignificantes.</w:t>
      </w:r>
    </w:p>
    <w:p>
      <w:pPr>
        <w:pStyle w:val="BodyText"/>
        <w:rPr>
          <w:sz w:val="22"/>
        </w:rPr>
      </w:pPr>
    </w:p>
    <w:p>
      <w:pPr>
        <w:pStyle w:val="BodyText"/>
        <w:spacing w:line="364" w:lineRule="auto" w:before="155"/>
        <w:ind w:left="116" w:right="103"/>
        <w:jc w:val="both"/>
      </w:pPr>
      <w:r>
        <w:rPr/>
        <w:t>Arroyo, Winnie y Velázquez, 1986 sostienen que la migración es un elemento necesario de ajuste y equilibrio normal de la población, permitiendo maximizar el uso de personas con calificaciones especiales al responder éstas a oportunidades de empleo que son diferenciales en diversas localidades. Así, según ellos, las migraciones pueden redistribuir la población de tal manera que la utilización de recursos sea favorable para un mayor crecimiento y  también  amplía  oportunidades en ámbitos geográficos más extensos para la población </w:t>
      </w:r>
      <w:r>
        <w:rPr>
          <w:spacing w:val="21"/>
        </w:rPr>
        <w:t> </w:t>
      </w:r>
      <w:r>
        <w:rPr/>
        <w:t>migrante.</w:t>
      </w:r>
    </w:p>
    <w:p>
      <w:pPr>
        <w:pStyle w:val="BodyText"/>
        <w:rPr>
          <w:sz w:val="22"/>
        </w:rPr>
      </w:pPr>
    </w:p>
    <w:p>
      <w:pPr>
        <w:pStyle w:val="BodyText"/>
        <w:rPr>
          <w:sz w:val="22"/>
        </w:rPr>
      </w:pPr>
    </w:p>
    <w:p>
      <w:pPr>
        <w:pStyle w:val="BodyText"/>
        <w:spacing w:line="364" w:lineRule="auto" w:before="135"/>
        <w:ind w:left="116" w:right="106"/>
        <w:jc w:val="both"/>
      </w:pPr>
      <w:r>
        <w:rPr/>
        <w:t>De aquí resultan varias formas de mostrar la importancia de las corrientes migratorias, y ésas son relacionadas frecuentemente con los efectos que generan tanto en las áreas de origen como en las de destino. La variedad de tales efectos es muy amplia pues va desde los efectos sobre las tasas de crecimiento, los requerimientos de servicios sociales, hasta los puramente económicos (</w:t>
      </w:r>
      <w:r>
        <w:rPr>
          <w:rFonts w:ascii="Symbol" w:hAnsi="Symbol"/>
        </w:rPr>
        <w:t></w:t>
      </w:r>
      <w:r>
        <w:rPr/>
        <w:t>empleo, salarios, productividad, ingresos, inversión, estructura de la Población Económicamente Activa (PEA),</w:t>
      </w:r>
      <w:r>
        <w:rPr>
          <w:spacing w:val="42"/>
        </w:rPr>
        <w:t> </w:t>
      </w:r>
      <w:r>
        <w:rPr/>
        <w:t>etc.</w:t>
      </w:r>
      <w:r>
        <w:rPr>
          <w:rFonts w:ascii="Symbol" w:hAnsi="Symbol"/>
        </w:rPr>
        <w:t></w:t>
      </w:r>
      <w:r>
        <w:rPr/>
        <w:t>.</w:t>
      </w:r>
    </w:p>
    <w:p>
      <w:pPr>
        <w:pStyle w:val="BodyText"/>
        <w:rPr>
          <w:sz w:val="20"/>
        </w:rPr>
      </w:pPr>
    </w:p>
    <w:p>
      <w:pPr>
        <w:pStyle w:val="BodyText"/>
        <w:rPr>
          <w:sz w:val="20"/>
        </w:rPr>
      </w:pPr>
    </w:p>
    <w:p>
      <w:pPr>
        <w:pStyle w:val="BodyText"/>
        <w:spacing w:before="1"/>
        <w:rPr>
          <w:sz w:val="14"/>
        </w:rPr>
      </w:pPr>
      <w:r>
        <w:rPr/>
        <w:pict>
          <v:line style="position:absolute;mso-position-horizontal-relative:page;mso-position-vertical-relative:paragraph;z-index:2248;mso-wrap-distance-left:0;mso-wrap-distance-right:0" from="82.799995pt,10.468531pt" to="222.959992pt,10.468531pt" stroked="true" strokeweight=".72pt" strokecolor="#000000">
            <w10:wrap type="topAndBottom"/>
          </v:line>
        </w:pict>
      </w:r>
    </w:p>
    <w:p>
      <w:pPr>
        <w:spacing w:line="244" w:lineRule="auto" w:before="36"/>
        <w:ind w:left="116" w:right="105" w:firstLine="0"/>
        <w:jc w:val="both"/>
        <w:rPr>
          <w:sz w:val="19"/>
        </w:rPr>
      </w:pPr>
      <w:r>
        <w:rPr>
          <w:position w:val="10"/>
          <w:sz w:val="12"/>
        </w:rPr>
        <w:t>66  </w:t>
      </w:r>
      <w:r>
        <w:rPr>
          <w:sz w:val="19"/>
        </w:rPr>
        <w:t>Desde 1974 existe un Programa de Trabajadores Agrícolas Mexico-Canadá, por medio del cual    se han contratado trabajadores que gozan de prestaciones idénticas a las de los trabajadores canadienses. Aparte de los que han salido en el marco de ese programa, hay quienes lo han     hecho por iniciativa propia. Según datos recientes, el número de migrantes registrados entre 1995     y 2000 hacia Canadá se incrementó de 4,885 a 9,400 (Santiago,  </w:t>
      </w:r>
      <w:r>
        <w:rPr>
          <w:spacing w:val="26"/>
          <w:sz w:val="19"/>
        </w:rPr>
        <w:t> </w:t>
      </w:r>
      <w:r>
        <w:rPr>
          <w:sz w:val="19"/>
        </w:rPr>
        <w:t>2001b:45).</w:t>
      </w:r>
    </w:p>
    <w:p>
      <w:pPr>
        <w:spacing w:after="0" w:line="244"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Sin embargo, desde el punto de vista económico, la importancia de la emigración mexicana para nuestro país se deriva principalmente de: a) la posibilidad de que México “exporte” parcialmente los excedentes del mercado de trabajo lo cual implica el aprovechamiento de alternativas laborales para la mano de obra que no encuentra</w:t>
      </w:r>
      <w:r>
        <w:rPr>
          <w:spacing w:val="47"/>
        </w:rPr>
        <w:t> </w:t>
      </w:r>
      <w:r>
        <w:rPr/>
        <w:t>empleo</w:t>
      </w:r>
      <w:r>
        <w:rPr>
          <w:spacing w:val="47"/>
        </w:rPr>
        <w:t> </w:t>
      </w:r>
      <w:r>
        <w:rPr/>
        <w:t>dentro</w:t>
      </w:r>
      <w:r>
        <w:rPr>
          <w:spacing w:val="47"/>
        </w:rPr>
        <w:t> </w:t>
      </w:r>
      <w:r>
        <w:rPr/>
        <w:t>del</w:t>
      </w:r>
      <w:r>
        <w:rPr>
          <w:spacing w:val="51"/>
        </w:rPr>
        <w:t> </w:t>
      </w:r>
      <w:r>
        <w:rPr/>
        <w:t>territorio</w:t>
      </w:r>
      <w:r>
        <w:rPr>
          <w:spacing w:val="49"/>
        </w:rPr>
        <w:t> </w:t>
      </w:r>
      <w:r>
        <w:rPr/>
        <w:t>nacional</w:t>
      </w:r>
      <w:r>
        <w:rPr>
          <w:spacing w:val="51"/>
        </w:rPr>
        <w:t> </w:t>
      </w:r>
      <w:r>
        <w:rPr/>
        <w:t>y</w:t>
      </w:r>
      <w:r>
        <w:rPr>
          <w:spacing w:val="46"/>
        </w:rPr>
        <w:t> </w:t>
      </w:r>
      <w:r>
        <w:rPr/>
        <w:t>b)</w:t>
      </w:r>
      <w:r>
        <w:rPr>
          <w:spacing w:val="49"/>
        </w:rPr>
        <w:t> </w:t>
      </w:r>
      <w:r>
        <w:rPr/>
        <w:t>el</w:t>
      </w:r>
      <w:r>
        <w:rPr>
          <w:spacing w:val="48"/>
        </w:rPr>
        <w:t> </w:t>
      </w:r>
      <w:r>
        <w:rPr/>
        <w:t>impacto</w:t>
      </w:r>
      <w:r>
        <w:rPr>
          <w:spacing w:val="47"/>
        </w:rPr>
        <w:t> </w:t>
      </w:r>
      <w:r>
        <w:rPr/>
        <w:t>de</w:t>
      </w:r>
      <w:r>
        <w:rPr>
          <w:spacing w:val="47"/>
        </w:rPr>
        <w:t> </w:t>
      </w:r>
      <w:r>
        <w:rPr/>
        <w:t>las</w:t>
      </w:r>
      <w:r>
        <w:rPr>
          <w:spacing w:val="48"/>
        </w:rPr>
        <w:t> </w:t>
      </w:r>
      <w:r>
        <w:rPr/>
        <w:t>remesas</w:t>
      </w:r>
    </w:p>
    <w:p>
      <w:pPr>
        <w:pStyle w:val="BodyText"/>
        <w:spacing w:line="331" w:lineRule="auto" w:before="7"/>
        <w:ind w:left="115" w:right="106"/>
        <w:jc w:val="both"/>
      </w:pPr>
      <w:r>
        <w:rPr/>
        <w:t>monetarias que envían los migrantes a sus familiares y de los gastos que ellos mismos realizan en el territorio nacional durante sus viajes de  retorno</w:t>
      </w:r>
      <w:r>
        <w:rPr>
          <w:position w:val="11"/>
          <w:sz w:val="15"/>
        </w:rPr>
        <w:t>67</w:t>
      </w:r>
      <w:r>
        <w:rPr/>
        <w:t>.</w:t>
      </w:r>
    </w:p>
    <w:p>
      <w:pPr>
        <w:pStyle w:val="BodyText"/>
        <w:spacing w:before="4"/>
        <w:rPr>
          <w:sz w:val="37"/>
        </w:rPr>
      </w:pPr>
    </w:p>
    <w:p>
      <w:pPr>
        <w:pStyle w:val="BodyText"/>
        <w:spacing w:line="352" w:lineRule="auto"/>
        <w:ind w:left="115" w:right="105"/>
        <w:jc w:val="both"/>
      </w:pPr>
      <w:r>
        <w:rPr/>
        <w:t>En relación al mercado laboral existe la creencia popular de que las corrientes migratorias de México hacia los Estados Unidos están constituidas básicamente  por individuos carentes de empleo. Como claramente lo indican las estadísticas    de Bustamante (2000:39), una parte mayoritaria de los migrantes poseían trabajo   o se encontraban subempleados</w:t>
      </w:r>
      <w:r>
        <w:rPr>
          <w:position w:val="11"/>
          <w:sz w:val="15"/>
        </w:rPr>
        <w:t>68 </w:t>
      </w:r>
      <w:r>
        <w:rPr/>
        <w:t>antes de su primera salida, de modo que al migrar dejaron vacante su lugar para los no </w:t>
      </w:r>
      <w:r>
        <w:rPr>
          <w:spacing w:val="8"/>
        </w:rPr>
        <w:t> </w:t>
      </w:r>
      <w:r>
        <w:rPr/>
        <w:t>emigrantes</w:t>
      </w:r>
      <w:r>
        <w:rPr>
          <w:position w:val="11"/>
          <w:sz w:val="15"/>
        </w:rPr>
        <w:t>69</w:t>
      </w:r>
      <w:r>
        <w:rPr/>
        <w:t>.</w:t>
      </w:r>
    </w:p>
    <w:p>
      <w:pPr>
        <w:pStyle w:val="BodyText"/>
        <w:rPr>
          <w:sz w:val="20"/>
        </w:rPr>
      </w:pPr>
    </w:p>
    <w:p>
      <w:pPr>
        <w:pStyle w:val="BodyText"/>
        <w:spacing w:before="3"/>
        <w:rPr>
          <w:sz w:val="17"/>
        </w:rPr>
      </w:pPr>
      <w:r>
        <w:rPr/>
        <w:pict>
          <v:line style="position:absolute;mso-position-horizontal-relative:page;mso-position-vertical-relative:paragraph;z-index:2272;mso-wrap-distance-left:0;mso-wrap-distance-right:0" from="82.799995pt,12.261918pt" to="222.959992pt,12.261918pt" stroked="true" strokeweight=".72pt" strokecolor="#000000">
            <w10:wrap type="topAndBottom"/>
          </v:line>
        </w:pict>
      </w:r>
    </w:p>
    <w:p>
      <w:pPr>
        <w:spacing w:line="283" w:lineRule="auto" w:before="41"/>
        <w:ind w:left="115" w:right="105" w:firstLine="0"/>
        <w:jc w:val="both"/>
        <w:rPr>
          <w:sz w:val="19"/>
        </w:rPr>
      </w:pPr>
      <w:r>
        <w:rPr>
          <w:position w:val="10"/>
          <w:sz w:val="12"/>
        </w:rPr>
        <w:t>67 </w:t>
      </w:r>
      <w:r>
        <w:rPr>
          <w:sz w:val="19"/>
        </w:rPr>
        <w:t>En otro nivel de análisis, para nuestro país la importancia de la emigración se refleja en varios aspectos económicos y sociales: En el mercado laboral y en la economía rural: “El significado económico de la migración presenta varios ángulos. En el mercado de trabajo, la salida  de  población en edad productiva significa un alivio, dado que disminuye la oferta de mano de obra en    el mercado laboral mexicano. Este puede entenderse en términos de la salida de población económicamente activa que, habiendo estado en el mercado de trabajo nacional, sale de él, al no cumplir sus expectativas; o puede expresarse en aquellos sujetos económicos que inician su vida activa formal fuera del mercado laboral del país”...“La población migrante expresa una exportación  de mano de obra y los ingresos que genera se registran en la Cuenta Corriente de la Balanza de Pagos. Desde esta perspectiva,  el fenómeno migratorio reviste una importancia  macroeconómica,  ya que las remesas provenientes de los migrantes inciden en sus economías locales  y regionales  de origen.” (Santiago, </w:t>
      </w:r>
      <w:r>
        <w:rPr>
          <w:spacing w:val="9"/>
          <w:sz w:val="19"/>
        </w:rPr>
        <w:t> </w:t>
      </w:r>
      <w:r>
        <w:rPr>
          <w:sz w:val="19"/>
        </w:rPr>
        <w:t>2001b:41,42).</w:t>
      </w:r>
    </w:p>
    <w:p>
      <w:pPr>
        <w:spacing w:line="247" w:lineRule="auto" w:before="157"/>
        <w:ind w:left="116" w:right="109" w:firstLine="0"/>
        <w:jc w:val="both"/>
        <w:rPr>
          <w:sz w:val="19"/>
        </w:rPr>
      </w:pPr>
      <w:r>
        <w:rPr>
          <w:position w:val="10"/>
          <w:sz w:val="12"/>
        </w:rPr>
        <w:t>68 </w:t>
      </w:r>
      <w:r>
        <w:rPr>
          <w:sz w:val="19"/>
        </w:rPr>
        <w:t>Parece haber una ligera correlación entre subempleo y migración internacional, al menos en los estados en donde se ubica la zona histórica de emigración. Ver Portillo (1997: 17) y FEDA (1982: AnexoVI.I).</w:t>
      </w:r>
    </w:p>
    <w:p>
      <w:pPr>
        <w:pStyle w:val="BodyText"/>
        <w:spacing w:before="5"/>
        <w:rPr>
          <w:sz w:val="16"/>
        </w:rPr>
      </w:pPr>
    </w:p>
    <w:p>
      <w:pPr>
        <w:spacing w:line="283" w:lineRule="auto" w:before="0"/>
        <w:ind w:left="116" w:right="107" w:firstLine="0"/>
        <w:jc w:val="both"/>
        <w:rPr>
          <w:sz w:val="19"/>
        </w:rPr>
      </w:pPr>
      <w:r>
        <w:rPr>
          <w:position w:val="10"/>
          <w:sz w:val="12"/>
        </w:rPr>
        <w:t>69 </w:t>
      </w:r>
      <w:r>
        <w:rPr>
          <w:sz w:val="19"/>
        </w:rPr>
        <w:t>Este hecho constituye un problema latente el cual puede ser ilustrado mediante la proporción de los emigrantes en relación a la PEA que se encuentra en México. Este coeficiente sería  de  alrededor del 25% para 1998 cuando el número de emigrantes en los Estados Unidos se estimaba entre 7.2 y 7.5 millones de personas (Estudio Binacional México-Estados Unidos sobre Migración), en tanto que la PEA de México era de 29.15 millones de individuos. Esta cantidad de personas     son una fuente potencial de desempleo especialmente en el caso en que la economía estadounidense entrara en una crisis profunda con lo cual al perder su trabajo o no encontrarlo tendrían que regresar a sus lugares de </w:t>
      </w:r>
      <w:r>
        <w:rPr>
          <w:spacing w:val="26"/>
          <w:sz w:val="19"/>
        </w:rPr>
        <w:t> </w:t>
      </w:r>
      <w:r>
        <w:rPr>
          <w:sz w:val="19"/>
        </w:rPr>
        <w:t>origen.</w:t>
      </w:r>
    </w:p>
    <w:p>
      <w:pPr>
        <w:spacing w:after="0" w:line="283"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3"/>
        <w:jc w:val="both"/>
      </w:pPr>
      <w:r>
        <w:rPr/>
        <w:t>Aún así, las migraciones pueden ser consideradas como un medio para resolver tensiones sociales: sea como una forma de ampliar la cantidad de recursos productivos o bien como la salida a las presiones demográficas sobre los factores de la producción, frecuentemente la tierra. Por ello Arroyo, Winnie y Velázquez (1986:32), concluyen que la importancia de la migración también se desprende de su influencia en la distribución y redistribución de la población, al responder a las demandas  de  mano  de  obra  de  las  regiones  avanzadas,  pudiendo  por    </w:t>
      </w:r>
      <w:r>
        <w:rPr>
          <w:spacing w:val="61"/>
        </w:rPr>
        <w:t> </w:t>
      </w:r>
      <w:r>
        <w:rPr/>
        <w:t>ello</w:t>
      </w:r>
    </w:p>
    <w:p>
      <w:pPr>
        <w:pStyle w:val="BodyText"/>
        <w:spacing w:line="331" w:lineRule="auto" w:before="7"/>
        <w:ind w:left="115" w:right="103"/>
        <w:jc w:val="both"/>
        <w:rPr>
          <w:sz w:val="15"/>
        </w:rPr>
      </w:pPr>
      <w:r>
        <w:rPr/>
        <w:t>contribuir a la disminución de las desigualdades regionales al ajustar a  la  población a los recursos y oportunidades </w:t>
      </w:r>
      <w:r>
        <w:rPr>
          <w:spacing w:val="1"/>
        </w:rPr>
        <w:t> </w:t>
      </w:r>
      <w:r>
        <w:rPr/>
        <w:t>existentes.</w:t>
      </w:r>
      <w:r>
        <w:rPr>
          <w:position w:val="11"/>
          <w:sz w:val="15"/>
        </w:rPr>
        <w:t>70</w:t>
      </w:r>
    </w:p>
    <w:p>
      <w:pPr>
        <w:pStyle w:val="BodyText"/>
        <w:spacing w:before="4"/>
        <w:rPr>
          <w:sz w:val="37"/>
        </w:rPr>
      </w:pPr>
    </w:p>
    <w:p>
      <w:pPr>
        <w:pStyle w:val="BodyText"/>
        <w:spacing w:line="364" w:lineRule="auto"/>
        <w:ind w:left="116" w:right="103"/>
        <w:jc w:val="both"/>
      </w:pPr>
      <w:r>
        <w:rPr>
          <w:spacing w:val="-3"/>
        </w:rPr>
        <w:t>Ahora, </w:t>
      </w:r>
      <w:r>
        <w:rPr/>
        <w:t>con respecto a las </w:t>
      </w:r>
      <w:r>
        <w:rPr>
          <w:spacing w:val="-3"/>
        </w:rPr>
        <w:t>remesas, recursos </w:t>
      </w:r>
      <w:r>
        <w:rPr/>
        <w:t>monetarios que los emigrantes obtienen trabajando en el extranjero y luego envían a su </w:t>
      </w:r>
      <w:r>
        <w:rPr>
          <w:spacing w:val="-3"/>
        </w:rPr>
        <w:t>país </w:t>
      </w:r>
      <w:r>
        <w:rPr/>
        <w:t>natal, hay que </w:t>
      </w:r>
      <w:r>
        <w:rPr>
          <w:spacing w:val="-3"/>
        </w:rPr>
        <w:t>remarcar </w:t>
      </w:r>
      <w:r>
        <w:rPr/>
        <w:t>que son una de las </w:t>
      </w:r>
      <w:r>
        <w:rPr>
          <w:spacing w:val="-3"/>
        </w:rPr>
        <w:t>consecuencias </w:t>
      </w:r>
      <w:r>
        <w:rPr/>
        <w:t>más visibles de la emigración en las </w:t>
      </w:r>
      <w:r>
        <w:rPr>
          <w:spacing w:val="-3"/>
        </w:rPr>
        <w:t>naciones </w:t>
      </w:r>
      <w:r>
        <w:rPr/>
        <w:t>en que ésta se </w:t>
      </w:r>
      <w:r>
        <w:rPr>
          <w:spacing w:val="-3"/>
        </w:rPr>
        <w:t>origina (Meyers, 2000:275).  </w:t>
      </w:r>
      <w:r>
        <w:rPr/>
        <w:t>En el caso de México, el  dinero enviado así por los emigrantes es   </w:t>
      </w:r>
      <w:r>
        <w:rPr>
          <w:spacing w:val="12"/>
        </w:rPr>
        <w:t> </w:t>
      </w:r>
      <w:r>
        <w:rPr/>
        <w:t>registrado por el Banco de México (B de</w:t>
      </w:r>
    </w:p>
    <w:p>
      <w:pPr>
        <w:pStyle w:val="BodyText"/>
        <w:spacing w:line="350" w:lineRule="auto" w:before="7"/>
        <w:ind w:left="115" w:right="107"/>
        <w:jc w:val="both"/>
      </w:pPr>
      <w:r>
        <w:rPr/>
        <w:t>M) en la Balanza de Pagos bajo el rubro de remesas anteriormente indicado. La importancia de este rubro ha ido en continuo ascenso en periodos recientes</w:t>
      </w:r>
      <w:r>
        <w:rPr>
          <w:position w:val="11"/>
          <w:sz w:val="15"/>
        </w:rPr>
        <w:t>71 </w:t>
      </w:r>
      <w:r>
        <w:rPr/>
        <w:t>(Santiago, 2001b:43).</w:t>
      </w:r>
    </w:p>
    <w:p>
      <w:pPr>
        <w:pStyle w:val="BodyText"/>
        <w:rPr>
          <w:sz w:val="22"/>
        </w:rPr>
      </w:pPr>
    </w:p>
    <w:p>
      <w:pPr>
        <w:pStyle w:val="BodyText"/>
        <w:spacing w:line="364" w:lineRule="auto" w:before="168"/>
        <w:ind w:left="115" w:right="104"/>
        <w:jc w:val="both"/>
      </w:pPr>
      <w:r>
        <w:rPr/>
        <w:t>En ese sentido, varios autores reconocen que las remisiones que envían los emigrantes y el uso que de ellas hacen las familias receptoras pueden ser un indicador adecuado de la importancia de la migración puesto que constituyen en apariencia el objetivo principal de la actividad. Por ejemplo, según Verduzco  y Unger (1998:412), el tema de las remesas es quizá el que ha recibido la mayor</w:t>
      </w:r>
    </w:p>
    <w:p>
      <w:pPr>
        <w:pStyle w:val="BodyText"/>
        <w:spacing w:before="4"/>
        <w:rPr>
          <w:sz w:val="26"/>
        </w:rPr>
      </w:pPr>
      <w:r>
        <w:rPr/>
        <w:pict>
          <v:line style="position:absolute;mso-position-horizontal-relative:page;mso-position-vertical-relative:paragraph;z-index:2296;mso-wrap-distance-left:0;mso-wrap-distance-right:0" from="82.799995pt,17.521721pt" to="222.959992pt,17.521721pt" stroked="true" strokeweight=".72pt" strokecolor="#000000">
            <w10:wrap type="topAndBottom"/>
          </v:line>
        </w:pict>
      </w:r>
    </w:p>
    <w:p>
      <w:pPr>
        <w:spacing w:line="285" w:lineRule="auto" w:before="46"/>
        <w:ind w:left="115" w:right="107" w:firstLine="0"/>
        <w:jc w:val="both"/>
        <w:rPr>
          <w:sz w:val="19"/>
        </w:rPr>
      </w:pPr>
      <w:r>
        <w:rPr>
          <w:position w:val="10"/>
          <w:sz w:val="13"/>
        </w:rPr>
        <w:t>70 </w:t>
      </w:r>
      <w:r>
        <w:rPr>
          <w:sz w:val="19"/>
        </w:rPr>
        <w:t>Se dice que entre las personas más propensas a migrar se encuentran aquellos individuos que poseen una mayor capacitación, habilidades y destrezas más desarrolladas y ciertas preferencias  con respecto al trabajo y al riesgo (Sowell, 1996: </w:t>
      </w:r>
      <w:r>
        <w:rPr>
          <w:spacing w:val="35"/>
          <w:sz w:val="19"/>
        </w:rPr>
        <w:t> </w:t>
      </w:r>
      <w:r>
        <w:rPr>
          <w:sz w:val="19"/>
        </w:rPr>
        <w:t>2).</w:t>
      </w:r>
    </w:p>
    <w:p>
      <w:pPr>
        <w:spacing w:line="283" w:lineRule="auto" w:before="158"/>
        <w:ind w:left="116" w:right="107" w:firstLine="0"/>
        <w:jc w:val="both"/>
        <w:rPr>
          <w:sz w:val="19"/>
        </w:rPr>
      </w:pPr>
      <w:r>
        <w:rPr>
          <w:position w:val="10"/>
          <w:sz w:val="12"/>
        </w:rPr>
        <w:t>71 </w:t>
      </w:r>
      <w:r>
        <w:rPr>
          <w:sz w:val="19"/>
        </w:rPr>
        <w:t>Es preciso reconocer que el concepto de remesas  del  Banco  de  México  se  refiere principalmente a los envíos de los trabajadores incluyendo una estimación del  8.1%  correspondiente a los dólares que traen consigo los migrantes que retornan a México, los cuales     en realidad de acuerdo a Delgado y Rodríguez (2000:373) implican  el  28%.  No  incluyen  los ahorros que los mexicanos pudieran tener en los bancos de los Estados Unidos y que según  Escobar </w:t>
      </w:r>
      <w:r>
        <w:rPr>
          <w:i/>
          <w:sz w:val="19"/>
        </w:rPr>
        <w:t>et al </w:t>
      </w:r>
      <w:r>
        <w:rPr>
          <w:sz w:val="19"/>
        </w:rPr>
        <w:t>(1998:207) en 1996 fueron del orden de 10.3 miles de millones  </w:t>
      </w:r>
      <w:r>
        <w:rPr>
          <w:spacing w:val="49"/>
          <w:sz w:val="19"/>
        </w:rPr>
        <w:t> </w:t>
      </w:r>
      <w:r>
        <w:rPr>
          <w:sz w:val="19"/>
        </w:rPr>
        <w:t>de dólares.</w:t>
      </w:r>
    </w:p>
    <w:p>
      <w:pPr>
        <w:spacing w:after="0" w:line="283"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50" w:lineRule="auto" w:before="74"/>
        <w:ind w:left="115" w:right="104"/>
        <w:jc w:val="both"/>
      </w:pPr>
      <w:r>
        <w:rPr/>
        <w:t>atención entre los efectos de la migración. Esto es debido parcialmente a que a diferencia de otras variables que se presentan en forma más dispersa, aquéllas pueden ser medidas con menor dificultad</w:t>
      </w:r>
      <w:r>
        <w:rPr>
          <w:position w:val="11"/>
          <w:sz w:val="15"/>
        </w:rPr>
        <w:t>72</w:t>
      </w:r>
      <w:r>
        <w:rPr/>
        <w:t>.</w:t>
      </w:r>
    </w:p>
    <w:p>
      <w:pPr>
        <w:pStyle w:val="BodyText"/>
        <w:spacing w:before="1"/>
        <w:rPr>
          <w:sz w:val="35"/>
        </w:rPr>
      </w:pPr>
    </w:p>
    <w:p>
      <w:pPr>
        <w:pStyle w:val="BodyText"/>
        <w:spacing w:line="350" w:lineRule="auto"/>
        <w:ind w:left="115" w:right="103"/>
        <w:jc w:val="both"/>
      </w:pPr>
      <w:r>
        <w:rPr/>
        <w:t>Tanto para Santiago </w:t>
      </w:r>
      <w:r>
        <w:rPr>
          <w:spacing w:val="-3"/>
        </w:rPr>
        <w:t>(2001b:43) </w:t>
      </w:r>
      <w:r>
        <w:rPr/>
        <w:t>como para </w:t>
      </w:r>
      <w:r>
        <w:rPr>
          <w:spacing w:val="-3"/>
        </w:rPr>
        <w:t>Arroyo </w:t>
      </w:r>
      <w:r>
        <w:rPr/>
        <w:t>y Berumen </w:t>
      </w:r>
      <w:r>
        <w:rPr>
          <w:spacing w:val="-3"/>
        </w:rPr>
        <w:t>(2000:346), prácticamente </w:t>
      </w:r>
      <w:r>
        <w:rPr/>
        <w:t>las </w:t>
      </w:r>
      <w:r>
        <w:rPr>
          <w:spacing w:val="-3"/>
        </w:rPr>
        <w:t>remesas constituyen divisas netas </w:t>
      </w:r>
      <w:r>
        <w:rPr/>
        <w:t>ya que </w:t>
      </w:r>
      <w:r>
        <w:rPr>
          <w:spacing w:val="-3"/>
        </w:rPr>
        <w:t>el país </w:t>
      </w:r>
      <w:r>
        <w:rPr/>
        <w:t>incurre en </w:t>
      </w:r>
      <w:r>
        <w:rPr>
          <w:spacing w:val="-3"/>
        </w:rPr>
        <w:t>bajos </w:t>
      </w:r>
      <w:r>
        <w:rPr/>
        <w:t>costos</w:t>
      </w:r>
      <w:r>
        <w:rPr>
          <w:position w:val="11"/>
          <w:sz w:val="15"/>
        </w:rPr>
        <w:t>73  </w:t>
      </w:r>
      <w:r>
        <w:rPr/>
        <w:t>para </w:t>
      </w:r>
      <w:r>
        <w:rPr>
          <w:spacing w:val="-3"/>
        </w:rPr>
        <w:t>generarlas, aunque </w:t>
      </w:r>
      <w:r>
        <w:rPr/>
        <w:t>por lo general </w:t>
      </w:r>
      <w:r>
        <w:rPr>
          <w:spacing w:val="-3"/>
        </w:rPr>
        <w:t>el emigrante </w:t>
      </w:r>
      <w:r>
        <w:rPr/>
        <w:t>y su familia </w:t>
      </w:r>
      <w:r>
        <w:rPr>
          <w:spacing w:val="-3"/>
        </w:rPr>
        <w:t>sufragan</w:t>
      </w:r>
    </w:p>
    <w:p>
      <w:pPr>
        <w:pStyle w:val="BodyText"/>
        <w:spacing w:line="364" w:lineRule="auto" w:before="5"/>
        <w:ind w:left="115" w:right="104"/>
        <w:jc w:val="both"/>
      </w:pPr>
      <w:r>
        <w:rPr/>
        <w:t>los </w:t>
      </w:r>
      <w:r>
        <w:rPr>
          <w:spacing w:val="-3"/>
        </w:rPr>
        <w:t>mayores </w:t>
      </w:r>
      <w:r>
        <w:rPr/>
        <w:t>costos, en </w:t>
      </w:r>
      <w:r>
        <w:rPr>
          <w:spacing w:val="-3"/>
        </w:rPr>
        <w:t>especial </w:t>
      </w:r>
      <w:r>
        <w:rPr/>
        <w:t>los </w:t>
      </w:r>
      <w:r>
        <w:rPr>
          <w:spacing w:val="-3"/>
        </w:rPr>
        <w:t>personales. </w:t>
      </w:r>
      <w:r>
        <w:rPr/>
        <w:t>Puede decirse que la </w:t>
      </w:r>
      <w:r>
        <w:rPr>
          <w:spacing w:val="-3"/>
        </w:rPr>
        <w:t>inversión productiva </w:t>
      </w:r>
      <w:r>
        <w:rPr/>
        <w:t>de otras fuentes tiene </w:t>
      </w:r>
      <w:r>
        <w:rPr>
          <w:spacing w:val="-3"/>
        </w:rPr>
        <w:t>costos </w:t>
      </w:r>
      <w:r>
        <w:rPr/>
        <w:t>sociales y </w:t>
      </w:r>
      <w:r>
        <w:rPr>
          <w:spacing w:val="-3"/>
        </w:rPr>
        <w:t>privados </w:t>
      </w:r>
      <w:r>
        <w:rPr/>
        <w:t>más </w:t>
      </w:r>
      <w:r>
        <w:rPr>
          <w:spacing w:val="-3"/>
        </w:rPr>
        <w:t>altos; </w:t>
      </w:r>
      <w:r>
        <w:rPr/>
        <w:t>por un </w:t>
      </w:r>
      <w:r>
        <w:rPr>
          <w:spacing w:val="-3"/>
        </w:rPr>
        <w:t>lado, </w:t>
      </w:r>
      <w:r>
        <w:rPr/>
        <w:t>es el excedente del ingreso sobre el consumo </w:t>
      </w:r>
      <w:r>
        <w:rPr>
          <w:spacing w:val="-3"/>
        </w:rPr>
        <w:t>presente sacrificado </w:t>
      </w:r>
      <w:r>
        <w:rPr/>
        <w:t>por uno </w:t>
      </w:r>
      <w:r>
        <w:rPr>
          <w:spacing w:val="-3"/>
        </w:rPr>
        <w:t>mayor  </w:t>
      </w:r>
      <w:r>
        <w:rPr/>
        <w:t>en el </w:t>
      </w:r>
      <w:r>
        <w:rPr>
          <w:spacing w:val="-3"/>
        </w:rPr>
        <w:t>futuro, </w:t>
      </w:r>
      <w:r>
        <w:rPr/>
        <w:t>y por otro su </w:t>
      </w:r>
      <w:r>
        <w:rPr>
          <w:spacing w:val="-3"/>
        </w:rPr>
        <w:t>generación </w:t>
      </w:r>
      <w:r>
        <w:rPr/>
        <w:t>entraña </w:t>
      </w:r>
      <w:r>
        <w:rPr>
          <w:spacing w:val="-3"/>
        </w:rPr>
        <w:t>costos privados </w:t>
      </w:r>
      <w:r>
        <w:rPr/>
        <w:t>y sociales en el </w:t>
      </w:r>
      <w:r>
        <w:rPr>
          <w:spacing w:val="-3"/>
        </w:rPr>
        <w:t>país. </w:t>
      </w:r>
      <w:r>
        <w:rPr/>
        <w:t>Por ello, en general, puede </w:t>
      </w:r>
      <w:r>
        <w:rPr>
          <w:spacing w:val="-3"/>
        </w:rPr>
        <w:t>decirse </w:t>
      </w:r>
      <w:r>
        <w:rPr/>
        <w:t>que la </w:t>
      </w:r>
      <w:r>
        <w:rPr>
          <w:spacing w:val="-3"/>
        </w:rPr>
        <w:t>inversión productiva </w:t>
      </w:r>
      <w:r>
        <w:rPr/>
        <w:t>de </w:t>
      </w:r>
      <w:r>
        <w:rPr>
          <w:spacing w:val="-3"/>
        </w:rPr>
        <w:t>remesas </w:t>
      </w:r>
      <w:r>
        <w:rPr/>
        <w:t>es  menos costosa para la </w:t>
      </w:r>
      <w:r>
        <w:rPr>
          <w:spacing w:val="-2"/>
        </w:rPr>
        <w:t>sociedad mexicana </w:t>
      </w:r>
      <w:r>
        <w:rPr/>
        <w:t>y sus</w:t>
      </w:r>
      <w:r>
        <w:rPr>
          <w:spacing w:val="26"/>
        </w:rPr>
        <w:t> </w:t>
      </w:r>
      <w:r>
        <w:rPr>
          <w:spacing w:val="-3"/>
        </w:rPr>
        <w:t>familias.</w:t>
      </w:r>
    </w:p>
    <w:p>
      <w:pPr>
        <w:pStyle w:val="BodyText"/>
        <w:rPr>
          <w:sz w:val="22"/>
        </w:rPr>
      </w:pPr>
    </w:p>
    <w:p>
      <w:pPr>
        <w:pStyle w:val="BodyText"/>
        <w:spacing w:line="364" w:lineRule="auto" w:before="153"/>
        <w:ind w:left="115" w:right="105"/>
        <w:jc w:val="both"/>
      </w:pPr>
      <w:r>
        <w:rPr/>
        <w:t>A nivel macroeconómico, la suma de las remesas familiares adquiere una connotación económica de mayor atención pues para el gobierno es una variable de primera importancia al constituir sistemáticamente la segunda fuente  de  divisas, categoría que la vuelve imprescindible en el alivio del déficit histórico de la Balanza  de Cuenta Corriente (Santiago,  2001b:44,45)  y  permite contar con   </w:t>
      </w:r>
      <w:r>
        <w:rPr>
          <w:spacing w:val="63"/>
        </w:rPr>
        <w:t> </w:t>
      </w:r>
      <w:r>
        <w:rPr/>
        <w:t>las</w:t>
      </w:r>
    </w:p>
    <w:p>
      <w:pPr>
        <w:pStyle w:val="BodyText"/>
        <w:spacing w:line="350" w:lineRule="auto" w:before="5"/>
        <w:ind w:left="115" w:right="104"/>
        <w:jc w:val="both"/>
      </w:pPr>
      <w:r>
        <w:rPr/>
        <w:pict>
          <v:line style="position:absolute;mso-position-horizontal-relative:page;mso-position-vertical-relative:paragraph;z-index:2320;mso-wrap-distance-left:0;mso-wrap-distance-right:0" from="82.799995pt,65.516335pt" to="222.959992pt,65.516335pt" stroked="true" strokeweight=".72pt" strokecolor="#000000">
            <w10:wrap type="topAndBottom"/>
          </v:line>
        </w:pict>
      </w:r>
      <w:r>
        <w:rPr/>
        <w:t>reservas necesarias para sufragar las importaciones de maquinaria, equipo e insumos intermedios</w:t>
      </w:r>
      <w:r>
        <w:rPr>
          <w:position w:val="11"/>
          <w:sz w:val="15"/>
        </w:rPr>
        <w:t>74</w:t>
      </w:r>
      <w:r>
        <w:rPr/>
        <w:t>, y desde los años 1980s para financiar la compra de bienes agroalimentarios (Ortiz, 1995:3). Su disposición refuerza el fomento del  </w:t>
      </w:r>
      <w:r>
        <w:rPr>
          <w:spacing w:val="56"/>
        </w:rPr>
        <w:t> </w:t>
      </w:r>
      <w:r>
        <w:rPr/>
        <w:t>desarrollo</w:t>
      </w:r>
    </w:p>
    <w:p>
      <w:pPr>
        <w:spacing w:line="244" w:lineRule="auto" w:before="39"/>
        <w:ind w:left="115" w:right="103" w:firstLine="0"/>
        <w:jc w:val="both"/>
        <w:rPr>
          <w:sz w:val="19"/>
        </w:rPr>
      </w:pPr>
      <w:r>
        <w:rPr>
          <w:position w:val="10"/>
          <w:sz w:val="12"/>
        </w:rPr>
        <w:t>72 </w:t>
      </w:r>
      <w:r>
        <w:rPr>
          <w:sz w:val="19"/>
        </w:rPr>
        <w:t>Así mismo, </w:t>
      </w:r>
      <w:r>
        <w:rPr>
          <w:spacing w:val="-2"/>
          <w:sz w:val="19"/>
        </w:rPr>
        <w:t>Arroyo </w:t>
      </w:r>
      <w:r>
        <w:rPr>
          <w:sz w:val="19"/>
        </w:rPr>
        <w:t>y Berumen (2000:340), en </w:t>
      </w:r>
      <w:r>
        <w:rPr>
          <w:spacing w:val="-3"/>
          <w:sz w:val="19"/>
        </w:rPr>
        <w:t>referencia </w:t>
      </w:r>
      <w:r>
        <w:rPr>
          <w:sz w:val="19"/>
        </w:rPr>
        <w:t>al caso mexicano, comentan que la literatura reconoce la importancia de </w:t>
      </w:r>
      <w:r>
        <w:rPr>
          <w:spacing w:val="-3"/>
          <w:sz w:val="19"/>
        </w:rPr>
        <w:t>la </w:t>
      </w:r>
      <w:r>
        <w:rPr>
          <w:sz w:val="19"/>
        </w:rPr>
        <w:t>emigración internacional como fuente generadora de divisas   y los efectos económicos subsecuentes para el país </w:t>
      </w:r>
      <w:r>
        <w:rPr>
          <w:spacing w:val="-3"/>
          <w:sz w:val="19"/>
        </w:rPr>
        <w:t>en </w:t>
      </w:r>
      <w:r>
        <w:rPr>
          <w:sz w:val="19"/>
        </w:rPr>
        <w:t>su conjunto y </w:t>
      </w:r>
      <w:r>
        <w:rPr>
          <w:spacing w:val="-3"/>
          <w:sz w:val="19"/>
        </w:rPr>
        <w:t>las </w:t>
      </w:r>
      <w:r>
        <w:rPr>
          <w:sz w:val="19"/>
        </w:rPr>
        <w:t>regiones de amplia emigración a </w:t>
      </w:r>
      <w:r>
        <w:rPr>
          <w:spacing w:val="-3"/>
          <w:sz w:val="19"/>
        </w:rPr>
        <w:t>Estados</w:t>
      </w:r>
      <w:r>
        <w:rPr>
          <w:spacing w:val="19"/>
          <w:sz w:val="19"/>
        </w:rPr>
        <w:t> </w:t>
      </w:r>
      <w:r>
        <w:rPr>
          <w:sz w:val="19"/>
        </w:rPr>
        <w:t>Unidos.</w:t>
      </w:r>
    </w:p>
    <w:p>
      <w:pPr>
        <w:pStyle w:val="BodyText"/>
        <w:spacing w:before="8"/>
        <w:rPr>
          <w:sz w:val="18"/>
        </w:rPr>
      </w:pPr>
    </w:p>
    <w:p>
      <w:pPr>
        <w:spacing w:line="283" w:lineRule="auto" w:before="0"/>
        <w:ind w:left="116" w:right="104" w:firstLine="0"/>
        <w:jc w:val="both"/>
        <w:rPr>
          <w:sz w:val="19"/>
        </w:rPr>
      </w:pPr>
      <w:r>
        <w:rPr>
          <w:position w:val="10"/>
          <w:sz w:val="12"/>
        </w:rPr>
        <w:t>73 </w:t>
      </w:r>
      <w:r>
        <w:rPr>
          <w:sz w:val="19"/>
        </w:rPr>
        <w:t>La emigración internacional tiene gran importancia económica, aumenta </w:t>
      </w:r>
      <w:r>
        <w:rPr>
          <w:spacing w:val="-3"/>
          <w:sz w:val="19"/>
        </w:rPr>
        <w:t>el </w:t>
      </w:r>
      <w:r>
        <w:rPr>
          <w:sz w:val="19"/>
        </w:rPr>
        <w:t>consumo y la </w:t>
      </w:r>
      <w:r>
        <w:rPr>
          <w:spacing w:val="-3"/>
          <w:sz w:val="19"/>
        </w:rPr>
        <w:t>inversión, </w:t>
      </w:r>
      <w:r>
        <w:rPr>
          <w:sz w:val="19"/>
        </w:rPr>
        <w:t>que </w:t>
      </w:r>
      <w:r>
        <w:rPr>
          <w:spacing w:val="-3"/>
          <w:sz w:val="19"/>
        </w:rPr>
        <w:t>de </w:t>
      </w:r>
      <w:r>
        <w:rPr>
          <w:sz w:val="19"/>
        </w:rPr>
        <w:t>otra manera no serían posibles. Por otro lado, la </w:t>
      </w:r>
      <w:r>
        <w:rPr>
          <w:spacing w:val="-3"/>
          <w:sz w:val="19"/>
        </w:rPr>
        <w:t>emigración </w:t>
      </w:r>
      <w:r>
        <w:rPr>
          <w:sz w:val="19"/>
        </w:rPr>
        <w:t>proporciona divisas que tienen  un costo económico menor el que existe para otras fuentes </w:t>
      </w:r>
      <w:r>
        <w:rPr>
          <w:spacing w:val="-3"/>
          <w:sz w:val="19"/>
        </w:rPr>
        <w:t>de </w:t>
      </w:r>
      <w:r>
        <w:rPr>
          <w:sz w:val="19"/>
        </w:rPr>
        <w:t>divisas, aseveración que no implica que la </w:t>
      </w:r>
      <w:r>
        <w:rPr>
          <w:spacing w:val="-3"/>
          <w:sz w:val="19"/>
        </w:rPr>
        <w:t>emigración </w:t>
      </w:r>
      <w:r>
        <w:rPr>
          <w:sz w:val="19"/>
        </w:rPr>
        <w:t>no tenga costos, </w:t>
      </w:r>
      <w:r>
        <w:rPr>
          <w:spacing w:val="-3"/>
          <w:sz w:val="19"/>
        </w:rPr>
        <w:t>sino </w:t>
      </w:r>
      <w:r>
        <w:rPr>
          <w:sz w:val="19"/>
        </w:rPr>
        <w:t>que por el carácter mismo </w:t>
      </w:r>
      <w:r>
        <w:rPr>
          <w:spacing w:val="-3"/>
          <w:sz w:val="19"/>
        </w:rPr>
        <w:t>de </w:t>
      </w:r>
      <w:r>
        <w:rPr>
          <w:sz w:val="19"/>
        </w:rPr>
        <w:t>esa fuente de divisas, los </w:t>
      </w:r>
      <w:r>
        <w:rPr>
          <w:spacing w:val="-3"/>
          <w:sz w:val="19"/>
        </w:rPr>
        <w:t>emigrantes </w:t>
      </w:r>
      <w:r>
        <w:rPr>
          <w:sz w:val="19"/>
        </w:rPr>
        <w:t>han   </w:t>
      </w:r>
      <w:r>
        <w:rPr>
          <w:spacing w:val="-3"/>
          <w:sz w:val="19"/>
        </w:rPr>
        <w:t>tenido </w:t>
      </w:r>
      <w:r>
        <w:rPr>
          <w:sz w:val="19"/>
        </w:rPr>
        <w:t>que </w:t>
      </w:r>
      <w:r>
        <w:rPr>
          <w:spacing w:val="-3"/>
          <w:sz w:val="19"/>
        </w:rPr>
        <w:t>absorber esos </w:t>
      </w:r>
      <w:r>
        <w:rPr>
          <w:sz w:val="19"/>
        </w:rPr>
        <w:t>costos </w:t>
      </w:r>
      <w:r>
        <w:rPr>
          <w:spacing w:val="-3"/>
          <w:sz w:val="19"/>
        </w:rPr>
        <w:t>individualmente. (Santiago, 2001b:45,  </w:t>
      </w:r>
      <w:r>
        <w:rPr>
          <w:spacing w:val="35"/>
          <w:sz w:val="19"/>
        </w:rPr>
        <w:t> </w:t>
      </w:r>
      <w:r>
        <w:rPr>
          <w:spacing w:val="-3"/>
          <w:sz w:val="19"/>
        </w:rPr>
        <w:t>46)</w:t>
      </w:r>
    </w:p>
    <w:p>
      <w:pPr>
        <w:pStyle w:val="BodyText"/>
        <w:spacing w:before="1"/>
        <w:rPr>
          <w:sz w:val="14"/>
        </w:rPr>
      </w:pPr>
    </w:p>
    <w:p>
      <w:pPr>
        <w:spacing w:line="283" w:lineRule="auto" w:before="0"/>
        <w:ind w:left="116" w:right="103" w:firstLine="0"/>
        <w:jc w:val="both"/>
        <w:rPr>
          <w:sz w:val="19"/>
        </w:rPr>
      </w:pPr>
      <w:r>
        <w:rPr>
          <w:position w:val="10"/>
          <w:sz w:val="12"/>
        </w:rPr>
        <w:t>74 </w:t>
      </w:r>
      <w:r>
        <w:rPr>
          <w:sz w:val="19"/>
        </w:rPr>
        <w:t>En escala macroeconómica, las remesas con frecuencia proveen de una significativa corriente de divisas, incrementan los ingresos nacionales, financian importaciones y contribuyen a la balanza de pagos.  (Meyers, 2000:281).</w:t>
      </w:r>
    </w:p>
    <w:p>
      <w:pPr>
        <w:spacing w:after="0" w:line="283"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33" w:lineRule="auto" w:before="74"/>
        <w:ind w:left="115" w:right="107"/>
        <w:jc w:val="both"/>
        <w:rPr>
          <w:sz w:val="15"/>
        </w:rPr>
      </w:pPr>
      <w:r>
        <w:rPr/>
        <w:t>económico o al menos permite mantener o elevar los niveles nacionales de producción y consumo.</w:t>
      </w:r>
      <w:r>
        <w:rPr>
          <w:position w:val="11"/>
          <w:sz w:val="15"/>
        </w:rPr>
        <w:t>75</w:t>
      </w:r>
    </w:p>
    <w:p>
      <w:pPr>
        <w:pStyle w:val="BodyText"/>
        <w:spacing w:before="1"/>
        <w:rPr>
          <w:sz w:val="37"/>
        </w:rPr>
      </w:pPr>
    </w:p>
    <w:p>
      <w:pPr>
        <w:pStyle w:val="BodyText"/>
        <w:spacing w:line="364" w:lineRule="auto"/>
        <w:ind w:left="115" w:right="105"/>
        <w:jc w:val="both"/>
      </w:pPr>
      <w:r>
        <w:rPr/>
        <w:t>Con respecto a la contribución de las remesas al saldo de la Cuenta Corriente, debe señalarse que, de acuerdo a los datos de Palacios (1965:41) y el Banco Nacional de Comercio Exterior (BANCOMEXT), (1946 y 1951), la participación porcentual de las remesas familiares enviadas por los emigrantes mexicanos a nuestro</w:t>
      </w:r>
      <w:r>
        <w:rPr>
          <w:spacing w:val="29"/>
        </w:rPr>
        <w:t> </w:t>
      </w:r>
      <w:r>
        <w:rPr/>
        <w:t>país</w:t>
      </w:r>
      <w:r>
        <w:rPr>
          <w:spacing w:val="30"/>
        </w:rPr>
        <w:t> </w:t>
      </w:r>
      <w:r>
        <w:rPr/>
        <w:t>ha</w:t>
      </w:r>
      <w:r>
        <w:rPr>
          <w:spacing w:val="26"/>
        </w:rPr>
        <w:t> </w:t>
      </w:r>
      <w:r>
        <w:rPr/>
        <w:t>variado</w:t>
      </w:r>
      <w:r>
        <w:rPr>
          <w:spacing w:val="29"/>
        </w:rPr>
        <w:t> </w:t>
      </w:r>
      <w:r>
        <w:rPr/>
        <w:t>entre</w:t>
      </w:r>
      <w:r>
        <w:rPr>
          <w:spacing w:val="29"/>
        </w:rPr>
        <w:t> </w:t>
      </w:r>
      <w:r>
        <w:rPr/>
        <w:t>el</w:t>
      </w:r>
      <w:r>
        <w:rPr>
          <w:spacing w:val="30"/>
        </w:rPr>
        <w:t> </w:t>
      </w:r>
      <w:r>
        <w:rPr/>
        <w:t>99.1%</w:t>
      </w:r>
      <w:r>
        <w:rPr>
          <w:spacing w:val="30"/>
        </w:rPr>
        <w:t> </w:t>
      </w:r>
      <w:r>
        <w:rPr/>
        <w:t>de</w:t>
      </w:r>
      <w:r>
        <w:rPr>
          <w:spacing w:val="29"/>
        </w:rPr>
        <w:t> </w:t>
      </w:r>
      <w:r>
        <w:rPr/>
        <w:t>la</w:t>
      </w:r>
      <w:r>
        <w:rPr>
          <w:spacing w:val="31"/>
        </w:rPr>
        <w:t> </w:t>
      </w:r>
      <w:r>
        <w:rPr/>
        <w:t>exportación</w:t>
      </w:r>
      <w:r>
        <w:rPr>
          <w:spacing w:val="31"/>
        </w:rPr>
        <w:t> </w:t>
      </w:r>
      <w:r>
        <w:rPr/>
        <w:t>de</w:t>
      </w:r>
      <w:r>
        <w:rPr>
          <w:spacing w:val="31"/>
        </w:rPr>
        <w:t> </w:t>
      </w:r>
      <w:r>
        <w:rPr/>
        <w:t>productos</w:t>
      </w:r>
      <w:r>
        <w:rPr>
          <w:spacing w:val="27"/>
        </w:rPr>
        <w:t> </w:t>
      </w:r>
      <w:r>
        <w:rPr/>
        <w:t>agrícolas</w:t>
      </w:r>
    </w:p>
    <w:p>
      <w:pPr>
        <w:pStyle w:val="BodyText"/>
        <w:spacing w:line="267" w:lineRule="exact"/>
        <w:ind w:left="115"/>
        <w:jc w:val="both"/>
      </w:pPr>
      <w:r>
        <w:rPr/>
        <w:t>en  1945  a  un  8.6%  en  1950</w:t>
      </w:r>
      <w:r>
        <w:rPr>
          <w:position w:val="11"/>
          <w:sz w:val="15"/>
        </w:rPr>
        <w:t>76</w:t>
      </w:r>
      <w:r>
        <w:rPr/>
        <w:t>.  Cuatro  décadas  después,  las  cifras  de   1992</w:t>
      </w:r>
    </w:p>
    <w:p>
      <w:pPr>
        <w:pStyle w:val="BodyText"/>
        <w:spacing w:line="333" w:lineRule="auto" w:before="138"/>
        <w:ind w:left="115" w:right="105"/>
        <w:jc w:val="both"/>
      </w:pPr>
      <w:r>
        <w:rPr/>
        <w:t>representaron el 100.6% de las exportaciones agroalimentarias en tanto que en 2000 dicho índice fue del 82.7% (ver Cuadro</w:t>
      </w:r>
      <w:r>
        <w:rPr>
          <w:spacing w:val="62"/>
        </w:rPr>
        <w:t> </w:t>
      </w:r>
      <w:r>
        <w:rPr/>
        <w:t>8)</w:t>
      </w:r>
      <w:r>
        <w:rPr>
          <w:position w:val="11"/>
          <w:sz w:val="15"/>
        </w:rPr>
        <w:t>77</w:t>
      </w:r>
      <w:r>
        <w:rPr/>
        <w:t>.</w:t>
      </w:r>
    </w:p>
    <w:p>
      <w:pPr>
        <w:pStyle w:val="BodyText"/>
        <w:spacing w:before="1"/>
        <w:rPr>
          <w:sz w:val="37"/>
        </w:rPr>
      </w:pPr>
    </w:p>
    <w:p>
      <w:pPr>
        <w:pStyle w:val="BodyText"/>
        <w:spacing w:line="364" w:lineRule="auto"/>
        <w:ind w:left="116" w:right="103"/>
        <w:jc w:val="both"/>
      </w:pPr>
      <w:r>
        <w:rPr>
          <w:spacing w:val="-3"/>
        </w:rPr>
        <w:t>También, </w:t>
      </w:r>
      <w:r>
        <w:rPr/>
        <w:t>“la importancia de las </w:t>
      </w:r>
      <w:r>
        <w:rPr>
          <w:spacing w:val="-3"/>
        </w:rPr>
        <w:t>remesas </w:t>
      </w:r>
      <w:r>
        <w:rPr/>
        <w:t>queda de </w:t>
      </w:r>
      <w:r>
        <w:rPr>
          <w:spacing w:val="-3"/>
        </w:rPr>
        <w:t>manifiesta </w:t>
      </w:r>
      <w:r>
        <w:rPr/>
        <w:t>en forma </w:t>
      </w:r>
      <w:r>
        <w:rPr>
          <w:spacing w:val="-3"/>
        </w:rPr>
        <w:t>fehaciente    </w:t>
      </w:r>
      <w:r>
        <w:rPr/>
        <w:t>si se compara su magnitud con los </w:t>
      </w:r>
      <w:r>
        <w:rPr>
          <w:spacing w:val="-3"/>
        </w:rPr>
        <w:t>ingresos provenientes </w:t>
      </w:r>
      <w:r>
        <w:rPr/>
        <w:t>de rubros a los que la política </w:t>
      </w:r>
      <w:r>
        <w:rPr>
          <w:spacing w:val="-3"/>
        </w:rPr>
        <w:t>económica </w:t>
      </w:r>
      <w:r>
        <w:rPr/>
        <w:t>mexicana </w:t>
      </w:r>
      <w:r>
        <w:rPr>
          <w:spacing w:val="-3"/>
        </w:rPr>
        <w:t>ha </w:t>
      </w:r>
      <w:r>
        <w:rPr/>
        <w:t>asignado un lugar fundamental y que  se  </w:t>
      </w:r>
      <w:r>
        <w:rPr>
          <w:spacing w:val="-2"/>
        </w:rPr>
        <w:t>consideran </w:t>
      </w:r>
      <w:r>
        <w:rPr>
          <w:spacing w:val="-3"/>
        </w:rPr>
        <w:t>explícitamente </w:t>
      </w:r>
      <w:r>
        <w:rPr/>
        <w:t>en la asignación del </w:t>
      </w:r>
      <w:r>
        <w:rPr>
          <w:spacing w:val="-3"/>
        </w:rPr>
        <w:t>gasto público. Tales </w:t>
      </w:r>
      <w:r>
        <w:rPr/>
        <w:t>son,  por  </w:t>
      </w:r>
      <w:r>
        <w:rPr>
          <w:spacing w:val="-3"/>
        </w:rPr>
        <w:t>ejemplo, </w:t>
      </w:r>
      <w:r>
        <w:rPr/>
        <w:t>los casos de las </w:t>
      </w:r>
      <w:r>
        <w:rPr>
          <w:spacing w:val="-3"/>
        </w:rPr>
        <w:t>exportaciones petroleras, </w:t>
      </w:r>
      <w:r>
        <w:rPr/>
        <w:t>la </w:t>
      </w:r>
      <w:r>
        <w:rPr>
          <w:spacing w:val="-3"/>
        </w:rPr>
        <w:t>inversión </w:t>
      </w:r>
      <w:r>
        <w:rPr/>
        <w:t>extranjera o los </w:t>
      </w:r>
      <w:r>
        <w:rPr>
          <w:spacing w:val="-3"/>
        </w:rPr>
        <w:t>ingresos </w:t>
      </w:r>
      <w:r>
        <w:rPr/>
        <w:t>por </w:t>
      </w:r>
      <w:r>
        <w:rPr>
          <w:spacing w:val="-2"/>
        </w:rPr>
        <w:t>turismo” </w:t>
      </w:r>
      <w:r>
        <w:rPr/>
        <w:t>(Santiago,</w:t>
      </w:r>
      <w:r>
        <w:rPr>
          <w:spacing w:val="55"/>
        </w:rPr>
        <w:t> </w:t>
      </w:r>
      <w:r>
        <w:rPr/>
        <w:t>2001:44,45).</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2"/>
        </w:rPr>
      </w:pPr>
      <w:r>
        <w:rPr/>
        <w:pict>
          <v:line style="position:absolute;mso-position-horizontal-relative:page;mso-position-vertical-relative:paragraph;z-index:2344;mso-wrap-distance-left:0;mso-wrap-distance-right:0" from="82.799995pt,15.145564pt" to="222.959992pt,15.145564pt" stroked="true" strokeweight=".6pt" strokecolor="#000000">
            <w10:wrap type="topAndBottom"/>
          </v:line>
        </w:pict>
      </w:r>
    </w:p>
    <w:p>
      <w:pPr>
        <w:spacing w:line="283" w:lineRule="auto" w:before="41"/>
        <w:ind w:left="115" w:right="103" w:firstLine="0"/>
        <w:jc w:val="both"/>
        <w:rPr>
          <w:sz w:val="19"/>
        </w:rPr>
      </w:pPr>
      <w:r>
        <w:rPr>
          <w:position w:val="10"/>
          <w:sz w:val="12"/>
        </w:rPr>
        <w:t>75 </w:t>
      </w:r>
      <w:r>
        <w:rPr>
          <w:sz w:val="19"/>
        </w:rPr>
        <w:t>Las desventajas señaladas usualmente son que los gastos en  educación  y  capacitación  erogados por México al igual que la capacidad productiva de los emigrantes no son aprovechados  en beneficio de nuestro país, además de que los mexicanos reciben un trato desagradable en los Estados Unidos, regresan a México cuando ya han sobrepasado la edad laboral y por ello  demandan un gasto mayúsculo en la provisión de servicios sociales, lo cual constituye una transferencia de bienestar (Cfr. Rionda, 1992:41,53, y Sowell, 1996:3).  En el mismo sentido se  </w:t>
      </w:r>
      <w:r>
        <w:rPr>
          <w:spacing w:val="-2"/>
          <w:sz w:val="19"/>
        </w:rPr>
        <w:t>afirma </w:t>
      </w:r>
      <w:r>
        <w:rPr>
          <w:sz w:val="19"/>
        </w:rPr>
        <w:t>que “los flujos de </w:t>
      </w:r>
      <w:r>
        <w:rPr>
          <w:spacing w:val="-3"/>
          <w:sz w:val="19"/>
        </w:rPr>
        <w:t>migrantes </w:t>
      </w:r>
      <w:r>
        <w:rPr>
          <w:sz w:val="19"/>
        </w:rPr>
        <w:t>cada vez adquieren una mayor calificación, lo </w:t>
      </w:r>
      <w:r>
        <w:rPr>
          <w:spacing w:val="-3"/>
          <w:sz w:val="19"/>
        </w:rPr>
        <w:t>que </w:t>
      </w:r>
      <w:r>
        <w:rPr>
          <w:sz w:val="19"/>
        </w:rPr>
        <w:t>supone una irrecuperable pérdida para el país, con todo y los crecientes montos que se reciben por concepto de remesas.” </w:t>
      </w:r>
      <w:r>
        <w:rPr>
          <w:spacing w:val="-3"/>
          <w:sz w:val="19"/>
        </w:rPr>
        <w:t>(Aragonés, </w:t>
      </w:r>
      <w:r>
        <w:rPr>
          <w:sz w:val="19"/>
        </w:rPr>
        <w:t> </w:t>
      </w:r>
      <w:r>
        <w:rPr>
          <w:spacing w:val="-3"/>
          <w:sz w:val="19"/>
        </w:rPr>
        <w:t>2001:332).</w:t>
      </w:r>
    </w:p>
    <w:p>
      <w:pPr>
        <w:spacing w:line="244" w:lineRule="auto" w:before="160"/>
        <w:ind w:left="116" w:right="105" w:firstLine="0"/>
        <w:jc w:val="both"/>
        <w:rPr>
          <w:sz w:val="19"/>
        </w:rPr>
      </w:pPr>
      <w:r>
        <w:rPr>
          <w:position w:val="10"/>
          <w:sz w:val="12"/>
        </w:rPr>
        <w:t>76 </w:t>
      </w:r>
      <w:r>
        <w:rPr>
          <w:sz w:val="19"/>
        </w:rPr>
        <w:t>Estas cifras deben tomarse con cautela pues en 1945 sólo se consideraron 10 productos de exportación los cuales se fueron aumentando paulatinamente hasta llegar a alrededor de 20 en el año de 1962 (Palacios, </w:t>
      </w:r>
      <w:r>
        <w:rPr>
          <w:spacing w:val="6"/>
          <w:sz w:val="19"/>
        </w:rPr>
        <w:t> </w:t>
      </w:r>
      <w:r>
        <w:rPr>
          <w:sz w:val="19"/>
        </w:rPr>
        <w:t>1965:41).</w:t>
      </w:r>
    </w:p>
    <w:p>
      <w:pPr>
        <w:pStyle w:val="BodyText"/>
        <w:spacing w:before="5"/>
        <w:rPr>
          <w:sz w:val="16"/>
        </w:rPr>
      </w:pPr>
    </w:p>
    <w:p>
      <w:pPr>
        <w:spacing w:line="247" w:lineRule="auto" w:before="0"/>
        <w:ind w:left="116" w:right="103" w:firstLine="0"/>
        <w:jc w:val="both"/>
        <w:rPr>
          <w:sz w:val="19"/>
        </w:rPr>
      </w:pPr>
      <w:r>
        <w:rPr>
          <w:position w:val="10"/>
          <w:sz w:val="12"/>
        </w:rPr>
        <w:t>77 </w:t>
      </w:r>
      <w:r>
        <w:rPr>
          <w:sz w:val="19"/>
        </w:rPr>
        <w:t>No hay que olvidar que durante el primero de esos periodos, México era un país exportador neto  de productos agrícolas, en tanto que a partir de los años 1980s las importaciones han superado a   las exportaciones de ese </w:t>
      </w:r>
      <w:r>
        <w:rPr>
          <w:spacing w:val="3"/>
          <w:sz w:val="19"/>
        </w:rPr>
        <w:t> </w:t>
      </w:r>
      <w:r>
        <w:rPr>
          <w:sz w:val="19"/>
        </w:rPr>
        <w:t>renglón.</w:t>
      </w:r>
    </w:p>
    <w:p>
      <w:pPr>
        <w:spacing w:after="0" w:line="247" w:lineRule="auto"/>
        <w:jc w:val="both"/>
        <w:rPr>
          <w:sz w:val="19"/>
        </w:rPr>
        <w:sectPr>
          <w:pgSz w:w="11900" w:h="16840"/>
          <w:pgMar w:header="0" w:footer="1679" w:top="1600" w:bottom="1860" w:left="1540" w:right="1580"/>
        </w:sectPr>
      </w:pPr>
    </w:p>
    <w:p>
      <w:pPr>
        <w:pStyle w:val="BodyText"/>
        <w:rPr>
          <w:sz w:val="20"/>
        </w:rPr>
      </w:pPr>
    </w:p>
    <w:p>
      <w:pPr>
        <w:pStyle w:val="BodyText"/>
        <w:spacing w:before="5"/>
        <w:rPr>
          <w:sz w:val="16"/>
        </w:rPr>
      </w:pPr>
    </w:p>
    <w:p>
      <w:pPr>
        <w:pStyle w:val="Heading4"/>
        <w:spacing w:line="364" w:lineRule="auto" w:before="74"/>
        <w:ind w:left="1368" w:right="223" w:hanging="843"/>
      </w:pPr>
      <w:r>
        <w:rPr/>
        <w:t>Cuadro 8. Remesas Internacionales y Exportaciones Agropecuarias de México, 1992 - 2001 (Millones de Dólares y  Porcentajes)</w:t>
      </w:r>
    </w:p>
    <w:p>
      <w:pPr>
        <w:pStyle w:val="BodyText"/>
        <w:spacing w:before="6"/>
        <w:rPr>
          <w:b/>
          <w:sz w:val="17"/>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064"/>
        <w:gridCol w:w="722"/>
        <w:gridCol w:w="658"/>
        <w:gridCol w:w="653"/>
        <w:gridCol w:w="658"/>
        <w:gridCol w:w="655"/>
        <w:gridCol w:w="658"/>
        <w:gridCol w:w="655"/>
        <w:gridCol w:w="658"/>
        <w:gridCol w:w="653"/>
        <w:gridCol w:w="658"/>
      </w:tblGrid>
      <w:tr>
        <w:trPr>
          <w:trHeight w:val="398" w:hRule="exact"/>
        </w:trPr>
        <w:tc>
          <w:tcPr>
            <w:tcW w:w="2064" w:type="dxa"/>
            <w:tcBorders>
              <w:right w:val="single" w:sz="4" w:space="0" w:color="000000"/>
            </w:tcBorders>
          </w:tcPr>
          <w:p>
            <w:pPr>
              <w:pStyle w:val="TableParagraph"/>
              <w:spacing w:before="55"/>
              <w:ind w:left="59" w:right="172"/>
              <w:jc w:val="left"/>
              <w:rPr>
                <w:b/>
                <w:sz w:val="23"/>
              </w:rPr>
            </w:pPr>
            <w:r>
              <w:rPr>
                <w:b/>
                <w:sz w:val="23"/>
              </w:rPr>
              <w:t>Concepto</w:t>
            </w:r>
          </w:p>
        </w:tc>
        <w:tc>
          <w:tcPr>
            <w:tcW w:w="722" w:type="dxa"/>
            <w:tcBorders>
              <w:top w:val="single" w:sz="4" w:space="0" w:color="000000"/>
              <w:left w:val="single" w:sz="4" w:space="0" w:color="000000"/>
              <w:bottom w:val="single" w:sz="4" w:space="0" w:color="000000"/>
              <w:right w:val="single" w:sz="4" w:space="0" w:color="000000"/>
            </w:tcBorders>
          </w:tcPr>
          <w:p>
            <w:pPr>
              <w:pStyle w:val="TableParagraph"/>
              <w:spacing w:before="58"/>
              <w:ind w:left="95"/>
              <w:jc w:val="left"/>
              <w:rPr>
                <w:b/>
                <w:sz w:val="23"/>
              </w:rPr>
            </w:pPr>
            <w:r>
              <w:rPr>
                <w:b/>
                <w:sz w:val="23"/>
              </w:rPr>
              <w:t>1992</w:t>
            </w:r>
          </w:p>
        </w:tc>
        <w:tc>
          <w:tcPr>
            <w:tcW w:w="658" w:type="dxa"/>
            <w:tcBorders>
              <w:top w:val="single" w:sz="4" w:space="0" w:color="000000"/>
              <w:left w:val="single" w:sz="4" w:space="0" w:color="000000"/>
              <w:bottom w:val="single" w:sz="4" w:space="0" w:color="000000"/>
              <w:right w:val="single" w:sz="4" w:space="0" w:color="000000"/>
            </w:tcBorders>
          </w:tcPr>
          <w:p>
            <w:pPr>
              <w:pStyle w:val="TableParagraph"/>
              <w:spacing w:before="58"/>
              <w:ind w:left="47" w:right="49"/>
              <w:jc w:val="center"/>
              <w:rPr>
                <w:b/>
                <w:sz w:val="23"/>
              </w:rPr>
            </w:pPr>
            <w:r>
              <w:rPr>
                <w:b/>
                <w:sz w:val="23"/>
              </w:rPr>
              <w:t>1993</w:t>
            </w:r>
          </w:p>
        </w:tc>
        <w:tc>
          <w:tcPr>
            <w:tcW w:w="653" w:type="dxa"/>
            <w:tcBorders>
              <w:top w:val="single" w:sz="4" w:space="0" w:color="000000"/>
              <w:left w:val="single" w:sz="4" w:space="0" w:color="000000"/>
              <w:bottom w:val="single" w:sz="4" w:space="0" w:color="000000"/>
              <w:right w:val="single" w:sz="4" w:space="0" w:color="000000"/>
            </w:tcBorders>
          </w:tcPr>
          <w:p>
            <w:pPr>
              <w:pStyle w:val="TableParagraph"/>
              <w:spacing w:before="58"/>
              <w:ind w:left="44" w:right="44"/>
              <w:jc w:val="center"/>
              <w:rPr>
                <w:b/>
                <w:sz w:val="23"/>
              </w:rPr>
            </w:pPr>
            <w:r>
              <w:rPr>
                <w:b/>
                <w:sz w:val="23"/>
              </w:rPr>
              <w:t>1994</w:t>
            </w:r>
          </w:p>
        </w:tc>
        <w:tc>
          <w:tcPr>
            <w:tcW w:w="658" w:type="dxa"/>
            <w:tcBorders>
              <w:top w:val="single" w:sz="4" w:space="0" w:color="000000"/>
              <w:left w:val="single" w:sz="4" w:space="0" w:color="000000"/>
              <w:bottom w:val="single" w:sz="4" w:space="0" w:color="000000"/>
              <w:right w:val="single" w:sz="4" w:space="0" w:color="000000"/>
            </w:tcBorders>
          </w:tcPr>
          <w:p>
            <w:pPr>
              <w:pStyle w:val="TableParagraph"/>
              <w:spacing w:before="58"/>
              <w:ind w:left="47" w:right="49"/>
              <w:jc w:val="center"/>
              <w:rPr>
                <w:b/>
                <w:sz w:val="23"/>
              </w:rPr>
            </w:pPr>
            <w:r>
              <w:rPr>
                <w:b/>
                <w:sz w:val="23"/>
              </w:rPr>
              <w:t>1995</w:t>
            </w:r>
          </w:p>
        </w:tc>
        <w:tc>
          <w:tcPr>
            <w:tcW w:w="655" w:type="dxa"/>
            <w:tcBorders>
              <w:left w:val="single" w:sz="4" w:space="0" w:color="000000"/>
            </w:tcBorders>
          </w:tcPr>
          <w:p>
            <w:pPr>
              <w:pStyle w:val="TableParagraph"/>
              <w:spacing w:before="55"/>
              <w:ind w:right="62"/>
              <w:rPr>
                <w:b/>
                <w:sz w:val="23"/>
              </w:rPr>
            </w:pPr>
            <w:r>
              <w:rPr>
                <w:b/>
                <w:sz w:val="23"/>
              </w:rPr>
              <w:t>1996</w:t>
            </w:r>
          </w:p>
        </w:tc>
        <w:tc>
          <w:tcPr>
            <w:tcW w:w="658" w:type="dxa"/>
          </w:tcPr>
          <w:p>
            <w:pPr>
              <w:pStyle w:val="TableParagraph"/>
              <w:spacing w:before="55"/>
              <w:ind w:left="43" w:right="45"/>
              <w:jc w:val="center"/>
              <w:rPr>
                <w:b/>
                <w:sz w:val="23"/>
              </w:rPr>
            </w:pPr>
            <w:r>
              <w:rPr>
                <w:b/>
                <w:sz w:val="23"/>
              </w:rPr>
              <w:t>1997</w:t>
            </w:r>
          </w:p>
        </w:tc>
        <w:tc>
          <w:tcPr>
            <w:tcW w:w="655" w:type="dxa"/>
          </w:tcPr>
          <w:p>
            <w:pPr>
              <w:pStyle w:val="TableParagraph"/>
              <w:spacing w:before="55"/>
              <w:ind w:left="43" w:right="45"/>
              <w:jc w:val="center"/>
              <w:rPr>
                <w:b/>
                <w:sz w:val="23"/>
              </w:rPr>
            </w:pPr>
            <w:r>
              <w:rPr>
                <w:b/>
                <w:sz w:val="23"/>
              </w:rPr>
              <w:t>1998</w:t>
            </w:r>
          </w:p>
        </w:tc>
        <w:tc>
          <w:tcPr>
            <w:tcW w:w="658" w:type="dxa"/>
          </w:tcPr>
          <w:p>
            <w:pPr>
              <w:pStyle w:val="TableParagraph"/>
              <w:spacing w:before="55"/>
              <w:ind w:left="43" w:right="45"/>
              <w:jc w:val="center"/>
              <w:rPr>
                <w:b/>
                <w:sz w:val="23"/>
              </w:rPr>
            </w:pPr>
            <w:r>
              <w:rPr>
                <w:b/>
                <w:sz w:val="23"/>
              </w:rPr>
              <w:t>1999</w:t>
            </w:r>
          </w:p>
        </w:tc>
        <w:tc>
          <w:tcPr>
            <w:tcW w:w="653" w:type="dxa"/>
          </w:tcPr>
          <w:p>
            <w:pPr>
              <w:pStyle w:val="TableParagraph"/>
              <w:spacing w:before="55"/>
              <w:ind w:left="43" w:right="43"/>
              <w:jc w:val="center"/>
              <w:rPr>
                <w:b/>
                <w:sz w:val="23"/>
              </w:rPr>
            </w:pPr>
            <w:r>
              <w:rPr>
                <w:b/>
                <w:sz w:val="23"/>
              </w:rPr>
              <w:t>2000</w:t>
            </w:r>
          </w:p>
        </w:tc>
        <w:tc>
          <w:tcPr>
            <w:tcW w:w="658" w:type="dxa"/>
          </w:tcPr>
          <w:p>
            <w:pPr>
              <w:pStyle w:val="TableParagraph"/>
              <w:spacing w:before="55"/>
              <w:ind w:right="62"/>
              <w:rPr>
                <w:b/>
                <w:sz w:val="23"/>
              </w:rPr>
            </w:pPr>
            <w:r>
              <w:rPr>
                <w:b/>
                <w:sz w:val="23"/>
              </w:rPr>
              <w:t>2001</w:t>
            </w:r>
          </w:p>
        </w:tc>
      </w:tr>
      <w:tr>
        <w:trPr>
          <w:trHeight w:val="937" w:hRule="exact"/>
        </w:trPr>
        <w:tc>
          <w:tcPr>
            <w:tcW w:w="2064" w:type="dxa"/>
            <w:tcBorders>
              <w:bottom w:val="single" w:sz="5" w:space="0" w:color="000000"/>
              <w:right w:val="single" w:sz="4" w:space="0" w:color="000000"/>
            </w:tcBorders>
          </w:tcPr>
          <w:p>
            <w:pPr>
              <w:pStyle w:val="TableParagraph"/>
              <w:spacing w:line="244" w:lineRule="auto" w:before="58"/>
              <w:ind w:left="59" w:right="172"/>
              <w:jc w:val="left"/>
              <w:rPr>
                <w:sz w:val="23"/>
              </w:rPr>
            </w:pPr>
            <w:r>
              <w:rPr>
                <w:sz w:val="23"/>
              </w:rPr>
              <w:t>Remesas Internacionales (1)</w:t>
            </w:r>
          </w:p>
        </w:tc>
        <w:tc>
          <w:tcPr>
            <w:tcW w:w="722" w:type="dxa"/>
            <w:tcBorders>
              <w:top w:val="single" w:sz="4" w:space="0" w:color="000000"/>
              <w:left w:val="single" w:sz="4" w:space="0" w:color="000000"/>
              <w:bottom w:val="single" w:sz="3" w:space="0" w:color="000000"/>
              <w:right w:val="single" w:sz="4" w:space="0" w:color="000000"/>
            </w:tcBorders>
          </w:tcPr>
          <w:p>
            <w:pPr>
              <w:pStyle w:val="TableParagraph"/>
              <w:spacing w:before="60"/>
              <w:ind w:left="129"/>
              <w:jc w:val="left"/>
              <w:rPr>
                <w:sz w:val="23"/>
              </w:rPr>
            </w:pPr>
            <w:r>
              <w:rPr>
                <w:sz w:val="23"/>
              </w:rPr>
              <w:t>3070</w:t>
            </w:r>
          </w:p>
        </w:tc>
        <w:tc>
          <w:tcPr>
            <w:tcW w:w="658" w:type="dxa"/>
            <w:tcBorders>
              <w:top w:val="single" w:sz="4" w:space="0" w:color="000000"/>
              <w:left w:val="single" w:sz="4" w:space="0" w:color="000000"/>
              <w:bottom w:val="single" w:sz="3" w:space="0" w:color="000000"/>
              <w:right w:val="single" w:sz="4" w:space="0" w:color="000000"/>
            </w:tcBorders>
          </w:tcPr>
          <w:p>
            <w:pPr>
              <w:pStyle w:val="TableParagraph"/>
              <w:spacing w:before="60"/>
              <w:ind w:left="47" w:right="49"/>
              <w:jc w:val="center"/>
              <w:rPr>
                <w:sz w:val="23"/>
              </w:rPr>
            </w:pPr>
            <w:r>
              <w:rPr>
                <w:sz w:val="23"/>
              </w:rPr>
              <w:t>3333</w:t>
            </w:r>
          </w:p>
        </w:tc>
        <w:tc>
          <w:tcPr>
            <w:tcW w:w="653" w:type="dxa"/>
            <w:tcBorders>
              <w:top w:val="single" w:sz="4" w:space="0" w:color="000000"/>
              <w:left w:val="single" w:sz="4" w:space="0" w:color="000000"/>
              <w:bottom w:val="single" w:sz="3" w:space="0" w:color="000000"/>
              <w:right w:val="single" w:sz="4" w:space="0" w:color="000000"/>
            </w:tcBorders>
          </w:tcPr>
          <w:p>
            <w:pPr>
              <w:pStyle w:val="TableParagraph"/>
              <w:spacing w:before="60"/>
              <w:ind w:left="44" w:right="44"/>
              <w:jc w:val="center"/>
              <w:rPr>
                <w:sz w:val="23"/>
              </w:rPr>
            </w:pPr>
            <w:r>
              <w:rPr>
                <w:sz w:val="23"/>
              </w:rPr>
              <w:t>3704</w:t>
            </w:r>
          </w:p>
        </w:tc>
        <w:tc>
          <w:tcPr>
            <w:tcW w:w="658" w:type="dxa"/>
            <w:tcBorders>
              <w:top w:val="single" w:sz="4" w:space="0" w:color="000000"/>
              <w:left w:val="single" w:sz="4" w:space="0" w:color="000000"/>
              <w:bottom w:val="single" w:sz="3" w:space="0" w:color="000000"/>
              <w:right w:val="single" w:sz="4" w:space="0" w:color="000000"/>
            </w:tcBorders>
          </w:tcPr>
          <w:p>
            <w:pPr>
              <w:pStyle w:val="TableParagraph"/>
              <w:spacing w:before="60"/>
              <w:ind w:left="47" w:right="49"/>
              <w:jc w:val="center"/>
              <w:rPr>
                <w:sz w:val="23"/>
              </w:rPr>
            </w:pPr>
            <w:r>
              <w:rPr>
                <w:sz w:val="23"/>
              </w:rPr>
              <w:t>3995</w:t>
            </w:r>
          </w:p>
        </w:tc>
        <w:tc>
          <w:tcPr>
            <w:tcW w:w="655" w:type="dxa"/>
            <w:tcBorders>
              <w:left w:val="single" w:sz="4" w:space="0" w:color="000000"/>
              <w:bottom w:val="single" w:sz="5" w:space="0" w:color="000000"/>
            </w:tcBorders>
          </w:tcPr>
          <w:p>
            <w:pPr>
              <w:pStyle w:val="TableParagraph"/>
              <w:spacing w:before="58"/>
              <w:ind w:right="62"/>
              <w:rPr>
                <w:sz w:val="23"/>
              </w:rPr>
            </w:pPr>
            <w:r>
              <w:rPr>
                <w:sz w:val="23"/>
              </w:rPr>
              <w:t>4224</w:t>
            </w:r>
          </w:p>
        </w:tc>
        <w:tc>
          <w:tcPr>
            <w:tcW w:w="658" w:type="dxa"/>
            <w:tcBorders>
              <w:bottom w:val="single" w:sz="5" w:space="0" w:color="000000"/>
            </w:tcBorders>
          </w:tcPr>
          <w:p>
            <w:pPr>
              <w:pStyle w:val="TableParagraph"/>
              <w:spacing w:before="58"/>
              <w:ind w:left="43" w:right="45"/>
              <w:jc w:val="center"/>
              <w:rPr>
                <w:sz w:val="23"/>
              </w:rPr>
            </w:pPr>
            <w:r>
              <w:rPr>
                <w:sz w:val="23"/>
              </w:rPr>
              <w:t>5562</w:t>
            </w:r>
          </w:p>
        </w:tc>
        <w:tc>
          <w:tcPr>
            <w:tcW w:w="655" w:type="dxa"/>
            <w:tcBorders>
              <w:bottom w:val="single" w:sz="5" w:space="0" w:color="000000"/>
            </w:tcBorders>
          </w:tcPr>
          <w:p>
            <w:pPr>
              <w:pStyle w:val="TableParagraph"/>
              <w:spacing w:before="58"/>
              <w:ind w:left="43" w:right="45"/>
              <w:jc w:val="center"/>
              <w:rPr>
                <w:sz w:val="23"/>
              </w:rPr>
            </w:pPr>
            <w:r>
              <w:rPr>
                <w:sz w:val="23"/>
              </w:rPr>
              <w:t>6012</w:t>
            </w:r>
          </w:p>
        </w:tc>
        <w:tc>
          <w:tcPr>
            <w:tcW w:w="658" w:type="dxa"/>
            <w:tcBorders>
              <w:bottom w:val="single" w:sz="5" w:space="0" w:color="000000"/>
            </w:tcBorders>
          </w:tcPr>
          <w:p>
            <w:pPr>
              <w:pStyle w:val="TableParagraph"/>
              <w:spacing w:before="58"/>
              <w:ind w:left="43" w:right="45"/>
              <w:jc w:val="center"/>
              <w:rPr>
                <w:sz w:val="23"/>
              </w:rPr>
            </w:pPr>
            <w:r>
              <w:rPr>
                <w:sz w:val="23"/>
              </w:rPr>
              <w:t>5910</w:t>
            </w:r>
          </w:p>
        </w:tc>
        <w:tc>
          <w:tcPr>
            <w:tcW w:w="653" w:type="dxa"/>
            <w:tcBorders>
              <w:bottom w:val="single" w:sz="5" w:space="0" w:color="000000"/>
            </w:tcBorders>
          </w:tcPr>
          <w:p>
            <w:pPr>
              <w:pStyle w:val="TableParagraph"/>
              <w:spacing w:before="58"/>
              <w:ind w:left="43" w:right="43"/>
              <w:jc w:val="center"/>
              <w:rPr>
                <w:sz w:val="23"/>
              </w:rPr>
            </w:pPr>
            <w:r>
              <w:rPr>
                <w:sz w:val="23"/>
              </w:rPr>
              <w:t>6280</w:t>
            </w:r>
          </w:p>
        </w:tc>
        <w:tc>
          <w:tcPr>
            <w:tcW w:w="658" w:type="dxa"/>
            <w:tcBorders>
              <w:bottom w:val="single" w:sz="5" w:space="0" w:color="000000"/>
            </w:tcBorders>
          </w:tcPr>
          <w:p>
            <w:pPr>
              <w:pStyle w:val="TableParagraph"/>
              <w:spacing w:before="58"/>
              <w:ind w:right="62"/>
              <w:rPr>
                <w:sz w:val="23"/>
              </w:rPr>
            </w:pPr>
            <w:r>
              <w:rPr>
                <w:sz w:val="23"/>
              </w:rPr>
              <w:t>8895</w:t>
            </w:r>
          </w:p>
        </w:tc>
      </w:tr>
      <w:tr>
        <w:trPr>
          <w:trHeight w:val="937" w:hRule="exact"/>
        </w:trPr>
        <w:tc>
          <w:tcPr>
            <w:tcW w:w="2064" w:type="dxa"/>
            <w:tcBorders>
              <w:top w:val="single" w:sz="5" w:space="0" w:color="000000"/>
              <w:right w:val="single" w:sz="4" w:space="0" w:color="000000"/>
            </w:tcBorders>
          </w:tcPr>
          <w:p>
            <w:pPr>
              <w:pStyle w:val="TableParagraph"/>
              <w:spacing w:line="244" w:lineRule="auto" w:before="58"/>
              <w:ind w:left="59" w:right="172"/>
              <w:jc w:val="left"/>
              <w:rPr>
                <w:sz w:val="23"/>
              </w:rPr>
            </w:pPr>
            <w:r>
              <w:rPr>
                <w:sz w:val="23"/>
              </w:rPr>
              <w:t>Exportaciones Agropecuarias* (2)</w:t>
            </w:r>
          </w:p>
        </w:tc>
        <w:tc>
          <w:tcPr>
            <w:tcW w:w="722" w:type="dxa"/>
            <w:tcBorders>
              <w:top w:val="single" w:sz="3" w:space="0" w:color="000000"/>
              <w:left w:val="single" w:sz="4" w:space="0" w:color="000000"/>
              <w:bottom w:val="single" w:sz="4" w:space="0" w:color="000000"/>
              <w:right w:val="single" w:sz="4" w:space="0" w:color="000000"/>
            </w:tcBorders>
          </w:tcPr>
          <w:p>
            <w:pPr>
              <w:pStyle w:val="TableParagraph"/>
              <w:spacing w:before="60"/>
              <w:ind w:left="129"/>
              <w:jc w:val="left"/>
              <w:rPr>
                <w:sz w:val="23"/>
              </w:rPr>
            </w:pPr>
            <w:r>
              <w:rPr>
                <w:sz w:val="23"/>
              </w:rPr>
              <w:t>3051</w:t>
            </w:r>
          </w:p>
        </w:tc>
        <w:tc>
          <w:tcPr>
            <w:tcW w:w="658" w:type="dxa"/>
            <w:tcBorders>
              <w:top w:val="single" w:sz="3" w:space="0" w:color="000000"/>
              <w:left w:val="single" w:sz="4" w:space="0" w:color="000000"/>
              <w:bottom w:val="single" w:sz="4" w:space="0" w:color="000000"/>
              <w:right w:val="single" w:sz="4" w:space="0" w:color="000000"/>
            </w:tcBorders>
          </w:tcPr>
          <w:p>
            <w:pPr>
              <w:pStyle w:val="TableParagraph"/>
              <w:spacing w:before="60"/>
              <w:ind w:left="47" w:right="49"/>
              <w:jc w:val="center"/>
              <w:rPr>
                <w:sz w:val="23"/>
              </w:rPr>
            </w:pPr>
            <w:r>
              <w:rPr>
                <w:sz w:val="23"/>
              </w:rPr>
              <w:t>3567</w:t>
            </w:r>
          </w:p>
        </w:tc>
        <w:tc>
          <w:tcPr>
            <w:tcW w:w="653" w:type="dxa"/>
            <w:tcBorders>
              <w:top w:val="single" w:sz="3" w:space="0" w:color="000000"/>
              <w:left w:val="single" w:sz="4" w:space="0" w:color="000000"/>
              <w:bottom w:val="single" w:sz="4" w:space="0" w:color="000000"/>
              <w:right w:val="single" w:sz="4" w:space="0" w:color="000000"/>
            </w:tcBorders>
          </w:tcPr>
          <w:p>
            <w:pPr>
              <w:pStyle w:val="TableParagraph"/>
              <w:spacing w:before="60"/>
              <w:ind w:left="44" w:right="44"/>
              <w:jc w:val="center"/>
              <w:rPr>
                <w:sz w:val="23"/>
              </w:rPr>
            </w:pPr>
            <w:r>
              <w:rPr>
                <w:sz w:val="23"/>
              </w:rPr>
              <w:t>4064</w:t>
            </w:r>
          </w:p>
        </w:tc>
        <w:tc>
          <w:tcPr>
            <w:tcW w:w="658" w:type="dxa"/>
            <w:tcBorders>
              <w:top w:val="single" w:sz="3" w:space="0" w:color="000000"/>
              <w:left w:val="single" w:sz="4" w:space="0" w:color="000000"/>
              <w:bottom w:val="single" w:sz="4" w:space="0" w:color="000000"/>
              <w:right w:val="single" w:sz="4" w:space="0" w:color="000000"/>
            </w:tcBorders>
          </w:tcPr>
          <w:p>
            <w:pPr>
              <w:pStyle w:val="TableParagraph"/>
              <w:spacing w:before="60"/>
              <w:ind w:left="47" w:right="49"/>
              <w:jc w:val="center"/>
              <w:rPr>
                <w:sz w:val="23"/>
              </w:rPr>
            </w:pPr>
            <w:r>
              <w:rPr>
                <w:sz w:val="23"/>
              </w:rPr>
              <w:t>5808</w:t>
            </w:r>
          </w:p>
        </w:tc>
        <w:tc>
          <w:tcPr>
            <w:tcW w:w="655" w:type="dxa"/>
            <w:tcBorders>
              <w:top w:val="single" w:sz="5" w:space="0" w:color="000000"/>
              <w:left w:val="single" w:sz="4" w:space="0" w:color="000000"/>
            </w:tcBorders>
          </w:tcPr>
          <w:p>
            <w:pPr>
              <w:pStyle w:val="TableParagraph"/>
              <w:spacing w:before="58"/>
              <w:ind w:right="62"/>
              <w:rPr>
                <w:sz w:val="23"/>
              </w:rPr>
            </w:pPr>
            <w:r>
              <w:rPr>
                <w:sz w:val="23"/>
              </w:rPr>
              <w:t>5670</w:t>
            </w:r>
          </w:p>
        </w:tc>
        <w:tc>
          <w:tcPr>
            <w:tcW w:w="658" w:type="dxa"/>
            <w:tcBorders>
              <w:top w:val="single" w:sz="5" w:space="0" w:color="000000"/>
            </w:tcBorders>
          </w:tcPr>
          <w:p>
            <w:pPr>
              <w:pStyle w:val="TableParagraph"/>
              <w:spacing w:before="58"/>
              <w:ind w:left="43" w:right="45"/>
              <w:jc w:val="center"/>
              <w:rPr>
                <w:sz w:val="23"/>
              </w:rPr>
            </w:pPr>
            <w:r>
              <w:rPr>
                <w:sz w:val="23"/>
              </w:rPr>
              <w:t>6219</w:t>
            </w:r>
          </w:p>
        </w:tc>
        <w:tc>
          <w:tcPr>
            <w:tcW w:w="655" w:type="dxa"/>
            <w:tcBorders>
              <w:top w:val="single" w:sz="5" w:space="0" w:color="000000"/>
            </w:tcBorders>
          </w:tcPr>
          <w:p>
            <w:pPr>
              <w:pStyle w:val="TableParagraph"/>
              <w:spacing w:before="58"/>
              <w:ind w:left="43" w:right="45"/>
              <w:jc w:val="center"/>
              <w:rPr>
                <w:sz w:val="23"/>
              </w:rPr>
            </w:pPr>
            <w:r>
              <w:rPr>
                <w:sz w:val="23"/>
              </w:rPr>
              <w:t>6650</w:t>
            </w:r>
          </w:p>
        </w:tc>
        <w:tc>
          <w:tcPr>
            <w:tcW w:w="658" w:type="dxa"/>
            <w:tcBorders>
              <w:top w:val="single" w:sz="5" w:space="0" w:color="000000"/>
            </w:tcBorders>
          </w:tcPr>
          <w:p>
            <w:pPr>
              <w:pStyle w:val="TableParagraph"/>
              <w:spacing w:before="58"/>
              <w:ind w:left="43" w:right="45"/>
              <w:jc w:val="center"/>
              <w:rPr>
                <w:sz w:val="23"/>
              </w:rPr>
            </w:pPr>
            <w:r>
              <w:rPr>
                <w:sz w:val="23"/>
              </w:rPr>
              <w:t>7054</w:t>
            </w:r>
          </w:p>
        </w:tc>
        <w:tc>
          <w:tcPr>
            <w:tcW w:w="653" w:type="dxa"/>
            <w:tcBorders>
              <w:top w:val="single" w:sz="5" w:space="0" w:color="000000"/>
            </w:tcBorders>
          </w:tcPr>
          <w:p>
            <w:pPr>
              <w:pStyle w:val="TableParagraph"/>
              <w:spacing w:before="58"/>
              <w:ind w:left="43" w:right="43"/>
              <w:jc w:val="center"/>
              <w:rPr>
                <w:sz w:val="23"/>
              </w:rPr>
            </w:pPr>
            <w:r>
              <w:rPr>
                <w:sz w:val="23"/>
              </w:rPr>
              <w:t>7594</w:t>
            </w:r>
          </w:p>
        </w:tc>
        <w:tc>
          <w:tcPr>
            <w:tcW w:w="658" w:type="dxa"/>
            <w:tcBorders>
              <w:top w:val="single" w:sz="5" w:space="0" w:color="000000"/>
            </w:tcBorders>
          </w:tcPr>
          <w:p>
            <w:pPr>
              <w:pStyle w:val="TableParagraph"/>
              <w:spacing w:before="58"/>
              <w:ind w:right="62"/>
              <w:rPr>
                <w:sz w:val="23"/>
              </w:rPr>
            </w:pPr>
            <w:r>
              <w:rPr>
                <w:sz w:val="23"/>
              </w:rPr>
              <w:t>7468</w:t>
            </w:r>
          </w:p>
        </w:tc>
      </w:tr>
      <w:tr>
        <w:trPr>
          <w:trHeight w:val="401" w:hRule="exact"/>
        </w:trPr>
        <w:tc>
          <w:tcPr>
            <w:tcW w:w="2064" w:type="dxa"/>
            <w:tcBorders>
              <w:right w:val="single" w:sz="4" w:space="0" w:color="000000"/>
            </w:tcBorders>
          </w:tcPr>
          <w:p>
            <w:pPr>
              <w:pStyle w:val="TableParagraph"/>
              <w:spacing w:before="60"/>
              <w:ind w:left="59" w:right="172"/>
              <w:jc w:val="left"/>
              <w:rPr>
                <w:sz w:val="23"/>
              </w:rPr>
            </w:pPr>
            <w:r>
              <w:rPr>
                <w:sz w:val="23"/>
              </w:rPr>
              <w:t>Porcentaje  (1/2)</w:t>
            </w:r>
          </w:p>
        </w:tc>
        <w:tc>
          <w:tcPr>
            <w:tcW w:w="722" w:type="dxa"/>
            <w:tcBorders>
              <w:top w:val="single" w:sz="4" w:space="0" w:color="000000"/>
              <w:left w:val="single" w:sz="4" w:space="0" w:color="000000"/>
              <w:bottom w:val="single" w:sz="4" w:space="0" w:color="000000"/>
              <w:right w:val="single" w:sz="4" w:space="0" w:color="000000"/>
            </w:tcBorders>
          </w:tcPr>
          <w:p>
            <w:pPr>
              <w:pStyle w:val="TableParagraph"/>
              <w:spacing w:before="62"/>
              <w:ind w:left="64"/>
              <w:jc w:val="left"/>
              <w:rPr>
                <w:sz w:val="23"/>
              </w:rPr>
            </w:pPr>
            <w:r>
              <w:rPr>
                <w:sz w:val="23"/>
              </w:rPr>
              <w:t>100.6</w:t>
            </w:r>
          </w:p>
        </w:tc>
        <w:tc>
          <w:tcPr>
            <w:tcW w:w="658" w:type="dxa"/>
            <w:tcBorders>
              <w:top w:val="single" w:sz="4" w:space="0" w:color="000000"/>
              <w:left w:val="single" w:sz="4" w:space="0" w:color="000000"/>
              <w:bottom w:val="single" w:sz="4" w:space="0" w:color="000000"/>
              <w:right w:val="single" w:sz="4" w:space="0" w:color="000000"/>
            </w:tcBorders>
          </w:tcPr>
          <w:p>
            <w:pPr>
              <w:pStyle w:val="TableParagraph"/>
              <w:spacing w:before="62"/>
              <w:ind w:left="109" w:right="49"/>
              <w:jc w:val="center"/>
              <w:rPr>
                <w:sz w:val="23"/>
              </w:rPr>
            </w:pPr>
            <w:r>
              <w:rPr>
                <w:sz w:val="23"/>
              </w:rPr>
              <w:t>81.4</w:t>
            </w:r>
          </w:p>
        </w:tc>
        <w:tc>
          <w:tcPr>
            <w:tcW w:w="653" w:type="dxa"/>
            <w:tcBorders>
              <w:top w:val="single" w:sz="4" w:space="0" w:color="000000"/>
              <w:left w:val="single" w:sz="4" w:space="0" w:color="000000"/>
              <w:bottom w:val="single" w:sz="4" w:space="0" w:color="000000"/>
              <w:right w:val="single" w:sz="4" w:space="0" w:color="000000"/>
            </w:tcBorders>
          </w:tcPr>
          <w:p>
            <w:pPr>
              <w:pStyle w:val="TableParagraph"/>
              <w:spacing w:before="62"/>
              <w:ind w:left="105" w:right="45"/>
              <w:jc w:val="center"/>
              <w:rPr>
                <w:sz w:val="23"/>
              </w:rPr>
            </w:pPr>
            <w:r>
              <w:rPr>
                <w:sz w:val="23"/>
              </w:rPr>
              <w:t>93.4</w:t>
            </w:r>
          </w:p>
        </w:tc>
        <w:tc>
          <w:tcPr>
            <w:tcW w:w="658" w:type="dxa"/>
            <w:tcBorders>
              <w:top w:val="single" w:sz="4" w:space="0" w:color="000000"/>
              <w:left w:val="single" w:sz="4" w:space="0" w:color="000000"/>
              <w:bottom w:val="single" w:sz="4" w:space="0" w:color="000000"/>
              <w:right w:val="single" w:sz="4" w:space="0" w:color="000000"/>
            </w:tcBorders>
          </w:tcPr>
          <w:p>
            <w:pPr>
              <w:pStyle w:val="TableParagraph"/>
              <w:spacing w:before="62"/>
              <w:ind w:left="109" w:right="49"/>
              <w:jc w:val="center"/>
              <w:rPr>
                <w:sz w:val="23"/>
              </w:rPr>
            </w:pPr>
            <w:r>
              <w:rPr>
                <w:sz w:val="23"/>
              </w:rPr>
              <w:t>68.8</w:t>
            </w:r>
          </w:p>
        </w:tc>
        <w:tc>
          <w:tcPr>
            <w:tcW w:w="655" w:type="dxa"/>
            <w:tcBorders>
              <w:left w:val="single" w:sz="4" w:space="0" w:color="000000"/>
            </w:tcBorders>
          </w:tcPr>
          <w:p>
            <w:pPr>
              <w:pStyle w:val="TableParagraph"/>
              <w:spacing w:before="60"/>
              <w:ind w:right="62"/>
              <w:rPr>
                <w:sz w:val="23"/>
              </w:rPr>
            </w:pPr>
            <w:r>
              <w:rPr>
                <w:sz w:val="23"/>
              </w:rPr>
              <w:t>74.5</w:t>
            </w:r>
          </w:p>
        </w:tc>
        <w:tc>
          <w:tcPr>
            <w:tcW w:w="658" w:type="dxa"/>
          </w:tcPr>
          <w:p>
            <w:pPr>
              <w:pStyle w:val="TableParagraph"/>
              <w:spacing w:before="60"/>
              <w:ind w:left="105" w:right="45"/>
              <w:jc w:val="center"/>
              <w:rPr>
                <w:sz w:val="23"/>
              </w:rPr>
            </w:pPr>
            <w:r>
              <w:rPr>
                <w:sz w:val="23"/>
              </w:rPr>
              <w:t>89.4</w:t>
            </w:r>
          </w:p>
        </w:tc>
        <w:tc>
          <w:tcPr>
            <w:tcW w:w="655" w:type="dxa"/>
          </w:tcPr>
          <w:p>
            <w:pPr>
              <w:pStyle w:val="TableParagraph"/>
              <w:spacing w:before="60"/>
              <w:ind w:left="102" w:right="45"/>
              <w:jc w:val="center"/>
              <w:rPr>
                <w:sz w:val="23"/>
              </w:rPr>
            </w:pPr>
            <w:r>
              <w:rPr>
                <w:sz w:val="23"/>
              </w:rPr>
              <w:t>90.4</w:t>
            </w:r>
          </w:p>
        </w:tc>
        <w:tc>
          <w:tcPr>
            <w:tcW w:w="658" w:type="dxa"/>
          </w:tcPr>
          <w:p>
            <w:pPr>
              <w:pStyle w:val="TableParagraph"/>
              <w:spacing w:before="60"/>
              <w:ind w:left="105" w:right="45"/>
              <w:jc w:val="center"/>
              <w:rPr>
                <w:sz w:val="23"/>
              </w:rPr>
            </w:pPr>
            <w:r>
              <w:rPr>
                <w:sz w:val="23"/>
              </w:rPr>
              <w:t>83.8</w:t>
            </w:r>
          </w:p>
        </w:tc>
        <w:tc>
          <w:tcPr>
            <w:tcW w:w="653" w:type="dxa"/>
          </w:tcPr>
          <w:p>
            <w:pPr>
              <w:pStyle w:val="TableParagraph"/>
              <w:spacing w:before="60"/>
              <w:ind w:left="103" w:right="43"/>
              <w:jc w:val="center"/>
              <w:rPr>
                <w:sz w:val="23"/>
              </w:rPr>
            </w:pPr>
            <w:r>
              <w:rPr>
                <w:sz w:val="23"/>
              </w:rPr>
              <w:t>82.7</w:t>
            </w:r>
          </w:p>
        </w:tc>
        <w:tc>
          <w:tcPr>
            <w:tcW w:w="658" w:type="dxa"/>
          </w:tcPr>
          <w:p>
            <w:pPr>
              <w:pStyle w:val="TableParagraph"/>
              <w:spacing w:before="60"/>
              <w:ind w:right="62"/>
              <w:rPr>
                <w:sz w:val="23"/>
              </w:rPr>
            </w:pPr>
            <w:r>
              <w:rPr>
                <w:sz w:val="23"/>
              </w:rPr>
              <w:t>83.0</w:t>
            </w:r>
          </w:p>
        </w:tc>
      </w:tr>
    </w:tbl>
    <w:p>
      <w:pPr>
        <w:spacing w:before="2"/>
        <w:ind w:left="175" w:right="0" w:firstLine="0"/>
        <w:jc w:val="both"/>
        <w:rPr>
          <w:sz w:val="21"/>
        </w:rPr>
      </w:pPr>
      <w:r>
        <w:rPr>
          <w:sz w:val="21"/>
        </w:rPr>
        <w:t>* incluye el valor de las exportaciones  alimentarias.</w:t>
      </w:r>
    </w:p>
    <w:p>
      <w:pPr>
        <w:pStyle w:val="BodyText"/>
        <w:spacing w:before="3"/>
        <w:rPr>
          <w:sz w:val="20"/>
        </w:rPr>
      </w:pPr>
    </w:p>
    <w:p>
      <w:pPr>
        <w:spacing w:line="283" w:lineRule="auto" w:before="0"/>
        <w:ind w:left="175" w:right="186" w:firstLine="0"/>
        <w:jc w:val="both"/>
        <w:rPr>
          <w:sz w:val="21"/>
        </w:rPr>
      </w:pPr>
      <w:r>
        <w:rPr>
          <w:sz w:val="21"/>
        </w:rPr>
        <w:t>Fuente: Elaborado en base a B de M. Informe Anual. Varios números.  México  y CNA. 2001. Estadísticas Básicas. México. Pág. 105. (El monto de las remesas  de  2001  proviene de La Jornada,</w:t>
      </w:r>
      <w:r>
        <w:rPr>
          <w:spacing w:val="50"/>
          <w:sz w:val="21"/>
        </w:rPr>
        <w:t> </w:t>
      </w:r>
      <w:r>
        <w:rPr>
          <w:sz w:val="21"/>
        </w:rPr>
        <w:t>20-01-02)</w:t>
      </w:r>
    </w:p>
    <w:p>
      <w:pPr>
        <w:pStyle w:val="BodyText"/>
        <w:rPr>
          <w:sz w:val="20"/>
        </w:rPr>
      </w:pPr>
    </w:p>
    <w:p>
      <w:pPr>
        <w:pStyle w:val="BodyText"/>
        <w:rPr>
          <w:sz w:val="20"/>
        </w:rPr>
      </w:pPr>
    </w:p>
    <w:p>
      <w:pPr>
        <w:pStyle w:val="BodyText"/>
        <w:spacing w:before="5"/>
        <w:rPr>
          <w:sz w:val="18"/>
        </w:rPr>
      </w:pPr>
    </w:p>
    <w:p>
      <w:pPr>
        <w:pStyle w:val="BodyText"/>
        <w:spacing w:line="364" w:lineRule="auto"/>
        <w:ind w:left="175" w:right="183"/>
        <w:jc w:val="both"/>
      </w:pPr>
      <w:r>
        <w:rPr/>
        <w:t>En 1999 el ingreso por </w:t>
      </w:r>
      <w:r>
        <w:rPr>
          <w:spacing w:val="-3"/>
        </w:rPr>
        <w:t>exportaciones </w:t>
      </w:r>
      <w:r>
        <w:rPr/>
        <w:t>petroleras fue </w:t>
      </w:r>
      <w:r>
        <w:rPr>
          <w:spacing w:val="-3"/>
        </w:rPr>
        <w:t>apenas </w:t>
      </w:r>
      <w:r>
        <w:rPr/>
        <w:t>superior a lo obtenido por </w:t>
      </w:r>
      <w:r>
        <w:rPr>
          <w:spacing w:val="-3"/>
        </w:rPr>
        <w:t>remesas. </w:t>
      </w:r>
      <w:r>
        <w:rPr/>
        <w:t>En </w:t>
      </w:r>
      <w:r>
        <w:rPr>
          <w:spacing w:val="-3"/>
        </w:rPr>
        <w:t>el </w:t>
      </w:r>
      <w:r>
        <w:rPr/>
        <w:t>caso </w:t>
      </w:r>
      <w:r>
        <w:rPr>
          <w:spacing w:val="-3"/>
        </w:rPr>
        <w:t>de </w:t>
      </w:r>
      <w:r>
        <w:rPr/>
        <w:t>las </w:t>
      </w:r>
      <w:r>
        <w:rPr>
          <w:spacing w:val="-3"/>
        </w:rPr>
        <w:t>divisas </w:t>
      </w:r>
      <w:r>
        <w:rPr/>
        <w:t>que ingresaron a México como </w:t>
      </w:r>
      <w:r>
        <w:rPr>
          <w:spacing w:val="-3"/>
        </w:rPr>
        <w:t>IED, </w:t>
      </w:r>
      <w:r>
        <w:rPr/>
        <w:t>su  monto fue </w:t>
      </w:r>
      <w:r>
        <w:rPr>
          <w:spacing w:val="-3"/>
        </w:rPr>
        <w:t>aproximadamente </w:t>
      </w:r>
      <w:r>
        <w:rPr/>
        <w:t>42% </w:t>
      </w:r>
      <w:r>
        <w:rPr>
          <w:spacing w:val="-3"/>
        </w:rPr>
        <w:t>superior </w:t>
      </w:r>
      <w:r>
        <w:rPr/>
        <w:t>a las </w:t>
      </w:r>
      <w:r>
        <w:rPr>
          <w:spacing w:val="-3"/>
        </w:rPr>
        <w:t>divisas correspondientes </w:t>
      </w:r>
      <w:r>
        <w:rPr/>
        <w:t>a las </w:t>
      </w:r>
      <w:r>
        <w:rPr>
          <w:spacing w:val="-3"/>
        </w:rPr>
        <w:t>remesas. </w:t>
      </w:r>
      <w:r>
        <w:rPr/>
        <w:t>El </w:t>
      </w:r>
      <w:r>
        <w:rPr>
          <w:spacing w:val="-3"/>
        </w:rPr>
        <w:t>otro </w:t>
      </w:r>
      <w:r>
        <w:rPr/>
        <w:t>rubro de interés que </w:t>
      </w:r>
      <w:r>
        <w:rPr>
          <w:spacing w:val="-3"/>
        </w:rPr>
        <w:t>tradicionalmente </w:t>
      </w:r>
      <w:r>
        <w:rPr/>
        <w:t>ha ocupado </w:t>
      </w:r>
      <w:r>
        <w:rPr>
          <w:spacing w:val="-3"/>
        </w:rPr>
        <w:t>un </w:t>
      </w:r>
      <w:r>
        <w:rPr/>
        <w:t>lugar </w:t>
      </w:r>
      <w:r>
        <w:rPr>
          <w:spacing w:val="-3"/>
        </w:rPr>
        <w:t>importante </w:t>
      </w:r>
      <w:r>
        <w:rPr/>
        <w:t>como </w:t>
      </w:r>
      <w:r>
        <w:rPr>
          <w:spacing w:val="-3"/>
        </w:rPr>
        <w:t>generador </w:t>
      </w:r>
      <w:r>
        <w:rPr/>
        <w:t>de </w:t>
      </w:r>
      <w:r>
        <w:rPr>
          <w:spacing w:val="-3"/>
        </w:rPr>
        <w:t>divisas </w:t>
      </w:r>
      <w:r>
        <w:rPr/>
        <w:t>es el </w:t>
      </w:r>
      <w:r>
        <w:rPr>
          <w:spacing w:val="-3"/>
        </w:rPr>
        <w:t>turismo; </w:t>
      </w:r>
      <w:r>
        <w:rPr/>
        <w:t>sin </w:t>
      </w:r>
      <w:r>
        <w:rPr>
          <w:spacing w:val="-3"/>
        </w:rPr>
        <w:t>embargo, </w:t>
      </w:r>
      <w:r>
        <w:rPr/>
        <w:t>en 1999 generó menos </w:t>
      </w:r>
      <w:r>
        <w:rPr>
          <w:spacing w:val="-3"/>
        </w:rPr>
        <w:t>recursos </w:t>
      </w:r>
      <w:r>
        <w:rPr/>
        <w:t>que los que ingresaron por la mano de obra mexicana en el </w:t>
      </w:r>
      <w:r>
        <w:rPr>
          <w:spacing w:val="-3"/>
        </w:rPr>
        <w:t>extranjero (Santiago, 2001b:44, </w:t>
      </w:r>
      <w:r>
        <w:rPr/>
        <w:t>45). (Ver Cuadro </w:t>
      </w:r>
      <w:r>
        <w:rPr>
          <w:spacing w:val="-3"/>
        </w:rPr>
        <w:t>9). </w:t>
      </w:r>
      <w:r>
        <w:rPr/>
        <w:t>Y por si el argumento no fuera </w:t>
      </w:r>
      <w:r>
        <w:rPr>
          <w:spacing w:val="-3"/>
        </w:rPr>
        <w:t>suficiente, </w:t>
      </w:r>
      <w:r>
        <w:rPr/>
        <w:t>hay que agregar que en términos de la Balanza de Pagos, en 1999, la </w:t>
      </w:r>
      <w:r>
        <w:rPr>
          <w:spacing w:val="-3"/>
        </w:rPr>
        <w:t>migración generó </w:t>
      </w:r>
      <w:r>
        <w:rPr/>
        <w:t>una entrada de </w:t>
      </w:r>
      <w:r>
        <w:rPr>
          <w:spacing w:val="-3"/>
        </w:rPr>
        <w:t>divisas equivalente </w:t>
      </w:r>
      <w:r>
        <w:rPr/>
        <w:t>al déficit de la Balanza </w:t>
      </w:r>
      <w:r>
        <w:rPr>
          <w:spacing w:val="-3"/>
        </w:rPr>
        <w:t>Comercial </w:t>
      </w:r>
      <w:r>
        <w:rPr>
          <w:spacing w:val="-2"/>
        </w:rPr>
        <w:t>mexicana (Idem, </w:t>
      </w:r>
      <w:r>
        <w:rPr>
          <w:spacing w:val="3"/>
        </w:rPr>
        <w:t> </w:t>
      </w:r>
      <w:r>
        <w:rPr>
          <w:spacing w:val="-3"/>
        </w:rPr>
        <w:t>2001b:46).</w:t>
      </w:r>
    </w:p>
    <w:p>
      <w:pPr>
        <w:spacing w:after="0" w:line="364" w:lineRule="auto"/>
        <w:jc w:val="both"/>
        <w:sectPr>
          <w:pgSz w:w="11900" w:h="16840"/>
          <w:pgMar w:header="0" w:footer="1679" w:top="1600" w:bottom="1860" w:left="1480" w:right="1500"/>
        </w:sectPr>
      </w:pPr>
    </w:p>
    <w:p>
      <w:pPr>
        <w:pStyle w:val="BodyText"/>
        <w:rPr>
          <w:sz w:val="20"/>
        </w:rPr>
      </w:pPr>
    </w:p>
    <w:p>
      <w:pPr>
        <w:pStyle w:val="BodyText"/>
        <w:spacing w:before="1"/>
        <w:rPr>
          <w:sz w:val="16"/>
        </w:rPr>
      </w:pPr>
    </w:p>
    <w:p>
      <w:pPr>
        <w:spacing w:line="369" w:lineRule="auto" w:before="77"/>
        <w:ind w:left="2503" w:right="223" w:hanging="1860"/>
        <w:jc w:val="left"/>
        <w:rPr>
          <w:b/>
          <w:sz w:val="21"/>
        </w:rPr>
      </w:pPr>
      <w:r>
        <w:rPr>
          <w:b/>
          <w:spacing w:val="-3"/>
          <w:sz w:val="21"/>
        </w:rPr>
        <w:t>Cuadro 9. Remesas Familiares </w:t>
      </w:r>
      <w:r>
        <w:rPr>
          <w:b/>
          <w:sz w:val="21"/>
        </w:rPr>
        <w:t>y su </w:t>
      </w:r>
      <w:r>
        <w:rPr>
          <w:b/>
          <w:spacing w:val="-3"/>
          <w:sz w:val="21"/>
        </w:rPr>
        <w:t>Relación </w:t>
      </w:r>
      <w:r>
        <w:rPr>
          <w:b/>
          <w:spacing w:val="-4"/>
          <w:sz w:val="21"/>
        </w:rPr>
        <w:t>con </w:t>
      </w:r>
      <w:r>
        <w:rPr>
          <w:b/>
          <w:sz w:val="21"/>
        </w:rPr>
        <w:t>Otros Rubros de la Cuenta </w:t>
      </w:r>
      <w:r>
        <w:rPr>
          <w:b/>
          <w:spacing w:val="-3"/>
          <w:sz w:val="21"/>
        </w:rPr>
        <w:t>Corriente </w:t>
      </w:r>
      <w:r>
        <w:rPr>
          <w:b/>
          <w:sz w:val="21"/>
        </w:rPr>
        <w:t>de la </w:t>
      </w:r>
      <w:r>
        <w:rPr>
          <w:b/>
          <w:spacing w:val="-3"/>
          <w:sz w:val="21"/>
        </w:rPr>
        <w:t>Balanza </w:t>
      </w:r>
      <w:r>
        <w:rPr>
          <w:b/>
          <w:sz w:val="21"/>
        </w:rPr>
        <w:t>de Pagos,</w:t>
      </w:r>
      <w:r>
        <w:rPr>
          <w:b/>
          <w:spacing w:val="55"/>
          <w:sz w:val="21"/>
        </w:rPr>
        <w:t> </w:t>
      </w:r>
      <w:r>
        <w:rPr>
          <w:b/>
          <w:spacing w:val="-3"/>
          <w:sz w:val="21"/>
        </w:rPr>
        <w:t>1999</w:t>
      </w:r>
    </w:p>
    <w:p>
      <w:pPr>
        <w:pStyle w:val="BodyText"/>
        <w:rPr>
          <w:b/>
          <w:sz w:val="17"/>
        </w:rPr>
      </w:pPr>
    </w:p>
    <w:tbl>
      <w:tblPr>
        <w:tblW w:w="0" w:type="auto"/>
        <w:jc w:val="left"/>
        <w:tblInd w:w="10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897"/>
        <w:gridCol w:w="2899"/>
        <w:gridCol w:w="2894"/>
      </w:tblGrid>
      <w:tr>
        <w:trPr>
          <w:trHeight w:val="378" w:hRule="exact"/>
        </w:trPr>
        <w:tc>
          <w:tcPr>
            <w:tcW w:w="2897" w:type="dxa"/>
            <w:tcBorders>
              <w:left w:val="single" w:sz="6" w:space="0" w:color="000000"/>
              <w:bottom w:val="single" w:sz="6" w:space="0" w:color="000000"/>
              <w:right w:val="single" w:sz="6" w:space="0" w:color="000000"/>
            </w:tcBorders>
          </w:tcPr>
          <w:p>
            <w:pPr>
              <w:pStyle w:val="TableParagraph"/>
              <w:spacing w:before="60"/>
              <w:ind w:left="59"/>
              <w:jc w:val="left"/>
              <w:rPr>
                <w:b/>
                <w:sz w:val="21"/>
              </w:rPr>
            </w:pPr>
            <w:r>
              <w:rPr>
                <w:b/>
                <w:sz w:val="21"/>
              </w:rPr>
              <w:t>Rubro económico</w:t>
            </w:r>
          </w:p>
        </w:tc>
        <w:tc>
          <w:tcPr>
            <w:tcW w:w="2899" w:type="dxa"/>
            <w:tcBorders>
              <w:left w:val="single" w:sz="6" w:space="0" w:color="000000"/>
              <w:bottom w:val="single" w:sz="6" w:space="0" w:color="000000"/>
              <w:right w:val="single" w:sz="6" w:space="0" w:color="000000"/>
            </w:tcBorders>
          </w:tcPr>
          <w:p>
            <w:pPr>
              <w:pStyle w:val="TableParagraph"/>
              <w:spacing w:before="60"/>
              <w:ind w:left="447" w:right="447"/>
              <w:jc w:val="center"/>
              <w:rPr>
                <w:b/>
                <w:sz w:val="21"/>
              </w:rPr>
            </w:pPr>
            <w:r>
              <w:rPr>
                <w:b/>
                <w:sz w:val="21"/>
              </w:rPr>
              <w:t>Millones de dólares</w:t>
            </w:r>
          </w:p>
        </w:tc>
        <w:tc>
          <w:tcPr>
            <w:tcW w:w="2894" w:type="dxa"/>
            <w:tcBorders>
              <w:left w:val="single" w:sz="6" w:space="0" w:color="000000"/>
              <w:bottom w:val="single" w:sz="6" w:space="0" w:color="000000"/>
              <w:right w:val="single" w:sz="6" w:space="0" w:color="000000"/>
            </w:tcBorders>
          </w:tcPr>
          <w:p>
            <w:pPr>
              <w:pStyle w:val="TableParagraph"/>
              <w:spacing w:before="60"/>
              <w:ind w:left="117"/>
              <w:jc w:val="left"/>
              <w:rPr>
                <w:b/>
                <w:sz w:val="21"/>
              </w:rPr>
            </w:pPr>
            <w:r>
              <w:rPr>
                <w:b/>
                <w:spacing w:val="-3"/>
                <w:sz w:val="21"/>
              </w:rPr>
              <w:t>Porcentaje </w:t>
            </w:r>
            <w:r>
              <w:rPr>
                <w:b/>
                <w:sz w:val="21"/>
              </w:rPr>
              <w:t>de las</w:t>
            </w:r>
            <w:r>
              <w:rPr>
                <w:b/>
                <w:spacing w:val="51"/>
                <w:sz w:val="21"/>
              </w:rPr>
              <w:t> </w:t>
            </w:r>
            <w:r>
              <w:rPr>
                <w:b/>
                <w:spacing w:val="-3"/>
                <w:sz w:val="21"/>
              </w:rPr>
              <w:t>remesas</w:t>
            </w:r>
          </w:p>
        </w:tc>
      </w:tr>
      <w:tr>
        <w:trPr>
          <w:trHeight w:val="377" w:hRule="exact"/>
        </w:trPr>
        <w:tc>
          <w:tcPr>
            <w:tcW w:w="2897" w:type="dxa"/>
            <w:tcBorders>
              <w:top w:val="single" w:sz="6" w:space="0" w:color="000000"/>
              <w:left w:val="single" w:sz="6" w:space="0" w:color="000000"/>
              <w:bottom w:val="single" w:sz="6" w:space="0" w:color="000000"/>
              <w:right w:val="single" w:sz="6" w:space="0" w:color="000000"/>
            </w:tcBorders>
          </w:tcPr>
          <w:p>
            <w:pPr>
              <w:pStyle w:val="TableParagraph"/>
              <w:spacing w:before="60"/>
              <w:ind w:left="59"/>
              <w:jc w:val="left"/>
              <w:rPr>
                <w:sz w:val="21"/>
              </w:rPr>
            </w:pPr>
            <w:r>
              <w:rPr>
                <w:spacing w:val="-3"/>
                <w:sz w:val="21"/>
              </w:rPr>
              <w:t>Remesas</w:t>
            </w:r>
            <w:r>
              <w:rPr>
                <w:spacing w:val="48"/>
                <w:sz w:val="21"/>
              </w:rPr>
              <w:t> </w:t>
            </w:r>
            <w:r>
              <w:rPr>
                <w:spacing w:val="-3"/>
                <w:sz w:val="21"/>
              </w:rPr>
              <w:t>familiares</w:t>
            </w:r>
          </w:p>
        </w:tc>
        <w:tc>
          <w:tcPr>
            <w:tcW w:w="2899" w:type="dxa"/>
            <w:tcBorders>
              <w:top w:val="single" w:sz="6" w:space="0" w:color="000000"/>
              <w:left w:val="single" w:sz="6" w:space="0" w:color="000000"/>
              <w:bottom w:val="single" w:sz="6" w:space="0" w:color="000000"/>
              <w:right w:val="single" w:sz="6" w:space="0" w:color="000000"/>
            </w:tcBorders>
          </w:tcPr>
          <w:p>
            <w:pPr>
              <w:pStyle w:val="TableParagraph"/>
              <w:spacing w:before="60"/>
              <w:ind w:left="447" w:right="447"/>
              <w:jc w:val="center"/>
              <w:rPr>
                <w:sz w:val="21"/>
              </w:rPr>
            </w:pPr>
            <w:r>
              <w:rPr>
                <w:sz w:val="21"/>
              </w:rPr>
              <w:t>5 910.0</w:t>
            </w:r>
          </w:p>
        </w:tc>
        <w:tc>
          <w:tcPr>
            <w:tcW w:w="2894" w:type="dxa"/>
            <w:tcBorders>
              <w:top w:val="single" w:sz="6" w:space="0" w:color="000000"/>
              <w:left w:val="single" w:sz="6" w:space="0" w:color="000000"/>
              <w:bottom w:val="single" w:sz="6" w:space="0" w:color="000000"/>
              <w:right w:val="single" w:sz="6" w:space="0" w:color="000000"/>
            </w:tcBorders>
          </w:tcPr>
          <w:p>
            <w:pPr>
              <w:pStyle w:val="TableParagraph"/>
              <w:spacing w:before="60"/>
              <w:ind w:left="1099" w:right="1097"/>
              <w:jc w:val="center"/>
              <w:rPr>
                <w:sz w:val="21"/>
              </w:rPr>
            </w:pPr>
            <w:r>
              <w:rPr>
                <w:sz w:val="21"/>
              </w:rPr>
              <w:t>100.00</w:t>
            </w:r>
          </w:p>
        </w:tc>
      </w:tr>
      <w:tr>
        <w:trPr>
          <w:trHeight w:val="379" w:hRule="exact"/>
        </w:trPr>
        <w:tc>
          <w:tcPr>
            <w:tcW w:w="2897" w:type="dxa"/>
            <w:tcBorders>
              <w:top w:val="single" w:sz="6" w:space="0" w:color="000000"/>
              <w:left w:val="single" w:sz="6" w:space="0" w:color="000000"/>
              <w:bottom w:val="single" w:sz="6" w:space="0" w:color="000000"/>
              <w:right w:val="single" w:sz="6" w:space="0" w:color="000000"/>
            </w:tcBorders>
          </w:tcPr>
          <w:p>
            <w:pPr>
              <w:pStyle w:val="TableParagraph"/>
              <w:spacing w:before="62"/>
              <w:ind w:left="59"/>
              <w:jc w:val="left"/>
              <w:rPr>
                <w:sz w:val="21"/>
              </w:rPr>
            </w:pPr>
            <w:r>
              <w:rPr>
                <w:sz w:val="21"/>
              </w:rPr>
              <w:t>Exportaciones  petroleras</w:t>
            </w:r>
          </w:p>
        </w:tc>
        <w:tc>
          <w:tcPr>
            <w:tcW w:w="2899" w:type="dxa"/>
            <w:tcBorders>
              <w:top w:val="single" w:sz="6" w:space="0" w:color="000000"/>
              <w:left w:val="single" w:sz="6" w:space="0" w:color="000000"/>
              <w:bottom w:val="single" w:sz="6" w:space="0" w:color="000000"/>
              <w:right w:val="single" w:sz="6" w:space="0" w:color="000000"/>
            </w:tcBorders>
          </w:tcPr>
          <w:p>
            <w:pPr>
              <w:pStyle w:val="TableParagraph"/>
              <w:spacing w:before="62"/>
              <w:ind w:left="447" w:right="447"/>
              <w:jc w:val="center"/>
              <w:rPr>
                <w:sz w:val="21"/>
              </w:rPr>
            </w:pPr>
            <w:r>
              <w:rPr>
                <w:sz w:val="21"/>
              </w:rPr>
              <w:t>6 580.7</w:t>
            </w:r>
          </w:p>
        </w:tc>
        <w:tc>
          <w:tcPr>
            <w:tcW w:w="2894" w:type="dxa"/>
            <w:tcBorders>
              <w:top w:val="single" w:sz="6" w:space="0" w:color="000000"/>
              <w:left w:val="single" w:sz="6" w:space="0" w:color="000000"/>
              <w:bottom w:val="single" w:sz="6" w:space="0" w:color="000000"/>
              <w:right w:val="single" w:sz="6" w:space="0" w:color="000000"/>
            </w:tcBorders>
          </w:tcPr>
          <w:p>
            <w:pPr>
              <w:pStyle w:val="TableParagraph"/>
              <w:spacing w:before="62"/>
              <w:ind w:left="1099" w:right="1097"/>
              <w:jc w:val="center"/>
              <w:rPr>
                <w:sz w:val="21"/>
              </w:rPr>
            </w:pPr>
            <w:r>
              <w:rPr>
                <w:sz w:val="21"/>
              </w:rPr>
              <w:t>111.34</w:t>
            </w:r>
          </w:p>
        </w:tc>
      </w:tr>
      <w:tr>
        <w:trPr>
          <w:trHeight w:val="377" w:hRule="exact"/>
        </w:trPr>
        <w:tc>
          <w:tcPr>
            <w:tcW w:w="2897" w:type="dxa"/>
            <w:tcBorders>
              <w:top w:val="single" w:sz="6" w:space="0" w:color="000000"/>
              <w:left w:val="single" w:sz="6" w:space="0" w:color="000000"/>
              <w:bottom w:val="single" w:sz="6" w:space="0" w:color="000000"/>
              <w:right w:val="single" w:sz="6" w:space="0" w:color="000000"/>
            </w:tcBorders>
          </w:tcPr>
          <w:p>
            <w:pPr>
              <w:pStyle w:val="TableParagraph"/>
              <w:spacing w:before="60"/>
              <w:ind w:left="59"/>
              <w:jc w:val="left"/>
              <w:rPr>
                <w:sz w:val="21"/>
              </w:rPr>
            </w:pPr>
            <w:r>
              <w:rPr>
                <w:sz w:val="21"/>
              </w:rPr>
              <w:t>Turismo</w:t>
            </w:r>
          </w:p>
        </w:tc>
        <w:tc>
          <w:tcPr>
            <w:tcW w:w="2899" w:type="dxa"/>
            <w:tcBorders>
              <w:top w:val="single" w:sz="6" w:space="0" w:color="000000"/>
              <w:left w:val="single" w:sz="6" w:space="0" w:color="000000"/>
              <w:bottom w:val="single" w:sz="6" w:space="0" w:color="000000"/>
              <w:right w:val="single" w:sz="6" w:space="0" w:color="000000"/>
            </w:tcBorders>
          </w:tcPr>
          <w:p>
            <w:pPr>
              <w:pStyle w:val="TableParagraph"/>
              <w:spacing w:before="60"/>
              <w:ind w:left="447" w:right="447"/>
              <w:jc w:val="center"/>
              <w:rPr>
                <w:sz w:val="21"/>
              </w:rPr>
            </w:pPr>
            <w:r>
              <w:rPr>
                <w:sz w:val="21"/>
              </w:rPr>
              <w:t>4 552.7</w:t>
            </w:r>
          </w:p>
        </w:tc>
        <w:tc>
          <w:tcPr>
            <w:tcW w:w="2894" w:type="dxa"/>
            <w:tcBorders>
              <w:top w:val="single" w:sz="6" w:space="0" w:color="000000"/>
              <w:left w:val="single" w:sz="6" w:space="0" w:color="000000"/>
              <w:bottom w:val="single" w:sz="6" w:space="0" w:color="000000"/>
              <w:right w:val="single" w:sz="6" w:space="0" w:color="000000"/>
            </w:tcBorders>
          </w:tcPr>
          <w:p>
            <w:pPr>
              <w:pStyle w:val="TableParagraph"/>
              <w:spacing w:before="60"/>
              <w:ind w:left="1099" w:right="980"/>
              <w:jc w:val="center"/>
              <w:rPr>
                <w:sz w:val="21"/>
              </w:rPr>
            </w:pPr>
            <w:r>
              <w:rPr>
                <w:sz w:val="21"/>
              </w:rPr>
              <w:t>77.04</w:t>
            </w:r>
          </w:p>
        </w:tc>
      </w:tr>
      <w:tr>
        <w:trPr>
          <w:trHeight w:val="379" w:hRule="exact"/>
        </w:trPr>
        <w:tc>
          <w:tcPr>
            <w:tcW w:w="2897" w:type="dxa"/>
            <w:tcBorders>
              <w:top w:val="single" w:sz="6" w:space="0" w:color="000000"/>
              <w:left w:val="single" w:sz="6" w:space="0" w:color="000000"/>
              <w:bottom w:val="single" w:sz="6" w:space="0" w:color="000000"/>
              <w:right w:val="single" w:sz="6" w:space="0" w:color="000000"/>
            </w:tcBorders>
          </w:tcPr>
          <w:p>
            <w:pPr>
              <w:pStyle w:val="TableParagraph"/>
              <w:spacing w:before="60"/>
              <w:ind w:left="59"/>
              <w:jc w:val="left"/>
              <w:rPr>
                <w:sz w:val="21"/>
              </w:rPr>
            </w:pPr>
            <w:r>
              <w:rPr>
                <w:sz w:val="21"/>
              </w:rPr>
              <w:t>Inversión Extranjera Directa</w:t>
            </w:r>
          </w:p>
        </w:tc>
        <w:tc>
          <w:tcPr>
            <w:tcW w:w="2899" w:type="dxa"/>
            <w:tcBorders>
              <w:top w:val="single" w:sz="6" w:space="0" w:color="000000"/>
              <w:left w:val="single" w:sz="6" w:space="0" w:color="000000"/>
              <w:bottom w:val="single" w:sz="6" w:space="0" w:color="000000"/>
              <w:right w:val="single" w:sz="6" w:space="0" w:color="000000"/>
            </w:tcBorders>
          </w:tcPr>
          <w:p>
            <w:pPr>
              <w:pStyle w:val="TableParagraph"/>
              <w:spacing w:before="60"/>
              <w:ind w:left="447" w:right="447"/>
              <w:jc w:val="center"/>
              <w:rPr>
                <w:sz w:val="21"/>
              </w:rPr>
            </w:pPr>
            <w:r>
              <w:rPr>
                <w:sz w:val="21"/>
              </w:rPr>
              <w:t>8 424.9</w:t>
            </w:r>
          </w:p>
        </w:tc>
        <w:tc>
          <w:tcPr>
            <w:tcW w:w="2894" w:type="dxa"/>
            <w:tcBorders>
              <w:top w:val="single" w:sz="6" w:space="0" w:color="000000"/>
              <w:left w:val="single" w:sz="6" w:space="0" w:color="000000"/>
              <w:bottom w:val="single" w:sz="6" w:space="0" w:color="000000"/>
              <w:right w:val="single" w:sz="6" w:space="0" w:color="000000"/>
            </w:tcBorders>
          </w:tcPr>
          <w:p>
            <w:pPr>
              <w:pStyle w:val="TableParagraph"/>
              <w:spacing w:before="60"/>
              <w:ind w:left="1099" w:right="1097"/>
              <w:jc w:val="center"/>
              <w:rPr>
                <w:sz w:val="21"/>
              </w:rPr>
            </w:pPr>
            <w:r>
              <w:rPr>
                <w:sz w:val="21"/>
              </w:rPr>
              <w:t>142.55</w:t>
            </w:r>
          </w:p>
        </w:tc>
      </w:tr>
    </w:tbl>
    <w:p>
      <w:pPr>
        <w:spacing w:line="278" w:lineRule="auto" w:before="2"/>
        <w:ind w:left="175" w:right="183" w:firstLine="0"/>
        <w:jc w:val="both"/>
        <w:rPr>
          <w:sz w:val="21"/>
        </w:rPr>
      </w:pPr>
      <w:r>
        <w:rPr>
          <w:sz w:val="21"/>
        </w:rPr>
        <w:t>Fuente: Santiago, 2001b. “Importancia económica de la migración  internacional  en  México. Análisis desde la perspectiva de las remesas”. Pág. </w:t>
      </w:r>
      <w:r>
        <w:rPr>
          <w:spacing w:val="30"/>
          <w:sz w:val="21"/>
        </w:rPr>
        <w:t> </w:t>
      </w:r>
      <w:r>
        <w:rPr>
          <w:sz w:val="21"/>
        </w:rPr>
        <w:t>45.</w:t>
      </w:r>
    </w:p>
    <w:p>
      <w:pPr>
        <w:pStyle w:val="BodyText"/>
        <w:rPr>
          <w:sz w:val="20"/>
        </w:rPr>
      </w:pPr>
    </w:p>
    <w:p>
      <w:pPr>
        <w:pStyle w:val="BodyText"/>
        <w:rPr>
          <w:sz w:val="20"/>
        </w:rPr>
      </w:pPr>
    </w:p>
    <w:p>
      <w:pPr>
        <w:pStyle w:val="BodyText"/>
        <w:spacing w:before="9"/>
        <w:rPr>
          <w:sz w:val="18"/>
        </w:rPr>
      </w:pPr>
    </w:p>
    <w:p>
      <w:pPr>
        <w:pStyle w:val="BodyText"/>
        <w:spacing w:line="364" w:lineRule="auto"/>
        <w:ind w:left="175" w:right="183"/>
        <w:jc w:val="both"/>
      </w:pPr>
      <w:r>
        <w:rPr>
          <w:spacing w:val="-3"/>
        </w:rPr>
        <w:t>Otra </w:t>
      </w:r>
      <w:r>
        <w:rPr/>
        <w:t>forma de sopesar el impacto macroeconómico de las remesas </w:t>
      </w:r>
      <w:r>
        <w:rPr>
          <w:spacing w:val="-3"/>
        </w:rPr>
        <w:t>ocurre </w:t>
      </w:r>
      <w:r>
        <w:rPr/>
        <w:t>cuando se percibe que del total de hogares </w:t>
      </w:r>
      <w:r>
        <w:rPr>
          <w:spacing w:val="-3"/>
        </w:rPr>
        <w:t>mexicanos, </w:t>
      </w:r>
      <w:r>
        <w:rPr/>
        <w:t>5% </w:t>
      </w:r>
      <w:r>
        <w:rPr>
          <w:spacing w:val="-3"/>
        </w:rPr>
        <w:t>recibía </w:t>
      </w:r>
      <w:r>
        <w:rPr/>
        <w:t>ingresos por concepto  de remesas en </w:t>
      </w:r>
      <w:r>
        <w:rPr>
          <w:spacing w:val="-3"/>
        </w:rPr>
        <w:t>1996. </w:t>
      </w:r>
      <w:r>
        <w:rPr/>
        <w:t>En la división de hogares rurales y urbanos se presentaba la </w:t>
      </w:r>
      <w:r>
        <w:rPr>
          <w:spacing w:val="-3"/>
        </w:rPr>
        <w:t>siguiente situación: mientras </w:t>
      </w:r>
      <w:r>
        <w:rPr/>
        <w:t>que el </w:t>
      </w:r>
      <w:r>
        <w:rPr>
          <w:spacing w:val="-3"/>
        </w:rPr>
        <w:t>6.2% </w:t>
      </w:r>
      <w:r>
        <w:rPr/>
        <w:t>de los </w:t>
      </w:r>
      <w:r>
        <w:rPr>
          <w:spacing w:val="-3"/>
        </w:rPr>
        <w:t>hogares rurales  </w:t>
      </w:r>
      <w:r>
        <w:rPr/>
        <w:t>ingresaban  </w:t>
      </w:r>
      <w:r>
        <w:rPr>
          <w:spacing w:val="-3"/>
        </w:rPr>
        <w:t>remesas </w:t>
      </w:r>
      <w:r>
        <w:rPr/>
        <w:t>en 1992, en 1996 lo hacía 10% de </w:t>
      </w:r>
      <w:r>
        <w:rPr>
          <w:spacing w:val="-3"/>
        </w:rPr>
        <w:t>aquéllos. </w:t>
      </w:r>
      <w:r>
        <w:rPr/>
        <w:t>Para las familias </w:t>
      </w:r>
      <w:r>
        <w:rPr>
          <w:spacing w:val="-3"/>
        </w:rPr>
        <w:t>urbanas </w:t>
      </w:r>
      <w:r>
        <w:rPr/>
        <w:t>se tuvo un cambio de 2.9 a 3.9% durante el mismo </w:t>
      </w:r>
      <w:r>
        <w:rPr>
          <w:spacing w:val="-3"/>
        </w:rPr>
        <w:t>periodo </w:t>
      </w:r>
      <w:r>
        <w:rPr/>
        <w:t>(Santiago,</w:t>
      </w:r>
      <w:r>
        <w:rPr>
          <w:spacing w:val="-1"/>
        </w:rPr>
        <w:t> </w:t>
      </w:r>
      <w:r>
        <w:rPr>
          <w:spacing w:val="-3"/>
        </w:rPr>
        <w:t>2001b:43).</w:t>
      </w:r>
    </w:p>
    <w:p>
      <w:pPr>
        <w:pStyle w:val="BodyText"/>
        <w:rPr>
          <w:sz w:val="22"/>
        </w:rPr>
      </w:pPr>
    </w:p>
    <w:p>
      <w:pPr>
        <w:pStyle w:val="BodyText"/>
        <w:rPr>
          <w:sz w:val="22"/>
        </w:rPr>
      </w:pPr>
    </w:p>
    <w:p>
      <w:pPr>
        <w:pStyle w:val="BodyText"/>
        <w:spacing w:before="3"/>
        <w:rPr>
          <w:sz w:val="25"/>
        </w:rPr>
      </w:pPr>
    </w:p>
    <w:p>
      <w:pPr>
        <w:spacing w:line="367" w:lineRule="auto" w:before="0"/>
        <w:ind w:left="2573" w:right="223" w:hanging="2288"/>
        <w:jc w:val="left"/>
        <w:rPr>
          <w:b/>
          <w:sz w:val="21"/>
        </w:rPr>
      </w:pPr>
      <w:r>
        <w:rPr>
          <w:b/>
          <w:spacing w:val="-3"/>
          <w:sz w:val="21"/>
        </w:rPr>
        <w:t>Cuadro 10. Distribución Relativa </w:t>
      </w:r>
      <w:r>
        <w:rPr>
          <w:b/>
          <w:sz w:val="21"/>
        </w:rPr>
        <w:t>de los </w:t>
      </w:r>
      <w:r>
        <w:rPr>
          <w:b/>
          <w:spacing w:val="-3"/>
          <w:sz w:val="21"/>
        </w:rPr>
        <w:t>Hogares Perceptores </w:t>
      </w:r>
      <w:r>
        <w:rPr>
          <w:b/>
          <w:sz w:val="21"/>
        </w:rPr>
        <w:t>de </w:t>
      </w:r>
      <w:r>
        <w:rPr>
          <w:b/>
          <w:spacing w:val="-3"/>
          <w:sz w:val="21"/>
        </w:rPr>
        <w:t>Remesas, </w:t>
      </w:r>
      <w:r>
        <w:rPr>
          <w:b/>
          <w:sz w:val="21"/>
        </w:rPr>
        <w:t>según la </w:t>
      </w:r>
      <w:r>
        <w:rPr>
          <w:b/>
          <w:spacing w:val="-3"/>
          <w:sz w:val="21"/>
        </w:rPr>
        <w:t>Importancia en su </w:t>
      </w:r>
      <w:r>
        <w:rPr>
          <w:b/>
          <w:spacing w:val="-4"/>
          <w:sz w:val="21"/>
        </w:rPr>
        <w:t>Ingreso </w:t>
      </w:r>
      <w:r>
        <w:rPr>
          <w:b/>
          <w:spacing w:val="-3"/>
          <w:sz w:val="21"/>
        </w:rPr>
        <w:t>Total, </w:t>
      </w:r>
      <w:r>
        <w:rPr>
          <w:b/>
          <w:spacing w:val="51"/>
          <w:sz w:val="21"/>
        </w:rPr>
        <w:t> </w:t>
      </w:r>
      <w:r>
        <w:rPr>
          <w:b/>
          <w:spacing w:val="-3"/>
          <w:sz w:val="21"/>
        </w:rPr>
        <w:t>1996</w:t>
      </w:r>
    </w:p>
    <w:p>
      <w:pPr>
        <w:pStyle w:val="BodyText"/>
        <w:rPr>
          <w:b/>
          <w:sz w:val="17"/>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700"/>
        <w:gridCol w:w="3017"/>
        <w:gridCol w:w="1567"/>
        <w:gridCol w:w="1406"/>
      </w:tblGrid>
      <w:tr>
        <w:trPr>
          <w:trHeight w:val="1318" w:hRule="exact"/>
        </w:trPr>
        <w:tc>
          <w:tcPr>
            <w:tcW w:w="2700" w:type="dxa"/>
          </w:tcPr>
          <w:p>
            <w:pPr>
              <w:pStyle w:val="TableParagraph"/>
              <w:spacing w:line="367" w:lineRule="auto"/>
              <w:ind w:left="59" w:right="56"/>
              <w:jc w:val="both"/>
              <w:rPr>
                <w:b/>
                <w:sz w:val="21"/>
              </w:rPr>
            </w:pPr>
            <w:r>
              <w:rPr>
                <w:b/>
                <w:sz w:val="21"/>
              </w:rPr>
              <w:t>Porcentaje de  las remesas en el ingreso total del hogar</w:t>
            </w:r>
          </w:p>
        </w:tc>
        <w:tc>
          <w:tcPr>
            <w:tcW w:w="3017" w:type="dxa"/>
          </w:tcPr>
          <w:p>
            <w:pPr>
              <w:pStyle w:val="TableParagraph"/>
              <w:spacing w:line="367" w:lineRule="auto"/>
              <w:ind w:left="59" w:right="56"/>
              <w:jc w:val="both"/>
              <w:rPr>
                <w:b/>
                <w:sz w:val="21"/>
              </w:rPr>
            </w:pPr>
            <w:r>
              <w:rPr>
                <w:b/>
                <w:sz w:val="21"/>
              </w:rPr>
              <w:t>Porcentajes del total de los hogares que perciben remesas</w:t>
            </w:r>
          </w:p>
        </w:tc>
        <w:tc>
          <w:tcPr>
            <w:tcW w:w="1567" w:type="dxa"/>
          </w:tcPr>
          <w:p>
            <w:pPr>
              <w:pStyle w:val="TableParagraph"/>
              <w:spacing w:line="367" w:lineRule="auto"/>
              <w:ind w:left="357" w:right="340" w:hanging="5"/>
              <w:jc w:val="left"/>
              <w:rPr>
                <w:b/>
                <w:sz w:val="21"/>
              </w:rPr>
            </w:pPr>
            <w:r>
              <w:rPr>
                <w:b/>
                <w:sz w:val="21"/>
              </w:rPr>
              <w:t>Hogares urbanos</w:t>
            </w:r>
          </w:p>
        </w:tc>
        <w:tc>
          <w:tcPr>
            <w:tcW w:w="1406" w:type="dxa"/>
          </w:tcPr>
          <w:p>
            <w:pPr>
              <w:pStyle w:val="TableParagraph"/>
              <w:spacing w:line="367" w:lineRule="auto"/>
              <w:ind w:left="345" w:right="258" w:hanging="72"/>
              <w:jc w:val="left"/>
              <w:rPr>
                <w:b/>
                <w:sz w:val="21"/>
              </w:rPr>
            </w:pPr>
            <w:r>
              <w:rPr>
                <w:b/>
                <w:sz w:val="21"/>
              </w:rPr>
              <w:t>Hogares rurales</w:t>
            </w:r>
          </w:p>
        </w:tc>
      </w:tr>
      <w:tr>
        <w:trPr>
          <w:trHeight w:val="581" w:hRule="exact"/>
        </w:trPr>
        <w:tc>
          <w:tcPr>
            <w:tcW w:w="2700" w:type="dxa"/>
          </w:tcPr>
          <w:p>
            <w:pPr>
              <w:pStyle w:val="TableParagraph"/>
              <w:spacing w:before="4"/>
              <w:ind w:left="59"/>
              <w:jc w:val="left"/>
              <w:rPr>
                <w:sz w:val="21"/>
              </w:rPr>
            </w:pPr>
            <w:r>
              <w:rPr>
                <w:sz w:val="21"/>
              </w:rPr>
              <w:t>Menos de 25</w:t>
            </w:r>
          </w:p>
        </w:tc>
        <w:tc>
          <w:tcPr>
            <w:tcW w:w="3017" w:type="dxa"/>
          </w:tcPr>
          <w:p>
            <w:pPr>
              <w:pStyle w:val="TableParagraph"/>
              <w:spacing w:before="4"/>
              <w:ind w:left="1276" w:right="1276"/>
              <w:jc w:val="center"/>
              <w:rPr>
                <w:sz w:val="21"/>
              </w:rPr>
            </w:pPr>
            <w:r>
              <w:rPr>
                <w:sz w:val="21"/>
              </w:rPr>
              <w:t>34.3</w:t>
            </w:r>
          </w:p>
        </w:tc>
        <w:tc>
          <w:tcPr>
            <w:tcW w:w="1567" w:type="dxa"/>
          </w:tcPr>
          <w:p>
            <w:pPr>
              <w:pStyle w:val="TableParagraph"/>
              <w:spacing w:before="4"/>
              <w:ind w:right="567"/>
              <w:rPr>
                <w:sz w:val="21"/>
              </w:rPr>
            </w:pPr>
            <w:r>
              <w:rPr>
                <w:sz w:val="21"/>
              </w:rPr>
              <w:t>36.3</w:t>
            </w:r>
          </w:p>
        </w:tc>
        <w:tc>
          <w:tcPr>
            <w:tcW w:w="1406" w:type="dxa"/>
          </w:tcPr>
          <w:p>
            <w:pPr>
              <w:pStyle w:val="TableParagraph"/>
              <w:spacing w:before="4"/>
              <w:ind w:left="471" w:right="471"/>
              <w:jc w:val="center"/>
              <w:rPr>
                <w:sz w:val="21"/>
              </w:rPr>
            </w:pPr>
            <w:r>
              <w:rPr>
                <w:sz w:val="21"/>
              </w:rPr>
              <w:t>32.0</w:t>
            </w:r>
          </w:p>
        </w:tc>
      </w:tr>
      <w:tr>
        <w:trPr>
          <w:trHeight w:val="578" w:hRule="exact"/>
        </w:trPr>
        <w:tc>
          <w:tcPr>
            <w:tcW w:w="2700" w:type="dxa"/>
          </w:tcPr>
          <w:p>
            <w:pPr>
              <w:pStyle w:val="TableParagraph"/>
              <w:spacing w:before="0"/>
              <w:ind w:left="59"/>
              <w:jc w:val="left"/>
              <w:rPr>
                <w:sz w:val="21"/>
              </w:rPr>
            </w:pPr>
            <w:r>
              <w:rPr>
                <w:sz w:val="21"/>
              </w:rPr>
              <w:t>De 25 a 49.9</w:t>
            </w:r>
          </w:p>
        </w:tc>
        <w:tc>
          <w:tcPr>
            <w:tcW w:w="3017" w:type="dxa"/>
          </w:tcPr>
          <w:p>
            <w:pPr>
              <w:pStyle w:val="TableParagraph"/>
              <w:spacing w:before="0"/>
              <w:ind w:left="1276" w:right="1276"/>
              <w:jc w:val="center"/>
              <w:rPr>
                <w:sz w:val="21"/>
              </w:rPr>
            </w:pPr>
            <w:r>
              <w:rPr>
                <w:sz w:val="21"/>
              </w:rPr>
              <w:t>26.7</w:t>
            </w:r>
          </w:p>
        </w:tc>
        <w:tc>
          <w:tcPr>
            <w:tcW w:w="1567" w:type="dxa"/>
          </w:tcPr>
          <w:p>
            <w:pPr>
              <w:pStyle w:val="TableParagraph"/>
              <w:spacing w:before="0"/>
              <w:ind w:right="567"/>
              <w:rPr>
                <w:sz w:val="21"/>
              </w:rPr>
            </w:pPr>
            <w:r>
              <w:rPr>
                <w:sz w:val="21"/>
              </w:rPr>
              <w:t>28.6</w:t>
            </w:r>
          </w:p>
        </w:tc>
        <w:tc>
          <w:tcPr>
            <w:tcW w:w="1406" w:type="dxa"/>
          </w:tcPr>
          <w:p>
            <w:pPr>
              <w:pStyle w:val="TableParagraph"/>
              <w:spacing w:before="0"/>
              <w:ind w:left="471" w:right="471"/>
              <w:jc w:val="center"/>
              <w:rPr>
                <w:sz w:val="21"/>
              </w:rPr>
            </w:pPr>
            <w:r>
              <w:rPr>
                <w:sz w:val="21"/>
              </w:rPr>
              <w:t>23.2</w:t>
            </w:r>
          </w:p>
        </w:tc>
      </w:tr>
      <w:tr>
        <w:trPr>
          <w:trHeight w:val="577" w:hRule="exact"/>
        </w:trPr>
        <w:tc>
          <w:tcPr>
            <w:tcW w:w="2700" w:type="dxa"/>
            <w:tcBorders>
              <w:bottom w:val="single" w:sz="5" w:space="0" w:color="000000"/>
            </w:tcBorders>
          </w:tcPr>
          <w:p>
            <w:pPr>
              <w:pStyle w:val="TableParagraph"/>
              <w:ind w:left="59"/>
              <w:jc w:val="left"/>
              <w:rPr>
                <w:sz w:val="21"/>
              </w:rPr>
            </w:pPr>
            <w:r>
              <w:rPr>
                <w:sz w:val="21"/>
              </w:rPr>
              <w:t>De 50 a 74.9</w:t>
            </w:r>
          </w:p>
        </w:tc>
        <w:tc>
          <w:tcPr>
            <w:tcW w:w="3017" w:type="dxa"/>
            <w:tcBorders>
              <w:bottom w:val="single" w:sz="5" w:space="0" w:color="000000"/>
            </w:tcBorders>
          </w:tcPr>
          <w:p>
            <w:pPr>
              <w:pStyle w:val="TableParagraph"/>
              <w:ind w:left="1276" w:right="1276"/>
              <w:jc w:val="center"/>
              <w:rPr>
                <w:sz w:val="21"/>
              </w:rPr>
            </w:pPr>
            <w:r>
              <w:rPr>
                <w:sz w:val="21"/>
              </w:rPr>
              <w:t>22.5</w:t>
            </w:r>
          </w:p>
        </w:tc>
        <w:tc>
          <w:tcPr>
            <w:tcW w:w="1567" w:type="dxa"/>
            <w:tcBorders>
              <w:bottom w:val="single" w:sz="5" w:space="0" w:color="000000"/>
            </w:tcBorders>
          </w:tcPr>
          <w:p>
            <w:pPr>
              <w:pStyle w:val="TableParagraph"/>
              <w:ind w:right="567"/>
              <w:rPr>
                <w:sz w:val="21"/>
              </w:rPr>
            </w:pPr>
            <w:r>
              <w:rPr>
                <w:sz w:val="21"/>
              </w:rPr>
              <w:t>20.3</w:t>
            </w:r>
          </w:p>
        </w:tc>
        <w:tc>
          <w:tcPr>
            <w:tcW w:w="1406" w:type="dxa"/>
            <w:tcBorders>
              <w:bottom w:val="single" w:sz="5" w:space="0" w:color="000000"/>
            </w:tcBorders>
          </w:tcPr>
          <w:p>
            <w:pPr>
              <w:pStyle w:val="TableParagraph"/>
              <w:ind w:left="471" w:right="471"/>
              <w:jc w:val="center"/>
              <w:rPr>
                <w:sz w:val="21"/>
              </w:rPr>
            </w:pPr>
            <w:r>
              <w:rPr>
                <w:sz w:val="21"/>
              </w:rPr>
              <w:t>25.2</w:t>
            </w:r>
          </w:p>
        </w:tc>
      </w:tr>
      <w:tr>
        <w:trPr>
          <w:trHeight w:val="580" w:hRule="exact"/>
        </w:trPr>
        <w:tc>
          <w:tcPr>
            <w:tcW w:w="2700" w:type="dxa"/>
            <w:tcBorders>
              <w:top w:val="single" w:sz="5" w:space="0" w:color="000000"/>
            </w:tcBorders>
          </w:tcPr>
          <w:p>
            <w:pPr>
              <w:pStyle w:val="TableParagraph"/>
              <w:spacing w:before="4"/>
              <w:ind w:left="59"/>
              <w:jc w:val="left"/>
              <w:rPr>
                <w:sz w:val="21"/>
              </w:rPr>
            </w:pPr>
            <w:r>
              <w:rPr>
                <w:sz w:val="21"/>
              </w:rPr>
              <w:t>Más de 75</w:t>
            </w:r>
          </w:p>
        </w:tc>
        <w:tc>
          <w:tcPr>
            <w:tcW w:w="3017" w:type="dxa"/>
            <w:tcBorders>
              <w:top w:val="single" w:sz="5" w:space="0" w:color="000000"/>
            </w:tcBorders>
          </w:tcPr>
          <w:p>
            <w:pPr>
              <w:pStyle w:val="TableParagraph"/>
              <w:spacing w:before="4"/>
              <w:ind w:left="1276" w:right="1276"/>
              <w:jc w:val="center"/>
              <w:rPr>
                <w:sz w:val="21"/>
              </w:rPr>
            </w:pPr>
            <w:r>
              <w:rPr>
                <w:sz w:val="21"/>
              </w:rPr>
              <w:t>17.0</w:t>
            </w:r>
          </w:p>
        </w:tc>
        <w:tc>
          <w:tcPr>
            <w:tcW w:w="1567" w:type="dxa"/>
            <w:tcBorders>
              <w:top w:val="single" w:sz="5" w:space="0" w:color="000000"/>
            </w:tcBorders>
          </w:tcPr>
          <w:p>
            <w:pPr>
              <w:pStyle w:val="TableParagraph"/>
              <w:spacing w:before="4"/>
              <w:ind w:right="567"/>
              <w:rPr>
                <w:sz w:val="21"/>
              </w:rPr>
            </w:pPr>
            <w:r>
              <w:rPr>
                <w:sz w:val="21"/>
              </w:rPr>
              <w:t>14.8</w:t>
            </w:r>
          </w:p>
        </w:tc>
        <w:tc>
          <w:tcPr>
            <w:tcW w:w="1406" w:type="dxa"/>
            <w:tcBorders>
              <w:top w:val="single" w:sz="5" w:space="0" w:color="000000"/>
            </w:tcBorders>
          </w:tcPr>
          <w:p>
            <w:pPr>
              <w:pStyle w:val="TableParagraph"/>
              <w:spacing w:before="4"/>
              <w:ind w:left="471" w:right="471"/>
              <w:jc w:val="center"/>
              <w:rPr>
                <w:sz w:val="21"/>
              </w:rPr>
            </w:pPr>
            <w:r>
              <w:rPr>
                <w:sz w:val="21"/>
              </w:rPr>
              <w:t>19.6</w:t>
            </w:r>
          </w:p>
        </w:tc>
      </w:tr>
    </w:tbl>
    <w:p>
      <w:pPr>
        <w:spacing w:line="280" w:lineRule="auto" w:before="2"/>
        <w:ind w:left="175" w:right="223" w:firstLine="0"/>
        <w:jc w:val="left"/>
        <w:rPr>
          <w:sz w:val="21"/>
        </w:rPr>
      </w:pPr>
      <w:r>
        <w:rPr>
          <w:sz w:val="21"/>
        </w:rPr>
        <w:t>Fuente: Santiago, 2001b. “Importancia económica de la migración  internacional  en  México. Análisis desde la perspectiva de las remesas”. Pág. </w:t>
      </w:r>
      <w:r>
        <w:rPr>
          <w:spacing w:val="32"/>
          <w:sz w:val="21"/>
        </w:rPr>
        <w:t> </w:t>
      </w:r>
      <w:r>
        <w:rPr>
          <w:sz w:val="21"/>
        </w:rPr>
        <w:t>44.</w:t>
      </w:r>
    </w:p>
    <w:p>
      <w:pPr>
        <w:spacing w:after="0" w:line="280" w:lineRule="auto"/>
        <w:jc w:val="left"/>
        <w:rPr>
          <w:sz w:val="21"/>
        </w:rPr>
        <w:sectPr>
          <w:footerReference w:type="default" r:id="rId26"/>
          <w:pgSz w:w="11900" w:h="16840"/>
          <w:pgMar w:footer="1679" w:header="0" w:top="1600" w:bottom="1860" w:left="1480" w:right="1500"/>
          <w:pgNumType w:start="60"/>
        </w:sectPr>
      </w:pPr>
    </w:p>
    <w:p>
      <w:pPr>
        <w:pStyle w:val="BodyText"/>
        <w:rPr>
          <w:sz w:val="20"/>
        </w:rPr>
      </w:pPr>
    </w:p>
    <w:p>
      <w:pPr>
        <w:pStyle w:val="BodyText"/>
        <w:spacing w:before="7"/>
        <w:rPr>
          <w:sz w:val="16"/>
        </w:rPr>
      </w:pPr>
    </w:p>
    <w:p>
      <w:pPr>
        <w:pStyle w:val="BodyText"/>
        <w:spacing w:line="364" w:lineRule="auto" w:before="74"/>
        <w:ind w:left="115" w:right="103"/>
        <w:jc w:val="both"/>
      </w:pPr>
      <w:r>
        <w:rPr/>
        <w:t>La </w:t>
      </w:r>
      <w:r>
        <w:rPr>
          <w:spacing w:val="-3"/>
        </w:rPr>
        <w:t>importancia </w:t>
      </w:r>
      <w:r>
        <w:rPr/>
        <w:t>de las </w:t>
      </w:r>
      <w:r>
        <w:rPr>
          <w:spacing w:val="-3"/>
        </w:rPr>
        <w:t>remesas </w:t>
      </w:r>
      <w:r>
        <w:rPr/>
        <w:t>en </w:t>
      </w:r>
      <w:r>
        <w:rPr>
          <w:spacing w:val="-3"/>
        </w:rPr>
        <w:t>el </w:t>
      </w:r>
      <w:r>
        <w:rPr/>
        <w:t>ingreso total </w:t>
      </w:r>
      <w:r>
        <w:rPr>
          <w:spacing w:val="-3"/>
        </w:rPr>
        <w:t>que </w:t>
      </w:r>
      <w:r>
        <w:rPr/>
        <w:t>perciben las familias es </w:t>
      </w:r>
      <w:r>
        <w:rPr>
          <w:spacing w:val="-3"/>
        </w:rPr>
        <w:t>considerable. </w:t>
      </w:r>
      <w:r>
        <w:rPr/>
        <w:t>En efecto, para </w:t>
      </w:r>
      <w:r>
        <w:rPr>
          <w:spacing w:val="-3"/>
        </w:rPr>
        <w:t>numerosas </w:t>
      </w:r>
      <w:r>
        <w:rPr/>
        <w:t>familias, </w:t>
      </w:r>
      <w:r>
        <w:rPr>
          <w:spacing w:val="-3"/>
        </w:rPr>
        <w:t>principalmente </w:t>
      </w:r>
      <w:r>
        <w:rPr/>
        <w:t>del  </w:t>
      </w:r>
      <w:r>
        <w:rPr>
          <w:spacing w:val="-3"/>
        </w:rPr>
        <w:t>medio  </w:t>
      </w:r>
      <w:r>
        <w:rPr/>
        <w:t>rural, las </w:t>
      </w:r>
      <w:r>
        <w:rPr>
          <w:spacing w:val="-3"/>
        </w:rPr>
        <w:t>remesas </w:t>
      </w:r>
      <w:r>
        <w:rPr>
          <w:spacing w:val="-2"/>
        </w:rPr>
        <w:t>ocupan </w:t>
      </w:r>
      <w:r>
        <w:rPr/>
        <w:t>un lugar </w:t>
      </w:r>
      <w:r>
        <w:rPr>
          <w:spacing w:val="-3"/>
        </w:rPr>
        <w:t>fundamental </w:t>
      </w:r>
      <w:r>
        <w:rPr/>
        <w:t>y </w:t>
      </w:r>
      <w:r>
        <w:rPr>
          <w:spacing w:val="-3"/>
        </w:rPr>
        <w:t>determinan </w:t>
      </w:r>
      <w:r>
        <w:rPr/>
        <w:t>su </w:t>
      </w:r>
      <w:r>
        <w:rPr>
          <w:spacing w:val="-2"/>
        </w:rPr>
        <w:t>existencia </w:t>
      </w:r>
      <w:r>
        <w:rPr/>
        <w:t>y su nivel de </w:t>
      </w:r>
      <w:r>
        <w:rPr>
          <w:spacing w:val="-3"/>
        </w:rPr>
        <w:t>consumo. </w:t>
      </w:r>
      <w:r>
        <w:rPr/>
        <w:t>En 1996, por ejemplo para 20% de los </w:t>
      </w:r>
      <w:r>
        <w:rPr>
          <w:spacing w:val="-3"/>
        </w:rPr>
        <w:t>hogares </w:t>
      </w:r>
      <w:r>
        <w:rPr/>
        <w:t>rurales </w:t>
      </w:r>
      <w:r>
        <w:rPr>
          <w:spacing w:val="-3"/>
        </w:rPr>
        <w:t>perceptores </w:t>
      </w:r>
      <w:r>
        <w:rPr/>
        <w:t>de </w:t>
      </w:r>
      <w:r>
        <w:rPr>
          <w:spacing w:val="-3"/>
        </w:rPr>
        <w:t>remesas </w:t>
      </w:r>
      <w:r>
        <w:rPr/>
        <w:t>este ingreso por sí solo significó tres </w:t>
      </w:r>
      <w:r>
        <w:rPr>
          <w:spacing w:val="-3"/>
        </w:rPr>
        <w:t>cuartos </w:t>
      </w:r>
      <w:r>
        <w:rPr/>
        <w:t>o más del ingreso total que </w:t>
      </w:r>
      <w:r>
        <w:rPr>
          <w:spacing w:val="-3"/>
        </w:rPr>
        <w:t>dichos </w:t>
      </w:r>
      <w:r>
        <w:rPr/>
        <w:t>hogares </w:t>
      </w:r>
      <w:r>
        <w:rPr>
          <w:spacing w:val="-3"/>
        </w:rPr>
        <w:t>percibieron </w:t>
      </w:r>
      <w:r>
        <w:rPr/>
        <w:t>en ese </w:t>
      </w:r>
      <w:r>
        <w:rPr>
          <w:spacing w:val="-3"/>
        </w:rPr>
        <w:t>año. </w:t>
      </w:r>
      <w:r>
        <w:rPr/>
        <w:t>Otro 45% de </w:t>
      </w:r>
      <w:r>
        <w:rPr>
          <w:spacing w:val="-3"/>
        </w:rPr>
        <w:t>esas familias  </w:t>
      </w:r>
      <w:r>
        <w:rPr/>
        <w:t>cubrían con  esas </w:t>
      </w:r>
      <w:r>
        <w:rPr>
          <w:spacing w:val="-3"/>
        </w:rPr>
        <w:t>remesas </w:t>
      </w:r>
      <w:r>
        <w:rPr/>
        <w:t>50% o más de su ingreso </w:t>
      </w:r>
      <w:r>
        <w:rPr>
          <w:spacing w:val="-3"/>
        </w:rPr>
        <w:t>total </w:t>
      </w:r>
      <w:r>
        <w:rPr>
          <w:spacing w:val="-2"/>
        </w:rPr>
        <w:t>(véase </w:t>
      </w:r>
      <w:r>
        <w:rPr>
          <w:spacing w:val="-3"/>
        </w:rPr>
        <w:t>el </w:t>
      </w:r>
      <w:r>
        <w:rPr>
          <w:spacing w:val="-2"/>
        </w:rPr>
        <w:t>cuadro </w:t>
      </w:r>
      <w:r>
        <w:rPr/>
        <w:t>10)</w:t>
      </w:r>
      <w:r>
        <w:rPr>
          <w:spacing w:val="53"/>
        </w:rPr>
        <w:t> </w:t>
      </w:r>
      <w:r>
        <w:rPr>
          <w:spacing w:val="-3"/>
        </w:rPr>
        <w:t>(Idem).</w:t>
      </w:r>
    </w:p>
    <w:p>
      <w:pPr>
        <w:pStyle w:val="BodyText"/>
        <w:rPr>
          <w:sz w:val="22"/>
        </w:rPr>
      </w:pPr>
    </w:p>
    <w:p>
      <w:pPr>
        <w:pStyle w:val="BodyText"/>
        <w:spacing w:line="364" w:lineRule="auto" w:before="155"/>
        <w:ind w:left="115" w:right="105"/>
        <w:jc w:val="both"/>
      </w:pPr>
      <w:r>
        <w:rPr/>
        <w:t>A lo anterior, se puede agregar que tomando como base las estadísticas de Nacional Financiera (NAFIN) (1981:356) y las de CNA (1999:11) y calculando el número de salarios mínimos rurales por año vigentes en el territorio nacional a los que equivale el total de las remesas familiares captadas, encontramos que esta cifra se ha incrementado paulatinamente desde 317,330 salarios  mínimos generales anuales en 1943 hasta 2`543,052 en 1994 y 5’319,684 en </w:t>
      </w:r>
      <w:r>
        <w:rPr>
          <w:spacing w:val="24"/>
        </w:rPr>
        <w:t> </w:t>
      </w:r>
      <w:r>
        <w:rPr/>
        <w:t>1998.</w:t>
      </w:r>
    </w:p>
    <w:p>
      <w:pPr>
        <w:pStyle w:val="BodyText"/>
        <w:rPr>
          <w:sz w:val="22"/>
        </w:rPr>
      </w:pPr>
    </w:p>
    <w:p>
      <w:pPr>
        <w:pStyle w:val="BodyText"/>
        <w:spacing w:line="364" w:lineRule="auto" w:before="155"/>
        <w:ind w:left="115" w:right="104"/>
        <w:jc w:val="both"/>
      </w:pPr>
      <w:r>
        <w:rPr/>
        <w:t>Como se </w:t>
      </w:r>
      <w:r>
        <w:rPr>
          <w:spacing w:val="-3"/>
        </w:rPr>
        <w:t>ha </w:t>
      </w:r>
      <w:r>
        <w:rPr>
          <w:spacing w:val="-2"/>
        </w:rPr>
        <w:t>puesto </w:t>
      </w:r>
      <w:r>
        <w:rPr/>
        <w:t>de </w:t>
      </w:r>
      <w:r>
        <w:rPr>
          <w:spacing w:val="-3"/>
        </w:rPr>
        <w:t>manifiesto, </w:t>
      </w:r>
      <w:r>
        <w:rPr/>
        <w:t>para considerar la importancia </w:t>
      </w:r>
      <w:r>
        <w:rPr>
          <w:spacing w:val="-3"/>
        </w:rPr>
        <w:t>de </w:t>
      </w:r>
      <w:r>
        <w:rPr/>
        <w:t>la migración y </w:t>
      </w:r>
      <w:r>
        <w:rPr>
          <w:spacing w:val="-3"/>
        </w:rPr>
        <w:t>sus </w:t>
      </w:r>
      <w:r>
        <w:rPr/>
        <w:t>efectos es </w:t>
      </w:r>
      <w:r>
        <w:rPr>
          <w:spacing w:val="-3"/>
        </w:rPr>
        <w:t>indispensable </w:t>
      </w:r>
      <w:r>
        <w:rPr/>
        <w:t>tomar en cuenta </w:t>
      </w:r>
      <w:r>
        <w:rPr>
          <w:spacing w:val="-3"/>
        </w:rPr>
        <w:t>el número </w:t>
      </w:r>
      <w:r>
        <w:rPr/>
        <w:t>de </w:t>
      </w:r>
      <w:r>
        <w:rPr>
          <w:spacing w:val="-3"/>
        </w:rPr>
        <w:t>personas  </w:t>
      </w:r>
      <w:r>
        <w:rPr/>
        <w:t>que  </w:t>
      </w:r>
      <w:r>
        <w:rPr>
          <w:spacing w:val="-3"/>
        </w:rPr>
        <w:t>participan </w:t>
      </w:r>
      <w:r>
        <w:rPr/>
        <w:t>en el </w:t>
      </w:r>
      <w:r>
        <w:rPr>
          <w:spacing w:val="-3"/>
        </w:rPr>
        <w:t>fenómeno </w:t>
      </w:r>
      <w:r>
        <w:rPr/>
        <w:t>y la manera en la cual lo </w:t>
      </w:r>
      <w:r>
        <w:rPr>
          <w:spacing w:val="-3"/>
        </w:rPr>
        <w:t>hacen. </w:t>
      </w:r>
      <w:r>
        <w:rPr/>
        <w:t>Así </w:t>
      </w:r>
      <w:r>
        <w:rPr>
          <w:spacing w:val="-3"/>
        </w:rPr>
        <w:t>mismo, </w:t>
      </w:r>
      <w:r>
        <w:rPr/>
        <w:t>sería </w:t>
      </w:r>
      <w:r>
        <w:rPr>
          <w:spacing w:val="-3"/>
        </w:rPr>
        <w:t>necesario </w:t>
      </w:r>
      <w:r>
        <w:rPr/>
        <w:t>incorporar al análisis el </w:t>
      </w:r>
      <w:r>
        <w:rPr>
          <w:spacing w:val="-3"/>
        </w:rPr>
        <w:t>incentivo </w:t>
      </w:r>
      <w:r>
        <w:rPr/>
        <w:t>o </w:t>
      </w:r>
      <w:r>
        <w:rPr>
          <w:spacing w:val="-3"/>
        </w:rPr>
        <w:t>desaliento </w:t>
      </w:r>
      <w:r>
        <w:rPr/>
        <w:t>que </w:t>
      </w:r>
      <w:r>
        <w:rPr>
          <w:spacing w:val="-3"/>
        </w:rPr>
        <w:t>provenga </w:t>
      </w:r>
      <w:r>
        <w:rPr/>
        <w:t>de las  </w:t>
      </w:r>
      <w:r>
        <w:rPr>
          <w:spacing w:val="-3"/>
        </w:rPr>
        <w:t>señales emitidas </w:t>
      </w:r>
      <w:r>
        <w:rPr/>
        <w:t>por la </w:t>
      </w:r>
      <w:r>
        <w:rPr>
          <w:spacing w:val="-3"/>
        </w:rPr>
        <w:t>política económica. “Otros </w:t>
      </w:r>
      <w:r>
        <w:rPr/>
        <w:t>factores necesarios a </w:t>
      </w:r>
      <w:r>
        <w:rPr>
          <w:spacing w:val="-3"/>
        </w:rPr>
        <w:t>examinar incluyen </w:t>
      </w:r>
      <w:r>
        <w:rPr/>
        <w:t>las </w:t>
      </w:r>
      <w:r>
        <w:rPr>
          <w:spacing w:val="-3"/>
        </w:rPr>
        <w:t>regiones </w:t>
      </w:r>
      <w:r>
        <w:rPr/>
        <w:t>y localidades de </w:t>
      </w:r>
      <w:r>
        <w:rPr>
          <w:spacing w:val="-2"/>
        </w:rPr>
        <w:t>origen </w:t>
      </w:r>
      <w:r>
        <w:rPr/>
        <w:t>de las </w:t>
      </w:r>
      <w:r>
        <w:rPr>
          <w:spacing w:val="-3"/>
        </w:rPr>
        <w:t>migraciones </w:t>
      </w:r>
      <w:r>
        <w:rPr/>
        <w:t>y aún </w:t>
      </w:r>
      <w:r>
        <w:rPr>
          <w:spacing w:val="-3"/>
        </w:rPr>
        <w:t>aquellos lugares </w:t>
      </w:r>
      <w:r>
        <w:rPr/>
        <w:t>que han cambiado </w:t>
      </w:r>
      <w:r>
        <w:rPr>
          <w:spacing w:val="-3"/>
        </w:rPr>
        <w:t>gradualmente </w:t>
      </w:r>
      <w:r>
        <w:rPr/>
        <w:t>en el </w:t>
      </w:r>
      <w:r>
        <w:rPr>
          <w:spacing w:val="-3"/>
        </w:rPr>
        <w:t>tiempo, </w:t>
      </w:r>
      <w:r>
        <w:rPr/>
        <w:t>puesto que los impactos </w:t>
      </w:r>
      <w:r>
        <w:rPr>
          <w:spacing w:val="-2"/>
        </w:rPr>
        <w:t>serían </w:t>
      </w:r>
      <w:r>
        <w:rPr>
          <w:spacing w:val="-3"/>
        </w:rPr>
        <w:t>diferentes dependiendo </w:t>
      </w:r>
      <w:r>
        <w:rPr/>
        <w:t>de la </w:t>
      </w:r>
      <w:r>
        <w:rPr>
          <w:spacing w:val="-3"/>
        </w:rPr>
        <w:t>concentración </w:t>
      </w:r>
      <w:r>
        <w:rPr/>
        <w:t>o </w:t>
      </w:r>
      <w:r>
        <w:rPr>
          <w:spacing w:val="-3"/>
        </w:rPr>
        <w:t>dispersión de </w:t>
      </w:r>
      <w:r>
        <w:rPr/>
        <w:t>la </w:t>
      </w:r>
      <w:r>
        <w:rPr>
          <w:spacing w:val="-3"/>
        </w:rPr>
        <w:t>migración así </w:t>
      </w:r>
      <w:r>
        <w:rPr/>
        <w:t>como los años de exposición </w:t>
      </w:r>
      <w:r>
        <w:rPr>
          <w:spacing w:val="-3"/>
        </w:rPr>
        <w:t>al fenómeno” </w:t>
      </w:r>
      <w:r>
        <w:rPr/>
        <w:t>(Verduzco y </w:t>
      </w:r>
      <w:r>
        <w:rPr>
          <w:spacing w:val="-2"/>
        </w:rPr>
        <w:t>Unger,</w:t>
      </w:r>
      <w:r>
        <w:rPr>
          <w:spacing w:val="34"/>
        </w:rPr>
        <w:t> </w:t>
      </w:r>
      <w:r>
        <w:rPr>
          <w:spacing w:val="-3"/>
        </w:rPr>
        <w:t>1998:402).</w:t>
      </w:r>
    </w:p>
    <w:p>
      <w:pPr>
        <w:pStyle w:val="BodyText"/>
        <w:rPr>
          <w:sz w:val="22"/>
        </w:rPr>
      </w:pPr>
    </w:p>
    <w:p>
      <w:pPr>
        <w:pStyle w:val="BodyText"/>
        <w:spacing w:line="364" w:lineRule="auto" w:before="155"/>
        <w:ind w:left="115" w:right="102"/>
        <w:jc w:val="both"/>
      </w:pPr>
      <w:r>
        <w:rPr/>
        <w:t>Si </w:t>
      </w:r>
      <w:r>
        <w:rPr>
          <w:spacing w:val="-3"/>
        </w:rPr>
        <w:t>bien </w:t>
      </w:r>
      <w:r>
        <w:rPr/>
        <w:t>los recursos </w:t>
      </w:r>
      <w:r>
        <w:rPr>
          <w:spacing w:val="-3"/>
        </w:rPr>
        <w:t>provenientes </w:t>
      </w:r>
      <w:r>
        <w:rPr/>
        <w:t>de la </w:t>
      </w:r>
      <w:r>
        <w:rPr>
          <w:spacing w:val="-2"/>
        </w:rPr>
        <w:t>emigración </w:t>
      </w:r>
      <w:r>
        <w:rPr>
          <w:spacing w:val="-3"/>
        </w:rPr>
        <w:t>internacional  </w:t>
      </w:r>
      <w:r>
        <w:rPr/>
        <w:t>son  de  </w:t>
      </w:r>
      <w:r>
        <w:rPr>
          <w:spacing w:val="-3"/>
        </w:rPr>
        <w:t>considerable </w:t>
      </w:r>
      <w:r>
        <w:rPr/>
        <w:t>importancia para </w:t>
      </w:r>
      <w:r>
        <w:rPr>
          <w:spacing w:val="-3"/>
        </w:rPr>
        <w:t>el país, </w:t>
      </w:r>
      <w:r>
        <w:rPr/>
        <w:t>sus </w:t>
      </w:r>
      <w:r>
        <w:rPr>
          <w:spacing w:val="-3"/>
        </w:rPr>
        <w:t>repercusiones económicas </w:t>
      </w:r>
      <w:r>
        <w:rPr/>
        <w:t>se expresan de manera </w:t>
      </w:r>
      <w:r>
        <w:rPr>
          <w:spacing w:val="-3"/>
        </w:rPr>
        <w:t>preponderante </w:t>
      </w:r>
      <w:r>
        <w:rPr/>
        <w:t>en ciertas regiones y </w:t>
      </w:r>
      <w:r>
        <w:rPr>
          <w:spacing w:val="-3"/>
        </w:rPr>
        <w:t>localidades. </w:t>
      </w:r>
      <w:r>
        <w:rPr/>
        <w:t>Aunque el flujo </w:t>
      </w:r>
      <w:r>
        <w:rPr>
          <w:spacing w:val="-3"/>
        </w:rPr>
        <w:t>migratorio </w:t>
      </w:r>
      <w:r>
        <w:rPr/>
        <w:t>hacia Estados Unidos se </w:t>
      </w:r>
      <w:r>
        <w:rPr>
          <w:spacing w:val="-3"/>
        </w:rPr>
        <w:t>origina </w:t>
      </w:r>
      <w:r>
        <w:rPr/>
        <w:t>en miles de comunidades </w:t>
      </w:r>
      <w:r>
        <w:rPr>
          <w:spacing w:val="-3"/>
        </w:rPr>
        <w:t>de </w:t>
      </w:r>
      <w:r>
        <w:rPr/>
        <w:t>todo </w:t>
      </w:r>
      <w:r>
        <w:rPr>
          <w:spacing w:val="-3"/>
        </w:rPr>
        <w:t>México, el </w:t>
      </w:r>
      <w:r>
        <w:rPr/>
        <w:t>grueso de esa </w:t>
      </w:r>
      <w:r>
        <w:rPr>
          <w:spacing w:val="-2"/>
        </w:rPr>
        <w:t>corriente </w:t>
      </w:r>
      <w:r>
        <w:rPr/>
        <w:t>procede de poco más de un centenar de </w:t>
      </w:r>
      <w:r>
        <w:rPr>
          <w:spacing w:val="-3"/>
        </w:rPr>
        <w:t>municipios</w:t>
      </w:r>
      <w:r>
        <w:rPr>
          <w:spacing w:val="27"/>
        </w:rPr>
        <w:t> </w:t>
      </w:r>
      <w:r>
        <w:rPr/>
        <w:t>de</w:t>
      </w:r>
      <w:r>
        <w:rPr>
          <w:spacing w:val="22"/>
        </w:rPr>
        <w:t> </w:t>
      </w:r>
      <w:r>
        <w:rPr/>
        <w:t>las</w:t>
      </w:r>
      <w:r>
        <w:rPr>
          <w:spacing w:val="23"/>
        </w:rPr>
        <w:t> </w:t>
      </w:r>
      <w:r>
        <w:rPr>
          <w:spacing w:val="-3"/>
        </w:rPr>
        <w:t>entidades</w:t>
      </w:r>
      <w:r>
        <w:rPr>
          <w:spacing w:val="21"/>
        </w:rPr>
        <w:t> </w:t>
      </w:r>
      <w:r>
        <w:rPr>
          <w:spacing w:val="-3"/>
        </w:rPr>
        <w:t>federativas</w:t>
      </w:r>
      <w:r>
        <w:rPr>
          <w:spacing w:val="27"/>
        </w:rPr>
        <w:t> </w:t>
      </w:r>
      <w:r>
        <w:rPr/>
        <w:t>de</w:t>
      </w:r>
      <w:r>
        <w:rPr>
          <w:spacing w:val="25"/>
        </w:rPr>
        <w:t> </w:t>
      </w:r>
      <w:r>
        <w:rPr>
          <w:spacing w:val="-3"/>
        </w:rPr>
        <w:t>occidente</w:t>
      </w:r>
      <w:r>
        <w:rPr>
          <w:spacing w:val="25"/>
        </w:rPr>
        <w:t> </w:t>
      </w:r>
      <w:r>
        <w:rPr/>
        <w:t>y</w:t>
      </w:r>
      <w:r>
        <w:rPr>
          <w:spacing w:val="21"/>
        </w:rPr>
        <w:t> </w:t>
      </w:r>
      <w:r>
        <w:rPr>
          <w:spacing w:val="-3"/>
        </w:rPr>
        <w:t>el</w:t>
      </w:r>
      <w:r>
        <w:rPr>
          <w:spacing w:val="27"/>
        </w:rPr>
        <w:t> </w:t>
      </w:r>
      <w:r>
        <w:rPr>
          <w:spacing w:val="-3"/>
        </w:rPr>
        <w:t>norte</w:t>
      </w:r>
      <w:r>
        <w:rPr>
          <w:spacing w:val="25"/>
        </w:rPr>
        <w:t> </w:t>
      </w:r>
      <w:r>
        <w:rPr/>
        <w:t>de</w:t>
      </w:r>
      <w:r>
        <w:rPr>
          <w:spacing w:val="22"/>
        </w:rPr>
        <w:t> </w:t>
      </w:r>
      <w:r>
        <w:rPr/>
        <w:t>la</w:t>
      </w:r>
      <w:r>
        <w:rPr>
          <w:spacing w:val="25"/>
        </w:rPr>
        <w:t> </w:t>
      </w:r>
      <w:r>
        <w:rPr>
          <w:spacing w:val="-3"/>
        </w:rPr>
        <w:t>república.</w:t>
      </w:r>
      <w:r>
        <w:rPr>
          <w:spacing w:val="25"/>
        </w:rPr>
        <w:t> </w:t>
      </w:r>
      <w:r>
        <w:rPr/>
        <w:t>De</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0" w:lineRule="auto" w:before="74"/>
        <w:ind w:left="115" w:right="103"/>
        <w:jc w:val="both"/>
      </w:pPr>
      <w:r>
        <w:rPr/>
        <w:t>esa </w:t>
      </w:r>
      <w:r>
        <w:rPr>
          <w:spacing w:val="-3"/>
        </w:rPr>
        <w:t>forma, </w:t>
      </w:r>
      <w:r>
        <w:rPr/>
        <w:t>las remesas </w:t>
      </w:r>
      <w:r>
        <w:rPr>
          <w:spacing w:val="-3"/>
        </w:rPr>
        <w:t>provenientes </w:t>
      </w:r>
      <w:r>
        <w:rPr/>
        <w:t>del vecino </w:t>
      </w:r>
      <w:r>
        <w:rPr>
          <w:spacing w:val="-3"/>
        </w:rPr>
        <w:t>del norte </w:t>
      </w:r>
      <w:r>
        <w:rPr/>
        <w:t>que reciben los hogares  de los </w:t>
      </w:r>
      <w:r>
        <w:rPr>
          <w:spacing w:val="-3"/>
        </w:rPr>
        <w:t>emigrantes </w:t>
      </w:r>
      <w:r>
        <w:rPr/>
        <w:t>tienen como </w:t>
      </w:r>
      <w:r>
        <w:rPr>
          <w:spacing w:val="-3"/>
        </w:rPr>
        <w:t>destino </w:t>
      </w:r>
      <w:r>
        <w:rPr/>
        <w:t>un </w:t>
      </w:r>
      <w:r>
        <w:rPr>
          <w:spacing w:val="-3"/>
        </w:rPr>
        <w:t>espacio </w:t>
      </w:r>
      <w:r>
        <w:rPr/>
        <w:t>más o menos </w:t>
      </w:r>
      <w:r>
        <w:rPr>
          <w:spacing w:val="-3"/>
        </w:rPr>
        <w:t>acotado </w:t>
      </w:r>
      <w:r>
        <w:rPr/>
        <w:t>del  </w:t>
      </w:r>
      <w:r>
        <w:rPr>
          <w:spacing w:val="-3"/>
        </w:rPr>
        <w:t>territorio nacional </w:t>
      </w:r>
      <w:r>
        <w:rPr/>
        <w:t>y </w:t>
      </w:r>
      <w:r>
        <w:rPr>
          <w:spacing w:val="-3"/>
        </w:rPr>
        <w:t>constituyen </w:t>
      </w:r>
      <w:r>
        <w:rPr/>
        <w:t>un recurso </w:t>
      </w:r>
      <w:r>
        <w:rPr>
          <w:spacing w:val="-3"/>
        </w:rPr>
        <w:t>económico fundamental </w:t>
      </w:r>
      <w:r>
        <w:rPr/>
        <w:t>para el </w:t>
      </w:r>
      <w:r>
        <w:rPr>
          <w:spacing w:val="-3"/>
        </w:rPr>
        <w:t>sostenimiento </w:t>
      </w:r>
      <w:r>
        <w:rPr/>
        <w:t>familiar </w:t>
      </w:r>
      <w:r>
        <w:rPr>
          <w:spacing w:val="-3"/>
        </w:rPr>
        <w:t>en </w:t>
      </w:r>
      <w:r>
        <w:rPr/>
        <w:t>esas </w:t>
      </w:r>
      <w:r>
        <w:rPr>
          <w:spacing w:val="-3"/>
        </w:rPr>
        <w:t>comunidades. </w:t>
      </w:r>
      <w:r>
        <w:rPr/>
        <w:t>Es al </w:t>
      </w:r>
      <w:r>
        <w:rPr>
          <w:spacing w:val="-3"/>
        </w:rPr>
        <w:t>mismo </w:t>
      </w:r>
      <w:r>
        <w:rPr/>
        <w:t>tiempo elemento </w:t>
      </w:r>
      <w:r>
        <w:rPr>
          <w:spacing w:val="-3"/>
        </w:rPr>
        <w:t>dinamizador </w:t>
      </w:r>
      <w:r>
        <w:rPr/>
        <w:t>(en </w:t>
      </w:r>
      <w:r>
        <w:rPr>
          <w:spacing w:val="-3"/>
        </w:rPr>
        <w:t>algunos </w:t>
      </w:r>
      <w:r>
        <w:rPr/>
        <w:t>casos </w:t>
      </w:r>
      <w:r>
        <w:rPr>
          <w:spacing w:val="-3"/>
        </w:rPr>
        <w:t>imprescindible) </w:t>
      </w:r>
      <w:r>
        <w:rPr/>
        <w:t>de ciertos </w:t>
      </w:r>
      <w:r>
        <w:rPr>
          <w:spacing w:val="-3"/>
        </w:rPr>
        <w:t>sectores  </w:t>
      </w:r>
      <w:r>
        <w:rPr/>
        <w:t>de  las  </w:t>
      </w:r>
      <w:r>
        <w:rPr>
          <w:spacing w:val="-3"/>
        </w:rPr>
        <w:t>economías locales </w:t>
      </w:r>
      <w:r>
        <w:rPr/>
        <w:t>y </w:t>
      </w:r>
      <w:r>
        <w:rPr>
          <w:spacing w:val="-3"/>
        </w:rPr>
        <w:t>regionales, </w:t>
      </w:r>
      <w:r>
        <w:rPr/>
        <w:t>como el </w:t>
      </w:r>
      <w:r>
        <w:rPr>
          <w:spacing w:val="-3"/>
        </w:rPr>
        <w:t>comercio </w:t>
      </w:r>
      <w:r>
        <w:rPr/>
        <w:t>(Castro y </w:t>
      </w:r>
      <w:r>
        <w:rPr>
          <w:spacing w:val="-3"/>
        </w:rPr>
        <w:t>Tuirán, </w:t>
      </w:r>
      <w:r>
        <w:rPr>
          <w:spacing w:val="49"/>
        </w:rPr>
        <w:t> </w:t>
      </w:r>
      <w:r>
        <w:rPr>
          <w:spacing w:val="-2"/>
        </w:rPr>
        <w:t>2000:320)</w:t>
      </w:r>
      <w:r>
        <w:rPr>
          <w:spacing w:val="-2"/>
          <w:position w:val="11"/>
          <w:sz w:val="15"/>
        </w:rPr>
        <w:t>78</w:t>
      </w:r>
      <w:r>
        <w:rPr>
          <w:spacing w:val="-2"/>
        </w:rPr>
        <w:t>.</w:t>
      </w:r>
    </w:p>
    <w:p>
      <w:pPr>
        <w:pStyle w:val="BodyText"/>
        <w:spacing w:before="3"/>
        <w:rPr>
          <w:sz w:val="34"/>
        </w:rPr>
      </w:pPr>
    </w:p>
    <w:p>
      <w:pPr>
        <w:pStyle w:val="BodyText"/>
        <w:spacing w:line="364" w:lineRule="auto"/>
        <w:ind w:left="115" w:right="103"/>
        <w:jc w:val="both"/>
      </w:pPr>
      <w:r>
        <w:rPr/>
        <w:t>Los </w:t>
      </w:r>
      <w:r>
        <w:rPr>
          <w:spacing w:val="-3"/>
        </w:rPr>
        <w:t>efectos </w:t>
      </w:r>
      <w:r>
        <w:rPr/>
        <w:t>de la migración varían según las </w:t>
      </w:r>
      <w:r>
        <w:rPr>
          <w:spacing w:val="-3"/>
        </w:rPr>
        <w:t>regiones </w:t>
      </w:r>
      <w:r>
        <w:rPr/>
        <w:t>y la </w:t>
      </w:r>
      <w:r>
        <w:rPr>
          <w:spacing w:val="-3"/>
        </w:rPr>
        <w:t>antigüedad </w:t>
      </w:r>
      <w:r>
        <w:rPr/>
        <w:t>del </w:t>
      </w:r>
      <w:r>
        <w:rPr>
          <w:spacing w:val="-3"/>
        </w:rPr>
        <w:t>proceso. </w:t>
      </w:r>
      <w:r>
        <w:rPr/>
        <w:t>En </w:t>
      </w:r>
      <w:r>
        <w:rPr>
          <w:spacing w:val="-2"/>
        </w:rPr>
        <w:t>México </w:t>
      </w:r>
      <w:r>
        <w:rPr/>
        <w:t>la migración intensa se ha concentrado en la </w:t>
      </w:r>
      <w:r>
        <w:rPr>
          <w:spacing w:val="-3"/>
        </w:rPr>
        <w:t>denominada </w:t>
      </w:r>
      <w:r>
        <w:rPr/>
        <w:t>zona </w:t>
      </w:r>
      <w:r>
        <w:rPr>
          <w:spacing w:val="-3"/>
        </w:rPr>
        <w:t>tradicional </w:t>
      </w:r>
      <w:r>
        <w:rPr/>
        <w:t>conformada por </w:t>
      </w:r>
      <w:r>
        <w:rPr>
          <w:spacing w:val="-3"/>
        </w:rPr>
        <w:t>los </w:t>
      </w:r>
      <w:r>
        <w:rPr/>
        <w:t>estados de Jalisco, Michoacán, </w:t>
      </w:r>
      <w:r>
        <w:rPr>
          <w:spacing w:val="-3"/>
        </w:rPr>
        <w:t>Guanajuato, Chihuahua, Durango, Zacatecas, etc. (Cebada, 2000:354). </w:t>
      </w:r>
      <w:r>
        <w:rPr/>
        <w:t>En ésta </w:t>
      </w:r>
      <w:r>
        <w:rPr>
          <w:spacing w:val="-2"/>
        </w:rPr>
        <w:t>podría </w:t>
      </w:r>
      <w:r>
        <w:rPr>
          <w:spacing w:val="-3"/>
        </w:rPr>
        <w:t>ocurrir </w:t>
      </w:r>
      <w:r>
        <w:rPr/>
        <w:t>lo que según Santiago </w:t>
      </w:r>
      <w:r>
        <w:rPr>
          <w:spacing w:val="-3"/>
        </w:rPr>
        <w:t>(2001a:3), </w:t>
      </w:r>
      <w:r>
        <w:rPr/>
        <w:t>pasa en </w:t>
      </w:r>
      <w:r>
        <w:rPr>
          <w:spacing w:val="-3"/>
        </w:rPr>
        <w:t>algunas regiones mexicanas </w:t>
      </w:r>
      <w:r>
        <w:rPr/>
        <w:t>en donde su </w:t>
      </w:r>
      <w:r>
        <w:rPr>
          <w:spacing w:val="-3"/>
        </w:rPr>
        <w:t>importancia también </w:t>
      </w:r>
      <w:r>
        <w:rPr/>
        <w:t>se </w:t>
      </w:r>
      <w:r>
        <w:rPr>
          <w:spacing w:val="-2"/>
        </w:rPr>
        <w:t>deriva </w:t>
      </w:r>
      <w:r>
        <w:rPr/>
        <w:t>de que esta </w:t>
      </w:r>
      <w:r>
        <w:rPr>
          <w:spacing w:val="-3"/>
        </w:rPr>
        <w:t>práctica </w:t>
      </w:r>
      <w:r>
        <w:rPr/>
        <w:t>se ha convertido incluso en un </w:t>
      </w:r>
      <w:r>
        <w:rPr>
          <w:i/>
        </w:rPr>
        <w:t>modus vivendi</w:t>
      </w:r>
      <w:r>
        <w:rPr/>
        <w:t>. Este concepto concuerda con </w:t>
      </w:r>
      <w:r>
        <w:rPr>
          <w:spacing w:val="-3"/>
        </w:rPr>
        <w:t>el </w:t>
      </w:r>
      <w:r>
        <w:rPr/>
        <w:t>de </w:t>
      </w:r>
      <w:r>
        <w:rPr>
          <w:spacing w:val="-3"/>
        </w:rPr>
        <w:t>Pries (1997:18) </w:t>
      </w:r>
      <w:r>
        <w:rPr>
          <w:spacing w:val="-2"/>
        </w:rPr>
        <w:t>cuando  </w:t>
      </w:r>
      <w:r>
        <w:rPr/>
        <w:t>habla  de </w:t>
      </w:r>
      <w:r>
        <w:rPr>
          <w:spacing w:val="-3"/>
        </w:rPr>
        <w:t>comunidades </w:t>
      </w:r>
      <w:r>
        <w:rPr/>
        <w:t>y </w:t>
      </w:r>
      <w:r>
        <w:rPr>
          <w:spacing w:val="-3"/>
        </w:rPr>
        <w:t>espacios </w:t>
      </w:r>
      <w:r>
        <w:rPr/>
        <w:t>migratorios </w:t>
      </w:r>
      <w:r>
        <w:rPr>
          <w:spacing w:val="11"/>
        </w:rPr>
        <w:t> </w:t>
      </w:r>
      <w:r>
        <w:rPr>
          <w:spacing w:val="-3"/>
        </w:rPr>
        <w:t>transnacionales.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4"/>
        </w:rPr>
      </w:pPr>
      <w:r>
        <w:rPr/>
        <w:pict>
          <v:line style="position:absolute;mso-position-horizontal-relative:page;mso-position-vertical-relative:paragraph;z-index:2368;mso-wrap-distance-left:0;mso-wrap-distance-right:0" from="82.799995pt,10.573352pt" to="222.959992pt,10.573352pt" stroked="true" strokeweight=".72pt" strokecolor="#000000">
            <w10:wrap type="topAndBottom"/>
          </v:line>
        </w:pict>
      </w:r>
    </w:p>
    <w:p>
      <w:pPr>
        <w:spacing w:line="283" w:lineRule="auto" w:before="41"/>
        <w:ind w:left="115" w:right="103" w:firstLine="0"/>
        <w:jc w:val="both"/>
        <w:rPr>
          <w:sz w:val="19"/>
        </w:rPr>
      </w:pPr>
      <w:r>
        <w:rPr>
          <w:position w:val="10"/>
          <w:sz w:val="12"/>
        </w:rPr>
        <w:t>78 </w:t>
      </w:r>
      <w:r>
        <w:rPr>
          <w:sz w:val="19"/>
        </w:rPr>
        <w:t>Tomando como ejemplo el análisis de tres países que son casos aislados y esporádicos, se  pueden ver algunas características notorias de actividades  comerciales  escasamente  generalizadas. Por ejemplo, en un estudio realizado en la República Dominicana, el 90.3% de los dueños de negocios habían vivido en el extranjero, 89.4% habían comenzado sus negocios con dinero ganado en el exterior, 42.5% aún recibían envíos. Refiriéndose a El Salvador, el mismo informe señala que los envíos beneficiaron a 55% de la población de ese país y que constituyeron    el 72% del ingreso familiar regular. Ello propició que la gente viera la emigración y los envíos como un mecanismo de movilidad social (CEPAL, citado por Meyers, 2000:283). “En El Salvador, los pequeños negocios que recibían envíos se apoyaban mucho en ellos, lo cual reducía la necesidad  de crédito bancario... un tercio de éstos dependían de los envíos para comenzar y dos tercios para mantener sus empresas, con lo cual los envíos casi tomaron el papel del  ingreso  normal  del negocio, ya que éste no estaba disponible por los problemas sociales,  políticos  y económicos  de ese país”</w:t>
      </w:r>
      <w:r>
        <w:rPr>
          <w:spacing w:val="29"/>
          <w:sz w:val="19"/>
        </w:rPr>
        <w:t> </w:t>
      </w:r>
      <w:r>
        <w:rPr>
          <w:sz w:val="19"/>
        </w:rPr>
        <w:t>(Idem).</w:t>
      </w:r>
    </w:p>
    <w:p>
      <w:pPr>
        <w:spacing w:after="0" w:line="283" w:lineRule="auto"/>
        <w:jc w:val="both"/>
        <w:rPr>
          <w:sz w:val="19"/>
        </w:rPr>
        <w:sectPr>
          <w:pgSz w:w="11900" w:h="16840"/>
          <w:pgMar w:header="0" w:footer="1679" w:top="1600" w:bottom="1860" w:left="1540" w:right="1580"/>
        </w:sectPr>
      </w:pPr>
    </w:p>
    <w:p>
      <w:pPr>
        <w:pStyle w:val="BodyText"/>
        <w:rPr>
          <w:sz w:val="20"/>
        </w:rPr>
      </w:pPr>
    </w:p>
    <w:p>
      <w:pPr>
        <w:pStyle w:val="BodyText"/>
        <w:spacing w:before="1"/>
        <w:rPr>
          <w:sz w:val="16"/>
        </w:rPr>
      </w:pPr>
    </w:p>
    <w:p>
      <w:pPr>
        <w:spacing w:before="77"/>
        <w:ind w:left="603" w:right="223" w:firstLine="0"/>
        <w:jc w:val="left"/>
        <w:rPr>
          <w:b/>
          <w:sz w:val="21"/>
        </w:rPr>
      </w:pPr>
      <w:r>
        <w:rPr>
          <w:b/>
          <w:sz w:val="21"/>
        </w:rPr>
        <w:t>Cuadro 11. Principal Uso de las Remesas por Región y Subregión de   Destino</w:t>
      </w:r>
    </w:p>
    <w:p>
      <w:pPr>
        <w:pStyle w:val="BodyText"/>
        <w:spacing w:before="3"/>
        <w:rPr>
          <w:b/>
          <w:sz w:val="28"/>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232"/>
        <w:gridCol w:w="1015"/>
        <w:gridCol w:w="1013"/>
        <w:gridCol w:w="1142"/>
        <w:gridCol w:w="1644"/>
        <w:gridCol w:w="1644"/>
      </w:tblGrid>
      <w:tr>
        <w:trPr>
          <w:trHeight w:val="1116" w:hRule="exact"/>
        </w:trPr>
        <w:tc>
          <w:tcPr>
            <w:tcW w:w="2232" w:type="dxa"/>
          </w:tcPr>
          <w:p>
            <w:pPr>
              <w:pStyle w:val="TableParagraph"/>
              <w:spacing w:before="0"/>
              <w:jc w:val="left"/>
              <w:rPr>
                <w:b/>
                <w:sz w:val="20"/>
              </w:rPr>
            </w:pPr>
          </w:p>
          <w:p>
            <w:pPr>
              <w:pStyle w:val="TableParagraph"/>
              <w:spacing w:before="132"/>
              <w:ind w:left="59" w:right="48"/>
              <w:jc w:val="left"/>
              <w:rPr>
                <w:b/>
                <w:sz w:val="21"/>
              </w:rPr>
            </w:pPr>
            <w:r>
              <w:rPr>
                <w:b/>
                <w:sz w:val="21"/>
              </w:rPr>
              <w:t>Concepto</w:t>
            </w:r>
          </w:p>
        </w:tc>
        <w:tc>
          <w:tcPr>
            <w:tcW w:w="1015" w:type="dxa"/>
          </w:tcPr>
          <w:p>
            <w:pPr>
              <w:pStyle w:val="TableParagraph"/>
              <w:spacing w:before="0"/>
              <w:jc w:val="left"/>
              <w:rPr>
                <w:b/>
                <w:sz w:val="20"/>
              </w:rPr>
            </w:pPr>
          </w:p>
          <w:p>
            <w:pPr>
              <w:pStyle w:val="TableParagraph"/>
              <w:spacing w:before="132"/>
              <w:ind w:left="43" w:right="41"/>
              <w:jc w:val="center"/>
              <w:rPr>
                <w:b/>
                <w:sz w:val="21"/>
              </w:rPr>
            </w:pPr>
            <w:r>
              <w:rPr>
                <w:b/>
                <w:sz w:val="21"/>
              </w:rPr>
              <w:t>Nacional</w:t>
            </w:r>
          </w:p>
        </w:tc>
        <w:tc>
          <w:tcPr>
            <w:tcW w:w="1013" w:type="dxa"/>
          </w:tcPr>
          <w:p>
            <w:pPr>
              <w:pStyle w:val="TableParagraph"/>
              <w:spacing w:before="0"/>
              <w:jc w:val="left"/>
              <w:rPr>
                <w:b/>
                <w:sz w:val="20"/>
              </w:rPr>
            </w:pPr>
          </w:p>
          <w:p>
            <w:pPr>
              <w:pStyle w:val="TableParagraph"/>
              <w:spacing w:line="242" w:lineRule="auto" w:before="132"/>
              <w:ind w:left="59" w:right="44" w:firstLine="160"/>
              <w:jc w:val="left"/>
              <w:rPr>
                <w:b/>
                <w:sz w:val="21"/>
              </w:rPr>
            </w:pPr>
            <w:r>
              <w:rPr>
                <w:b/>
                <w:sz w:val="21"/>
              </w:rPr>
              <w:t>Otras regiones</w:t>
            </w:r>
          </w:p>
        </w:tc>
        <w:tc>
          <w:tcPr>
            <w:tcW w:w="1142" w:type="dxa"/>
          </w:tcPr>
          <w:p>
            <w:pPr>
              <w:pStyle w:val="TableParagraph"/>
              <w:spacing w:before="57"/>
              <w:ind w:left="188" w:right="187"/>
              <w:jc w:val="center"/>
              <w:rPr>
                <w:b/>
                <w:sz w:val="21"/>
              </w:rPr>
            </w:pPr>
            <w:r>
              <w:rPr>
                <w:b/>
                <w:sz w:val="21"/>
              </w:rPr>
              <w:t>Región</w:t>
            </w:r>
          </w:p>
          <w:p>
            <w:pPr>
              <w:pStyle w:val="TableParagraph"/>
              <w:spacing w:line="242" w:lineRule="auto" w:before="63"/>
              <w:ind w:left="59" w:right="56" w:firstLine="2"/>
              <w:jc w:val="center"/>
              <w:rPr>
                <w:b/>
                <w:sz w:val="21"/>
              </w:rPr>
            </w:pPr>
            <w:r>
              <w:rPr>
                <w:b/>
                <w:sz w:val="21"/>
              </w:rPr>
              <w:t>de alta migración</w:t>
            </w:r>
          </w:p>
        </w:tc>
        <w:tc>
          <w:tcPr>
            <w:tcW w:w="1644" w:type="dxa"/>
          </w:tcPr>
          <w:p>
            <w:pPr>
              <w:pStyle w:val="TableParagraph"/>
              <w:spacing w:line="244" w:lineRule="auto" w:before="57"/>
              <w:ind w:left="59" w:right="53" w:hanging="3"/>
              <w:jc w:val="center"/>
              <w:rPr>
                <w:b/>
                <w:sz w:val="21"/>
              </w:rPr>
            </w:pPr>
            <w:r>
              <w:rPr>
                <w:b/>
                <w:sz w:val="21"/>
              </w:rPr>
              <w:t>Municipios fuera de las zonas metropolitanas</w:t>
            </w:r>
          </w:p>
        </w:tc>
        <w:tc>
          <w:tcPr>
            <w:tcW w:w="1644" w:type="dxa"/>
          </w:tcPr>
          <w:p>
            <w:pPr>
              <w:pStyle w:val="TableParagraph"/>
              <w:spacing w:line="244" w:lineRule="auto" w:before="57"/>
              <w:ind w:left="59" w:right="56" w:hanging="8"/>
              <w:jc w:val="center"/>
              <w:rPr>
                <w:b/>
                <w:sz w:val="21"/>
              </w:rPr>
            </w:pPr>
            <w:r>
              <w:rPr>
                <w:b/>
                <w:sz w:val="21"/>
              </w:rPr>
              <w:t>municipios de las zonas metropolitanas</w:t>
            </w:r>
          </w:p>
        </w:tc>
      </w:tr>
      <w:tr>
        <w:trPr>
          <w:trHeight w:val="624" w:hRule="exact"/>
        </w:trPr>
        <w:tc>
          <w:tcPr>
            <w:tcW w:w="2232" w:type="dxa"/>
          </w:tcPr>
          <w:p>
            <w:pPr>
              <w:pStyle w:val="TableParagraph"/>
              <w:spacing w:line="242" w:lineRule="auto" w:before="60"/>
              <w:ind w:left="59" w:right="48"/>
              <w:jc w:val="left"/>
              <w:rPr>
                <w:sz w:val="21"/>
              </w:rPr>
            </w:pPr>
            <w:r>
              <w:rPr>
                <w:sz w:val="21"/>
              </w:rPr>
              <w:t>Alimentación y  pago de renta</w:t>
            </w:r>
          </w:p>
        </w:tc>
        <w:tc>
          <w:tcPr>
            <w:tcW w:w="1015" w:type="dxa"/>
          </w:tcPr>
          <w:p>
            <w:pPr>
              <w:pStyle w:val="TableParagraph"/>
              <w:spacing w:before="60"/>
              <w:ind w:left="42" w:right="41"/>
              <w:jc w:val="center"/>
              <w:rPr>
                <w:sz w:val="21"/>
              </w:rPr>
            </w:pPr>
            <w:r>
              <w:rPr>
                <w:sz w:val="21"/>
              </w:rPr>
              <w:t>66.70</w:t>
            </w:r>
          </w:p>
        </w:tc>
        <w:tc>
          <w:tcPr>
            <w:tcW w:w="1013" w:type="dxa"/>
          </w:tcPr>
          <w:p>
            <w:pPr>
              <w:pStyle w:val="TableParagraph"/>
              <w:spacing w:before="60"/>
              <w:ind w:left="216" w:right="216"/>
              <w:jc w:val="center"/>
              <w:rPr>
                <w:sz w:val="21"/>
              </w:rPr>
            </w:pPr>
            <w:r>
              <w:rPr>
                <w:sz w:val="21"/>
              </w:rPr>
              <w:t>72.40</w:t>
            </w:r>
          </w:p>
        </w:tc>
        <w:tc>
          <w:tcPr>
            <w:tcW w:w="1142" w:type="dxa"/>
          </w:tcPr>
          <w:p>
            <w:pPr>
              <w:pStyle w:val="TableParagraph"/>
              <w:spacing w:before="60"/>
              <w:ind w:left="188" w:right="184"/>
              <w:jc w:val="center"/>
              <w:rPr>
                <w:sz w:val="21"/>
              </w:rPr>
            </w:pPr>
            <w:r>
              <w:rPr>
                <w:sz w:val="21"/>
              </w:rPr>
              <w:t>61.90</w:t>
            </w:r>
          </w:p>
        </w:tc>
        <w:tc>
          <w:tcPr>
            <w:tcW w:w="1644" w:type="dxa"/>
          </w:tcPr>
          <w:p>
            <w:pPr>
              <w:pStyle w:val="TableParagraph"/>
              <w:spacing w:before="60"/>
              <w:ind w:right="547"/>
              <w:rPr>
                <w:sz w:val="21"/>
              </w:rPr>
            </w:pPr>
            <w:r>
              <w:rPr>
                <w:sz w:val="21"/>
              </w:rPr>
              <w:t>66.70</w:t>
            </w:r>
          </w:p>
        </w:tc>
        <w:tc>
          <w:tcPr>
            <w:tcW w:w="1644" w:type="dxa"/>
          </w:tcPr>
          <w:p>
            <w:pPr>
              <w:pStyle w:val="TableParagraph"/>
              <w:spacing w:before="60"/>
              <w:ind w:left="532" w:right="532"/>
              <w:jc w:val="center"/>
              <w:rPr>
                <w:sz w:val="21"/>
              </w:rPr>
            </w:pPr>
            <w:r>
              <w:rPr>
                <w:sz w:val="21"/>
              </w:rPr>
              <w:t>54.60</w:t>
            </w:r>
          </w:p>
        </w:tc>
      </w:tr>
      <w:tr>
        <w:trPr>
          <w:trHeight w:val="1116" w:hRule="exact"/>
        </w:trPr>
        <w:tc>
          <w:tcPr>
            <w:tcW w:w="2232" w:type="dxa"/>
          </w:tcPr>
          <w:p>
            <w:pPr>
              <w:pStyle w:val="TableParagraph"/>
              <w:spacing w:line="244" w:lineRule="auto" w:before="60"/>
              <w:ind w:left="59" w:right="667"/>
              <w:jc w:val="left"/>
              <w:rPr>
                <w:sz w:val="21"/>
              </w:rPr>
            </w:pPr>
            <w:r>
              <w:rPr>
                <w:sz w:val="21"/>
              </w:rPr>
              <w:t>Compra, remodelación o construcción de vivienda</w:t>
            </w:r>
          </w:p>
        </w:tc>
        <w:tc>
          <w:tcPr>
            <w:tcW w:w="1015" w:type="dxa"/>
          </w:tcPr>
          <w:p>
            <w:pPr>
              <w:pStyle w:val="TableParagraph"/>
              <w:spacing w:before="0"/>
              <w:jc w:val="left"/>
              <w:rPr>
                <w:b/>
                <w:sz w:val="20"/>
              </w:rPr>
            </w:pPr>
          </w:p>
          <w:p>
            <w:pPr>
              <w:pStyle w:val="TableParagraph"/>
              <w:spacing w:before="132"/>
              <w:ind w:left="42" w:right="41"/>
              <w:jc w:val="center"/>
              <w:rPr>
                <w:sz w:val="21"/>
              </w:rPr>
            </w:pPr>
            <w:r>
              <w:rPr>
                <w:sz w:val="21"/>
              </w:rPr>
              <w:t>26.50</w:t>
            </w:r>
          </w:p>
        </w:tc>
        <w:tc>
          <w:tcPr>
            <w:tcW w:w="1013" w:type="dxa"/>
          </w:tcPr>
          <w:p>
            <w:pPr>
              <w:pStyle w:val="TableParagraph"/>
              <w:spacing w:before="0"/>
              <w:jc w:val="left"/>
              <w:rPr>
                <w:b/>
                <w:sz w:val="20"/>
              </w:rPr>
            </w:pPr>
          </w:p>
          <w:p>
            <w:pPr>
              <w:pStyle w:val="TableParagraph"/>
              <w:spacing w:before="132"/>
              <w:ind w:left="216" w:right="216"/>
              <w:jc w:val="center"/>
              <w:rPr>
                <w:sz w:val="21"/>
              </w:rPr>
            </w:pPr>
            <w:r>
              <w:rPr>
                <w:sz w:val="21"/>
              </w:rPr>
              <w:t>19.50</w:t>
            </w:r>
          </w:p>
        </w:tc>
        <w:tc>
          <w:tcPr>
            <w:tcW w:w="1142" w:type="dxa"/>
          </w:tcPr>
          <w:p>
            <w:pPr>
              <w:pStyle w:val="TableParagraph"/>
              <w:spacing w:before="0"/>
              <w:jc w:val="left"/>
              <w:rPr>
                <w:b/>
                <w:sz w:val="20"/>
              </w:rPr>
            </w:pPr>
          </w:p>
          <w:p>
            <w:pPr>
              <w:pStyle w:val="TableParagraph"/>
              <w:spacing w:before="132"/>
              <w:ind w:left="188" w:right="184"/>
              <w:jc w:val="center"/>
              <w:rPr>
                <w:sz w:val="21"/>
              </w:rPr>
            </w:pPr>
            <w:r>
              <w:rPr>
                <w:sz w:val="21"/>
              </w:rPr>
              <w:t>32.30</w:t>
            </w:r>
          </w:p>
        </w:tc>
        <w:tc>
          <w:tcPr>
            <w:tcW w:w="1644" w:type="dxa"/>
          </w:tcPr>
          <w:p>
            <w:pPr>
              <w:pStyle w:val="TableParagraph"/>
              <w:spacing w:before="0"/>
              <w:jc w:val="left"/>
              <w:rPr>
                <w:b/>
                <w:sz w:val="20"/>
              </w:rPr>
            </w:pPr>
          </w:p>
          <w:p>
            <w:pPr>
              <w:pStyle w:val="TableParagraph"/>
              <w:spacing w:before="132"/>
              <w:ind w:right="548"/>
              <w:rPr>
                <w:sz w:val="21"/>
              </w:rPr>
            </w:pPr>
            <w:r>
              <w:rPr>
                <w:sz w:val="21"/>
              </w:rPr>
              <w:t>28.00</w:t>
            </w:r>
          </w:p>
        </w:tc>
        <w:tc>
          <w:tcPr>
            <w:tcW w:w="1644" w:type="dxa"/>
          </w:tcPr>
          <w:p>
            <w:pPr>
              <w:pStyle w:val="TableParagraph"/>
              <w:spacing w:before="0"/>
              <w:jc w:val="left"/>
              <w:rPr>
                <w:b/>
                <w:sz w:val="20"/>
              </w:rPr>
            </w:pPr>
          </w:p>
          <w:p>
            <w:pPr>
              <w:pStyle w:val="TableParagraph"/>
              <w:spacing w:before="132"/>
              <w:ind w:left="532" w:right="532"/>
              <w:jc w:val="center"/>
              <w:rPr>
                <w:sz w:val="21"/>
              </w:rPr>
            </w:pPr>
            <w:r>
              <w:rPr>
                <w:sz w:val="21"/>
              </w:rPr>
              <w:t>38.80</w:t>
            </w:r>
          </w:p>
        </w:tc>
      </w:tr>
      <w:tr>
        <w:trPr>
          <w:trHeight w:val="377" w:hRule="exact"/>
        </w:trPr>
        <w:tc>
          <w:tcPr>
            <w:tcW w:w="2232" w:type="dxa"/>
          </w:tcPr>
          <w:p>
            <w:pPr>
              <w:pStyle w:val="TableParagraph"/>
              <w:spacing w:before="60"/>
              <w:ind w:left="59" w:right="48"/>
              <w:jc w:val="left"/>
              <w:rPr>
                <w:sz w:val="21"/>
              </w:rPr>
            </w:pPr>
            <w:r>
              <w:rPr>
                <w:sz w:val="21"/>
              </w:rPr>
              <w:t>Pago de deudas</w:t>
            </w:r>
          </w:p>
        </w:tc>
        <w:tc>
          <w:tcPr>
            <w:tcW w:w="1015" w:type="dxa"/>
          </w:tcPr>
          <w:p>
            <w:pPr>
              <w:pStyle w:val="TableParagraph"/>
              <w:spacing w:before="60"/>
              <w:ind w:left="43" w:right="41"/>
              <w:jc w:val="center"/>
              <w:rPr>
                <w:sz w:val="21"/>
              </w:rPr>
            </w:pPr>
            <w:r>
              <w:rPr>
                <w:sz w:val="21"/>
              </w:rPr>
              <w:t>2.23</w:t>
            </w:r>
          </w:p>
        </w:tc>
        <w:tc>
          <w:tcPr>
            <w:tcW w:w="1013" w:type="dxa"/>
          </w:tcPr>
          <w:p>
            <w:pPr>
              <w:pStyle w:val="TableParagraph"/>
              <w:spacing w:before="60"/>
              <w:ind w:left="216" w:right="216"/>
              <w:jc w:val="center"/>
              <w:rPr>
                <w:sz w:val="21"/>
              </w:rPr>
            </w:pPr>
            <w:r>
              <w:rPr>
                <w:sz w:val="21"/>
              </w:rPr>
              <w:t>3.20</w:t>
            </w:r>
          </w:p>
        </w:tc>
        <w:tc>
          <w:tcPr>
            <w:tcW w:w="1142" w:type="dxa"/>
          </w:tcPr>
          <w:p>
            <w:pPr>
              <w:pStyle w:val="TableParagraph"/>
              <w:spacing w:before="60"/>
              <w:ind w:left="188" w:right="184"/>
              <w:jc w:val="center"/>
              <w:rPr>
                <w:sz w:val="21"/>
              </w:rPr>
            </w:pPr>
            <w:r>
              <w:rPr>
                <w:sz w:val="21"/>
              </w:rPr>
              <w:t>1.45</w:t>
            </w:r>
          </w:p>
        </w:tc>
        <w:tc>
          <w:tcPr>
            <w:tcW w:w="1644" w:type="dxa"/>
          </w:tcPr>
          <w:p>
            <w:pPr>
              <w:pStyle w:val="TableParagraph"/>
              <w:spacing w:before="60"/>
              <w:ind w:right="605"/>
              <w:rPr>
                <w:sz w:val="21"/>
              </w:rPr>
            </w:pPr>
            <w:r>
              <w:rPr>
                <w:sz w:val="21"/>
              </w:rPr>
              <w:t>1.83</w:t>
            </w:r>
          </w:p>
        </w:tc>
        <w:tc>
          <w:tcPr>
            <w:tcW w:w="1644" w:type="dxa"/>
          </w:tcPr>
          <w:p>
            <w:pPr>
              <w:pStyle w:val="TableParagraph"/>
              <w:spacing w:before="60"/>
              <w:ind w:left="532" w:right="532"/>
              <w:jc w:val="center"/>
              <w:rPr>
                <w:sz w:val="21"/>
              </w:rPr>
            </w:pPr>
            <w:r>
              <w:rPr>
                <w:sz w:val="21"/>
              </w:rPr>
              <w:t>0.87</w:t>
            </w:r>
          </w:p>
        </w:tc>
      </w:tr>
      <w:tr>
        <w:trPr>
          <w:trHeight w:val="378" w:hRule="exact"/>
        </w:trPr>
        <w:tc>
          <w:tcPr>
            <w:tcW w:w="2232" w:type="dxa"/>
            <w:tcBorders>
              <w:bottom w:val="single" w:sz="5" w:space="0" w:color="000000"/>
            </w:tcBorders>
          </w:tcPr>
          <w:p>
            <w:pPr>
              <w:pStyle w:val="TableParagraph"/>
              <w:spacing w:before="62"/>
              <w:ind w:left="59" w:right="48"/>
              <w:jc w:val="left"/>
              <w:rPr>
                <w:sz w:val="21"/>
              </w:rPr>
            </w:pPr>
            <w:r>
              <w:rPr>
                <w:sz w:val="21"/>
              </w:rPr>
              <w:t>Compra de tierras</w:t>
            </w:r>
          </w:p>
        </w:tc>
        <w:tc>
          <w:tcPr>
            <w:tcW w:w="1015" w:type="dxa"/>
            <w:tcBorders>
              <w:bottom w:val="single" w:sz="5" w:space="0" w:color="000000"/>
            </w:tcBorders>
          </w:tcPr>
          <w:p>
            <w:pPr>
              <w:pStyle w:val="TableParagraph"/>
              <w:spacing w:before="62"/>
              <w:ind w:left="43" w:right="41"/>
              <w:jc w:val="center"/>
              <w:rPr>
                <w:sz w:val="21"/>
              </w:rPr>
            </w:pPr>
            <w:r>
              <w:rPr>
                <w:sz w:val="21"/>
              </w:rPr>
              <w:t>1.24</w:t>
            </w:r>
          </w:p>
        </w:tc>
        <w:tc>
          <w:tcPr>
            <w:tcW w:w="1013" w:type="dxa"/>
            <w:tcBorders>
              <w:bottom w:val="single" w:sz="5" w:space="0" w:color="000000"/>
            </w:tcBorders>
          </w:tcPr>
          <w:p>
            <w:pPr>
              <w:pStyle w:val="TableParagraph"/>
              <w:spacing w:before="62"/>
              <w:ind w:left="216" w:right="216"/>
              <w:jc w:val="center"/>
              <w:rPr>
                <w:sz w:val="21"/>
              </w:rPr>
            </w:pPr>
            <w:r>
              <w:rPr>
                <w:sz w:val="21"/>
              </w:rPr>
              <w:t>1.60</w:t>
            </w:r>
          </w:p>
        </w:tc>
        <w:tc>
          <w:tcPr>
            <w:tcW w:w="1142" w:type="dxa"/>
            <w:tcBorders>
              <w:bottom w:val="single" w:sz="5" w:space="0" w:color="000000"/>
            </w:tcBorders>
          </w:tcPr>
          <w:p>
            <w:pPr>
              <w:pStyle w:val="TableParagraph"/>
              <w:spacing w:before="62"/>
              <w:ind w:left="188" w:right="184"/>
              <w:jc w:val="center"/>
              <w:rPr>
                <w:sz w:val="21"/>
              </w:rPr>
            </w:pPr>
            <w:r>
              <w:rPr>
                <w:sz w:val="21"/>
              </w:rPr>
              <w:t>0.97</w:t>
            </w:r>
          </w:p>
        </w:tc>
        <w:tc>
          <w:tcPr>
            <w:tcW w:w="1644" w:type="dxa"/>
            <w:tcBorders>
              <w:bottom w:val="single" w:sz="5" w:space="0" w:color="000000"/>
            </w:tcBorders>
          </w:tcPr>
          <w:p>
            <w:pPr>
              <w:pStyle w:val="TableParagraph"/>
              <w:spacing w:before="62"/>
              <w:ind w:right="605"/>
              <w:rPr>
                <w:sz w:val="21"/>
              </w:rPr>
            </w:pPr>
            <w:r>
              <w:rPr>
                <w:sz w:val="21"/>
              </w:rPr>
              <w:t>1.04</w:t>
            </w:r>
          </w:p>
        </w:tc>
        <w:tc>
          <w:tcPr>
            <w:tcW w:w="1644" w:type="dxa"/>
            <w:tcBorders>
              <w:bottom w:val="single" w:sz="5" w:space="0" w:color="000000"/>
            </w:tcBorders>
          </w:tcPr>
          <w:p>
            <w:pPr>
              <w:pStyle w:val="TableParagraph"/>
              <w:spacing w:before="62"/>
              <w:ind w:left="532" w:right="532"/>
              <w:jc w:val="center"/>
              <w:rPr>
                <w:sz w:val="21"/>
              </w:rPr>
            </w:pPr>
            <w:r>
              <w:rPr>
                <w:sz w:val="21"/>
              </w:rPr>
              <w:t>0.87</w:t>
            </w:r>
          </w:p>
        </w:tc>
      </w:tr>
      <w:tr>
        <w:trPr>
          <w:trHeight w:val="870" w:hRule="exact"/>
        </w:trPr>
        <w:tc>
          <w:tcPr>
            <w:tcW w:w="2232" w:type="dxa"/>
            <w:tcBorders>
              <w:top w:val="single" w:sz="5" w:space="0" w:color="000000"/>
            </w:tcBorders>
          </w:tcPr>
          <w:p>
            <w:pPr>
              <w:pStyle w:val="TableParagraph"/>
              <w:spacing w:line="244" w:lineRule="auto" w:before="62"/>
              <w:ind w:left="59" w:right="48"/>
              <w:jc w:val="left"/>
              <w:rPr>
                <w:sz w:val="21"/>
              </w:rPr>
            </w:pPr>
            <w:r>
              <w:rPr>
                <w:sz w:val="21"/>
              </w:rPr>
              <w:t>Compra, establecimiento o ampliación de negocio</w:t>
            </w:r>
          </w:p>
        </w:tc>
        <w:tc>
          <w:tcPr>
            <w:tcW w:w="1015" w:type="dxa"/>
            <w:tcBorders>
              <w:top w:val="single" w:sz="5" w:space="0" w:color="000000"/>
            </w:tcBorders>
          </w:tcPr>
          <w:p>
            <w:pPr>
              <w:pStyle w:val="TableParagraph"/>
              <w:spacing w:before="0"/>
              <w:jc w:val="left"/>
              <w:rPr>
                <w:b/>
                <w:sz w:val="20"/>
              </w:rPr>
            </w:pPr>
          </w:p>
          <w:p>
            <w:pPr>
              <w:pStyle w:val="TableParagraph"/>
              <w:spacing w:before="137"/>
              <w:ind w:left="42" w:right="41"/>
              <w:jc w:val="center"/>
              <w:rPr>
                <w:sz w:val="21"/>
              </w:rPr>
            </w:pPr>
            <w:r>
              <w:rPr>
                <w:sz w:val="21"/>
              </w:rPr>
              <w:t>0.95</w:t>
            </w:r>
          </w:p>
        </w:tc>
        <w:tc>
          <w:tcPr>
            <w:tcW w:w="1013" w:type="dxa"/>
            <w:tcBorders>
              <w:top w:val="single" w:sz="5" w:space="0" w:color="000000"/>
            </w:tcBorders>
          </w:tcPr>
          <w:p>
            <w:pPr>
              <w:pStyle w:val="TableParagraph"/>
              <w:spacing w:before="0"/>
              <w:jc w:val="left"/>
              <w:rPr>
                <w:b/>
                <w:sz w:val="20"/>
              </w:rPr>
            </w:pPr>
          </w:p>
          <w:p>
            <w:pPr>
              <w:pStyle w:val="TableParagraph"/>
              <w:spacing w:before="137"/>
              <w:ind w:left="216" w:right="216"/>
              <w:jc w:val="center"/>
              <w:rPr>
                <w:sz w:val="21"/>
              </w:rPr>
            </w:pPr>
            <w:r>
              <w:rPr>
                <w:sz w:val="21"/>
              </w:rPr>
              <w:t>0.85</w:t>
            </w:r>
          </w:p>
        </w:tc>
        <w:tc>
          <w:tcPr>
            <w:tcW w:w="1142" w:type="dxa"/>
            <w:tcBorders>
              <w:top w:val="single" w:sz="5" w:space="0" w:color="000000"/>
            </w:tcBorders>
          </w:tcPr>
          <w:p>
            <w:pPr>
              <w:pStyle w:val="TableParagraph"/>
              <w:spacing w:before="0"/>
              <w:jc w:val="left"/>
              <w:rPr>
                <w:b/>
                <w:sz w:val="20"/>
              </w:rPr>
            </w:pPr>
          </w:p>
          <w:p>
            <w:pPr>
              <w:pStyle w:val="TableParagraph"/>
              <w:spacing w:before="137"/>
              <w:ind w:left="188" w:right="184"/>
              <w:jc w:val="center"/>
              <w:rPr>
                <w:sz w:val="21"/>
              </w:rPr>
            </w:pPr>
            <w:r>
              <w:rPr>
                <w:sz w:val="21"/>
              </w:rPr>
              <w:t>1.04</w:t>
            </w:r>
          </w:p>
        </w:tc>
        <w:tc>
          <w:tcPr>
            <w:tcW w:w="1644" w:type="dxa"/>
            <w:tcBorders>
              <w:top w:val="single" w:sz="5" w:space="0" w:color="000000"/>
            </w:tcBorders>
          </w:tcPr>
          <w:p>
            <w:pPr>
              <w:pStyle w:val="TableParagraph"/>
              <w:spacing w:before="0"/>
              <w:jc w:val="left"/>
              <w:rPr>
                <w:b/>
                <w:sz w:val="20"/>
              </w:rPr>
            </w:pPr>
          </w:p>
          <w:p>
            <w:pPr>
              <w:pStyle w:val="TableParagraph"/>
              <w:spacing w:before="137"/>
              <w:ind w:right="605"/>
              <w:rPr>
                <w:sz w:val="21"/>
              </w:rPr>
            </w:pPr>
            <w:r>
              <w:rPr>
                <w:sz w:val="21"/>
              </w:rPr>
              <w:t>1.30</w:t>
            </w:r>
          </w:p>
        </w:tc>
        <w:tc>
          <w:tcPr>
            <w:tcW w:w="1644" w:type="dxa"/>
            <w:tcBorders>
              <w:top w:val="single" w:sz="5" w:space="0" w:color="000000"/>
            </w:tcBorders>
          </w:tcPr>
          <w:p>
            <w:pPr>
              <w:pStyle w:val="TableParagraph"/>
              <w:spacing w:before="0"/>
              <w:jc w:val="left"/>
              <w:rPr>
                <w:b/>
                <w:sz w:val="20"/>
              </w:rPr>
            </w:pPr>
          </w:p>
          <w:p>
            <w:pPr>
              <w:pStyle w:val="TableParagraph"/>
              <w:spacing w:before="137"/>
              <w:ind w:left="532" w:right="532"/>
              <w:jc w:val="center"/>
              <w:rPr>
                <w:sz w:val="21"/>
              </w:rPr>
            </w:pPr>
            <w:r>
              <w:rPr>
                <w:sz w:val="21"/>
              </w:rPr>
              <w:t>0.65</w:t>
            </w:r>
          </w:p>
        </w:tc>
      </w:tr>
      <w:tr>
        <w:trPr>
          <w:trHeight w:val="377" w:hRule="exact"/>
        </w:trPr>
        <w:tc>
          <w:tcPr>
            <w:tcW w:w="2232" w:type="dxa"/>
          </w:tcPr>
          <w:p>
            <w:pPr>
              <w:pStyle w:val="TableParagraph"/>
              <w:spacing w:before="62"/>
              <w:ind w:left="59"/>
              <w:jc w:val="left"/>
              <w:rPr>
                <w:sz w:val="21"/>
              </w:rPr>
            </w:pPr>
            <w:r>
              <w:rPr>
                <w:sz w:val="21"/>
              </w:rPr>
              <w:t>Otro y no especificado</w:t>
            </w:r>
          </w:p>
        </w:tc>
        <w:tc>
          <w:tcPr>
            <w:tcW w:w="1015" w:type="dxa"/>
          </w:tcPr>
          <w:p>
            <w:pPr>
              <w:pStyle w:val="TableParagraph"/>
              <w:spacing w:before="62"/>
              <w:ind w:left="42" w:right="41"/>
              <w:jc w:val="center"/>
              <w:rPr>
                <w:sz w:val="21"/>
              </w:rPr>
            </w:pPr>
            <w:r>
              <w:rPr>
                <w:sz w:val="21"/>
              </w:rPr>
              <w:t>2.58</w:t>
            </w:r>
          </w:p>
        </w:tc>
        <w:tc>
          <w:tcPr>
            <w:tcW w:w="1013" w:type="dxa"/>
          </w:tcPr>
          <w:p>
            <w:pPr>
              <w:pStyle w:val="TableParagraph"/>
              <w:spacing w:before="62"/>
              <w:ind w:left="216" w:right="216"/>
              <w:jc w:val="center"/>
              <w:rPr>
                <w:sz w:val="21"/>
              </w:rPr>
            </w:pPr>
            <w:r>
              <w:rPr>
                <w:sz w:val="21"/>
              </w:rPr>
              <w:t>2.35</w:t>
            </w:r>
          </w:p>
        </w:tc>
        <w:tc>
          <w:tcPr>
            <w:tcW w:w="1142" w:type="dxa"/>
          </w:tcPr>
          <w:p>
            <w:pPr>
              <w:pStyle w:val="TableParagraph"/>
              <w:spacing w:before="62"/>
              <w:ind w:left="188" w:right="184"/>
              <w:jc w:val="center"/>
              <w:rPr>
                <w:sz w:val="21"/>
              </w:rPr>
            </w:pPr>
            <w:r>
              <w:rPr>
                <w:sz w:val="21"/>
              </w:rPr>
              <w:t>2.54</w:t>
            </w:r>
          </w:p>
        </w:tc>
        <w:tc>
          <w:tcPr>
            <w:tcW w:w="1644" w:type="dxa"/>
          </w:tcPr>
          <w:p>
            <w:pPr>
              <w:pStyle w:val="TableParagraph"/>
              <w:spacing w:before="62"/>
              <w:ind w:right="605"/>
              <w:rPr>
                <w:sz w:val="21"/>
              </w:rPr>
            </w:pPr>
            <w:r>
              <w:rPr>
                <w:sz w:val="21"/>
              </w:rPr>
              <w:t>1.13</w:t>
            </w:r>
          </w:p>
        </w:tc>
        <w:tc>
          <w:tcPr>
            <w:tcW w:w="1644" w:type="dxa"/>
          </w:tcPr>
          <w:p>
            <w:pPr>
              <w:pStyle w:val="TableParagraph"/>
              <w:spacing w:before="62"/>
              <w:ind w:left="532" w:right="532"/>
              <w:jc w:val="center"/>
              <w:rPr>
                <w:sz w:val="21"/>
              </w:rPr>
            </w:pPr>
            <w:r>
              <w:rPr>
                <w:sz w:val="21"/>
              </w:rPr>
              <w:t>4.11</w:t>
            </w:r>
          </w:p>
        </w:tc>
      </w:tr>
    </w:tbl>
    <w:p>
      <w:pPr>
        <w:spacing w:line="280" w:lineRule="auto" w:before="2"/>
        <w:ind w:left="175" w:right="181" w:firstLine="0"/>
        <w:jc w:val="both"/>
        <w:rPr>
          <w:sz w:val="21"/>
        </w:rPr>
      </w:pPr>
      <w:r>
        <w:rPr>
          <w:sz w:val="21"/>
        </w:rPr>
        <w:t>Fuente: Arroyo y Berumen, 2000. “Efectos subregionales de las remesas de emigrantes mexicanos en Estados Unidos” in BANCOMEXT. Revista Comercio Exterior, Vol. 50, Nº 4. Pág. 346.</w:t>
      </w:r>
    </w:p>
    <w:p>
      <w:pPr>
        <w:pStyle w:val="BodyText"/>
        <w:rPr>
          <w:sz w:val="20"/>
        </w:rPr>
      </w:pPr>
    </w:p>
    <w:p>
      <w:pPr>
        <w:pStyle w:val="BodyText"/>
        <w:rPr>
          <w:sz w:val="20"/>
        </w:rPr>
      </w:pPr>
    </w:p>
    <w:p>
      <w:pPr>
        <w:pStyle w:val="BodyText"/>
        <w:spacing w:before="7"/>
        <w:rPr>
          <w:sz w:val="18"/>
        </w:rPr>
      </w:pPr>
    </w:p>
    <w:p>
      <w:pPr>
        <w:pStyle w:val="BodyText"/>
        <w:spacing w:line="364" w:lineRule="auto"/>
        <w:ind w:left="175" w:right="183"/>
        <w:jc w:val="both"/>
      </w:pPr>
      <w:r>
        <w:rPr/>
        <w:t>Las </w:t>
      </w:r>
      <w:r>
        <w:rPr>
          <w:spacing w:val="-3"/>
        </w:rPr>
        <w:t>comunidades </w:t>
      </w:r>
      <w:r>
        <w:rPr/>
        <w:t>y </w:t>
      </w:r>
      <w:r>
        <w:rPr>
          <w:spacing w:val="-3"/>
        </w:rPr>
        <w:t>regiones </w:t>
      </w:r>
      <w:r>
        <w:rPr/>
        <w:t>donde ingresan </w:t>
      </w:r>
      <w:r>
        <w:rPr>
          <w:spacing w:val="-3"/>
        </w:rPr>
        <w:t>las remesas </w:t>
      </w:r>
      <w:r>
        <w:rPr/>
        <w:t>presentan </w:t>
      </w:r>
      <w:r>
        <w:rPr>
          <w:spacing w:val="-3"/>
        </w:rPr>
        <w:t>encadenamientos </w:t>
      </w:r>
      <w:r>
        <w:rPr/>
        <w:t>que dan </w:t>
      </w:r>
      <w:r>
        <w:rPr>
          <w:spacing w:val="-3"/>
        </w:rPr>
        <w:t>origen </w:t>
      </w:r>
      <w:r>
        <w:rPr/>
        <w:t>a efectos </w:t>
      </w:r>
      <w:r>
        <w:rPr>
          <w:spacing w:val="-3"/>
        </w:rPr>
        <w:t>multiplicadores </w:t>
      </w:r>
      <w:r>
        <w:rPr/>
        <w:t>en la </w:t>
      </w:r>
      <w:r>
        <w:rPr>
          <w:spacing w:val="-3"/>
        </w:rPr>
        <w:t>economía,  derivados del </w:t>
      </w:r>
      <w:r>
        <w:rPr/>
        <w:t>consumo y la </w:t>
      </w:r>
      <w:r>
        <w:rPr>
          <w:spacing w:val="-3"/>
        </w:rPr>
        <w:t>inversión </w:t>
      </w:r>
      <w:r>
        <w:rPr/>
        <w:t>que </w:t>
      </w:r>
      <w:r>
        <w:rPr>
          <w:spacing w:val="-2"/>
        </w:rPr>
        <w:t>tienen </w:t>
      </w:r>
      <w:r>
        <w:rPr/>
        <w:t>lugar con las </w:t>
      </w:r>
      <w:r>
        <w:rPr>
          <w:spacing w:val="-3"/>
        </w:rPr>
        <w:t>remisiones </w:t>
      </w:r>
      <w:r>
        <w:rPr/>
        <w:t>de los </w:t>
      </w:r>
      <w:r>
        <w:rPr>
          <w:spacing w:val="-3"/>
        </w:rPr>
        <w:t>migrantes. </w:t>
      </w:r>
      <w:r>
        <w:rPr/>
        <w:t>Los </w:t>
      </w:r>
      <w:r>
        <w:rPr>
          <w:spacing w:val="-3"/>
        </w:rPr>
        <w:t>datos disponibles </w:t>
      </w:r>
      <w:r>
        <w:rPr/>
        <w:t>al respecto, así como los diversos </w:t>
      </w:r>
      <w:r>
        <w:rPr>
          <w:spacing w:val="-3"/>
        </w:rPr>
        <w:t>estudios, coinciden, </w:t>
      </w:r>
      <w:r>
        <w:rPr/>
        <w:t>en </w:t>
      </w:r>
      <w:r>
        <w:rPr>
          <w:spacing w:val="-3"/>
        </w:rPr>
        <w:t>términos generales, </w:t>
      </w:r>
      <w:r>
        <w:rPr/>
        <w:t>en que las </w:t>
      </w:r>
      <w:r>
        <w:rPr>
          <w:spacing w:val="-3"/>
        </w:rPr>
        <w:t>remesas enviadas </w:t>
      </w:r>
      <w:r>
        <w:rPr/>
        <w:t>por los migrantes a </w:t>
      </w:r>
      <w:r>
        <w:rPr>
          <w:spacing w:val="-3"/>
        </w:rPr>
        <w:t>sus </w:t>
      </w:r>
      <w:r>
        <w:rPr/>
        <w:t>familias se destinan prioritariamente al consumo </w:t>
      </w:r>
      <w:r>
        <w:rPr>
          <w:spacing w:val="-3"/>
        </w:rPr>
        <w:t>básico. </w:t>
      </w:r>
      <w:r>
        <w:rPr/>
        <w:t>(Ver Cuadro </w:t>
      </w:r>
      <w:r>
        <w:rPr>
          <w:spacing w:val="-3"/>
        </w:rPr>
        <w:t>11). </w:t>
      </w:r>
      <w:r>
        <w:rPr/>
        <w:t>Es interesante </w:t>
      </w:r>
      <w:r>
        <w:rPr>
          <w:spacing w:val="-3"/>
        </w:rPr>
        <w:t>notar, </w:t>
      </w:r>
      <w:r>
        <w:rPr/>
        <w:t>sin </w:t>
      </w:r>
      <w:r>
        <w:rPr>
          <w:spacing w:val="-3"/>
        </w:rPr>
        <w:t>embargo, </w:t>
      </w:r>
      <w:r>
        <w:rPr/>
        <w:t>que </w:t>
      </w:r>
      <w:r>
        <w:rPr>
          <w:spacing w:val="-3"/>
        </w:rPr>
        <w:t>aunque el </w:t>
      </w:r>
      <w:r>
        <w:rPr/>
        <w:t>ahorro y la inversión </w:t>
      </w:r>
      <w:r>
        <w:rPr>
          <w:spacing w:val="-3"/>
        </w:rPr>
        <w:t>productiva </w:t>
      </w:r>
      <w:r>
        <w:rPr/>
        <w:t>no </w:t>
      </w:r>
      <w:r>
        <w:rPr>
          <w:spacing w:val="-3"/>
        </w:rPr>
        <w:t>tienen </w:t>
      </w:r>
      <w:r>
        <w:rPr/>
        <w:t>una </w:t>
      </w:r>
      <w:r>
        <w:rPr>
          <w:spacing w:val="-3"/>
        </w:rPr>
        <w:t>participación </w:t>
      </w:r>
      <w:r>
        <w:rPr/>
        <w:t>tan alta como el consumo </w:t>
      </w:r>
      <w:r>
        <w:rPr>
          <w:spacing w:val="-3"/>
        </w:rPr>
        <w:t>básico, </w:t>
      </w:r>
      <w:r>
        <w:rPr/>
        <w:t>también se llevan a cabo con los </w:t>
      </w:r>
      <w:r>
        <w:rPr>
          <w:spacing w:val="-3"/>
        </w:rPr>
        <w:t>ingresos provenientes </w:t>
      </w:r>
      <w:r>
        <w:rPr/>
        <w:t>de las remesas. Los montos </w:t>
      </w:r>
      <w:r>
        <w:rPr>
          <w:spacing w:val="-3"/>
        </w:rPr>
        <w:t>directos concedidos </w:t>
      </w:r>
      <w:r>
        <w:rPr/>
        <w:t>a la </w:t>
      </w:r>
      <w:r>
        <w:rPr>
          <w:spacing w:val="-3"/>
        </w:rPr>
        <w:t>inversión productiva </w:t>
      </w:r>
      <w:r>
        <w:rPr/>
        <w:t>no son de gran </w:t>
      </w:r>
      <w:r>
        <w:rPr>
          <w:spacing w:val="-3"/>
        </w:rPr>
        <w:t>magnitud; </w:t>
      </w:r>
      <w:r>
        <w:rPr/>
        <w:t>puede </w:t>
      </w:r>
      <w:r>
        <w:rPr>
          <w:spacing w:val="-3"/>
        </w:rPr>
        <w:t>detectarse, </w:t>
      </w:r>
      <w:r>
        <w:rPr/>
        <w:t>sin </w:t>
      </w:r>
      <w:r>
        <w:rPr>
          <w:spacing w:val="-3"/>
        </w:rPr>
        <w:t>embargo, </w:t>
      </w:r>
      <w:r>
        <w:rPr/>
        <w:t>que en 1996 </w:t>
      </w:r>
      <w:r>
        <w:rPr>
          <w:spacing w:val="-3"/>
        </w:rPr>
        <w:t>el rubro </w:t>
      </w:r>
      <w:r>
        <w:rPr/>
        <w:t>de </w:t>
      </w:r>
      <w:r>
        <w:rPr>
          <w:spacing w:val="-2"/>
        </w:rPr>
        <w:t>gastos </w:t>
      </w:r>
      <w:r>
        <w:rPr>
          <w:spacing w:val="-3"/>
        </w:rPr>
        <w:t>en </w:t>
      </w:r>
      <w:r>
        <w:rPr/>
        <w:t>vivienda </w:t>
      </w:r>
      <w:r>
        <w:rPr>
          <w:spacing w:val="-3"/>
        </w:rPr>
        <w:t>así </w:t>
      </w:r>
      <w:r>
        <w:rPr/>
        <w:t>como el </w:t>
      </w:r>
      <w:r>
        <w:rPr>
          <w:spacing w:val="-3"/>
        </w:rPr>
        <w:t>de </w:t>
      </w:r>
      <w:r>
        <w:rPr>
          <w:spacing w:val="-2"/>
        </w:rPr>
        <w:t>ahorro </w:t>
      </w:r>
      <w:r>
        <w:rPr/>
        <w:t>hecho en los hogares que </w:t>
      </w:r>
      <w:r>
        <w:rPr>
          <w:spacing w:val="-2"/>
        </w:rPr>
        <w:t>perciben </w:t>
      </w:r>
      <w:r>
        <w:rPr/>
        <w:t>remesas, en </w:t>
      </w:r>
      <w:r>
        <w:rPr>
          <w:spacing w:val="-3"/>
        </w:rPr>
        <w:t>promedio </w:t>
      </w:r>
      <w:r>
        <w:rPr/>
        <w:t>y en escala </w:t>
      </w:r>
      <w:r>
        <w:rPr>
          <w:spacing w:val="-3"/>
        </w:rPr>
        <w:t>nacional, </w:t>
      </w:r>
      <w:r>
        <w:rPr/>
        <w:t>fue de 18.1% del total de las </w:t>
      </w:r>
      <w:r>
        <w:rPr>
          <w:spacing w:val="-3"/>
        </w:rPr>
        <w:t>erogaciones </w:t>
      </w:r>
      <w:r>
        <w:rPr/>
        <w:t>de esos </w:t>
      </w:r>
      <w:r>
        <w:rPr>
          <w:spacing w:val="-3"/>
        </w:rPr>
        <w:t>hogares. </w:t>
      </w:r>
      <w:r>
        <w:rPr/>
        <w:t>Este punto es relevante por dos  </w:t>
      </w:r>
      <w:r>
        <w:rPr>
          <w:spacing w:val="-3"/>
        </w:rPr>
        <w:t>aspectos:  porque </w:t>
      </w:r>
      <w:r>
        <w:rPr/>
        <w:t>los ahorros </w:t>
      </w:r>
      <w:r>
        <w:rPr>
          <w:spacing w:val="-3"/>
        </w:rPr>
        <w:t>podrían </w:t>
      </w:r>
      <w:r>
        <w:rPr/>
        <w:t>ser fuente de </w:t>
      </w:r>
      <w:r>
        <w:rPr>
          <w:spacing w:val="-3"/>
        </w:rPr>
        <w:t>inversiones productivas </w:t>
      </w:r>
      <w:r>
        <w:rPr/>
        <w:t>con un desfase</w:t>
      </w:r>
      <w:r>
        <w:rPr>
          <w:spacing w:val="62"/>
        </w:rPr>
        <w:t> </w:t>
      </w:r>
      <w:r>
        <w:rPr/>
        <w:t>en</w:t>
      </w:r>
    </w:p>
    <w:p>
      <w:pPr>
        <w:spacing w:after="0" w:line="364" w:lineRule="auto"/>
        <w:jc w:val="both"/>
        <w:sectPr>
          <w:pgSz w:w="11900" w:h="16840"/>
          <w:pgMar w:header="0" w:footer="1679" w:top="1600" w:bottom="1860" w:left="1480" w:right="1500"/>
        </w:sectPr>
      </w:pPr>
    </w:p>
    <w:p>
      <w:pPr>
        <w:pStyle w:val="BodyText"/>
        <w:rPr>
          <w:sz w:val="20"/>
        </w:rPr>
      </w:pPr>
    </w:p>
    <w:p>
      <w:pPr>
        <w:pStyle w:val="BodyText"/>
        <w:spacing w:before="7"/>
        <w:rPr>
          <w:sz w:val="16"/>
        </w:rPr>
      </w:pPr>
    </w:p>
    <w:p>
      <w:pPr>
        <w:pStyle w:val="BodyText"/>
        <w:spacing w:line="364" w:lineRule="auto" w:before="74"/>
        <w:ind w:left="115" w:right="107"/>
        <w:jc w:val="both"/>
      </w:pPr>
      <w:r>
        <w:rPr/>
        <w:t>el </w:t>
      </w:r>
      <w:r>
        <w:rPr>
          <w:spacing w:val="-3"/>
        </w:rPr>
        <w:t>tiempo, </w:t>
      </w:r>
      <w:r>
        <w:rPr/>
        <w:t>y porque los gastos en vivienda </w:t>
      </w:r>
      <w:r>
        <w:rPr>
          <w:spacing w:val="-3"/>
        </w:rPr>
        <w:t>desencadenan </w:t>
      </w:r>
      <w:r>
        <w:rPr/>
        <w:t>un efecto </w:t>
      </w:r>
      <w:r>
        <w:rPr>
          <w:spacing w:val="-3"/>
        </w:rPr>
        <w:t>multiplicador  </w:t>
      </w:r>
      <w:r>
        <w:rPr/>
        <w:t>con amplias </w:t>
      </w:r>
      <w:r>
        <w:rPr>
          <w:spacing w:val="-3"/>
        </w:rPr>
        <w:t>repercusiones locales </w:t>
      </w:r>
      <w:r>
        <w:rPr/>
        <w:t>y regionales </w:t>
      </w:r>
      <w:r>
        <w:rPr>
          <w:spacing w:val="-3"/>
        </w:rPr>
        <w:t>(Santiago, </w:t>
      </w:r>
      <w:r>
        <w:rPr>
          <w:spacing w:val="11"/>
        </w:rPr>
        <w:t> </w:t>
      </w:r>
      <w:r>
        <w:rPr>
          <w:spacing w:val="-3"/>
        </w:rPr>
        <w:t>2001b:44).</w:t>
      </w:r>
    </w:p>
    <w:p>
      <w:pPr>
        <w:pStyle w:val="BodyText"/>
        <w:spacing w:before="5"/>
        <w:rPr>
          <w:sz w:val="32"/>
        </w:rPr>
      </w:pPr>
    </w:p>
    <w:p>
      <w:pPr>
        <w:pStyle w:val="BodyText"/>
        <w:spacing w:line="364" w:lineRule="auto"/>
        <w:ind w:left="116" w:right="101"/>
        <w:jc w:val="both"/>
      </w:pPr>
      <w:r>
        <w:rPr/>
        <w:t>Al </w:t>
      </w:r>
      <w:r>
        <w:rPr>
          <w:spacing w:val="-3"/>
        </w:rPr>
        <w:t>respecto, </w:t>
      </w:r>
      <w:r>
        <w:rPr/>
        <w:t>las </w:t>
      </w:r>
      <w:r>
        <w:rPr>
          <w:spacing w:val="-3"/>
        </w:rPr>
        <w:t>estimaciones </w:t>
      </w:r>
      <w:r>
        <w:rPr/>
        <w:t>de </w:t>
      </w:r>
      <w:r>
        <w:rPr>
          <w:spacing w:val="-3"/>
        </w:rPr>
        <w:t>Adelman </w:t>
      </w:r>
      <w:r>
        <w:rPr/>
        <w:t>y </w:t>
      </w:r>
      <w:r>
        <w:rPr>
          <w:spacing w:val="-3"/>
        </w:rPr>
        <w:t>Taylor </w:t>
      </w:r>
      <w:r>
        <w:rPr/>
        <w:t>(1994)</w:t>
      </w:r>
      <w:r>
        <w:rPr>
          <w:position w:val="11"/>
          <w:sz w:val="15"/>
        </w:rPr>
        <w:t>79 </w:t>
      </w:r>
      <w:r>
        <w:rPr>
          <w:spacing w:val="-3"/>
        </w:rPr>
        <w:t>indican </w:t>
      </w:r>
      <w:r>
        <w:rPr/>
        <w:t>que al </w:t>
      </w:r>
      <w:r>
        <w:rPr>
          <w:spacing w:val="-3"/>
        </w:rPr>
        <w:t>nivel general de </w:t>
      </w:r>
      <w:r>
        <w:rPr/>
        <w:t>la economía mexicana </w:t>
      </w:r>
      <w:r>
        <w:rPr>
          <w:spacing w:val="-3"/>
        </w:rPr>
        <w:t>es </w:t>
      </w:r>
      <w:r>
        <w:rPr/>
        <w:t>notable que </w:t>
      </w:r>
      <w:r>
        <w:rPr>
          <w:spacing w:val="-3"/>
        </w:rPr>
        <w:t>el </w:t>
      </w:r>
      <w:r>
        <w:rPr/>
        <w:t>Producto </w:t>
      </w:r>
      <w:r>
        <w:rPr>
          <w:spacing w:val="-3"/>
        </w:rPr>
        <w:t>Nacional Bruto </w:t>
      </w:r>
      <w:r>
        <w:rPr/>
        <w:t>(PNB) </w:t>
      </w:r>
      <w:r>
        <w:rPr>
          <w:spacing w:val="-3"/>
        </w:rPr>
        <w:t>crece aproximadamente 2.90 </w:t>
      </w:r>
      <w:r>
        <w:rPr/>
        <w:t>dólares por cada </w:t>
      </w:r>
      <w:r>
        <w:rPr>
          <w:spacing w:val="-3"/>
        </w:rPr>
        <w:t>dólar </w:t>
      </w:r>
      <w:r>
        <w:rPr/>
        <w:t>de </w:t>
      </w:r>
      <w:r>
        <w:rPr>
          <w:spacing w:val="-3"/>
        </w:rPr>
        <w:t>remesas ingresadas </w:t>
      </w:r>
      <w:r>
        <w:rPr/>
        <w:t>lo cual puede traducirse en un aumento de </w:t>
      </w:r>
      <w:r>
        <w:rPr>
          <w:spacing w:val="-3"/>
        </w:rPr>
        <w:t>0.30 </w:t>
      </w:r>
      <w:r>
        <w:rPr/>
        <w:t>a 0.40 </w:t>
      </w:r>
      <w:r>
        <w:rPr>
          <w:spacing w:val="-3"/>
        </w:rPr>
        <w:t>dólares </w:t>
      </w:r>
      <w:r>
        <w:rPr/>
        <w:t>en </w:t>
      </w:r>
      <w:r>
        <w:rPr>
          <w:spacing w:val="-3"/>
        </w:rPr>
        <w:t>el </w:t>
      </w:r>
      <w:r>
        <w:rPr/>
        <w:t>ingreso de los </w:t>
      </w:r>
      <w:r>
        <w:rPr>
          <w:spacing w:val="-3"/>
        </w:rPr>
        <w:t>pequeños agricultores </w:t>
      </w:r>
      <w:r>
        <w:rPr/>
        <w:t>y trabajadores </w:t>
      </w:r>
      <w:r>
        <w:rPr>
          <w:spacing w:val="-3"/>
        </w:rPr>
        <w:t>rurales </w:t>
      </w:r>
      <w:r>
        <w:rPr/>
        <w:t>y de 1.10 </w:t>
      </w:r>
      <w:r>
        <w:rPr>
          <w:spacing w:val="-3"/>
        </w:rPr>
        <w:t>dólares </w:t>
      </w:r>
      <w:r>
        <w:rPr/>
        <w:t>en el de las familias de </w:t>
      </w:r>
      <w:r>
        <w:rPr>
          <w:spacing w:val="-3"/>
        </w:rPr>
        <w:t>trabajadores </w:t>
      </w:r>
      <w:r>
        <w:rPr/>
        <w:t>urbanos (éstas se </w:t>
      </w:r>
      <w:r>
        <w:rPr>
          <w:spacing w:val="-3"/>
        </w:rPr>
        <w:t>benefician </w:t>
      </w:r>
      <w:r>
        <w:rPr/>
        <w:t>de la demanda de bienes    y servicios</w:t>
      </w:r>
    </w:p>
    <w:p>
      <w:pPr>
        <w:pStyle w:val="BodyText"/>
        <w:spacing w:line="270" w:lineRule="exact"/>
        <w:ind w:left="116"/>
        <w:jc w:val="both"/>
      </w:pPr>
      <w:r>
        <w:rPr/>
        <w:t>urbanos  por  parte  de  las  familias  rurales)</w:t>
      </w:r>
      <w:r>
        <w:rPr>
          <w:position w:val="11"/>
          <w:sz w:val="15"/>
        </w:rPr>
        <w:t>80   </w:t>
      </w:r>
      <w:r>
        <w:rPr/>
        <w:t>(SRE,  1997:43)  (Estudio Binacional</w:t>
      </w:r>
    </w:p>
    <w:p>
      <w:pPr>
        <w:pStyle w:val="BodyText"/>
        <w:spacing w:before="138"/>
        <w:ind w:left="115"/>
        <w:jc w:val="both"/>
      </w:pPr>
      <w:r>
        <w:rPr>
          <w:spacing w:val="-3"/>
        </w:rPr>
        <w:t>México-Estados </w:t>
      </w:r>
      <w:r>
        <w:rPr/>
        <w:t>Unidos sobre </w:t>
      </w:r>
      <w:r>
        <w:rPr>
          <w:spacing w:val="-3"/>
        </w:rPr>
        <w:t>Migración, </w:t>
      </w:r>
      <w:r>
        <w:rPr/>
        <w:t>Pág.</w:t>
      </w:r>
      <w:r>
        <w:rPr>
          <w:spacing w:val="58"/>
        </w:rPr>
        <w:t> </w:t>
      </w:r>
      <w:r>
        <w:rPr>
          <w:spacing w:val="-3"/>
        </w:rPr>
        <w:t>43).</w:t>
      </w:r>
    </w:p>
    <w:p>
      <w:pPr>
        <w:pStyle w:val="BodyText"/>
        <w:rPr>
          <w:sz w:val="22"/>
        </w:rPr>
      </w:pPr>
    </w:p>
    <w:p>
      <w:pPr>
        <w:pStyle w:val="BodyText"/>
        <w:spacing w:before="1"/>
        <w:rPr>
          <w:sz w:val="25"/>
        </w:rPr>
      </w:pPr>
    </w:p>
    <w:p>
      <w:pPr>
        <w:pStyle w:val="BodyText"/>
        <w:spacing w:line="364" w:lineRule="auto"/>
        <w:ind w:left="115" w:right="103"/>
        <w:jc w:val="both"/>
      </w:pPr>
      <w:r>
        <w:rPr/>
        <w:t>En un examen nacional  de los impactos estatales, realizado mediante el análisis  de varianza, en base a los datos de la Encuesta Nacional de Dinámica  Demográfica (ENADID), Verduzco y Unger </w:t>
      </w:r>
      <w:r>
        <w:rPr>
          <w:spacing w:val="-3"/>
        </w:rPr>
        <w:t>(1998:424,425) </w:t>
      </w:r>
      <w:r>
        <w:rPr/>
        <w:t>encontraron  </w:t>
      </w:r>
      <w:r>
        <w:rPr>
          <w:spacing w:val="-3"/>
        </w:rPr>
        <w:t>significativos algunos </w:t>
      </w:r>
      <w:r>
        <w:rPr>
          <w:spacing w:val="-2"/>
        </w:rPr>
        <w:t>gastos </w:t>
      </w:r>
      <w:r>
        <w:rPr/>
        <w:t>por </w:t>
      </w:r>
      <w:r>
        <w:rPr>
          <w:spacing w:val="-3"/>
        </w:rPr>
        <w:t>estado, </w:t>
      </w:r>
      <w:r>
        <w:rPr/>
        <w:t>lo </w:t>
      </w:r>
      <w:r>
        <w:rPr>
          <w:spacing w:val="-3"/>
        </w:rPr>
        <w:t>cual puede </w:t>
      </w:r>
      <w:r>
        <w:rPr/>
        <w:t>verse </w:t>
      </w:r>
      <w:r>
        <w:rPr>
          <w:spacing w:val="-3"/>
        </w:rPr>
        <w:t>en </w:t>
      </w:r>
      <w:r>
        <w:rPr/>
        <w:t>el </w:t>
      </w:r>
      <w:r>
        <w:rPr>
          <w:spacing w:val="-3"/>
        </w:rPr>
        <w:t>Cuadro </w:t>
      </w:r>
      <w:r>
        <w:rPr/>
        <w:t>9. De dicho </w:t>
      </w:r>
      <w:r>
        <w:rPr>
          <w:spacing w:val="-2"/>
        </w:rPr>
        <w:t>cuadro </w:t>
      </w:r>
      <w:r>
        <w:rPr/>
        <w:t>se deduce que a excepción de </w:t>
      </w:r>
      <w:r>
        <w:rPr>
          <w:spacing w:val="-3"/>
        </w:rPr>
        <w:t>Guanajuato, </w:t>
      </w:r>
      <w:r>
        <w:rPr/>
        <w:t>los otros siete </w:t>
      </w:r>
      <w:r>
        <w:rPr>
          <w:spacing w:val="-3"/>
        </w:rPr>
        <w:t>estados  </w:t>
      </w:r>
      <w:r>
        <w:rPr/>
        <w:t>con </w:t>
      </w:r>
      <w:r>
        <w:rPr>
          <w:spacing w:val="-3"/>
        </w:rPr>
        <w:t>resultados positivos </w:t>
      </w:r>
      <w:r>
        <w:rPr/>
        <w:t>habían registrado algún tipo de avance en la </w:t>
      </w:r>
      <w:r>
        <w:rPr>
          <w:spacing w:val="-3"/>
        </w:rPr>
        <w:t>vivienda: instalación de drenaje, introducción </w:t>
      </w:r>
      <w:r>
        <w:rPr/>
        <w:t>de agua </w:t>
      </w:r>
      <w:r>
        <w:rPr>
          <w:spacing w:val="-3"/>
        </w:rPr>
        <w:t>potable, electrificación </w:t>
      </w:r>
      <w:r>
        <w:rPr/>
        <w:t>o aumento del número de </w:t>
      </w:r>
      <w:r>
        <w:rPr>
          <w:spacing w:val="-3"/>
        </w:rPr>
        <w:t>piezas </w:t>
      </w:r>
      <w:r>
        <w:rPr/>
        <w:t>por casa (este </w:t>
      </w:r>
      <w:r>
        <w:rPr>
          <w:spacing w:val="-3"/>
        </w:rPr>
        <w:t>indicador </w:t>
      </w:r>
      <w:r>
        <w:rPr/>
        <w:t>puede incluir </w:t>
      </w:r>
      <w:r>
        <w:rPr>
          <w:spacing w:val="-2"/>
        </w:rPr>
        <w:t>construcción </w:t>
      </w:r>
      <w:r>
        <w:rPr/>
        <w:t>de casas </w:t>
      </w:r>
      <w:r>
        <w:rPr>
          <w:spacing w:val="-3"/>
        </w:rPr>
        <w:t>nuevas): Guerrero, </w:t>
      </w:r>
      <w:r>
        <w:rPr/>
        <w:t>Michoacán y Oaxaca </w:t>
      </w:r>
      <w:r>
        <w:rPr>
          <w:spacing w:val="-3"/>
        </w:rPr>
        <w:t>mejoraron </w:t>
      </w:r>
      <w:r>
        <w:rPr/>
        <w:t>en por lo menos tres </w:t>
      </w:r>
      <w:r>
        <w:rPr>
          <w:spacing w:val="-3"/>
        </w:rPr>
        <w:t>de </w:t>
      </w:r>
      <w:r>
        <w:rPr/>
        <w:t>esos </w:t>
      </w:r>
      <w:r>
        <w:rPr>
          <w:spacing w:val="-3"/>
        </w:rPr>
        <w:t>renglones </w:t>
      </w:r>
      <w:r>
        <w:rPr/>
        <w:t>del </w:t>
      </w:r>
      <w:r>
        <w:rPr>
          <w:spacing w:val="-3"/>
        </w:rPr>
        <w:t>bienestar familiar, </w:t>
      </w:r>
      <w:r>
        <w:rPr/>
        <w:t>Chihuahua en dos y Jalisco, San Luis Potosí y </w:t>
      </w:r>
      <w:r>
        <w:rPr>
          <w:spacing w:val="-3"/>
        </w:rPr>
        <w:t>Zacatecas </w:t>
      </w:r>
      <w:r>
        <w:rPr/>
        <w:t>en solamente uno de</w:t>
      </w:r>
      <w:r>
        <w:rPr>
          <w:spacing w:val="7"/>
        </w:rPr>
        <w:t> </w:t>
      </w:r>
      <w:r>
        <w:rPr/>
        <w:t>ellos.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1"/>
        </w:rPr>
      </w:pPr>
      <w:r>
        <w:rPr/>
        <w:pict>
          <v:line style="position:absolute;mso-position-horizontal-relative:page;mso-position-vertical-relative:paragraph;z-index:2392;mso-wrap-distance-left:0;mso-wrap-distance-right:0" from="82.799995pt,8.845600pt" to="222.959992pt,8.845600pt" stroked="true" strokeweight=".72pt" strokecolor="#000000">
            <w10:wrap type="topAndBottom"/>
          </v:line>
        </w:pict>
      </w:r>
    </w:p>
    <w:p>
      <w:pPr>
        <w:spacing w:line="283" w:lineRule="auto" w:before="41"/>
        <w:ind w:left="116" w:right="103" w:firstLine="0"/>
        <w:jc w:val="both"/>
        <w:rPr>
          <w:sz w:val="19"/>
        </w:rPr>
      </w:pPr>
      <w:r>
        <w:rPr>
          <w:position w:val="10"/>
          <w:sz w:val="12"/>
        </w:rPr>
        <w:t>79 </w:t>
      </w:r>
      <w:r>
        <w:rPr>
          <w:sz w:val="19"/>
        </w:rPr>
        <w:t>Mediante una matriz de contabilidad social, la cual permite calcular los efectos directos  e  indirectos de los incrementos de las demandas </w:t>
      </w:r>
      <w:r>
        <w:rPr>
          <w:spacing w:val="46"/>
          <w:sz w:val="19"/>
        </w:rPr>
        <w:t> </w:t>
      </w:r>
      <w:r>
        <w:rPr>
          <w:sz w:val="19"/>
        </w:rPr>
        <w:t>agregadas.</w:t>
      </w:r>
    </w:p>
    <w:p>
      <w:pPr>
        <w:spacing w:line="283" w:lineRule="auto" w:before="160"/>
        <w:ind w:left="116" w:right="107" w:firstLine="0"/>
        <w:jc w:val="both"/>
        <w:rPr>
          <w:sz w:val="19"/>
        </w:rPr>
      </w:pPr>
      <w:r>
        <w:rPr>
          <w:position w:val="10"/>
          <w:sz w:val="12"/>
        </w:rPr>
        <w:t>80 </w:t>
      </w:r>
      <w:r>
        <w:rPr>
          <w:sz w:val="19"/>
        </w:rPr>
        <w:t>Además “Taylor (1996) calculó que el mayor efecto multiplicador de las remesas ocurre en las familias rurales cuyos patrones de consumo y gasto favorecen a los  bienes  producidos  internamente con tecnologías intensivas en trabajo; en contraste, cuando las  remesas alcanzan a  los hogares urbanos, los efectos multiplicadores son menores para México, debido a patrones de consumo que incluyen un gran número de bienes importados” (Verduzco y </w:t>
      </w:r>
      <w:r>
        <w:rPr>
          <w:spacing w:val="-3"/>
          <w:sz w:val="19"/>
        </w:rPr>
        <w:t>Unger,   </w:t>
      </w:r>
      <w:r>
        <w:rPr>
          <w:spacing w:val="2"/>
          <w:sz w:val="19"/>
        </w:rPr>
        <w:t> </w:t>
      </w:r>
      <w:r>
        <w:rPr>
          <w:spacing w:val="-3"/>
          <w:sz w:val="19"/>
        </w:rPr>
        <w:t>1998:414).</w:t>
      </w:r>
    </w:p>
    <w:p>
      <w:pPr>
        <w:spacing w:after="0" w:line="283" w:lineRule="auto"/>
        <w:jc w:val="both"/>
        <w:rPr>
          <w:sz w:val="19"/>
        </w:rPr>
        <w:sectPr>
          <w:pgSz w:w="11900" w:h="16840"/>
          <w:pgMar w:header="0" w:footer="1679" w:top="1600" w:bottom="1860" w:left="1540" w:right="1580"/>
        </w:sectPr>
      </w:pPr>
    </w:p>
    <w:p>
      <w:pPr>
        <w:pStyle w:val="BodyText"/>
        <w:rPr>
          <w:sz w:val="20"/>
        </w:rPr>
      </w:pPr>
    </w:p>
    <w:p>
      <w:pPr>
        <w:pStyle w:val="BodyText"/>
        <w:spacing w:before="5"/>
        <w:rPr>
          <w:sz w:val="16"/>
        </w:rPr>
      </w:pPr>
    </w:p>
    <w:p>
      <w:pPr>
        <w:pStyle w:val="Heading4"/>
        <w:spacing w:line="364" w:lineRule="auto" w:before="74"/>
        <w:ind w:left="3812" w:right="223" w:hanging="3423"/>
      </w:pPr>
      <w:r>
        <w:rPr/>
        <w:t>Cuadro 12. Efectos de las Remesas en el Mejoramiento de la Casa y de la Producción</w:t>
      </w:r>
    </w:p>
    <w:p>
      <w:pPr>
        <w:pStyle w:val="BodyText"/>
        <w:spacing w:before="6"/>
        <w:rPr>
          <w:b/>
          <w:sz w:val="17"/>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88"/>
        <w:gridCol w:w="1066"/>
        <w:gridCol w:w="1068"/>
        <w:gridCol w:w="1217"/>
        <w:gridCol w:w="989"/>
        <w:gridCol w:w="1054"/>
        <w:gridCol w:w="1056"/>
        <w:gridCol w:w="1054"/>
      </w:tblGrid>
      <w:tr>
        <w:trPr>
          <w:trHeight w:val="355" w:hRule="exact"/>
        </w:trPr>
        <w:tc>
          <w:tcPr>
            <w:tcW w:w="1188" w:type="dxa"/>
          </w:tcPr>
          <w:p>
            <w:pPr/>
          </w:p>
        </w:tc>
        <w:tc>
          <w:tcPr>
            <w:tcW w:w="4339" w:type="dxa"/>
            <w:gridSpan w:val="4"/>
          </w:tcPr>
          <w:p>
            <w:pPr>
              <w:pStyle w:val="TableParagraph"/>
              <w:spacing w:before="52"/>
              <w:ind w:left="1317"/>
              <w:jc w:val="left"/>
              <w:rPr>
                <w:b/>
                <w:sz w:val="19"/>
              </w:rPr>
            </w:pPr>
            <w:r>
              <w:rPr>
                <w:b/>
                <w:sz w:val="19"/>
              </w:rPr>
              <w:t>Mejoras en la casa</w:t>
            </w:r>
          </w:p>
        </w:tc>
        <w:tc>
          <w:tcPr>
            <w:tcW w:w="3163" w:type="dxa"/>
            <w:gridSpan w:val="3"/>
          </w:tcPr>
          <w:p>
            <w:pPr>
              <w:pStyle w:val="TableParagraph"/>
              <w:spacing w:before="52"/>
              <w:ind w:left="734"/>
              <w:jc w:val="left"/>
              <w:rPr>
                <w:b/>
                <w:sz w:val="19"/>
              </w:rPr>
            </w:pPr>
            <w:r>
              <w:rPr>
                <w:b/>
                <w:sz w:val="19"/>
              </w:rPr>
              <w:t>Uso de tecnología</w:t>
            </w:r>
          </w:p>
        </w:tc>
      </w:tr>
      <w:tr>
        <w:trPr>
          <w:trHeight w:val="355" w:hRule="exact"/>
        </w:trPr>
        <w:tc>
          <w:tcPr>
            <w:tcW w:w="1188" w:type="dxa"/>
          </w:tcPr>
          <w:p>
            <w:pPr>
              <w:pStyle w:val="TableParagraph"/>
              <w:spacing w:before="52"/>
              <w:ind w:left="59"/>
              <w:jc w:val="left"/>
              <w:rPr>
                <w:b/>
                <w:sz w:val="19"/>
              </w:rPr>
            </w:pPr>
            <w:r>
              <w:rPr>
                <w:b/>
                <w:sz w:val="19"/>
              </w:rPr>
              <w:t>Estado</w:t>
            </w:r>
          </w:p>
        </w:tc>
        <w:tc>
          <w:tcPr>
            <w:tcW w:w="1066" w:type="dxa"/>
          </w:tcPr>
          <w:p>
            <w:pPr>
              <w:pStyle w:val="TableParagraph"/>
              <w:spacing w:before="52"/>
              <w:ind w:left="167" w:right="167"/>
              <w:jc w:val="center"/>
              <w:rPr>
                <w:b/>
                <w:sz w:val="19"/>
              </w:rPr>
            </w:pPr>
            <w:r>
              <w:rPr>
                <w:b/>
                <w:sz w:val="19"/>
              </w:rPr>
              <w:t>drenaje</w:t>
            </w:r>
          </w:p>
        </w:tc>
        <w:tc>
          <w:tcPr>
            <w:tcW w:w="1068" w:type="dxa"/>
          </w:tcPr>
          <w:p>
            <w:pPr>
              <w:pStyle w:val="TableParagraph"/>
              <w:spacing w:before="52"/>
              <w:ind w:left="283" w:right="286"/>
              <w:jc w:val="center"/>
              <w:rPr>
                <w:b/>
                <w:sz w:val="19"/>
              </w:rPr>
            </w:pPr>
            <w:r>
              <w:rPr>
                <w:b/>
                <w:sz w:val="19"/>
              </w:rPr>
              <w:t>agua</w:t>
            </w:r>
          </w:p>
        </w:tc>
        <w:tc>
          <w:tcPr>
            <w:tcW w:w="1217" w:type="dxa"/>
          </w:tcPr>
          <w:p>
            <w:pPr>
              <w:pStyle w:val="TableParagraph"/>
              <w:spacing w:before="52"/>
              <w:ind w:left="51" w:right="55"/>
              <w:jc w:val="center"/>
              <w:rPr>
                <w:b/>
                <w:sz w:val="19"/>
              </w:rPr>
            </w:pPr>
            <w:r>
              <w:rPr>
                <w:b/>
                <w:sz w:val="19"/>
              </w:rPr>
              <w:t>electricidad</w:t>
            </w:r>
          </w:p>
        </w:tc>
        <w:tc>
          <w:tcPr>
            <w:tcW w:w="989" w:type="dxa"/>
          </w:tcPr>
          <w:p>
            <w:pPr>
              <w:pStyle w:val="TableParagraph"/>
              <w:spacing w:before="52"/>
              <w:ind w:left="129" w:right="129"/>
              <w:jc w:val="center"/>
              <w:rPr>
                <w:b/>
                <w:sz w:val="19"/>
              </w:rPr>
            </w:pPr>
            <w:r>
              <w:rPr>
                <w:b/>
                <w:sz w:val="19"/>
              </w:rPr>
              <w:t>tamaño</w:t>
            </w:r>
          </w:p>
        </w:tc>
        <w:tc>
          <w:tcPr>
            <w:tcW w:w="1054" w:type="dxa"/>
          </w:tcPr>
          <w:p>
            <w:pPr>
              <w:pStyle w:val="TableParagraph"/>
              <w:spacing w:before="52"/>
              <w:ind w:left="135" w:right="135"/>
              <w:jc w:val="center"/>
              <w:rPr>
                <w:b/>
                <w:sz w:val="19"/>
              </w:rPr>
            </w:pPr>
            <w:r>
              <w:rPr>
                <w:b/>
                <w:sz w:val="19"/>
              </w:rPr>
              <w:t>agrícola</w:t>
            </w:r>
          </w:p>
        </w:tc>
        <w:tc>
          <w:tcPr>
            <w:tcW w:w="1056" w:type="dxa"/>
          </w:tcPr>
          <w:p>
            <w:pPr>
              <w:pStyle w:val="TableParagraph"/>
              <w:spacing w:before="52"/>
              <w:ind w:left="108" w:right="111"/>
              <w:jc w:val="center"/>
              <w:rPr>
                <w:b/>
                <w:sz w:val="19"/>
              </w:rPr>
            </w:pPr>
            <w:r>
              <w:rPr>
                <w:b/>
                <w:sz w:val="19"/>
              </w:rPr>
              <w:t>pecuaria</w:t>
            </w:r>
          </w:p>
        </w:tc>
        <w:tc>
          <w:tcPr>
            <w:tcW w:w="1054" w:type="dxa"/>
          </w:tcPr>
          <w:p>
            <w:pPr>
              <w:pStyle w:val="TableParagraph"/>
              <w:spacing w:before="52"/>
              <w:ind w:left="134" w:right="135"/>
              <w:jc w:val="center"/>
              <w:rPr>
                <w:b/>
                <w:sz w:val="19"/>
              </w:rPr>
            </w:pPr>
            <w:r>
              <w:rPr>
                <w:b/>
                <w:sz w:val="19"/>
              </w:rPr>
              <w:t>Tractor</w:t>
            </w:r>
          </w:p>
        </w:tc>
      </w:tr>
      <w:tr>
        <w:trPr>
          <w:trHeight w:val="355" w:hRule="exact"/>
        </w:trPr>
        <w:tc>
          <w:tcPr>
            <w:tcW w:w="1188" w:type="dxa"/>
          </w:tcPr>
          <w:p>
            <w:pPr>
              <w:pStyle w:val="TableParagraph"/>
              <w:spacing w:before="59"/>
              <w:ind w:left="59"/>
              <w:jc w:val="left"/>
              <w:rPr>
                <w:sz w:val="19"/>
              </w:rPr>
            </w:pPr>
            <w:r>
              <w:rPr>
                <w:sz w:val="19"/>
              </w:rPr>
              <w:t>Chihuahua</w:t>
            </w:r>
          </w:p>
        </w:tc>
        <w:tc>
          <w:tcPr>
            <w:tcW w:w="1066" w:type="dxa"/>
          </w:tcPr>
          <w:p>
            <w:pPr>
              <w:pStyle w:val="TableParagraph"/>
              <w:spacing w:before="59"/>
              <w:jc w:val="center"/>
              <w:rPr>
                <w:sz w:val="19"/>
              </w:rPr>
            </w:pPr>
            <w:r>
              <w:rPr>
                <w:w w:val="101"/>
                <w:sz w:val="19"/>
              </w:rPr>
              <w:t>X</w:t>
            </w:r>
          </w:p>
        </w:tc>
        <w:tc>
          <w:tcPr>
            <w:tcW w:w="1068" w:type="dxa"/>
          </w:tcPr>
          <w:p>
            <w:pPr/>
          </w:p>
        </w:tc>
        <w:tc>
          <w:tcPr>
            <w:tcW w:w="1217" w:type="dxa"/>
          </w:tcPr>
          <w:p>
            <w:pPr/>
          </w:p>
        </w:tc>
        <w:tc>
          <w:tcPr>
            <w:tcW w:w="989" w:type="dxa"/>
          </w:tcPr>
          <w:p>
            <w:pPr>
              <w:pStyle w:val="TableParagraph"/>
              <w:spacing w:before="59"/>
              <w:ind w:right="2"/>
              <w:jc w:val="center"/>
              <w:rPr>
                <w:sz w:val="19"/>
              </w:rPr>
            </w:pPr>
            <w:r>
              <w:rPr>
                <w:w w:val="101"/>
                <w:sz w:val="19"/>
              </w:rPr>
              <w:t>X</w:t>
            </w:r>
          </w:p>
        </w:tc>
        <w:tc>
          <w:tcPr>
            <w:tcW w:w="1054" w:type="dxa"/>
          </w:tcPr>
          <w:p>
            <w:pPr/>
          </w:p>
        </w:tc>
        <w:tc>
          <w:tcPr>
            <w:tcW w:w="1056" w:type="dxa"/>
          </w:tcPr>
          <w:p>
            <w:pPr/>
          </w:p>
        </w:tc>
        <w:tc>
          <w:tcPr>
            <w:tcW w:w="1054" w:type="dxa"/>
          </w:tcPr>
          <w:p>
            <w:pPr/>
          </w:p>
        </w:tc>
      </w:tr>
      <w:tr>
        <w:trPr>
          <w:trHeight w:val="354" w:hRule="exact"/>
        </w:trPr>
        <w:tc>
          <w:tcPr>
            <w:tcW w:w="1188" w:type="dxa"/>
            <w:tcBorders>
              <w:bottom w:val="single" w:sz="5" w:space="0" w:color="000000"/>
            </w:tcBorders>
          </w:tcPr>
          <w:p>
            <w:pPr>
              <w:pStyle w:val="TableParagraph"/>
              <w:spacing w:before="59"/>
              <w:ind w:left="59"/>
              <w:jc w:val="left"/>
              <w:rPr>
                <w:sz w:val="19"/>
              </w:rPr>
            </w:pPr>
            <w:r>
              <w:rPr>
                <w:sz w:val="19"/>
              </w:rPr>
              <w:t>Guanajuato</w:t>
            </w:r>
          </w:p>
        </w:tc>
        <w:tc>
          <w:tcPr>
            <w:tcW w:w="1066" w:type="dxa"/>
            <w:tcBorders>
              <w:bottom w:val="single" w:sz="5" w:space="0" w:color="000000"/>
            </w:tcBorders>
          </w:tcPr>
          <w:p>
            <w:pPr/>
          </w:p>
        </w:tc>
        <w:tc>
          <w:tcPr>
            <w:tcW w:w="1068" w:type="dxa"/>
            <w:tcBorders>
              <w:bottom w:val="single" w:sz="5" w:space="0" w:color="000000"/>
            </w:tcBorders>
          </w:tcPr>
          <w:p>
            <w:pPr/>
          </w:p>
        </w:tc>
        <w:tc>
          <w:tcPr>
            <w:tcW w:w="1217" w:type="dxa"/>
            <w:tcBorders>
              <w:bottom w:val="single" w:sz="5" w:space="0" w:color="000000"/>
            </w:tcBorders>
          </w:tcPr>
          <w:p>
            <w:pPr/>
          </w:p>
        </w:tc>
        <w:tc>
          <w:tcPr>
            <w:tcW w:w="989" w:type="dxa"/>
            <w:tcBorders>
              <w:bottom w:val="single" w:sz="5" w:space="0" w:color="000000"/>
            </w:tcBorders>
          </w:tcPr>
          <w:p>
            <w:pPr/>
          </w:p>
        </w:tc>
        <w:tc>
          <w:tcPr>
            <w:tcW w:w="1054" w:type="dxa"/>
            <w:tcBorders>
              <w:bottom w:val="single" w:sz="5" w:space="0" w:color="000000"/>
            </w:tcBorders>
          </w:tcPr>
          <w:p>
            <w:pPr>
              <w:pStyle w:val="TableParagraph"/>
              <w:spacing w:before="59"/>
              <w:jc w:val="center"/>
              <w:rPr>
                <w:sz w:val="19"/>
              </w:rPr>
            </w:pPr>
            <w:r>
              <w:rPr>
                <w:w w:val="101"/>
                <w:sz w:val="19"/>
              </w:rPr>
              <w:t>X</w:t>
            </w:r>
          </w:p>
        </w:tc>
        <w:tc>
          <w:tcPr>
            <w:tcW w:w="1056" w:type="dxa"/>
            <w:tcBorders>
              <w:bottom w:val="single" w:sz="5" w:space="0" w:color="000000"/>
            </w:tcBorders>
          </w:tcPr>
          <w:p>
            <w:pPr/>
          </w:p>
        </w:tc>
        <w:tc>
          <w:tcPr>
            <w:tcW w:w="1054" w:type="dxa"/>
            <w:tcBorders>
              <w:bottom w:val="single" w:sz="5" w:space="0" w:color="000000"/>
            </w:tcBorders>
          </w:tcPr>
          <w:p>
            <w:pPr/>
          </w:p>
        </w:tc>
      </w:tr>
      <w:tr>
        <w:trPr>
          <w:trHeight w:val="355" w:hRule="exact"/>
        </w:trPr>
        <w:tc>
          <w:tcPr>
            <w:tcW w:w="1188" w:type="dxa"/>
            <w:tcBorders>
              <w:top w:val="single" w:sz="5" w:space="0" w:color="000000"/>
              <w:bottom w:val="single" w:sz="5" w:space="0" w:color="000000"/>
            </w:tcBorders>
          </w:tcPr>
          <w:p>
            <w:pPr>
              <w:pStyle w:val="TableParagraph"/>
              <w:spacing w:before="61"/>
              <w:ind w:left="59"/>
              <w:jc w:val="left"/>
              <w:rPr>
                <w:sz w:val="19"/>
              </w:rPr>
            </w:pPr>
            <w:r>
              <w:rPr>
                <w:sz w:val="19"/>
              </w:rPr>
              <w:t>Guerrero</w:t>
            </w:r>
          </w:p>
        </w:tc>
        <w:tc>
          <w:tcPr>
            <w:tcW w:w="1066" w:type="dxa"/>
            <w:tcBorders>
              <w:top w:val="single" w:sz="5" w:space="0" w:color="000000"/>
              <w:bottom w:val="single" w:sz="5" w:space="0" w:color="000000"/>
            </w:tcBorders>
          </w:tcPr>
          <w:p>
            <w:pPr>
              <w:pStyle w:val="TableParagraph"/>
              <w:spacing w:before="61"/>
              <w:jc w:val="center"/>
              <w:rPr>
                <w:sz w:val="19"/>
              </w:rPr>
            </w:pPr>
            <w:r>
              <w:rPr>
                <w:w w:val="101"/>
                <w:sz w:val="19"/>
              </w:rPr>
              <w:t>X</w:t>
            </w:r>
          </w:p>
        </w:tc>
        <w:tc>
          <w:tcPr>
            <w:tcW w:w="1068" w:type="dxa"/>
            <w:tcBorders>
              <w:top w:val="single" w:sz="5" w:space="0" w:color="000000"/>
              <w:bottom w:val="single" w:sz="5" w:space="0" w:color="000000"/>
            </w:tcBorders>
          </w:tcPr>
          <w:p>
            <w:pPr>
              <w:pStyle w:val="TableParagraph"/>
              <w:spacing w:before="61"/>
              <w:jc w:val="center"/>
              <w:rPr>
                <w:sz w:val="19"/>
              </w:rPr>
            </w:pPr>
            <w:r>
              <w:rPr>
                <w:w w:val="101"/>
                <w:sz w:val="19"/>
              </w:rPr>
              <w:t>X</w:t>
            </w:r>
          </w:p>
        </w:tc>
        <w:tc>
          <w:tcPr>
            <w:tcW w:w="1217" w:type="dxa"/>
            <w:tcBorders>
              <w:top w:val="single" w:sz="5" w:space="0" w:color="000000"/>
              <w:bottom w:val="single" w:sz="5" w:space="0" w:color="000000"/>
            </w:tcBorders>
          </w:tcPr>
          <w:p>
            <w:pPr/>
          </w:p>
        </w:tc>
        <w:tc>
          <w:tcPr>
            <w:tcW w:w="989" w:type="dxa"/>
            <w:tcBorders>
              <w:top w:val="single" w:sz="5" w:space="0" w:color="000000"/>
              <w:bottom w:val="single" w:sz="5" w:space="0" w:color="000000"/>
            </w:tcBorders>
          </w:tcPr>
          <w:p>
            <w:pPr>
              <w:pStyle w:val="TableParagraph"/>
              <w:spacing w:before="61"/>
              <w:ind w:right="3"/>
              <w:jc w:val="center"/>
              <w:rPr>
                <w:sz w:val="19"/>
              </w:rPr>
            </w:pPr>
            <w:r>
              <w:rPr>
                <w:w w:val="101"/>
                <w:sz w:val="19"/>
              </w:rPr>
              <w:t>X</w:t>
            </w:r>
          </w:p>
        </w:tc>
        <w:tc>
          <w:tcPr>
            <w:tcW w:w="1054" w:type="dxa"/>
            <w:tcBorders>
              <w:top w:val="single" w:sz="5" w:space="0" w:color="000000"/>
              <w:bottom w:val="single" w:sz="5" w:space="0" w:color="000000"/>
            </w:tcBorders>
          </w:tcPr>
          <w:p>
            <w:pPr/>
          </w:p>
        </w:tc>
        <w:tc>
          <w:tcPr>
            <w:tcW w:w="1056" w:type="dxa"/>
            <w:tcBorders>
              <w:top w:val="single" w:sz="5" w:space="0" w:color="000000"/>
              <w:bottom w:val="single" w:sz="5" w:space="0" w:color="000000"/>
            </w:tcBorders>
          </w:tcPr>
          <w:p>
            <w:pPr>
              <w:pStyle w:val="TableParagraph"/>
              <w:spacing w:before="61"/>
              <w:ind w:right="3"/>
              <w:jc w:val="center"/>
              <w:rPr>
                <w:sz w:val="19"/>
              </w:rPr>
            </w:pPr>
            <w:r>
              <w:rPr>
                <w:w w:val="101"/>
                <w:sz w:val="19"/>
              </w:rPr>
              <w:t>X</w:t>
            </w:r>
          </w:p>
        </w:tc>
        <w:tc>
          <w:tcPr>
            <w:tcW w:w="1054" w:type="dxa"/>
            <w:tcBorders>
              <w:top w:val="single" w:sz="5" w:space="0" w:color="000000"/>
              <w:bottom w:val="single" w:sz="5" w:space="0" w:color="000000"/>
            </w:tcBorders>
          </w:tcPr>
          <w:p>
            <w:pPr/>
          </w:p>
        </w:tc>
      </w:tr>
      <w:tr>
        <w:trPr>
          <w:trHeight w:val="355" w:hRule="exact"/>
        </w:trPr>
        <w:tc>
          <w:tcPr>
            <w:tcW w:w="1188" w:type="dxa"/>
            <w:tcBorders>
              <w:top w:val="single" w:sz="5" w:space="0" w:color="000000"/>
              <w:bottom w:val="single" w:sz="5" w:space="0" w:color="000000"/>
            </w:tcBorders>
          </w:tcPr>
          <w:p>
            <w:pPr>
              <w:pStyle w:val="TableParagraph"/>
              <w:spacing w:before="61"/>
              <w:ind w:left="59"/>
              <w:jc w:val="left"/>
              <w:rPr>
                <w:sz w:val="19"/>
              </w:rPr>
            </w:pPr>
            <w:r>
              <w:rPr>
                <w:sz w:val="19"/>
              </w:rPr>
              <w:t>Jalisco</w:t>
            </w:r>
          </w:p>
        </w:tc>
        <w:tc>
          <w:tcPr>
            <w:tcW w:w="1066" w:type="dxa"/>
            <w:tcBorders>
              <w:top w:val="single" w:sz="5" w:space="0" w:color="000000"/>
              <w:bottom w:val="single" w:sz="5" w:space="0" w:color="000000"/>
            </w:tcBorders>
          </w:tcPr>
          <w:p>
            <w:pPr/>
          </w:p>
        </w:tc>
        <w:tc>
          <w:tcPr>
            <w:tcW w:w="1068" w:type="dxa"/>
            <w:tcBorders>
              <w:top w:val="single" w:sz="5" w:space="0" w:color="000000"/>
              <w:bottom w:val="single" w:sz="5" w:space="0" w:color="000000"/>
            </w:tcBorders>
          </w:tcPr>
          <w:p>
            <w:pPr>
              <w:pStyle w:val="TableParagraph"/>
              <w:spacing w:before="61"/>
              <w:jc w:val="center"/>
              <w:rPr>
                <w:sz w:val="19"/>
              </w:rPr>
            </w:pPr>
            <w:r>
              <w:rPr>
                <w:w w:val="101"/>
                <w:sz w:val="19"/>
              </w:rPr>
              <w:t>X</w:t>
            </w:r>
          </w:p>
        </w:tc>
        <w:tc>
          <w:tcPr>
            <w:tcW w:w="1217" w:type="dxa"/>
            <w:tcBorders>
              <w:top w:val="single" w:sz="5" w:space="0" w:color="000000"/>
              <w:bottom w:val="single" w:sz="5" w:space="0" w:color="000000"/>
            </w:tcBorders>
          </w:tcPr>
          <w:p>
            <w:pPr/>
          </w:p>
        </w:tc>
        <w:tc>
          <w:tcPr>
            <w:tcW w:w="989" w:type="dxa"/>
            <w:tcBorders>
              <w:top w:val="single" w:sz="5" w:space="0" w:color="000000"/>
              <w:bottom w:val="single" w:sz="5" w:space="0" w:color="000000"/>
            </w:tcBorders>
          </w:tcPr>
          <w:p>
            <w:pPr/>
          </w:p>
        </w:tc>
        <w:tc>
          <w:tcPr>
            <w:tcW w:w="1054" w:type="dxa"/>
            <w:tcBorders>
              <w:top w:val="single" w:sz="5" w:space="0" w:color="000000"/>
              <w:bottom w:val="single" w:sz="5" w:space="0" w:color="000000"/>
            </w:tcBorders>
          </w:tcPr>
          <w:p>
            <w:pPr/>
          </w:p>
        </w:tc>
        <w:tc>
          <w:tcPr>
            <w:tcW w:w="1056" w:type="dxa"/>
            <w:tcBorders>
              <w:top w:val="single" w:sz="5" w:space="0" w:color="000000"/>
              <w:bottom w:val="single" w:sz="5" w:space="0" w:color="000000"/>
            </w:tcBorders>
          </w:tcPr>
          <w:p>
            <w:pPr>
              <w:pStyle w:val="TableParagraph"/>
              <w:spacing w:before="61"/>
              <w:ind w:right="3"/>
              <w:jc w:val="center"/>
              <w:rPr>
                <w:sz w:val="19"/>
              </w:rPr>
            </w:pPr>
            <w:r>
              <w:rPr>
                <w:w w:val="101"/>
                <w:sz w:val="19"/>
              </w:rPr>
              <w:t>X</w:t>
            </w:r>
          </w:p>
        </w:tc>
        <w:tc>
          <w:tcPr>
            <w:tcW w:w="1054" w:type="dxa"/>
            <w:tcBorders>
              <w:top w:val="single" w:sz="5" w:space="0" w:color="000000"/>
              <w:bottom w:val="single" w:sz="5" w:space="0" w:color="000000"/>
            </w:tcBorders>
          </w:tcPr>
          <w:p>
            <w:pPr>
              <w:pStyle w:val="TableParagraph"/>
              <w:spacing w:before="61"/>
              <w:ind w:right="5"/>
              <w:jc w:val="center"/>
              <w:rPr>
                <w:sz w:val="19"/>
              </w:rPr>
            </w:pPr>
            <w:r>
              <w:rPr>
                <w:w w:val="101"/>
                <w:sz w:val="19"/>
              </w:rPr>
              <w:t>X</w:t>
            </w:r>
          </w:p>
        </w:tc>
      </w:tr>
      <w:tr>
        <w:trPr>
          <w:trHeight w:val="354" w:hRule="exact"/>
        </w:trPr>
        <w:tc>
          <w:tcPr>
            <w:tcW w:w="1188" w:type="dxa"/>
            <w:tcBorders>
              <w:top w:val="single" w:sz="5" w:space="0" w:color="000000"/>
            </w:tcBorders>
          </w:tcPr>
          <w:p>
            <w:pPr>
              <w:pStyle w:val="TableParagraph"/>
              <w:spacing w:before="61"/>
              <w:ind w:left="59"/>
              <w:jc w:val="left"/>
              <w:rPr>
                <w:sz w:val="19"/>
              </w:rPr>
            </w:pPr>
            <w:r>
              <w:rPr>
                <w:sz w:val="19"/>
              </w:rPr>
              <w:t>Michoacán</w:t>
            </w:r>
          </w:p>
        </w:tc>
        <w:tc>
          <w:tcPr>
            <w:tcW w:w="1066" w:type="dxa"/>
            <w:tcBorders>
              <w:top w:val="single" w:sz="5" w:space="0" w:color="000000"/>
            </w:tcBorders>
          </w:tcPr>
          <w:p>
            <w:pPr>
              <w:pStyle w:val="TableParagraph"/>
              <w:spacing w:before="61"/>
              <w:jc w:val="center"/>
              <w:rPr>
                <w:sz w:val="19"/>
              </w:rPr>
            </w:pPr>
            <w:r>
              <w:rPr>
                <w:w w:val="101"/>
                <w:sz w:val="19"/>
              </w:rPr>
              <w:t>X</w:t>
            </w:r>
          </w:p>
        </w:tc>
        <w:tc>
          <w:tcPr>
            <w:tcW w:w="1068" w:type="dxa"/>
            <w:tcBorders>
              <w:top w:val="single" w:sz="5" w:space="0" w:color="000000"/>
            </w:tcBorders>
          </w:tcPr>
          <w:p>
            <w:pPr>
              <w:pStyle w:val="TableParagraph"/>
              <w:spacing w:before="61"/>
              <w:jc w:val="center"/>
              <w:rPr>
                <w:sz w:val="19"/>
              </w:rPr>
            </w:pPr>
            <w:r>
              <w:rPr>
                <w:w w:val="101"/>
                <w:sz w:val="19"/>
              </w:rPr>
              <w:t>X</w:t>
            </w:r>
          </w:p>
        </w:tc>
        <w:tc>
          <w:tcPr>
            <w:tcW w:w="1217" w:type="dxa"/>
            <w:tcBorders>
              <w:top w:val="single" w:sz="5" w:space="0" w:color="000000"/>
            </w:tcBorders>
          </w:tcPr>
          <w:p>
            <w:pPr>
              <w:pStyle w:val="TableParagraph"/>
              <w:spacing w:before="61"/>
              <w:ind w:right="5"/>
              <w:jc w:val="center"/>
              <w:rPr>
                <w:sz w:val="19"/>
              </w:rPr>
            </w:pPr>
            <w:r>
              <w:rPr>
                <w:w w:val="101"/>
                <w:sz w:val="19"/>
              </w:rPr>
              <w:t>X</w:t>
            </w:r>
          </w:p>
        </w:tc>
        <w:tc>
          <w:tcPr>
            <w:tcW w:w="989" w:type="dxa"/>
            <w:tcBorders>
              <w:top w:val="single" w:sz="5" w:space="0" w:color="000000"/>
            </w:tcBorders>
          </w:tcPr>
          <w:p>
            <w:pPr/>
          </w:p>
        </w:tc>
        <w:tc>
          <w:tcPr>
            <w:tcW w:w="1054" w:type="dxa"/>
            <w:tcBorders>
              <w:top w:val="single" w:sz="5" w:space="0" w:color="000000"/>
            </w:tcBorders>
          </w:tcPr>
          <w:p>
            <w:pPr/>
          </w:p>
        </w:tc>
        <w:tc>
          <w:tcPr>
            <w:tcW w:w="1056" w:type="dxa"/>
            <w:tcBorders>
              <w:top w:val="single" w:sz="5" w:space="0" w:color="000000"/>
            </w:tcBorders>
          </w:tcPr>
          <w:p>
            <w:pPr>
              <w:pStyle w:val="TableParagraph"/>
              <w:spacing w:before="61"/>
              <w:ind w:right="3"/>
              <w:jc w:val="center"/>
              <w:rPr>
                <w:sz w:val="19"/>
              </w:rPr>
            </w:pPr>
            <w:r>
              <w:rPr>
                <w:w w:val="101"/>
                <w:sz w:val="19"/>
              </w:rPr>
              <w:t>X</w:t>
            </w:r>
          </w:p>
        </w:tc>
        <w:tc>
          <w:tcPr>
            <w:tcW w:w="1054" w:type="dxa"/>
            <w:tcBorders>
              <w:top w:val="single" w:sz="5" w:space="0" w:color="000000"/>
            </w:tcBorders>
          </w:tcPr>
          <w:p>
            <w:pPr>
              <w:pStyle w:val="TableParagraph"/>
              <w:spacing w:before="61"/>
              <w:ind w:right="5"/>
              <w:jc w:val="center"/>
              <w:rPr>
                <w:sz w:val="19"/>
              </w:rPr>
            </w:pPr>
            <w:r>
              <w:rPr>
                <w:w w:val="101"/>
                <w:sz w:val="19"/>
              </w:rPr>
              <w:t>X</w:t>
            </w:r>
          </w:p>
        </w:tc>
      </w:tr>
      <w:tr>
        <w:trPr>
          <w:trHeight w:val="355" w:hRule="exact"/>
        </w:trPr>
        <w:tc>
          <w:tcPr>
            <w:tcW w:w="1188" w:type="dxa"/>
          </w:tcPr>
          <w:p>
            <w:pPr>
              <w:pStyle w:val="TableParagraph"/>
              <w:spacing w:before="61"/>
              <w:ind w:left="59"/>
              <w:jc w:val="left"/>
              <w:rPr>
                <w:sz w:val="19"/>
              </w:rPr>
            </w:pPr>
            <w:r>
              <w:rPr>
                <w:sz w:val="19"/>
              </w:rPr>
              <w:t>Oaxaca</w:t>
            </w:r>
          </w:p>
        </w:tc>
        <w:tc>
          <w:tcPr>
            <w:tcW w:w="1066" w:type="dxa"/>
          </w:tcPr>
          <w:p>
            <w:pPr>
              <w:pStyle w:val="TableParagraph"/>
              <w:spacing w:before="61"/>
              <w:jc w:val="center"/>
              <w:rPr>
                <w:sz w:val="19"/>
              </w:rPr>
            </w:pPr>
            <w:r>
              <w:rPr>
                <w:w w:val="101"/>
                <w:sz w:val="19"/>
              </w:rPr>
              <w:t>X</w:t>
            </w:r>
          </w:p>
        </w:tc>
        <w:tc>
          <w:tcPr>
            <w:tcW w:w="1068" w:type="dxa"/>
          </w:tcPr>
          <w:p>
            <w:pPr>
              <w:pStyle w:val="TableParagraph"/>
              <w:spacing w:before="61"/>
              <w:jc w:val="center"/>
              <w:rPr>
                <w:sz w:val="19"/>
              </w:rPr>
            </w:pPr>
            <w:r>
              <w:rPr>
                <w:w w:val="101"/>
                <w:sz w:val="19"/>
              </w:rPr>
              <w:t>X</w:t>
            </w:r>
          </w:p>
        </w:tc>
        <w:tc>
          <w:tcPr>
            <w:tcW w:w="1217" w:type="dxa"/>
          </w:tcPr>
          <w:p>
            <w:pPr>
              <w:pStyle w:val="TableParagraph"/>
              <w:spacing w:before="61"/>
              <w:ind w:right="5"/>
              <w:jc w:val="center"/>
              <w:rPr>
                <w:sz w:val="19"/>
              </w:rPr>
            </w:pPr>
            <w:r>
              <w:rPr>
                <w:w w:val="101"/>
                <w:sz w:val="19"/>
              </w:rPr>
              <w:t>X</w:t>
            </w:r>
          </w:p>
        </w:tc>
        <w:tc>
          <w:tcPr>
            <w:tcW w:w="989" w:type="dxa"/>
          </w:tcPr>
          <w:p>
            <w:pPr/>
          </w:p>
        </w:tc>
        <w:tc>
          <w:tcPr>
            <w:tcW w:w="1054" w:type="dxa"/>
          </w:tcPr>
          <w:p>
            <w:pPr/>
          </w:p>
        </w:tc>
        <w:tc>
          <w:tcPr>
            <w:tcW w:w="1056" w:type="dxa"/>
          </w:tcPr>
          <w:p>
            <w:pPr>
              <w:pStyle w:val="TableParagraph"/>
              <w:spacing w:before="61"/>
              <w:ind w:right="3"/>
              <w:jc w:val="center"/>
              <w:rPr>
                <w:sz w:val="19"/>
              </w:rPr>
            </w:pPr>
            <w:r>
              <w:rPr>
                <w:w w:val="101"/>
                <w:sz w:val="19"/>
              </w:rPr>
              <w:t>X</w:t>
            </w:r>
          </w:p>
        </w:tc>
        <w:tc>
          <w:tcPr>
            <w:tcW w:w="1054" w:type="dxa"/>
          </w:tcPr>
          <w:p>
            <w:pPr>
              <w:pStyle w:val="TableParagraph"/>
              <w:spacing w:before="61"/>
              <w:ind w:right="5"/>
              <w:jc w:val="center"/>
              <w:rPr>
                <w:sz w:val="19"/>
              </w:rPr>
            </w:pPr>
            <w:r>
              <w:rPr>
                <w:w w:val="101"/>
                <w:sz w:val="19"/>
              </w:rPr>
              <w:t>X</w:t>
            </w:r>
          </w:p>
        </w:tc>
      </w:tr>
      <w:tr>
        <w:trPr>
          <w:trHeight w:val="355" w:hRule="exact"/>
        </w:trPr>
        <w:tc>
          <w:tcPr>
            <w:tcW w:w="1188" w:type="dxa"/>
          </w:tcPr>
          <w:p>
            <w:pPr>
              <w:pStyle w:val="TableParagraph"/>
              <w:spacing w:before="64"/>
              <w:ind w:left="59"/>
              <w:jc w:val="left"/>
              <w:rPr>
                <w:sz w:val="19"/>
              </w:rPr>
            </w:pPr>
            <w:r>
              <w:rPr>
                <w:sz w:val="19"/>
              </w:rPr>
              <w:t>San Luis P.</w:t>
            </w:r>
          </w:p>
        </w:tc>
        <w:tc>
          <w:tcPr>
            <w:tcW w:w="1066" w:type="dxa"/>
          </w:tcPr>
          <w:p>
            <w:pPr/>
          </w:p>
        </w:tc>
        <w:tc>
          <w:tcPr>
            <w:tcW w:w="1068" w:type="dxa"/>
          </w:tcPr>
          <w:p>
            <w:pPr/>
          </w:p>
        </w:tc>
        <w:tc>
          <w:tcPr>
            <w:tcW w:w="1217" w:type="dxa"/>
          </w:tcPr>
          <w:p>
            <w:pPr/>
          </w:p>
        </w:tc>
        <w:tc>
          <w:tcPr>
            <w:tcW w:w="989" w:type="dxa"/>
          </w:tcPr>
          <w:p>
            <w:pPr>
              <w:pStyle w:val="TableParagraph"/>
              <w:spacing w:before="64"/>
              <w:ind w:right="3"/>
              <w:jc w:val="center"/>
              <w:rPr>
                <w:sz w:val="19"/>
              </w:rPr>
            </w:pPr>
            <w:r>
              <w:rPr>
                <w:w w:val="101"/>
                <w:sz w:val="19"/>
              </w:rPr>
              <w:t>X</w:t>
            </w:r>
          </w:p>
        </w:tc>
        <w:tc>
          <w:tcPr>
            <w:tcW w:w="1054" w:type="dxa"/>
          </w:tcPr>
          <w:p>
            <w:pPr/>
          </w:p>
        </w:tc>
        <w:tc>
          <w:tcPr>
            <w:tcW w:w="1056" w:type="dxa"/>
          </w:tcPr>
          <w:p>
            <w:pPr/>
          </w:p>
        </w:tc>
        <w:tc>
          <w:tcPr>
            <w:tcW w:w="1054" w:type="dxa"/>
          </w:tcPr>
          <w:p>
            <w:pPr/>
          </w:p>
        </w:tc>
      </w:tr>
      <w:tr>
        <w:trPr>
          <w:trHeight w:val="358" w:hRule="exact"/>
        </w:trPr>
        <w:tc>
          <w:tcPr>
            <w:tcW w:w="1188" w:type="dxa"/>
          </w:tcPr>
          <w:p>
            <w:pPr>
              <w:pStyle w:val="TableParagraph"/>
              <w:spacing w:before="61"/>
              <w:ind w:left="59"/>
              <w:jc w:val="left"/>
              <w:rPr>
                <w:sz w:val="19"/>
              </w:rPr>
            </w:pPr>
            <w:r>
              <w:rPr>
                <w:sz w:val="19"/>
              </w:rPr>
              <w:t>Zacatecas</w:t>
            </w:r>
          </w:p>
        </w:tc>
        <w:tc>
          <w:tcPr>
            <w:tcW w:w="1066" w:type="dxa"/>
          </w:tcPr>
          <w:p>
            <w:pPr/>
          </w:p>
        </w:tc>
        <w:tc>
          <w:tcPr>
            <w:tcW w:w="1068" w:type="dxa"/>
          </w:tcPr>
          <w:p>
            <w:pPr>
              <w:pStyle w:val="TableParagraph"/>
              <w:spacing w:before="61"/>
              <w:jc w:val="center"/>
              <w:rPr>
                <w:sz w:val="19"/>
              </w:rPr>
            </w:pPr>
            <w:r>
              <w:rPr>
                <w:w w:val="101"/>
                <w:sz w:val="19"/>
              </w:rPr>
              <w:t>X</w:t>
            </w:r>
          </w:p>
        </w:tc>
        <w:tc>
          <w:tcPr>
            <w:tcW w:w="1217" w:type="dxa"/>
          </w:tcPr>
          <w:p>
            <w:pPr/>
          </w:p>
        </w:tc>
        <w:tc>
          <w:tcPr>
            <w:tcW w:w="989" w:type="dxa"/>
          </w:tcPr>
          <w:p>
            <w:pPr/>
          </w:p>
        </w:tc>
        <w:tc>
          <w:tcPr>
            <w:tcW w:w="1054" w:type="dxa"/>
          </w:tcPr>
          <w:p>
            <w:pPr>
              <w:pStyle w:val="TableParagraph"/>
              <w:spacing w:before="61"/>
              <w:ind w:right="2"/>
              <w:jc w:val="center"/>
              <w:rPr>
                <w:sz w:val="19"/>
              </w:rPr>
            </w:pPr>
            <w:r>
              <w:rPr>
                <w:w w:val="101"/>
                <w:sz w:val="19"/>
              </w:rPr>
              <w:t>X</w:t>
            </w:r>
          </w:p>
        </w:tc>
        <w:tc>
          <w:tcPr>
            <w:tcW w:w="1056" w:type="dxa"/>
          </w:tcPr>
          <w:p>
            <w:pPr>
              <w:pStyle w:val="TableParagraph"/>
              <w:spacing w:before="61"/>
              <w:ind w:right="3"/>
              <w:jc w:val="center"/>
              <w:rPr>
                <w:sz w:val="19"/>
              </w:rPr>
            </w:pPr>
            <w:r>
              <w:rPr>
                <w:w w:val="101"/>
                <w:sz w:val="19"/>
              </w:rPr>
              <w:t>X</w:t>
            </w:r>
          </w:p>
        </w:tc>
        <w:tc>
          <w:tcPr>
            <w:tcW w:w="1054" w:type="dxa"/>
          </w:tcPr>
          <w:p>
            <w:pPr>
              <w:pStyle w:val="TableParagraph"/>
              <w:spacing w:before="61"/>
              <w:ind w:right="5"/>
              <w:jc w:val="center"/>
              <w:rPr>
                <w:sz w:val="19"/>
              </w:rPr>
            </w:pPr>
            <w:r>
              <w:rPr>
                <w:w w:val="101"/>
                <w:sz w:val="19"/>
              </w:rPr>
              <w:t>X</w:t>
            </w:r>
          </w:p>
        </w:tc>
      </w:tr>
    </w:tbl>
    <w:p>
      <w:pPr>
        <w:spacing w:line="280" w:lineRule="auto" w:before="2"/>
        <w:ind w:left="175" w:right="181" w:firstLine="0"/>
        <w:jc w:val="both"/>
        <w:rPr>
          <w:sz w:val="21"/>
        </w:rPr>
      </w:pPr>
      <w:r>
        <w:rPr>
          <w:sz w:val="21"/>
        </w:rPr>
        <w:t>Fuente: Elaborado en base a Verduzco y Unger. 1998. “Impacts of migration in Mexico” in Mexico-United States Binational Migration Study. Migration between Mexico and The United States. pp 424, 425).</w:t>
      </w:r>
    </w:p>
    <w:p>
      <w:pPr>
        <w:pStyle w:val="BodyText"/>
        <w:rPr>
          <w:sz w:val="20"/>
        </w:rPr>
      </w:pPr>
    </w:p>
    <w:p>
      <w:pPr>
        <w:pStyle w:val="BodyText"/>
        <w:rPr>
          <w:sz w:val="20"/>
        </w:rPr>
      </w:pPr>
    </w:p>
    <w:p>
      <w:pPr>
        <w:pStyle w:val="BodyText"/>
        <w:spacing w:before="6"/>
        <w:rPr>
          <w:sz w:val="16"/>
        </w:rPr>
      </w:pPr>
    </w:p>
    <w:p>
      <w:pPr>
        <w:pStyle w:val="BodyText"/>
        <w:spacing w:line="360" w:lineRule="auto"/>
        <w:ind w:left="175" w:right="181"/>
        <w:jc w:val="both"/>
      </w:pPr>
      <w:r>
        <w:rPr/>
        <w:t>En el aspecto del </w:t>
      </w:r>
      <w:r>
        <w:rPr>
          <w:spacing w:val="-3"/>
        </w:rPr>
        <w:t>mejoramiento </w:t>
      </w:r>
      <w:r>
        <w:rPr/>
        <w:t>de la </w:t>
      </w:r>
      <w:r>
        <w:rPr>
          <w:spacing w:val="-3"/>
        </w:rPr>
        <w:t>actividad productiva </w:t>
      </w:r>
      <w:r>
        <w:rPr/>
        <w:t>los ocho </w:t>
      </w:r>
      <w:r>
        <w:rPr>
          <w:spacing w:val="-3"/>
        </w:rPr>
        <w:t>estados mencionados </w:t>
      </w:r>
      <w:r>
        <w:rPr/>
        <w:t>en </w:t>
      </w:r>
      <w:r>
        <w:rPr>
          <w:spacing w:val="-3"/>
        </w:rPr>
        <w:t>el </w:t>
      </w:r>
      <w:r>
        <w:rPr>
          <w:spacing w:val="-2"/>
        </w:rPr>
        <w:t>cuadro </w:t>
      </w:r>
      <w:r>
        <w:rPr/>
        <w:t>tuvieron un mejor uso de tecnología </w:t>
      </w:r>
      <w:r>
        <w:rPr>
          <w:spacing w:val="-3"/>
        </w:rPr>
        <w:t>agrícola, ganadera   </w:t>
      </w:r>
      <w:r>
        <w:rPr/>
        <w:t>o maquinaria. Si juntamos los tractores con lo que </w:t>
      </w:r>
      <w:r>
        <w:rPr>
          <w:spacing w:val="-3"/>
        </w:rPr>
        <w:t>dichos </w:t>
      </w:r>
      <w:r>
        <w:rPr/>
        <w:t>autores </w:t>
      </w:r>
      <w:r>
        <w:rPr>
          <w:spacing w:val="-2"/>
        </w:rPr>
        <w:t>consideraron </w:t>
      </w:r>
      <w:r>
        <w:rPr/>
        <w:t>como </w:t>
      </w:r>
      <w:r>
        <w:rPr>
          <w:spacing w:val="-3"/>
        </w:rPr>
        <w:t>tecnología </w:t>
      </w:r>
      <w:r>
        <w:rPr/>
        <w:t>agrícola, resultan </w:t>
      </w:r>
      <w:r>
        <w:rPr>
          <w:spacing w:val="-3"/>
        </w:rPr>
        <w:t>cinco estados sobresalientes </w:t>
      </w:r>
      <w:r>
        <w:rPr/>
        <w:t>en ese rubro, al  </w:t>
      </w:r>
      <w:r>
        <w:rPr>
          <w:spacing w:val="-3"/>
        </w:rPr>
        <w:t>igual </w:t>
      </w:r>
      <w:r>
        <w:rPr/>
        <w:t>que en el ganadero, </w:t>
      </w:r>
      <w:r>
        <w:rPr>
          <w:spacing w:val="-3"/>
        </w:rPr>
        <w:t>destacando </w:t>
      </w:r>
      <w:r>
        <w:rPr/>
        <w:t>en </w:t>
      </w:r>
      <w:r>
        <w:rPr>
          <w:spacing w:val="-3"/>
        </w:rPr>
        <w:t>ambos Jalisco, </w:t>
      </w:r>
      <w:r>
        <w:rPr/>
        <w:t>Michoacán, </w:t>
      </w:r>
      <w:r>
        <w:rPr>
          <w:spacing w:val="-3"/>
        </w:rPr>
        <w:t>Oaxaca </w:t>
      </w:r>
      <w:r>
        <w:rPr/>
        <w:t>y Zacatecas</w:t>
      </w:r>
      <w:r>
        <w:rPr>
          <w:position w:val="11"/>
          <w:sz w:val="15"/>
        </w:rPr>
        <w:t>81</w:t>
      </w:r>
      <w:r>
        <w:rPr/>
        <w:t>.</w:t>
      </w:r>
    </w:p>
    <w:p>
      <w:pPr>
        <w:pStyle w:val="BodyText"/>
        <w:spacing w:line="364" w:lineRule="auto" w:before="183"/>
        <w:ind w:left="175" w:right="184"/>
        <w:jc w:val="both"/>
      </w:pPr>
      <w:r>
        <w:rPr/>
        <w:t>Esto confirma que, </w:t>
      </w:r>
      <w:r>
        <w:rPr>
          <w:spacing w:val="-3"/>
        </w:rPr>
        <w:t>especialmente en </w:t>
      </w:r>
      <w:r>
        <w:rPr/>
        <w:t>el caso de las </w:t>
      </w:r>
      <w:r>
        <w:rPr>
          <w:spacing w:val="-3"/>
        </w:rPr>
        <w:t>entidades tradicionalmente emisoras </w:t>
      </w:r>
      <w:r>
        <w:rPr/>
        <w:t>de corrientes </w:t>
      </w:r>
      <w:r>
        <w:rPr>
          <w:spacing w:val="-3"/>
        </w:rPr>
        <w:t>migratorias del </w:t>
      </w:r>
      <w:r>
        <w:rPr/>
        <w:t>medio rural, la </w:t>
      </w:r>
      <w:r>
        <w:rPr>
          <w:spacing w:val="-3"/>
        </w:rPr>
        <w:t>importancia </w:t>
      </w:r>
      <w:r>
        <w:rPr/>
        <w:t>de la emigración no sólo se refleja en </w:t>
      </w:r>
      <w:r>
        <w:rPr>
          <w:spacing w:val="-3"/>
        </w:rPr>
        <w:t>el abatimiento </w:t>
      </w:r>
      <w:r>
        <w:rPr/>
        <w:t>del </w:t>
      </w:r>
      <w:r>
        <w:rPr>
          <w:spacing w:val="-2"/>
        </w:rPr>
        <w:t>desempleo </w:t>
      </w:r>
      <w:r>
        <w:rPr/>
        <w:t>sino que también en otros  </w:t>
      </w:r>
      <w:r>
        <w:rPr>
          <w:spacing w:val="-3"/>
        </w:rPr>
        <w:t>ámbitos </w:t>
      </w:r>
      <w:r>
        <w:rPr/>
        <w:t>de la </w:t>
      </w:r>
      <w:r>
        <w:rPr>
          <w:spacing w:val="-3"/>
        </w:rPr>
        <w:t>economía, </w:t>
      </w:r>
      <w:r>
        <w:rPr/>
        <w:t>como lo son: la </w:t>
      </w:r>
      <w:r>
        <w:rPr>
          <w:spacing w:val="-3"/>
        </w:rPr>
        <w:t>inversión </w:t>
      </w:r>
      <w:r>
        <w:rPr/>
        <w:t>en las </w:t>
      </w:r>
      <w:r>
        <w:rPr>
          <w:spacing w:val="-3"/>
        </w:rPr>
        <w:t>actividades agrícola, comercial </w:t>
      </w:r>
      <w:r>
        <w:rPr/>
        <w:t>y en la </w:t>
      </w:r>
      <w:r>
        <w:rPr>
          <w:spacing w:val="-3"/>
        </w:rPr>
        <w:t>infraestructura </w:t>
      </w:r>
      <w:r>
        <w:rPr/>
        <w:t>productiva y </w:t>
      </w:r>
      <w:r>
        <w:rPr>
          <w:spacing w:val="-3"/>
        </w:rPr>
        <w:t>social </w:t>
      </w:r>
      <w:r>
        <w:rPr/>
        <w:t>de las </w:t>
      </w:r>
      <w:r>
        <w:rPr>
          <w:spacing w:val="1"/>
        </w:rPr>
        <w:t> </w:t>
      </w:r>
      <w:r>
        <w:rPr>
          <w:spacing w:val="-2"/>
        </w:rPr>
        <w:t>comunidades.</w:t>
      </w:r>
    </w:p>
    <w:p>
      <w:pPr>
        <w:pStyle w:val="BodyText"/>
        <w:rPr>
          <w:sz w:val="20"/>
        </w:rPr>
      </w:pPr>
    </w:p>
    <w:p>
      <w:pPr>
        <w:pStyle w:val="BodyText"/>
        <w:rPr>
          <w:sz w:val="20"/>
        </w:rPr>
      </w:pPr>
    </w:p>
    <w:p>
      <w:pPr>
        <w:pStyle w:val="BodyText"/>
        <w:rPr>
          <w:sz w:val="20"/>
        </w:rPr>
      </w:pPr>
    </w:p>
    <w:p>
      <w:pPr>
        <w:pStyle w:val="BodyText"/>
        <w:spacing w:before="1"/>
        <w:rPr>
          <w:sz w:val="12"/>
        </w:rPr>
      </w:pPr>
      <w:r>
        <w:rPr/>
        <w:pict>
          <v:line style="position:absolute;mso-position-horizontal-relative:page;mso-position-vertical-relative:paragraph;z-index:2416;mso-wrap-distance-left:0;mso-wrap-distance-right:0" from="82.799995pt,9.304659pt" to="222.959992pt,9.304659pt" stroked="true" strokeweight=".72pt" strokecolor="#000000">
            <w10:wrap type="topAndBottom"/>
          </v:line>
        </w:pict>
      </w:r>
    </w:p>
    <w:p>
      <w:pPr>
        <w:spacing w:line="285" w:lineRule="auto" w:before="48"/>
        <w:ind w:left="175" w:right="184" w:firstLine="0"/>
        <w:jc w:val="both"/>
        <w:rPr>
          <w:sz w:val="19"/>
        </w:rPr>
      </w:pPr>
      <w:r>
        <w:rPr>
          <w:position w:val="10"/>
          <w:sz w:val="13"/>
        </w:rPr>
        <w:t>81 </w:t>
      </w:r>
      <w:r>
        <w:rPr>
          <w:sz w:val="19"/>
        </w:rPr>
        <w:t>No obstante, lo interesante que resulta dicho análisis, de  ninguna  manera  es  concluyente,  puesto que se refiere a una “zona geográfica” reducida,  además de que los efectos encontrados   son en cierta medida dispersos, tal como se aprecia claramente en el mencionado cuadro   </w:t>
      </w:r>
      <w:r>
        <w:rPr>
          <w:spacing w:val="2"/>
          <w:sz w:val="19"/>
        </w:rPr>
        <w:t> </w:t>
      </w:r>
      <w:r>
        <w:rPr>
          <w:sz w:val="19"/>
        </w:rPr>
        <w:t>9.</w:t>
      </w:r>
    </w:p>
    <w:p>
      <w:pPr>
        <w:spacing w:after="0" w:line="285" w:lineRule="auto"/>
        <w:jc w:val="both"/>
        <w:rPr>
          <w:sz w:val="19"/>
        </w:rPr>
        <w:sectPr>
          <w:pgSz w:w="11900" w:h="16840"/>
          <w:pgMar w:header="0" w:footer="1679" w:top="1600" w:bottom="1860" w:left="1480" w:right="1500"/>
        </w:sectPr>
      </w:pPr>
    </w:p>
    <w:p>
      <w:pPr>
        <w:pStyle w:val="BodyText"/>
        <w:rPr>
          <w:sz w:val="20"/>
        </w:rPr>
      </w:pPr>
    </w:p>
    <w:p>
      <w:pPr>
        <w:pStyle w:val="BodyText"/>
        <w:spacing w:before="7"/>
        <w:rPr>
          <w:sz w:val="16"/>
        </w:rPr>
      </w:pPr>
    </w:p>
    <w:p>
      <w:pPr>
        <w:pStyle w:val="BodyText"/>
        <w:spacing w:line="364" w:lineRule="auto" w:before="74"/>
        <w:ind w:left="115" w:right="104"/>
        <w:jc w:val="both"/>
      </w:pPr>
      <w:r>
        <w:rPr/>
        <w:t>Una conclusión diferente </w:t>
      </w:r>
      <w:r>
        <w:rPr>
          <w:spacing w:val="-3"/>
        </w:rPr>
        <w:t>entre </w:t>
      </w:r>
      <w:r>
        <w:rPr/>
        <w:t>desarrollo económico y migración </w:t>
      </w:r>
      <w:r>
        <w:rPr>
          <w:spacing w:val="-3"/>
        </w:rPr>
        <w:t>internacional </w:t>
      </w:r>
      <w:r>
        <w:rPr/>
        <w:t>puede ser </w:t>
      </w:r>
      <w:r>
        <w:rPr>
          <w:spacing w:val="-3"/>
        </w:rPr>
        <w:t>extraída </w:t>
      </w:r>
      <w:r>
        <w:rPr/>
        <w:t>cuando se hace notar que en </w:t>
      </w:r>
      <w:r>
        <w:rPr>
          <w:spacing w:val="-3"/>
        </w:rPr>
        <w:t>el </w:t>
      </w:r>
      <w:r>
        <w:rPr/>
        <w:t>estado </w:t>
      </w:r>
      <w:r>
        <w:rPr>
          <w:spacing w:val="-3"/>
        </w:rPr>
        <w:t>de Zacatecas, </w:t>
      </w:r>
      <w:r>
        <w:rPr/>
        <w:t>no obstante el relativamente alto monto de las </w:t>
      </w:r>
      <w:r>
        <w:rPr>
          <w:spacing w:val="-3"/>
        </w:rPr>
        <w:t>remesas </w:t>
      </w:r>
      <w:r>
        <w:rPr/>
        <w:t>recibido durante los últimos 30 </w:t>
      </w:r>
      <w:r>
        <w:rPr>
          <w:spacing w:val="-3"/>
        </w:rPr>
        <w:t>años, </w:t>
      </w:r>
      <w:r>
        <w:rPr/>
        <w:t>la estructura </w:t>
      </w:r>
      <w:r>
        <w:rPr>
          <w:spacing w:val="-3"/>
        </w:rPr>
        <w:t>económica </w:t>
      </w:r>
      <w:r>
        <w:rPr/>
        <w:t>de la entidad no ha sufrido cambio  </w:t>
      </w:r>
      <w:r>
        <w:rPr>
          <w:spacing w:val="-3"/>
        </w:rPr>
        <w:t>significativo alguno. Hoy, </w:t>
      </w:r>
      <w:r>
        <w:rPr/>
        <w:t>como en 1970, la </w:t>
      </w:r>
      <w:r>
        <w:rPr>
          <w:spacing w:val="-3"/>
        </w:rPr>
        <w:t>aportación </w:t>
      </w:r>
      <w:r>
        <w:rPr/>
        <w:t>de </w:t>
      </w:r>
      <w:r>
        <w:rPr>
          <w:spacing w:val="-3"/>
        </w:rPr>
        <w:t>Zacatecas </w:t>
      </w:r>
      <w:r>
        <w:rPr/>
        <w:t>al producto </w:t>
      </w:r>
      <w:r>
        <w:rPr>
          <w:spacing w:val="-3"/>
        </w:rPr>
        <w:t>nacional </w:t>
      </w:r>
      <w:r>
        <w:rPr/>
        <w:t>sigue siendo mínima y </w:t>
      </w:r>
      <w:r>
        <w:rPr>
          <w:spacing w:val="-3"/>
        </w:rPr>
        <w:t>no </w:t>
      </w:r>
      <w:r>
        <w:rPr/>
        <w:t>llega al 1%. El </w:t>
      </w:r>
      <w:r>
        <w:rPr>
          <w:spacing w:val="-3"/>
        </w:rPr>
        <w:t>principal cambio observado </w:t>
      </w:r>
      <w:r>
        <w:rPr/>
        <w:t>es la </w:t>
      </w:r>
      <w:r>
        <w:rPr>
          <w:spacing w:val="-3"/>
        </w:rPr>
        <w:t>terciarización   </w:t>
      </w:r>
      <w:r>
        <w:rPr/>
        <w:t>de</w:t>
      </w:r>
      <w:r>
        <w:rPr>
          <w:spacing w:val="51"/>
        </w:rPr>
        <w:t> </w:t>
      </w:r>
      <w:r>
        <w:rPr/>
        <w:t>su</w:t>
      </w:r>
      <w:r>
        <w:rPr>
          <w:spacing w:val="54"/>
        </w:rPr>
        <w:t> </w:t>
      </w:r>
      <w:r>
        <w:rPr>
          <w:spacing w:val="-3"/>
        </w:rPr>
        <w:t>economía,</w:t>
      </w:r>
      <w:r>
        <w:rPr>
          <w:spacing w:val="56"/>
        </w:rPr>
        <w:t> </w:t>
      </w:r>
      <w:r>
        <w:rPr/>
        <w:t>proceso</w:t>
      </w:r>
      <w:r>
        <w:rPr>
          <w:spacing w:val="54"/>
        </w:rPr>
        <w:t> </w:t>
      </w:r>
      <w:r>
        <w:rPr/>
        <w:t>que</w:t>
      </w:r>
      <w:r>
        <w:rPr>
          <w:spacing w:val="54"/>
        </w:rPr>
        <w:t> </w:t>
      </w:r>
      <w:r>
        <w:rPr/>
        <w:t>no</w:t>
      </w:r>
      <w:r>
        <w:rPr>
          <w:spacing w:val="54"/>
        </w:rPr>
        <w:t> </w:t>
      </w:r>
      <w:r>
        <w:rPr>
          <w:spacing w:val="-3"/>
        </w:rPr>
        <w:t>tiene</w:t>
      </w:r>
      <w:r>
        <w:rPr>
          <w:spacing w:val="56"/>
        </w:rPr>
        <w:t> </w:t>
      </w:r>
      <w:r>
        <w:rPr/>
        <w:t>que</w:t>
      </w:r>
      <w:r>
        <w:rPr>
          <w:spacing w:val="54"/>
        </w:rPr>
        <w:t> </w:t>
      </w:r>
      <w:r>
        <w:rPr>
          <w:spacing w:val="-3"/>
        </w:rPr>
        <w:t>ver</w:t>
      </w:r>
      <w:r>
        <w:rPr>
          <w:spacing w:val="53"/>
        </w:rPr>
        <w:t> </w:t>
      </w:r>
      <w:r>
        <w:rPr/>
        <w:t>con</w:t>
      </w:r>
      <w:r>
        <w:rPr>
          <w:spacing w:val="51"/>
        </w:rPr>
        <w:t> </w:t>
      </w:r>
      <w:r>
        <w:rPr/>
        <w:t>las</w:t>
      </w:r>
      <w:r>
        <w:rPr>
          <w:spacing w:val="57"/>
        </w:rPr>
        <w:t> </w:t>
      </w:r>
      <w:r>
        <w:rPr/>
        <w:t>remesas,</w:t>
      </w:r>
      <w:r>
        <w:rPr>
          <w:spacing w:val="51"/>
        </w:rPr>
        <w:t> </w:t>
      </w:r>
      <w:r>
        <w:rPr/>
        <w:t>sino</w:t>
      </w:r>
      <w:r>
        <w:rPr>
          <w:spacing w:val="51"/>
        </w:rPr>
        <w:t> </w:t>
      </w:r>
      <w:r>
        <w:rPr/>
        <w:t>con</w:t>
      </w:r>
      <w:r>
        <w:rPr>
          <w:spacing w:val="51"/>
        </w:rPr>
        <w:t> </w:t>
      </w:r>
      <w:r>
        <w:rPr/>
        <w:t>las</w:t>
      </w:r>
    </w:p>
    <w:p>
      <w:pPr>
        <w:pStyle w:val="BodyText"/>
        <w:spacing w:line="272" w:lineRule="exact"/>
        <w:ind w:left="115"/>
        <w:jc w:val="both"/>
      </w:pPr>
      <w:r>
        <w:rPr/>
        <w:t>políticas públicas regionales de apoyo (Padilla,  2000:370</w:t>
      </w:r>
      <w:r>
        <w:rPr>
          <w:position w:val="11"/>
          <w:sz w:val="15"/>
        </w:rPr>
        <w:t>82</w:t>
      </w:r>
      <w:r>
        <w:rPr/>
        <w:t>).</w:t>
      </w:r>
    </w:p>
    <w:p>
      <w:pPr>
        <w:pStyle w:val="BodyText"/>
        <w:rPr>
          <w:sz w:val="28"/>
        </w:rPr>
      </w:pPr>
    </w:p>
    <w:p>
      <w:pPr>
        <w:pStyle w:val="BodyText"/>
        <w:spacing w:line="364" w:lineRule="auto" w:before="217"/>
        <w:ind w:left="116" w:right="103"/>
        <w:jc w:val="both"/>
      </w:pPr>
      <w:r>
        <w:rPr/>
        <w:t>En las demás ramas de </w:t>
      </w:r>
      <w:r>
        <w:rPr>
          <w:spacing w:val="-2"/>
        </w:rPr>
        <w:t>actividad </w:t>
      </w:r>
      <w:r>
        <w:rPr/>
        <w:t>de dicho estado </w:t>
      </w:r>
      <w:r>
        <w:rPr>
          <w:spacing w:val="-3"/>
        </w:rPr>
        <w:t>no </w:t>
      </w:r>
      <w:r>
        <w:rPr/>
        <w:t>se </w:t>
      </w:r>
      <w:r>
        <w:rPr>
          <w:spacing w:val="-3"/>
        </w:rPr>
        <w:t>observan </w:t>
      </w:r>
      <w:r>
        <w:rPr/>
        <w:t>cambios </w:t>
      </w:r>
      <w:r>
        <w:rPr>
          <w:spacing w:val="-3"/>
        </w:rPr>
        <w:t>relevantes. </w:t>
      </w:r>
      <w:r>
        <w:rPr/>
        <w:t>Igual que en 1970, la </w:t>
      </w:r>
      <w:r>
        <w:rPr>
          <w:spacing w:val="-3"/>
        </w:rPr>
        <w:t>agricultura </w:t>
      </w:r>
      <w:r>
        <w:rPr/>
        <w:t>se continúa enfrentando a problemas </w:t>
      </w:r>
      <w:r>
        <w:rPr>
          <w:spacing w:val="-3"/>
        </w:rPr>
        <w:t>estructurales </w:t>
      </w:r>
      <w:r>
        <w:rPr/>
        <w:t>que en </w:t>
      </w:r>
      <w:r>
        <w:rPr>
          <w:spacing w:val="-3"/>
        </w:rPr>
        <w:t>el marco </w:t>
      </w:r>
      <w:r>
        <w:rPr/>
        <w:t>de la </w:t>
      </w:r>
      <w:r>
        <w:rPr>
          <w:spacing w:val="-3"/>
        </w:rPr>
        <w:t>aplicación </w:t>
      </w:r>
      <w:r>
        <w:rPr>
          <w:rFonts w:ascii="Symbol" w:hAnsi="Symbol"/>
        </w:rPr>
        <w:t></w:t>
      </w:r>
      <w:r>
        <w:rPr/>
        <w:t>del</w:t>
      </w:r>
      <w:r>
        <w:rPr>
          <w:rFonts w:ascii="Symbol" w:hAnsi="Symbol"/>
        </w:rPr>
        <w:t></w:t>
      </w:r>
      <w:r>
        <w:rPr>
          <w:rFonts w:ascii="Times New Roman" w:hAnsi="Times New Roman"/>
        </w:rPr>
        <w:t> </w:t>
      </w:r>
      <w:r>
        <w:rPr>
          <w:spacing w:val="-3"/>
        </w:rPr>
        <w:t>modelo neoliberal </w:t>
      </w:r>
      <w:r>
        <w:rPr/>
        <w:t>se han </w:t>
      </w:r>
      <w:r>
        <w:rPr>
          <w:spacing w:val="-3"/>
        </w:rPr>
        <w:t>agudizado. </w:t>
      </w:r>
      <w:r>
        <w:rPr/>
        <w:t>En ese entorno </w:t>
      </w:r>
      <w:r>
        <w:rPr>
          <w:spacing w:val="-3"/>
        </w:rPr>
        <w:t>de </w:t>
      </w:r>
      <w:r>
        <w:rPr/>
        <w:t>abandono del </w:t>
      </w:r>
      <w:r>
        <w:rPr>
          <w:spacing w:val="-3"/>
        </w:rPr>
        <w:t>campo, </w:t>
      </w:r>
      <w:r>
        <w:rPr>
          <w:spacing w:val="-2"/>
        </w:rPr>
        <w:t>las  </w:t>
      </w:r>
      <w:r>
        <w:rPr/>
        <w:t>remesas han </w:t>
      </w:r>
      <w:r>
        <w:rPr>
          <w:spacing w:val="-3"/>
        </w:rPr>
        <w:t>actuado  </w:t>
      </w:r>
      <w:r>
        <w:rPr/>
        <w:t>como un </w:t>
      </w:r>
      <w:r>
        <w:rPr>
          <w:spacing w:val="-2"/>
        </w:rPr>
        <w:t>verdadero </w:t>
      </w:r>
      <w:r>
        <w:rPr/>
        <w:t>subsidio a la </w:t>
      </w:r>
      <w:r>
        <w:rPr>
          <w:spacing w:val="-3"/>
        </w:rPr>
        <w:t>economía campesina, </w:t>
      </w:r>
      <w:r>
        <w:rPr/>
        <w:t>fuente </w:t>
      </w:r>
      <w:r>
        <w:rPr>
          <w:spacing w:val="-3"/>
        </w:rPr>
        <w:t>fundamental </w:t>
      </w:r>
      <w:r>
        <w:rPr/>
        <w:t>de la </w:t>
      </w:r>
      <w:r>
        <w:rPr>
          <w:spacing w:val="-3"/>
        </w:rPr>
        <w:t>emigración, </w:t>
      </w:r>
      <w:r>
        <w:rPr/>
        <w:t>posponiendo de esa forma la </w:t>
      </w:r>
      <w:r>
        <w:rPr>
          <w:spacing w:val="-3"/>
        </w:rPr>
        <w:t>necesidad </w:t>
      </w:r>
      <w:r>
        <w:rPr/>
        <w:t>de un cambio </w:t>
      </w:r>
      <w:r>
        <w:rPr>
          <w:spacing w:val="-3"/>
        </w:rPr>
        <w:t>estructural; </w:t>
      </w:r>
      <w:r>
        <w:rPr/>
        <w:t>esto </w:t>
      </w:r>
      <w:r>
        <w:rPr>
          <w:spacing w:val="-3"/>
        </w:rPr>
        <w:t>es, </w:t>
      </w:r>
      <w:r>
        <w:rPr/>
        <w:t>las </w:t>
      </w:r>
      <w:r>
        <w:rPr>
          <w:spacing w:val="-3"/>
        </w:rPr>
        <w:t>desigualdades regionales </w:t>
      </w:r>
      <w:r>
        <w:rPr/>
        <w:t>y </w:t>
      </w:r>
      <w:r>
        <w:rPr>
          <w:spacing w:val="-3"/>
        </w:rPr>
        <w:t>económicas </w:t>
      </w:r>
      <w:r>
        <w:rPr/>
        <w:t>serían más </w:t>
      </w:r>
      <w:r>
        <w:rPr>
          <w:spacing w:val="-3"/>
        </w:rPr>
        <w:t>acentuadas </w:t>
      </w:r>
      <w:r>
        <w:rPr/>
        <w:t>si  no  hubiera </w:t>
      </w:r>
      <w:r>
        <w:rPr>
          <w:spacing w:val="-3"/>
        </w:rPr>
        <w:t>el </w:t>
      </w:r>
      <w:r>
        <w:rPr/>
        <w:t>flujo de remesas desde Estados </w:t>
      </w:r>
      <w:r>
        <w:rPr>
          <w:spacing w:val="-2"/>
        </w:rPr>
        <w:t>Unidos </w:t>
      </w:r>
      <w:r>
        <w:rPr>
          <w:spacing w:val="-3"/>
        </w:rPr>
        <w:t>(Padilla, 2000:370) </w:t>
      </w:r>
      <w:r>
        <w:rPr/>
        <w:t>(ver también Delgado y </w:t>
      </w:r>
      <w:r>
        <w:rPr>
          <w:spacing w:val="-3"/>
        </w:rPr>
        <w:t>Rodríguez,</w:t>
      </w:r>
      <w:r>
        <w:rPr>
          <w:spacing w:val="39"/>
        </w:rPr>
        <w:t> </w:t>
      </w:r>
      <w:r>
        <w:rPr>
          <w:spacing w:val="-3"/>
        </w:rPr>
        <w:t>2000:376).</w:t>
      </w:r>
    </w:p>
    <w:p>
      <w:pPr>
        <w:pStyle w:val="BodyText"/>
        <w:rPr>
          <w:sz w:val="22"/>
        </w:rPr>
      </w:pPr>
    </w:p>
    <w:p>
      <w:pPr>
        <w:pStyle w:val="BodyText"/>
        <w:spacing w:line="367" w:lineRule="auto" w:before="153"/>
        <w:ind w:left="115" w:right="102"/>
        <w:jc w:val="both"/>
      </w:pPr>
      <w:r>
        <w:rPr/>
        <w:t>De igual manera, Escobar </w:t>
      </w:r>
      <w:r>
        <w:rPr>
          <w:i/>
        </w:rPr>
        <w:t>et al </w:t>
      </w:r>
      <w:r>
        <w:rPr/>
        <w:t>(1998:207) no se muestran muy de acuerdo con la Nueva Economía de la Migración cuando ésta hace notar “...el papel que el gasto</w:t>
      </w:r>
    </w:p>
    <w:p>
      <w:pPr>
        <w:pStyle w:val="BodyText"/>
        <w:spacing w:line="364" w:lineRule="auto" w:before="4"/>
        <w:ind w:left="115" w:right="104"/>
        <w:jc w:val="both"/>
      </w:pPr>
      <w:r>
        <w:rPr>
          <w:rFonts w:ascii="Symbol" w:hAnsi="Symbol"/>
        </w:rPr>
        <w:t></w:t>
      </w:r>
      <w:r>
        <w:rPr/>
        <w:t>de las </w:t>
      </w:r>
      <w:r>
        <w:rPr>
          <w:spacing w:val="-3"/>
        </w:rPr>
        <w:t>remesas</w:t>
      </w:r>
      <w:r>
        <w:rPr>
          <w:rFonts w:ascii="Symbol" w:hAnsi="Symbol"/>
          <w:spacing w:val="-3"/>
        </w:rPr>
        <w:t></w:t>
      </w:r>
      <w:r>
        <w:rPr>
          <w:rFonts w:ascii="Times New Roman" w:hAnsi="Times New Roman"/>
          <w:spacing w:val="-3"/>
        </w:rPr>
        <w:t> </w:t>
      </w:r>
      <w:r>
        <w:rPr/>
        <w:t>puede tener en la </w:t>
      </w:r>
      <w:r>
        <w:rPr>
          <w:spacing w:val="-2"/>
        </w:rPr>
        <w:t>actividad </w:t>
      </w:r>
      <w:r>
        <w:rPr>
          <w:spacing w:val="-3"/>
        </w:rPr>
        <w:t>económica </w:t>
      </w:r>
      <w:r>
        <w:rPr/>
        <w:t>local, la importancia de los </w:t>
      </w:r>
      <w:r>
        <w:rPr>
          <w:spacing w:val="-3"/>
        </w:rPr>
        <w:t>mercados </w:t>
      </w:r>
      <w:r>
        <w:rPr/>
        <w:t>laborales </w:t>
      </w:r>
      <w:r>
        <w:rPr>
          <w:spacing w:val="-3"/>
        </w:rPr>
        <w:t>externos </w:t>
      </w:r>
      <w:r>
        <w:rPr/>
        <w:t>para reducir la </w:t>
      </w:r>
      <w:r>
        <w:rPr>
          <w:spacing w:val="-3"/>
        </w:rPr>
        <w:t>imposibilidad </w:t>
      </w:r>
      <w:r>
        <w:rPr/>
        <w:t>de conseguir crédito </w:t>
      </w:r>
      <w:r>
        <w:rPr>
          <w:spacing w:val="-3"/>
        </w:rPr>
        <w:t>localmente, </w:t>
      </w:r>
      <w:r>
        <w:rPr/>
        <w:t>y la capacidad de los trabajos en el </w:t>
      </w:r>
      <w:r>
        <w:rPr>
          <w:spacing w:val="-3"/>
        </w:rPr>
        <w:t>extranjero </w:t>
      </w:r>
      <w:r>
        <w:rPr/>
        <w:t>para </w:t>
      </w:r>
      <w:r>
        <w:rPr>
          <w:spacing w:val="-3"/>
        </w:rPr>
        <w:t>neutralizar </w:t>
      </w:r>
      <w:r>
        <w:rPr/>
        <w:t>los </w:t>
      </w:r>
      <w:r>
        <w:rPr>
          <w:spacing w:val="-3"/>
        </w:rPr>
        <w:t>efectos </w:t>
      </w:r>
      <w:r>
        <w:rPr/>
        <w:t>de las </w:t>
      </w:r>
      <w:r>
        <w:rPr>
          <w:spacing w:val="-3"/>
        </w:rPr>
        <w:t>recesiones </w:t>
      </w:r>
      <w:r>
        <w:rPr/>
        <w:t>en el país de </w:t>
      </w:r>
      <w:r>
        <w:rPr>
          <w:spacing w:val="-3"/>
        </w:rPr>
        <w:t>origen” pues </w:t>
      </w:r>
      <w:r>
        <w:rPr/>
        <w:t>para ello se </w:t>
      </w:r>
      <w:r>
        <w:rPr>
          <w:spacing w:val="-3"/>
        </w:rPr>
        <w:t>requerirían </w:t>
      </w:r>
      <w:r>
        <w:rPr/>
        <w:t>cierto tipo de medidas </w:t>
      </w:r>
      <w:r>
        <w:rPr>
          <w:spacing w:val="-3"/>
        </w:rPr>
        <w:t>inexistentes </w:t>
      </w:r>
      <w:r>
        <w:rPr/>
        <w:t>por </w:t>
      </w:r>
      <w:r>
        <w:rPr>
          <w:spacing w:val="-3"/>
        </w:rPr>
        <w:t>parte </w:t>
      </w:r>
      <w:r>
        <w:rPr/>
        <w:t>del</w:t>
      </w:r>
      <w:r>
        <w:rPr>
          <w:spacing w:val="43"/>
        </w:rPr>
        <w:t> </w:t>
      </w:r>
      <w:r>
        <w:rPr>
          <w:spacing w:val="-3"/>
        </w:rPr>
        <w:t>gobierno.</w:t>
      </w:r>
    </w:p>
    <w:p>
      <w:pPr>
        <w:pStyle w:val="BodyText"/>
        <w:spacing w:before="4"/>
        <w:rPr>
          <w:sz w:val="17"/>
        </w:rPr>
      </w:pPr>
    </w:p>
    <w:p>
      <w:pPr>
        <w:pStyle w:val="BodyText"/>
        <w:spacing w:line="364" w:lineRule="auto"/>
        <w:ind w:left="115" w:right="105"/>
        <w:jc w:val="both"/>
      </w:pPr>
      <w:r>
        <w:rPr/>
        <w:t>En el mismo sentido, Arroyo y Berumen (2000:340) cuestionan el excesivo acento puesto en los efectos multiplicadores de los ingresos por remesas y se   argumenta</w:t>
      </w:r>
    </w:p>
    <w:p>
      <w:pPr>
        <w:pStyle w:val="BodyText"/>
        <w:spacing w:before="9"/>
        <w:rPr>
          <w:sz w:val="26"/>
        </w:rPr>
      </w:pPr>
      <w:r>
        <w:rPr/>
        <w:pict>
          <v:line style="position:absolute;mso-position-horizontal-relative:page;mso-position-vertical-relative:paragraph;z-index:2440;mso-wrap-distance-left:0;mso-wrap-distance-right:0" from="82.799995pt,17.761744pt" to="222.959992pt,17.761744pt" stroked="true" strokeweight=".72pt" strokecolor="#000000">
            <w10:wrap type="topAndBottom"/>
          </v:line>
        </w:pict>
      </w:r>
    </w:p>
    <w:p>
      <w:pPr>
        <w:spacing w:line="247" w:lineRule="auto" w:before="36"/>
        <w:ind w:left="115" w:right="106" w:firstLine="0"/>
        <w:jc w:val="both"/>
        <w:rPr>
          <w:sz w:val="19"/>
        </w:rPr>
      </w:pPr>
      <w:r>
        <w:rPr>
          <w:position w:val="10"/>
          <w:sz w:val="12"/>
        </w:rPr>
        <w:t>82 </w:t>
      </w:r>
      <w:r>
        <w:rPr>
          <w:sz w:val="19"/>
        </w:rPr>
        <w:t>En efecto, a partir de los años setenta comenzó la aplicación de políticas urbano-regionales tendientes (</w:t>
      </w:r>
      <w:r>
        <w:rPr>
          <w:i/>
          <w:sz w:val="19"/>
        </w:rPr>
        <w:t>sic</w:t>
      </w:r>
      <w:r>
        <w:rPr>
          <w:sz w:val="19"/>
        </w:rPr>
        <w:t>) a hacer menos desequilibrada la distribución de la población por el territorio nacional, impulsándose a ciudades seleccionadas previamente (Padilla, 2000:  370).</w:t>
      </w:r>
    </w:p>
    <w:p>
      <w:pPr>
        <w:spacing w:after="0" w:line="247"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4"/>
        <w:jc w:val="both"/>
      </w:pPr>
      <w:r>
        <w:rPr/>
        <w:t>que aquellos ocurren principalmente fuera de las comunidades rurales y semiurbanas receptoras de remesas y expulsoras de emigrantes, por lo que influyen muy poco en la reducción de la emigración y el desarrollo regional como efecto de las remesas</w:t>
      </w:r>
      <w:r>
        <w:rPr>
          <w:spacing w:val="40"/>
        </w:rPr>
        <w:t> </w:t>
      </w:r>
      <w:r>
        <w:rPr/>
        <w:t>internacionales.</w:t>
      </w:r>
    </w:p>
    <w:p>
      <w:pPr>
        <w:pStyle w:val="BodyText"/>
        <w:rPr>
          <w:sz w:val="22"/>
        </w:rPr>
      </w:pPr>
    </w:p>
    <w:p>
      <w:pPr>
        <w:pStyle w:val="BodyText"/>
        <w:spacing w:line="364" w:lineRule="auto" w:before="155"/>
        <w:ind w:left="115" w:right="99"/>
        <w:jc w:val="both"/>
      </w:pPr>
      <w:r>
        <w:rPr/>
        <w:t>En </w:t>
      </w:r>
      <w:r>
        <w:rPr>
          <w:spacing w:val="-3"/>
        </w:rPr>
        <w:t>algunas localidades </w:t>
      </w:r>
      <w:r>
        <w:rPr/>
        <w:t>los </w:t>
      </w:r>
      <w:r>
        <w:rPr>
          <w:spacing w:val="-3"/>
        </w:rPr>
        <w:t>migradólares </w:t>
      </w:r>
      <w:r>
        <w:rPr/>
        <w:t>en </w:t>
      </w:r>
      <w:r>
        <w:rPr>
          <w:spacing w:val="-3"/>
        </w:rPr>
        <w:t>México, </w:t>
      </w:r>
      <w:r>
        <w:rPr/>
        <w:t>han incrementado las </w:t>
      </w:r>
      <w:r>
        <w:rPr>
          <w:spacing w:val="-3"/>
        </w:rPr>
        <w:t>posibilidades </w:t>
      </w:r>
      <w:r>
        <w:rPr/>
        <w:t>de formación </w:t>
      </w:r>
      <w:r>
        <w:rPr>
          <w:spacing w:val="-3"/>
        </w:rPr>
        <w:t>de </w:t>
      </w:r>
      <w:r>
        <w:rPr/>
        <w:t>empresas y la </w:t>
      </w:r>
      <w:r>
        <w:rPr>
          <w:spacing w:val="-3"/>
        </w:rPr>
        <w:t>inversión productiva </w:t>
      </w:r>
      <w:r>
        <w:rPr/>
        <w:t>de familias y </w:t>
      </w:r>
      <w:r>
        <w:rPr>
          <w:spacing w:val="-3"/>
        </w:rPr>
        <w:t>comunidades, aunque con </w:t>
      </w:r>
      <w:r>
        <w:rPr/>
        <w:t>frecuencia los </w:t>
      </w:r>
      <w:r>
        <w:rPr>
          <w:spacing w:val="-3"/>
        </w:rPr>
        <w:t>recursos </w:t>
      </w:r>
      <w:r>
        <w:rPr>
          <w:spacing w:val="-2"/>
        </w:rPr>
        <w:t>(ahorros) </w:t>
      </w:r>
      <w:r>
        <w:rPr/>
        <w:t>los </w:t>
      </w:r>
      <w:r>
        <w:rPr>
          <w:spacing w:val="-3"/>
        </w:rPr>
        <w:t>traen  </w:t>
      </w:r>
      <w:r>
        <w:rPr/>
        <w:t>los  </w:t>
      </w:r>
      <w:r>
        <w:rPr>
          <w:spacing w:val="-3"/>
        </w:rPr>
        <w:t>emigrantes </w:t>
      </w:r>
      <w:r>
        <w:rPr/>
        <w:t>y </w:t>
      </w:r>
      <w:r>
        <w:rPr>
          <w:spacing w:val="-3"/>
        </w:rPr>
        <w:t>ellos </w:t>
      </w:r>
      <w:r>
        <w:rPr/>
        <w:t>mismos los usan en vez de </w:t>
      </w:r>
      <w:r>
        <w:rPr>
          <w:spacing w:val="-3"/>
        </w:rPr>
        <w:t>enviarlos </w:t>
      </w:r>
      <w:r>
        <w:rPr/>
        <w:t>a sus familias mientras trabajan en </w:t>
      </w:r>
      <w:r>
        <w:rPr>
          <w:spacing w:val="-3"/>
        </w:rPr>
        <w:t>el extranjero. </w:t>
      </w:r>
      <w:r>
        <w:rPr/>
        <w:t>Un estudio realizado en </w:t>
      </w:r>
      <w:r>
        <w:rPr>
          <w:spacing w:val="-3"/>
        </w:rPr>
        <w:t>Tlacuitapa, </w:t>
      </w:r>
      <w:r>
        <w:rPr/>
        <w:t>Jal.; Gómez </w:t>
      </w:r>
      <w:r>
        <w:rPr>
          <w:spacing w:val="-3"/>
        </w:rPr>
        <w:t>Farías, Mich., </w:t>
      </w:r>
      <w:r>
        <w:rPr/>
        <w:t>y Las Ánimas, Zac., muestra que 63% de los </w:t>
      </w:r>
      <w:r>
        <w:rPr>
          <w:spacing w:val="-3"/>
        </w:rPr>
        <w:t>negocios estudiados </w:t>
      </w:r>
      <w:r>
        <w:rPr/>
        <w:t>estaba en posesión de antiguos </w:t>
      </w:r>
      <w:r>
        <w:rPr>
          <w:spacing w:val="-3"/>
        </w:rPr>
        <w:t>emigrantes; </w:t>
      </w:r>
      <w:r>
        <w:rPr/>
        <w:t>61% se inició con dinero ganado en </w:t>
      </w:r>
      <w:r>
        <w:rPr>
          <w:spacing w:val="-3"/>
        </w:rPr>
        <w:t>Estados Unidos </w:t>
      </w:r>
      <w:r>
        <w:rPr/>
        <w:t>y 44% se sostenía de esa manera </w:t>
      </w:r>
      <w:r>
        <w:rPr>
          <w:spacing w:val="-3"/>
        </w:rPr>
        <w:t>(Cornelius, </w:t>
      </w:r>
      <w:r>
        <w:rPr/>
        <w:t>citado por </w:t>
      </w:r>
      <w:r>
        <w:rPr>
          <w:spacing w:val="-3"/>
        </w:rPr>
        <w:t>Meyers, 2000:283). </w:t>
      </w:r>
      <w:r>
        <w:rPr/>
        <w:t>A </w:t>
      </w:r>
      <w:r>
        <w:rPr>
          <w:spacing w:val="-3"/>
        </w:rPr>
        <w:t>pesar </w:t>
      </w:r>
      <w:r>
        <w:rPr/>
        <w:t>de lo </w:t>
      </w:r>
      <w:r>
        <w:rPr>
          <w:spacing w:val="-3"/>
        </w:rPr>
        <w:t>sobresaliente </w:t>
      </w:r>
      <w:r>
        <w:rPr/>
        <w:t>de los </w:t>
      </w:r>
      <w:r>
        <w:rPr>
          <w:spacing w:val="-3"/>
        </w:rPr>
        <w:t>datos </w:t>
      </w:r>
      <w:r>
        <w:rPr/>
        <w:t>hay que </w:t>
      </w:r>
      <w:r>
        <w:rPr>
          <w:spacing w:val="-3"/>
        </w:rPr>
        <w:t>notar </w:t>
      </w:r>
      <w:r>
        <w:rPr/>
        <w:t>la </w:t>
      </w:r>
      <w:r>
        <w:rPr>
          <w:spacing w:val="-3"/>
        </w:rPr>
        <w:t>naturaleza “improductiva” </w:t>
      </w:r>
      <w:r>
        <w:rPr/>
        <w:t>de esas inversiones y lo localizado y </w:t>
      </w:r>
      <w:r>
        <w:rPr>
          <w:spacing w:val="-3"/>
        </w:rPr>
        <w:t>reducido </w:t>
      </w:r>
      <w:r>
        <w:rPr/>
        <w:t>de </w:t>
      </w:r>
      <w:r>
        <w:rPr>
          <w:spacing w:val="-3"/>
        </w:rPr>
        <w:t>su</w:t>
      </w:r>
      <w:r>
        <w:rPr>
          <w:spacing w:val="-15"/>
        </w:rPr>
        <w:t> </w:t>
      </w:r>
      <w:r>
        <w:rPr/>
        <w:t>importancia.</w:t>
      </w:r>
    </w:p>
    <w:p>
      <w:pPr>
        <w:pStyle w:val="BodyText"/>
        <w:rPr>
          <w:sz w:val="22"/>
        </w:rPr>
      </w:pPr>
    </w:p>
    <w:p>
      <w:pPr>
        <w:pStyle w:val="BodyText"/>
        <w:spacing w:line="364" w:lineRule="auto" w:before="155"/>
        <w:ind w:left="115" w:right="103"/>
        <w:jc w:val="both"/>
      </w:pPr>
      <w:r>
        <w:rPr/>
        <w:t>Además, las microempresas que se crean de manera espontánea siguen en su mayoría una lógica de subsistencia y no de acumulación, son informales, predominantemente de tipo comercial y es muy común que sucumban al poco tiempo de haberse instalado (Serrano, 2000:10).</w:t>
      </w:r>
    </w:p>
    <w:p>
      <w:pPr>
        <w:pStyle w:val="BodyText"/>
        <w:rPr>
          <w:sz w:val="22"/>
        </w:rPr>
      </w:pPr>
    </w:p>
    <w:p>
      <w:pPr>
        <w:pStyle w:val="BodyText"/>
        <w:spacing w:line="364" w:lineRule="auto" w:before="155"/>
        <w:ind w:left="115" w:right="103"/>
        <w:jc w:val="both"/>
      </w:pPr>
      <w:r>
        <w:rPr/>
        <w:t>De </w:t>
      </w:r>
      <w:r>
        <w:rPr>
          <w:spacing w:val="-3"/>
        </w:rPr>
        <w:t>mayor importancia social, </w:t>
      </w:r>
      <w:r>
        <w:rPr/>
        <w:t>“otro </w:t>
      </w:r>
      <w:r>
        <w:rPr>
          <w:spacing w:val="-3"/>
        </w:rPr>
        <w:t>uso creciente </w:t>
      </w:r>
      <w:r>
        <w:rPr/>
        <w:t>de las </w:t>
      </w:r>
      <w:r>
        <w:rPr>
          <w:spacing w:val="-3"/>
        </w:rPr>
        <w:t>remesas </w:t>
      </w:r>
      <w:r>
        <w:rPr/>
        <w:t>se refiere a los </w:t>
      </w:r>
      <w:r>
        <w:rPr>
          <w:spacing w:val="-3"/>
        </w:rPr>
        <w:t>servicios de </w:t>
      </w:r>
      <w:r>
        <w:rPr/>
        <w:t>salud y </w:t>
      </w:r>
      <w:r>
        <w:rPr>
          <w:spacing w:val="-3"/>
        </w:rPr>
        <w:t>educación </w:t>
      </w:r>
      <w:r>
        <w:rPr/>
        <w:t>que debe considerarse como inversión en </w:t>
      </w:r>
      <w:r>
        <w:rPr>
          <w:spacing w:val="-3"/>
        </w:rPr>
        <w:t>capital humano, el </w:t>
      </w:r>
      <w:r>
        <w:rPr>
          <w:spacing w:val="-2"/>
        </w:rPr>
        <w:t>nombre </w:t>
      </w:r>
      <w:r>
        <w:rPr/>
        <w:t>más genérico de uso productivo de las  </w:t>
      </w:r>
      <w:r>
        <w:rPr>
          <w:spacing w:val="-3"/>
        </w:rPr>
        <w:t>remesas...Los  </w:t>
      </w:r>
      <w:r>
        <w:rPr>
          <w:spacing w:val="-2"/>
        </w:rPr>
        <w:t>programas </w:t>
      </w:r>
      <w:r>
        <w:rPr/>
        <w:t>de </w:t>
      </w:r>
      <w:r>
        <w:rPr>
          <w:spacing w:val="-3"/>
        </w:rPr>
        <w:t>construcción </w:t>
      </w:r>
      <w:r>
        <w:rPr/>
        <w:t>de </w:t>
      </w:r>
      <w:r>
        <w:rPr>
          <w:spacing w:val="-3"/>
        </w:rPr>
        <w:t>vivienda, </w:t>
      </w:r>
      <w:r>
        <w:rPr/>
        <w:t>a veces </w:t>
      </w:r>
      <w:r>
        <w:rPr>
          <w:spacing w:val="-3"/>
        </w:rPr>
        <w:t>inexistentes </w:t>
      </w:r>
      <w:r>
        <w:rPr/>
        <w:t>en los países y  siempre insuficientes, constituyen otro sector privilegiado por su efecto </w:t>
      </w:r>
      <w:r>
        <w:rPr>
          <w:spacing w:val="-3"/>
        </w:rPr>
        <w:t>multiplicador. </w:t>
      </w:r>
      <w:r>
        <w:rPr/>
        <w:t>La vivienda, de </w:t>
      </w:r>
      <w:r>
        <w:rPr>
          <w:spacing w:val="-3"/>
        </w:rPr>
        <w:t>hecho, </w:t>
      </w:r>
      <w:r>
        <w:rPr/>
        <w:t>ocupa un lugar </w:t>
      </w:r>
      <w:r>
        <w:rPr>
          <w:spacing w:val="-3"/>
        </w:rPr>
        <w:t>prioritario </w:t>
      </w:r>
      <w:r>
        <w:rPr/>
        <w:t>en la mente del </w:t>
      </w:r>
      <w:r>
        <w:rPr>
          <w:spacing w:val="-3"/>
        </w:rPr>
        <w:t>emigrante, </w:t>
      </w:r>
      <w:r>
        <w:rPr/>
        <w:t>quien </w:t>
      </w:r>
      <w:r>
        <w:rPr>
          <w:spacing w:val="-3"/>
        </w:rPr>
        <w:t>piensa en </w:t>
      </w:r>
      <w:r>
        <w:rPr/>
        <w:t>su </w:t>
      </w:r>
      <w:r>
        <w:rPr>
          <w:spacing w:val="-3"/>
        </w:rPr>
        <w:t>retorno </w:t>
      </w:r>
      <w:r>
        <w:rPr/>
        <w:t>y </w:t>
      </w:r>
      <w:r>
        <w:rPr>
          <w:spacing w:val="-3"/>
        </w:rPr>
        <w:t>el </w:t>
      </w:r>
      <w:r>
        <w:rPr/>
        <w:t>(bienestar) de su familia” </w:t>
      </w:r>
      <w:r>
        <w:rPr>
          <w:spacing w:val="-3"/>
        </w:rPr>
        <w:t>(Serrano, 2000:308).</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3"/>
        <w:jc w:val="both"/>
      </w:pPr>
      <w:r>
        <w:rPr/>
        <w:t>Bajo este panorama, es claro que “...los investigadores no están de acuerdo en cuanto a si los receptores emplean los fondos de manera productiva y racional o  de manera errónea (derroche) (sic). Aún si ocurriera lo primero y tienen efectos de multiplicación en la localidad, persiste la pregunta de si la comunidad y el país en conjunto mejoran su situación por recibir esos ingresos. Algunos critican a los emigrantes por usarlos sólo en necesidades de consumo de corto plazo (que incrementan la demanda de importaciones) y no lo suficiente en el ahorro o en inversiones productivas. Se considera </w:t>
      </w:r>
      <w:r>
        <w:rPr>
          <w:rFonts w:ascii="Symbol" w:hAnsi="Symbol"/>
        </w:rPr>
        <w:t></w:t>
      </w:r>
      <w:r>
        <w:rPr/>
        <w:t>casi como  obligación  de  los  migrantes</w:t>
      </w:r>
      <w:r>
        <w:rPr>
          <w:rFonts w:ascii="Symbol" w:hAnsi="Symbol"/>
        </w:rPr>
        <w:t></w:t>
      </w:r>
      <w:r>
        <w:rPr>
          <w:rFonts w:ascii="Times New Roman" w:hAnsi="Times New Roman"/>
        </w:rPr>
        <w:t> </w:t>
      </w:r>
      <w:r>
        <w:rPr/>
        <w:t>que los ingresos se deben canalizar al desarrollo, pequeños negocios y otros proyectos que incrementen la producción y los ingresos locales al tiempo que reduzcan el desempleo” </w:t>
      </w:r>
      <w:r>
        <w:rPr>
          <w:spacing w:val="-3"/>
        </w:rPr>
        <w:t>(Meyers, </w:t>
      </w:r>
      <w:r>
        <w:rPr>
          <w:spacing w:val="4"/>
        </w:rPr>
        <w:t> </w:t>
      </w:r>
      <w:r>
        <w:rPr>
          <w:spacing w:val="-3"/>
        </w:rPr>
        <w:t>2000:280).</w:t>
      </w:r>
    </w:p>
    <w:p>
      <w:pPr>
        <w:pStyle w:val="BodyText"/>
        <w:rPr>
          <w:sz w:val="22"/>
        </w:rPr>
      </w:pPr>
    </w:p>
    <w:p>
      <w:pPr>
        <w:pStyle w:val="BodyText"/>
        <w:spacing w:line="364" w:lineRule="auto" w:before="155"/>
        <w:ind w:left="116" w:right="101"/>
        <w:jc w:val="both"/>
      </w:pPr>
      <w:r>
        <w:rPr>
          <w:spacing w:val="-3"/>
        </w:rPr>
        <w:t>Otros </w:t>
      </w:r>
      <w:r>
        <w:rPr/>
        <w:t>sostienen que la crítica de los </w:t>
      </w:r>
      <w:r>
        <w:rPr>
          <w:spacing w:val="-3"/>
        </w:rPr>
        <w:t>patrones </w:t>
      </w:r>
      <w:r>
        <w:rPr/>
        <w:t>de consumo ignora la situación </w:t>
      </w:r>
      <w:r>
        <w:rPr>
          <w:spacing w:val="-3"/>
        </w:rPr>
        <w:t>personal, al </w:t>
      </w:r>
      <w:r>
        <w:rPr/>
        <w:t>igual que las </w:t>
      </w:r>
      <w:r>
        <w:rPr>
          <w:spacing w:val="-3"/>
        </w:rPr>
        <w:t>condiciones estructurales (económicas, sociales  </w:t>
      </w:r>
      <w:r>
        <w:rPr/>
        <w:t>y  </w:t>
      </w:r>
      <w:r>
        <w:rPr>
          <w:spacing w:val="-3"/>
        </w:rPr>
        <w:t>políticas), </w:t>
      </w:r>
      <w:r>
        <w:rPr/>
        <w:t>en que se toman las </w:t>
      </w:r>
      <w:r>
        <w:rPr>
          <w:spacing w:val="-3"/>
        </w:rPr>
        <w:t>decisiones </w:t>
      </w:r>
      <w:r>
        <w:rPr/>
        <w:t>e </w:t>
      </w:r>
      <w:r>
        <w:rPr>
          <w:spacing w:val="-3"/>
        </w:rPr>
        <w:t>ignoran, así </w:t>
      </w:r>
      <w:r>
        <w:rPr/>
        <w:t>mismo, la </w:t>
      </w:r>
      <w:r>
        <w:rPr>
          <w:spacing w:val="-3"/>
        </w:rPr>
        <w:t>naturaleza particular </w:t>
      </w:r>
      <w:r>
        <w:rPr/>
        <w:t>de las </w:t>
      </w:r>
      <w:r>
        <w:rPr>
          <w:spacing w:val="-3"/>
        </w:rPr>
        <w:t>transferencias </w:t>
      </w:r>
      <w:r>
        <w:rPr/>
        <w:t>y las </w:t>
      </w:r>
      <w:r>
        <w:rPr>
          <w:spacing w:val="-3"/>
        </w:rPr>
        <w:t>oportunidades limitadas </w:t>
      </w:r>
      <w:r>
        <w:rPr/>
        <w:t>para la </w:t>
      </w:r>
      <w:r>
        <w:rPr>
          <w:spacing w:val="-3"/>
        </w:rPr>
        <w:t>inversión </w:t>
      </w:r>
      <w:r>
        <w:rPr/>
        <w:t>en  baja escala en la </w:t>
      </w:r>
      <w:r>
        <w:rPr>
          <w:spacing w:val="-3"/>
        </w:rPr>
        <w:t>comunidad </w:t>
      </w:r>
      <w:r>
        <w:rPr/>
        <w:t>(sin importar la presencia de </w:t>
      </w:r>
      <w:r>
        <w:rPr>
          <w:spacing w:val="-3"/>
        </w:rPr>
        <w:t>ingresos) </w:t>
      </w:r>
      <w:r>
        <w:rPr/>
        <w:t>y el </w:t>
      </w:r>
      <w:r>
        <w:rPr>
          <w:spacing w:val="-3"/>
        </w:rPr>
        <w:t>capital</w:t>
      </w:r>
      <w:r>
        <w:rPr>
          <w:spacing w:val="57"/>
        </w:rPr>
        <w:t> </w:t>
      </w:r>
      <w:r>
        <w:rPr>
          <w:spacing w:val="-3"/>
        </w:rPr>
        <w:t>social </w:t>
      </w:r>
      <w:r>
        <w:rPr/>
        <w:t>y financiero que se necesita para comenzar un </w:t>
      </w:r>
      <w:r>
        <w:rPr>
          <w:spacing w:val="-3"/>
        </w:rPr>
        <w:t>negocio). </w:t>
      </w:r>
      <w:r>
        <w:rPr/>
        <w:t>Por ello creen que </w:t>
      </w:r>
      <w:r>
        <w:rPr>
          <w:spacing w:val="-3"/>
        </w:rPr>
        <w:t>“...dadas </w:t>
      </w:r>
      <w:r>
        <w:rPr/>
        <w:t>las circunstancias en los </w:t>
      </w:r>
      <w:r>
        <w:rPr>
          <w:spacing w:val="-3"/>
        </w:rPr>
        <w:t>diferentes países </w:t>
      </w:r>
      <w:r>
        <w:rPr/>
        <w:t>(por </w:t>
      </w:r>
      <w:r>
        <w:rPr>
          <w:spacing w:val="-3"/>
        </w:rPr>
        <w:t>ejemplo, </w:t>
      </w:r>
      <w:r>
        <w:rPr/>
        <w:t>la falta de acceso al </w:t>
      </w:r>
      <w:r>
        <w:rPr>
          <w:spacing w:val="-3"/>
        </w:rPr>
        <w:t>crédito, </w:t>
      </w:r>
      <w:r>
        <w:rPr/>
        <w:t>una pobre </w:t>
      </w:r>
      <w:r>
        <w:rPr>
          <w:spacing w:val="-3"/>
        </w:rPr>
        <w:t>infraestructura, etc.), </w:t>
      </w:r>
      <w:r>
        <w:rPr/>
        <w:t>los </w:t>
      </w:r>
      <w:r>
        <w:rPr>
          <w:spacing w:val="-3"/>
        </w:rPr>
        <w:t>emigrantes </w:t>
      </w:r>
      <w:r>
        <w:rPr/>
        <w:t>están tomando </w:t>
      </w:r>
      <w:r>
        <w:rPr>
          <w:spacing w:val="-3"/>
        </w:rPr>
        <w:t>decisiones racionales </w:t>
      </w:r>
      <w:r>
        <w:rPr/>
        <w:t>sobre </w:t>
      </w:r>
      <w:r>
        <w:rPr>
          <w:spacing w:val="-3"/>
        </w:rPr>
        <w:t>el </w:t>
      </w:r>
      <w:r>
        <w:rPr/>
        <w:t>uso de sus remesas cuando </w:t>
      </w:r>
      <w:r>
        <w:rPr>
          <w:spacing w:val="-2"/>
        </w:rPr>
        <w:t>efectúan  </w:t>
      </w:r>
      <w:r>
        <w:rPr>
          <w:spacing w:val="-3"/>
        </w:rPr>
        <w:t>inversiones  </w:t>
      </w:r>
      <w:r>
        <w:rPr/>
        <w:t>estables como la </w:t>
      </w:r>
      <w:r>
        <w:rPr>
          <w:spacing w:val="-3"/>
        </w:rPr>
        <w:t>compra </w:t>
      </w:r>
      <w:r>
        <w:rPr/>
        <w:t>de </w:t>
      </w:r>
      <w:r>
        <w:rPr>
          <w:spacing w:val="-3"/>
        </w:rPr>
        <w:t>ganado </w:t>
      </w:r>
      <w:r>
        <w:rPr/>
        <w:t>o hacen mejoras en </w:t>
      </w:r>
      <w:r>
        <w:rPr>
          <w:spacing w:val="-3"/>
        </w:rPr>
        <w:t>el hogar </w:t>
      </w:r>
      <w:r>
        <w:rPr/>
        <w:t>o compran </w:t>
      </w:r>
      <w:r>
        <w:rPr>
          <w:spacing w:val="-3"/>
        </w:rPr>
        <w:t>artículos </w:t>
      </w:r>
      <w:r>
        <w:rPr/>
        <w:t>de consumo que tienen </w:t>
      </w:r>
      <w:r>
        <w:rPr>
          <w:spacing w:val="-3"/>
        </w:rPr>
        <w:t>repercusiones</w:t>
      </w:r>
      <w:r>
        <w:rPr>
          <w:rFonts w:ascii="Symbol" w:hAnsi="Symbol"/>
          <w:spacing w:val="-3"/>
        </w:rPr>
        <w:t></w:t>
      </w:r>
      <w:r>
        <w:rPr>
          <w:spacing w:val="-3"/>
        </w:rPr>
        <w:t>económicas</w:t>
      </w:r>
      <w:r>
        <w:rPr>
          <w:rFonts w:ascii="Symbol" w:hAnsi="Symbol"/>
          <w:spacing w:val="-3"/>
        </w:rPr>
        <w:t></w:t>
      </w:r>
      <w:r>
        <w:rPr>
          <w:spacing w:val="-3"/>
        </w:rPr>
        <w:t>, </w:t>
      </w:r>
      <w:r>
        <w:rPr/>
        <w:t>como el incremento en la demanda y la reducción </w:t>
      </w:r>
      <w:r>
        <w:rPr>
          <w:spacing w:val="-3"/>
        </w:rPr>
        <w:t>del desempleo” </w:t>
      </w:r>
      <w:r>
        <w:rPr/>
        <w:t>(Idem,</w:t>
      </w:r>
      <w:r>
        <w:rPr>
          <w:spacing w:val="39"/>
        </w:rPr>
        <w:t> </w:t>
      </w:r>
      <w:r>
        <w:rPr>
          <w:spacing w:val="-3"/>
        </w:rPr>
        <w:t>2000:280).</w:t>
      </w:r>
    </w:p>
    <w:p>
      <w:pPr>
        <w:pStyle w:val="BodyText"/>
        <w:rPr>
          <w:sz w:val="22"/>
        </w:rPr>
      </w:pPr>
    </w:p>
    <w:p>
      <w:pPr>
        <w:pStyle w:val="BodyText"/>
        <w:spacing w:line="364" w:lineRule="auto" w:before="155"/>
        <w:ind w:left="116" w:right="106"/>
        <w:jc w:val="both"/>
      </w:pPr>
      <w:r>
        <w:rPr/>
        <w:t>Desde el punto de vista microeconómico se sostiene regularmente que las divisas captadas por México en ese concepto sirven también para financiar los gastos del consumo y de la inversión familiares los cuales no se podrían llevar a cabo por medio de los ingresos que pudieran obtenerse trabajando únicamente en el territorio</w:t>
      </w:r>
      <w:r>
        <w:rPr>
          <w:spacing w:val="21"/>
        </w:rPr>
        <w:t> </w:t>
      </w:r>
      <w:r>
        <w:rPr/>
        <w:t>nacional.</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4"/>
        <w:jc w:val="both"/>
      </w:pPr>
      <w:r>
        <w:rPr/>
        <w:t>En ese sentido, el impacto directo más importante de las remesas ocurre en los hogares dependiendo de los montos enviados  y las circunstancias de cada  uno. En segundo lugar, la comunidad puede beneficiarse más o menos, dependiendo del número de hogares con migrantes y de miembros trabajando fuera del país y también habrá un mayor beneficio cuando la comunidad pueda retener una substancial parte de los efectos multiplicadores de las demandas  sostenidas  desde el primer envío. (Verduzco y </w:t>
      </w:r>
      <w:r>
        <w:rPr>
          <w:spacing w:val="-3"/>
        </w:rPr>
        <w:t>Unger,</w:t>
      </w:r>
      <w:r>
        <w:rPr>
          <w:spacing w:val="57"/>
        </w:rPr>
        <w:t> </w:t>
      </w:r>
      <w:r>
        <w:rPr>
          <w:spacing w:val="-3"/>
        </w:rPr>
        <w:t>1998:415).</w:t>
      </w:r>
    </w:p>
    <w:p>
      <w:pPr>
        <w:pStyle w:val="BodyText"/>
        <w:rPr>
          <w:sz w:val="22"/>
        </w:rPr>
      </w:pPr>
    </w:p>
    <w:p>
      <w:pPr>
        <w:pStyle w:val="BodyText"/>
        <w:spacing w:before="155"/>
        <w:ind w:left="115"/>
        <w:jc w:val="both"/>
      </w:pPr>
      <w:r>
        <w:rPr/>
        <w:t>En un balance entre las ventajas y las desventajas de la emigración, Serrano  (2000:</w:t>
      </w:r>
    </w:p>
    <w:p>
      <w:pPr>
        <w:pStyle w:val="BodyText"/>
        <w:spacing w:line="364" w:lineRule="auto" w:before="138"/>
        <w:ind w:left="115" w:right="104"/>
        <w:jc w:val="both"/>
      </w:pPr>
      <w:r>
        <w:rPr/>
        <w:t>308) concluye que son más los </w:t>
      </w:r>
      <w:r>
        <w:rPr>
          <w:spacing w:val="-3"/>
        </w:rPr>
        <w:t>aspectos benéficos </w:t>
      </w:r>
      <w:r>
        <w:rPr/>
        <w:t>de las </w:t>
      </w:r>
      <w:r>
        <w:rPr>
          <w:spacing w:val="-3"/>
        </w:rPr>
        <w:t>remesas </w:t>
      </w:r>
      <w:r>
        <w:rPr/>
        <w:t>las cuales </w:t>
      </w:r>
      <w:r>
        <w:rPr>
          <w:spacing w:val="-3"/>
        </w:rPr>
        <w:t>“...permiten </w:t>
      </w:r>
      <w:r>
        <w:rPr/>
        <w:t>que una </w:t>
      </w:r>
      <w:r>
        <w:rPr>
          <w:spacing w:val="-2"/>
        </w:rPr>
        <w:t>enorme </w:t>
      </w:r>
      <w:r>
        <w:rPr/>
        <w:t>cantidad de familias </w:t>
      </w:r>
      <w:r>
        <w:rPr>
          <w:spacing w:val="-3"/>
        </w:rPr>
        <w:t>receptoras </w:t>
      </w:r>
      <w:r>
        <w:rPr/>
        <w:t>disfrute de una dieta mínimamente adecuada que de otra manera no </w:t>
      </w:r>
      <w:r>
        <w:rPr>
          <w:spacing w:val="-3"/>
        </w:rPr>
        <w:t>conseguirían. </w:t>
      </w:r>
      <w:r>
        <w:rPr/>
        <w:t>Además, </w:t>
      </w:r>
      <w:r>
        <w:rPr>
          <w:spacing w:val="-3"/>
        </w:rPr>
        <w:t>al </w:t>
      </w:r>
      <w:r>
        <w:rPr/>
        <w:t>ser las </w:t>
      </w:r>
      <w:r>
        <w:rPr>
          <w:spacing w:val="-3"/>
        </w:rPr>
        <w:t>mujeres </w:t>
      </w:r>
      <w:r>
        <w:rPr/>
        <w:t>las que </w:t>
      </w:r>
      <w:r>
        <w:rPr>
          <w:spacing w:val="-3"/>
        </w:rPr>
        <w:t>administran </w:t>
      </w:r>
      <w:r>
        <w:rPr/>
        <w:t>esos </w:t>
      </w:r>
      <w:r>
        <w:rPr>
          <w:spacing w:val="-3"/>
        </w:rPr>
        <w:t>recursos, </w:t>
      </w:r>
      <w:r>
        <w:rPr/>
        <w:t>su </w:t>
      </w:r>
      <w:r>
        <w:rPr>
          <w:spacing w:val="-3"/>
        </w:rPr>
        <w:t>distribución, </w:t>
      </w:r>
      <w:r>
        <w:rPr/>
        <w:t>como se ha  </w:t>
      </w:r>
      <w:r>
        <w:rPr>
          <w:spacing w:val="-3"/>
        </w:rPr>
        <w:t>comprobado, </w:t>
      </w:r>
      <w:r>
        <w:rPr/>
        <w:t>es más </w:t>
      </w:r>
      <w:r>
        <w:rPr>
          <w:spacing w:val="-3"/>
        </w:rPr>
        <w:t>racional, principalmente en </w:t>
      </w:r>
      <w:r>
        <w:rPr/>
        <w:t>favor de los  </w:t>
      </w:r>
      <w:r>
        <w:rPr>
          <w:spacing w:val="-3"/>
        </w:rPr>
        <w:t>niños.  </w:t>
      </w:r>
      <w:r>
        <w:rPr/>
        <w:t>Así  las </w:t>
      </w:r>
      <w:r>
        <w:rPr>
          <w:spacing w:val="-3"/>
        </w:rPr>
        <w:t>remesas atemperan </w:t>
      </w:r>
      <w:r>
        <w:rPr/>
        <w:t>las </w:t>
      </w:r>
      <w:r>
        <w:rPr>
          <w:spacing w:val="-3"/>
        </w:rPr>
        <w:t>condiciones </w:t>
      </w:r>
      <w:r>
        <w:rPr/>
        <w:t>de pobreza </w:t>
      </w:r>
      <w:r>
        <w:rPr>
          <w:spacing w:val="-3"/>
        </w:rPr>
        <w:t>de </w:t>
      </w:r>
      <w:r>
        <w:rPr/>
        <w:t>las familias </w:t>
      </w:r>
      <w:r>
        <w:rPr>
          <w:spacing w:val="14"/>
        </w:rPr>
        <w:t> </w:t>
      </w:r>
      <w:r>
        <w:rPr>
          <w:spacing w:val="-3"/>
        </w:rPr>
        <w:t>receptoras”.</w:t>
      </w:r>
    </w:p>
    <w:p>
      <w:pPr>
        <w:pStyle w:val="BodyText"/>
        <w:rPr>
          <w:sz w:val="22"/>
        </w:rPr>
      </w:pPr>
    </w:p>
    <w:p>
      <w:pPr>
        <w:pStyle w:val="BodyText"/>
        <w:rPr>
          <w:sz w:val="22"/>
        </w:rPr>
      </w:pPr>
    </w:p>
    <w:p>
      <w:pPr>
        <w:pStyle w:val="BodyText"/>
        <w:spacing w:line="364" w:lineRule="auto" w:before="137"/>
        <w:ind w:left="115" w:right="100"/>
        <w:jc w:val="both"/>
      </w:pPr>
      <w:r>
        <w:rPr>
          <w:spacing w:val="-3"/>
        </w:rPr>
        <w:t>Ciertamente, </w:t>
      </w:r>
      <w:r>
        <w:rPr/>
        <w:t>a </w:t>
      </w:r>
      <w:r>
        <w:rPr>
          <w:spacing w:val="-3"/>
        </w:rPr>
        <w:t>nivel </w:t>
      </w:r>
      <w:r>
        <w:rPr/>
        <w:t>familiar e </w:t>
      </w:r>
      <w:r>
        <w:rPr>
          <w:spacing w:val="-3"/>
        </w:rPr>
        <w:t>individual </w:t>
      </w:r>
      <w:r>
        <w:rPr/>
        <w:t>no es </w:t>
      </w:r>
      <w:r>
        <w:rPr>
          <w:spacing w:val="-3"/>
        </w:rPr>
        <w:t>alta </w:t>
      </w:r>
      <w:r>
        <w:rPr/>
        <w:t>la </w:t>
      </w:r>
      <w:r>
        <w:rPr>
          <w:spacing w:val="-3"/>
        </w:rPr>
        <w:t>frecuencia </w:t>
      </w:r>
      <w:r>
        <w:rPr/>
        <w:t>con que las  </w:t>
      </w:r>
      <w:r>
        <w:rPr>
          <w:spacing w:val="-3"/>
        </w:rPr>
        <w:t>remesas repercuten </w:t>
      </w:r>
      <w:r>
        <w:rPr/>
        <w:t>en </w:t>
      </w:r>
      <w:r>
        <w:rPr>
          <w:spacing w:val="-3"/>
        </w:rPr>
        <w:t>actividades </w:t>
      </w:r>
      <w:r>
        <w:rPr/>
        <w:t>económicas </w:t>
      </w:r>
      <w:r>
        <w:rPr>
          <w:spacing w:val="-3"/>
        </w:rPr>
        <w:t>productivas, </w:t>
      </w:r>
      <w:r>
        <w:rPr/>
        <w:t>más bien su  </w:t>
      </w:r>
      <w:r>
        <w:rPr>
          <w:spacing w:val="-3"/>
        </w:rPr>
        <w:t>importancia </w:t>
      </w:r>
      <w:r>
        <w:rPr/>
        <w:t>se reduce a la manutención familiar y al </w:t>
      </w:r>
      <w:r>
        <w:rPr>
          <w:spacing w:val="-2"/>
        </w:rPr>
        <w:t>mejoramiento </w:t>
      </w:r>
      <w:r>
        <w:rPr/>
        <w:t>y construcción  de </w:t>
      </w:r>
      <w:r>
        <w:rPr>
          <w:spacing w:val="-2"/>
        </w:rPr>
        <w:t>vivienda, </w:t>
      </w:r>
      <w:r>
        <w:rPr/>
        <w:t>pero </w:t>
      </w:r>
      <w:r>
        <w:rPr>
          <w:spacing w:val="-3"/>
        </w:rPr>
        <w:t>analizada </w:t>
      </w:r>
      <w:r>
        <w:rPr/>
        <w:t>la </w:t>
      </w:r>
      <w:r>
        <w:rPr>
          <w:spacing w:val="-3"/>
        </w:rPr>
        <w:t>situación </w:t>
      </w:r>
      <w:r>
        <w:rPr/>
        <w:t>desde el punto de vista </w:t>
      </w:r>
      <w:r>
        <w:rPr>
          <w:spacing w:val="-3"/>
        </w:rPr>
        <w:t>psicosocial </w:t>
      </w:r>
      <w:r>
        <w:rPr/>
        <w:t>puede </w:t>
      </w:r>
      <w:r>
        <w:rPr>
          <w:spacing w:val="-3"/>
        </w:rPr>
        <w:t>ser </w:t>
      </w:r>
      <w:r>
        <w:rPr/>
        <w:t>considerada como un </w:t>
      </w:r>
      <w:r>
        <w:rPr>
          <w:spacing w:val="-3"/>
        </w:rPr>
        <w:t>rubro </w:t>
      </w:r>
      <w:r>
        <w:rPr/>
        <w:t>más importante puesto que incrementar la escala  de las </w:t>
      </w:r>
      <w:r>
        <w:rPr>
          <w:spacing w:val="-3"/>
        </w:rPr>
        <w:t>actividades productivas, </w:t>
      </w:r>
      <w:r>
        <w:rPr/>
        <w:t>tener una casa </w:t>
      </w:r>
      <w:r>
        <w:rPr>
          <w:spacing w:val="-3"/>
        </w:rPr>
        <w:t>mejor </w:t>
      </w:r>
      <w:r>
        <w:rPr/>
        <w:t>y distinta a las </w:t>
      </w:r>
      <w:r>
        <w:rPr>
          <w:spacing w:val="-3"/>
        </w:rPr>
        <w:t>demás, </w:t>
      </w:r>
      <w:r>
        <w:rPr/>
        <w:t>poseer un vehículo y consumir </w:t>
      </w:r>
      <w:r>
        <w:rPr>
          <w:spacing w:val="-3"/>
        </w:rPr>
        <w:t>artículos </w:t>
      </w:r>
      <w:r>
        <w:rPr/>
        <w:t>que antes no </w:t>
      </w:r>
      <w:r>
        <w:rPr>
          <w:spacing w:val="-3"/>
        </w:rPr>
        <w:t>estaban </w:t>
      </w:r>
      <w:r>
        <w:rPr/>
        <w:t>a su alcance, en </w:t>
      </w:r>
      <w:r>
        <w:rPr>
          <w:spacing w:val="-3"/>
        </w:rPr>
        <w:t>conjunto, </w:t>
      </w:r>
      <w:r>
        <w:rPr/>
        <w:t>aunque no </w:t>
      </w:r>
      <w:r>
        <w:rPr>
          <w:spacing w:val="-3"/>
        </w:rPr>
        <w:t>individualmente, constituyen evidencias </w:t>
      </w:r>
      <w:r>
        <w:rPr/>
        <w:t>de contar con </w:t>
      </w:r>
      <w:r>
        <w:rPr>
          <w:spacing w:val="-2"/>
        </w:rPr>
        <w:t>cierto </w:t>
      </w:r>
      <w:r>
        <w:rPr>
          <w:spacing w:val="-3"/>
        </w:rPr>
        <w:t>capital </w:t>
      </w:r>
      <w:r>
        <w:rPr/>
        <w:t>y </w:t>
      </w:r>
      <w:r>
        <w:rPr>
          <w:spacing w:val="-3"/>
        </w:rPr>
        <w:t>posición sociales </w:t>
      </w:r>
      <w:r>
        <w:rPr/>
        <w:t>los cuales </w:t>
      </w:r>
      <w:r>
        <w:rPr>
          <w:spacing w:val="-3"/>
        </w:rPr>
        <w:t>pueden </w:t>
      </w:r>
      <w:r>
        <w:rPr/>
        <w:t>ser una muestra de haber </w:t>
      </w:r>
      <w:r>
        <w:rPr>
          <w:spacing w:val="-3"/>
        </w:rPr>
        <w:t>alcanzado </w:t>
      </w:r>
      <w:r>
        <w:rPr/>
        <w:t>ciertos </w:t>
      </w:r>
      <w:r>
        <w:rPr>
          <w:spacing w:val="-3"/>
        </w:rPr>
        <w:t>objetivos implícitos. </w:t>
      </w:r>
      <w:r>
        <w:rPr/>
        <w:t>Esto ilustra el caso </w:t>
      </w:r>
      <w:r>
        <w:rPr>
          <w:spacing w:val="-3"/>
        </w:rPr>
        <w:t>en </w:t>
      </w:r>
      <w:r>
        <w:rPr/>
        <w:t>que </w:t>
      </w:r>
      <w:r>
        <w:rPr>
          <w:spacing w:val="-2"/>
        </w:rPr>
        <w:t>cuando </w:t>
      </w:r>
      <w:r>
        <w:rPr/>
        <w:t>un observador </w:t>
      </w:r>
      <w:r>
        <w:rPr>
          <w:spacing w:val="-3"/>
        </w:rPr>
        <w:t>preguntó, </w:t>
      </w:r>
      <w:r>
        <w:rPr/>
        <w:t>a unos </w:t>
      </w:r>
      <w:r>
        <w:rPr>
          <w:spacing w:val="-3"/>
        </w:rPr>
        <w:t>migrantes </w:t>
      </w:r>
      <w:r>
        <w:rPr/>
        <w:t>de Amayuca, Mor., </w:t>
      </w:r>
      <w:r>
        <w:rPr>
          <w:spacing w:val="-3"/>
        </w:rPr>
        <w:t>el </w:t>
      </w:r>
      <w:r>
        <w:rPr/>
        <w:t>motivo por </w:t>
      </w:r>
      <w:r>
        <w:rPr>
          <w:spacing w:val="-3"/>
        </w:rPr>
        <w:t>el </w:t>
      </w:r>
      <w:r>
        <w:rPr/>
        <w:t>cual </w:t>
      </w:r>
      <w:r>
        <w:rPr>
          <w:spacing w:val="-3"/>
        </w:rPr>
        <w:t>emigraban </w:t>
      </w:r>
      <w:r>
        <w:rPr/>
        <w:t>le </w:t>
      </w:r>
      <w:r>
        <w:rPr>
          <w:spacing w:val="-3"/>
        </w:rPr>
        <w:t>contestaron: </w:t>
      </w:r>
      <w:r>
        <w:rPr/>
        <w:t>“¡es que </w:t>
      </w:r>
      <w:r>
        <w:rPr>
          <w:spacing w:val="-3"/>
        </w:rPr>
        <w:t>aquí </w:t>
      </w:r>
      <w:r>
        <w:rPr/>
        <w:t>uno </w:t>
      </w:r>
      <w:r>
        <w:rPr>
          <w:spacing w:val="-3"/>
        </w:rPr>
        <w:t>no </w:t>
      </w:r>
      <w:r>
        <w:rPr/>
        <w:t>es</w:t>
      </w:r>
      <w:r>
        <w:rPr>
          <w:spacing w:val="5"/>
        </w:rPr>
        <w:t> </w:t>
      </w:r>
      <w:r>
        <w:rPr/>
        <w:t>nadie¡”.</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Puede ser que allá tampoco, pero cuando vienen de vacaciones, gente que antes no los  procuraban ahora lo invitan a convivir y algunos  hasta a ser padrinos de  sus hijos, y esta forma de disfrutar los resultados de su trabajo junto con las otras mejoras que hayan alcanzado sirven para más que compensar el esfuerzo desplegado durante un periodo de estancia en el extranjero y manifiestan su ascenso en la escala</w:t>
      </w:r>
      <w:r>
        <w:rPr>
          <w:spacing w:val="34"/>
        </w:rPr>
        <w:t> </w:t>
      </w:r>
      <w:r>
        <w:rPr/>
        <w:t>social.</w:t>
      </w:r>
    </w:p>
    <w:p>
      <w:pPr>
        <w:pStyle w:val="BodyText"/>
        <w:rPr>
          <w:sz w:val="22"/>
        </w:rPr>
      </w:pPr>
    </w:p>
    <w:p>
      <w:pPr>
        <w:pStyle w:val="BodyText"/>
        <w:rPr>
          <w:sz w:val="22"/>
        </w:rPr>
      </w:pPr>
    </w:p>
    <w:p>
      <w:pPr>
        <w:pStyle w:val="BodyText"/>
        <w:spacing w:line="364" w:lineRule="auto" w:before="135"/>
        <w:ind w:left="115" w:right="103"/>
        <w:jc w:val="both"/>
      </w:pPr>
      <w:r>
        <w:rPr/>
        <w:t>Según la CEPAL (citado por Serrano, </w:t>
      </w:r>
      <w:r>
        <w:rPr>
          <w:spacing w:val="-3"/>
        </w:rPr>
        <w:t>2000:308), “las </w:t>
      </w:r>
      <w:r>
        <w:rPr/>
        <w:t>remesas </w:t>
      </w:r>
      <w:r>
        <w:rPr>
          <w:spacing w:val="-3"/>
        </w:rPr>
        <w:t>colectivas </w:t>
      </w:r>
      <w:r>
        <w:rPr/>
        <w:t>son </w:t>
      </w:r>
      <w:r>
        <w:rPr>
          <w:spacing w:val="-3"/>
        </w:rPr>
        <w:t>importantes </w:t>
      </w:r>
      <w:r>
        <w:rPr/>
        <w:t>no tanto por su monto </w:t>
      </w:r>
      <w:r>
        <w:rPr>
          <w:spacing w:val="-3"/>
        </w:rPr>
        <w:t>actual </w:t>
      </w:r>
      <w:r>
        <w:rPr/>
        <w:t>sino </w:t>
      </w:r>
      <w:r>
        <w:rPr>
          <w:spacing w:val="-2"/>
        </w:rPr>
        <w:t>porque </w:t>
      </w:r>
      <w:r>
        <w:rPr/>
        <w:t>conforman un recurso de </w:t>
      </w:r>
      <w:r>
        <w:rPr>
          <w:spacing w:val="-3"/>
        </w:rPr>
        <w:t>calidad. </w:t>
      </w:r>
      <w:r>
        <w:rPr/>
        <w:t>En primer </w:t>
      </w:r>
      <w:r>
        <w:rPr>
          <w:spacing w:val="-3"/>
        </w:rPr>
        <w:t>lugar, </w:t>
      </w:r>
      <w:r>
        <w:rPr>
          <w:spacing w:val="-2"/>
        </w:rPr>
        <w:t>materializan </w:t>
      </w:r>
      <w:r>
        <w:rPr/>
        <w:t>un </w:t>
      </w:r>
      <w:r>
        <w:rPr>
          <w:spacing w:val="-3"/>
        </w:rPr>
        <w:t>lazo espontáneo </w:t>
      </w:r>
      <w:r>
        <w:rPr/>
        <w:t>y </w:t>
      </w:r>
      <w:r>
        <w:rPr>
          <w:spacing w:val="-3"/>
        </w:rPr>
        <w:t>solidario </w:t>
      </w:r>
      <w:r>
        <w:rPr/>
        <w:t>entre </w:t>
      </w:r>
      <w:r>
        <w:rPr>
          <w:spacing w:val="-3"/>
        </w:rPr>
        <w:t>agrupaciones </w:t>
      </w:r>
      <w:r>
        <w:rPr/>
        <w:t>de la sociedad civil; en </w:t>
      </w:r>
      <w:r>
        <w:rPr>
          <w:spacing w:val="-3"/>
        </w:rPr>
        <w:t>segundo </w:t>
      </w:r>
      <w:r>
        <w:rPr/>
        <w:t>lugar, a </w:t>
      </w:r>
      <w:r>
        <w:rPr>
          <w:spacing w:val="-3"/>
        </w:rPr>
        <w:t>diferencia </w:t>
      </w:r>
      <w:r>
        <w:rPr/>
        <w:t>de las </w:t>
      </w:r>
      <w:r>
        <w:rPr>
          <w:spacing w:val="-3"/>
        </w:rPr>
        <w:t>remesas familiares, </w:t>
      </w:r>
      <w:r>
        <w:rPr/>
        <w:t>son flujos que se destinan </w:t>
      </w:r>
      <w:r>
        <w:rPr>
          <w:spacing w:val="-3"/>
        </w:rPr>
        <w:t>fundamentalmente </w:t>
      </w:r>
      <w:r>
        <w:rPr/>
        <w:t>a </w:t>
      </w:r>
      <w:r>
        <w:rPr>
          <w:spacing w:val="-3"/>
        </w:rPr>
        <w:t>inversión; </w:t>
      </w:r>
      <w:r>
        <w:rPr/>
        <w:t>por último pueden  responder  </w:t>
      </w:r>
      <w:r>
        <w:rPr>
          <w:spacing w:val="-3"/>
        </w:rPr>
        <w:t>mejor   </w:t>
      </w:r>
      <w:r>
        <w:rPr/>
        <w:t>que   </w:t>
      </w:r>
      <w:r>
        <w:rPr>
          <w:spacing w:val="-3"/>
        </w:rPr>
        <w:t>otras   </w:t>
      </w:r>
      <w:r>
        <w:rPr/>
        <w:t>fuentes  a  </w:t>
      </w:r>
      <w:r>
        <w:rPr>
          <w:spacing w:val="-3"/>
        </w:rPr>
        <w:t>modalidades   </w:t>
      </w:r>
      <w:r>
        <w:rPr/>
        <w:t>de </w:t>
      </w:r>
      <w:r>
        <w:rPr>
          <w:spacing w:val="53"/>
        </w:rPr>
        <w:t> </w:t>
      </w:r>
      <w:r>
        <w:rPr>
          <w:spacing w:val="-3"/>
        </w:rPr>
        <w:t>financiamiento</w:t>
      </w:r>
    </w:p>
    <w:p>
      <w:pPr>
        <w:pStyle w:val="BodyText"/>
        <w:spacing w:line="270" w:lineRule="exact"/>
        <w:ind w:left="115"/>
        <w:jc w:val="both"/>
      </w:pPr>
      <w:r>
        <w:rPr/>
        <w:t>especiales”</w:t>
      </w:r>
      <w:r>
        <w:rPr>
          <w:position w:val="11"/>
          <w:sz w:val="15"/>
        </w:rPr>
        <w:t>83</w:t>
      </w:r>
      <w:r>
        <w:rPr/>
        <w:t>.</w:t>
      </w:r>
    </w:p>
    <w:p>
      <w:pPr>
        <w:pStyle w:val="BodyText"/>
        <w:spacing w:before="5"/>
        <w:rPr>
          <w:sz w:val="32"/>
        </w:rPr>
      </w:pPr>
    </w:p>
    <w:p>
      <w:pPr>
        <w:pStyle w:val="BodyText"/>
        <w:spacing w:line="364" w:lineRule="auto" w:before="1"/>
        <w:ind w:left="115" w:right="104"/>
        <w:jc w:val="both"/>
      </w:pPr>
      <w:r>
        <w:rPr/>
        <w:t>En este </w:t>
      </w:r>
      <w:r>
        <w:rPr>
          <w:spacing w:val="-3"/>
        </w:rPr>
        <w:t>contexto, </w:t>
      </w:r>
      <w:r>
        <w:rPr/>
        <w:t>los </w:t>
      </w:r>
      <w:r>
        <w:rPr>
          <w:spacing w:val="-3"/>
        </w:rPr>
        <w:t>emigrantes internacionales </w:t>
      </w:r>
      <w:r>
        <w:rPr/>
        <w:t>se vuelven gente </w:t>
      </w:r>
      <w:r>
        <w:rPr>
          <w:spacing w:val="-3"/>
        </w:rPr>
        <w:t>importante </w:t>
      </w:r>
      <w:r>
        <w:rPr/>
        <w:t>para su lugar de </w:t>
      </w:r>
      <w:r>
        <w:rPr>
          <w:spacing w:val="-3"/>
        </w:rPr>
        <w:t>origen </w:t>
      </w:r>
      <w:r>
        <w:rPr/>
        <w:t>y para su país </w:t>
      </w:r>
      <w:r>
        <w:rPr>
          <w:spacing w:val="-3"/>
        </w:rPr>
        <w:t>porque: a) traen </w:t>
      </w:r>
      <w:r>
        <w:rPr/>
        <w:t>divisas que el </w:t>
      </w:r>
      <w:r>
        <w:rPr>
          <w:spacing w:val="-3"/>
        </w:rPr>
        <w:t>país necesita; b) </w:t>
      </w:r>
      <w:r>
        <w:rPr/>
        <w:t>parte de esos </w:t>
      </w:r>
      <w:r>
        <w:rPr>
          <w:spacing w:val="-3"/>
        </w:rPr>
        <w:t>ingresos </w:t>
      </w:r>
      <w:r>
        <w:rPr/>
        <w:t>se destina a mejorar las </w:t>
      </w:r>
      <w:r>
        <w:rPr>
          <w:spacing w:val="-3"/>
        </w:rPr>
        <w:t>comunidades de origen; </w:t>
      </w:r>
      <w:r>
        <w:rPr/>
        <w:t>c) </w:t>
      </w:r>
      <w:r>
        <w:rPr>
          <w:spacing w:val="-3"/>
        </w:rPr>
        <w:t>constituyen eslabones </w:t>
      </w:r>
      <w:r>
        <w:rPr/>
        <w:t>que permiten generar </w:t>
      </w:r>
      <w:r>
        <w:rPr>
          <w:spacing w:val="-3"/>
        </w:rPr>
        <w:t>canales continuos </w:t>
      </w:r>
      <w:r>
        <w:rPr/>
        <w:t>de </w:t>
      </w:r>
      <w:r>
        <w:rPr>
          <w:spacing w:val="-3"/>
        </w:rPr>
        <w:t>relaciones </w:t>
      </w:r>
      <w:r>
        <w:rPr/>
        <w:t>que actúan a manera de ‘fondos </w:t>
      </w:r>
      <w:r>
        <w:rPr>
          <w:spacing w:val="-3"/>
        </w:rPr>
        <w:t>revolventes’ del dinamismo </w:t>
      </w:r>
      <w:r>
        <w:rPr/>
        <w:t>de </w:t>
      </w:r>
      <w:r>
        <w:rPr>
          <w:spacing w:val="-3"/>
        </w:rPr>
        <w:t>localidades enteras; </w:t>
      </w:r>
      <w:r>
        <w:rPr/>
        <w:t>d) con un mínimo </w:t>
      </w:r>
      <w:r>
        <w:rPr>
          <w:spacing w:val="-3"/>
        </w:rPr>
        <w:t>de </w:t>
      </w:r>
      <w:r>
        <w:rPr/>
        <w:t>estímulos esos </w:t>
      </w:r>
      <w:r>
        <w:rPr>
          <w:spacing w:val="-3"/>
        </w:rPr>
        <w:t>compatriotas construyen </w:t>
      </w:r>
      <w:r>
        <w:rPr/>
        <w:t>cuadros de vida por demás </w:t>
      </w:r>
      <w:r>
        <w:rPr>
          <w:spacing w:val="-3"/>
        </w:rPr>
        <w:t>aceptables </w:t>
      </w:r>
      <w:r>
        <w:rPr/>
        <w:t>(es </w:t>
      </w:r>
      <w:r>
        <w:rPr>
          <w:spacing w:val="-2"/>
        </w:rPr>
        <w:t>decir, </w:t>
      </w:r>
      <w:r>
        <w:rPr/>
        <w:t>toleran situaciones de </w:t>
      </w:r>
      <w:r>
        <w:rPr>
          <w:spacing w:val="-3"/>
        </w:rPr>
        <w:t>aislamiento </w:t>
      </w:r>
      <w:r>
        <w:rPr/>
        <w:t>y </w:t>
      </w:r>
      <w:r>
        <w:rPr>
          <w:spacing w:val="-3"/>
        </w:rPr>
        <w:t>persecución, renuncian   </w:t>
      </w:r>
      <w:r>
        <w:rPr/>
        <w:t>a  </w:t>
      </w:r>
      <w:r>
        <w:rPr>
          <w:spacing w:val="-3"/>
        </w:rPr>
        <w:t>cuestiones   básicas   de   </w:t>
      </w:r>
      <w:r>
        <w:rPr/>
        <w:t>afecto   e  </w:t>
      </w:r>
      <w:r>
        <w:rPr>
          <w:spacing w:val="-3"/>
        </w:rPr>
        <w:t>identidad),   </w:t>
      </w:r>
      <w:r>
        <w:rPr/>
        <w:t>y  </w:t>
      </w:r>
      <w:r>
        <w:rPr>
          <w:spacing w:val="-3"/>
        </w:rPr>
        <w:t>e)   </w:t>
      </w:r>
      <w:r>
        <w:rPr/>
        <w:t>los </w:t>
      </w:r>
      <w:r>
        <w:rPr>
          <w:spacing w:val="29"/>
        </w:rPr>
        <w:t> </w:t>
      </w:r>
      <w:r>
        <w:rPr>
          <w:spacing w:val="-3"/>
        </w:rPr>
        <w:t>emigrantes</w:t>
      </w:r>
    </w:p>
    <w:p>
      <w:pPr>
        <w:pStyle w:val="BodyText"/>
        <w:spacing w:line="267" w:lineRule="exact"/>
        <w:ind w:left="115"/>
        <w:jc w:val="both"/>
      </w:pPr>
      <w:r>
        <w:rPr/>
        <w:t>mexicanos han sido capaces de mejorar su situación familiar (García, 2000:313)</w:t>
      </w:r>
      <w:r>
        <w:rPr>
          <w:position w:val="11"/>
          <w:sz w:val="15"/>
        </w:rPr>
        <w:t>84</w:t>
      </w:r>
      <w:r>
        <w:rPr/>
        <w:t>.</w:t>
      </w: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2464;mso-wrap-distance-left:0;mso-wrap-distance-right:0" from="82.799995pt,12.124429pt" to="222.959992pt,12.124429pt" stroked="true" strokeweight=".72pt" strokecolor="#000000">
            <w10:wrap type="topAndBottom"/>
          </v:line>
        </w:pict>
      </w:r>
    </w:p>
    <w:p>
      <w:pPr>
        <w:spacing w:line="283" w:lineRule="auto" w:before="39"/>
        <w:ind w:left="116" w:right="105" w:firstLine="0"/>
        <w:jc w:val="both"/>
        <w:rPr>
          <w:sz w:val="19"/>
        </w:rPr>
      </w:pPr>
      <w:r>
        <w:rPr>
          <w:position w:val="10"/>
          <w:sz w:val="12"/>
        </w:rPr>
        <w:t>83 </w:t>
      </w:r>
      <w:r>
        <w:rPr>
          <w:sz w:val="19"/>
        </w:rPr>
        <w:t>Por ejemplo, como fruto del desarrollo alcanzado por el proceso migratorio, Zacatecas  se  distingue por la constelación de comunidades filiales con que cuenta y, sobre todo, por el grado de organización social de sus coterráneos: en la actualidad se tiene registrados  120  clubes  en  Estados Unidos, los cuales se agrupan en una confederación. Ningún otro estado del país dispone de una estructura organizativa de los migrantes de esta envergadura (Idem,  </w:t>
      </w:r>
      <w:r>
        <w:rPr>
          <w:spacing w:val="50"/>
          <w:sz w:val="19"/>
        </w:rPr>
        <w:t> </w:t>
      </w:r>
      <w:r>
        <w:rPr>
          <w:sz w:val="19"/>
        </w:rPr>
        <w:t>2000:372,373).</w:t>
      </w:r>
    </w:p>
    <w:p>
      <w:pPr>
        <w:pStyle w:val="BodyText"/>
        <w:spacing w:before="1"/>
        <w:rPr>
          <w:sz w:val="14"/>
        </w:rPr>
      </w:pPr>
    </w:p>
    <w:p>
      <w:pPr>
        <w:spacing w:line="283" w:lineRule="auto" w:before="0"/>
        <w:ind w:left="115" w:right="107" w:firstLine="0"/>
        <w:jc w:val="both"/>
        <w:rPr>
          <w:sz w:val="19"/>
        </w:rPr>
      </w:pPr>
      <w:r>
        <w:rPr>
          <w:position w:val="10"/>
          <w:sz w:val="12"/>
        </w:rPr>
        <w:t>84 </w:t>
      </w:r>
      <w:r>
        <w:rPr>
          <w:sz w:val="19"/>
        </w:rPr>
        <w:t>Debe reconocerse la importancia y el potencial de las acciones colectivas en las que los  emigrantes tienen un papel prominente. Debido a que el poder de compra en los Estados Unidos  está</w:t>
      </w:r>
      <w:r>
        <w:rPr>
          <w:spacing w:val="12"/>
          <w:sz w:val="19"/>
        </w:rPr>
        <w:t> </w:t>
      </w:r>
      <w:r>
        <w:rPr>
          <w:sz w:val="19"/>
        </w:rPr>
        <w:t>muy</w:t>
      </w:r>
      <w:r>
        <w:rPr>
          <w:spacing w:val="9"/>
          <w:sz w:val="19"/>
        </w:rPr>
        <w:t> </w:t>
      </w:r>
      <w:r>
        <w:rPr>
          <w:sz w:val="19"/>
        </w:rPr>
        <w:t>por</w:t>
      </w:r>
      <w:r>
        <w:rPr>
          <w:spacing w:val="14"/>
          <w:sz w:val="19"/>
        </w:rPr>
        <w:t> </w:t>
      </w:r>
      <w:r>
        <w:rPr>
          <w:sz w:val="19"/>
        </w:rPr>
        <w:t>encima</w:t>
      </w:r>
      <w:r>
        <w:rPr>
          <w:spacing w:val="14"/>
          <w:sz w:val="19"/>
        </w:rPr>
        <w:t> </w:t>
      </w:r>
      <w:r>
        <w:rPr>
          <w:sz w:val="19"/>
        </w:rPr>
        <w:t>de</w:t>
      </w:r>
      <w:r>
        <w:rPr>
          <w:spacing w:val="14"/>
          <w:sz w:val="19"/>
        </w:rPr>
        <w:t> </w:t>
      </w:r>
      <w:r>
        <w:rPr>
          <w:sz w:val="19"/>
        </w:rPr>
        <w:t>sus</w:t>
      </w:r>
      <w:r>
        <w:rPr>
          <w:spacing w:val="13"/>
          <w:sz w:val="19"/>
        </w:rPr>
        <w:t> </w:t>
      </w:r>
      <w:r>
        <w:rPr>
          <w:sz w:val="19"/>
        </w:rPr>
        <w:t>pares</w:t>
      </w:r>
      <w:r>
        <w:rPr>
          <w:spacing w:val="13"/>
          <w:sz w:val="19"/>
        </w:rPr>
        <w:t> </w:t>
      </w:r>
      <w:r>
        <w:rPr>
          <w:sz w:val="19"/>
        </w:rPr>
        <w:t>en</w:t>
      </w:r>
      <w:r>
        <w:rPr>
          <w:spacing w:val="12"/>
          <w:sz w:val="19"/>
        </w:rPr>
        <w:t> </w:t>
      </w:r>
      <w:r>
        <w:rPr>
          <w:sz w:val="19"/>
        </w:rPr>
        <w:t>sus</w:t>
      </w:r>
      <w:r>
        <w:rPr>
          <w:spacing w:val="13"/>
          <w:sz w:val="19"/>
        </w:rPr>
        <w:t> </w:t>
      </w:r>
      <w:r>
        <w:rPr>
          <w:sz w:val="19"/>
        </w:rPr>
        <w:t>países</w:t>
      </w:r>
      <w:r>
        <w:rPr>
          <w:spacing w:val="15"/>
          <w:sz w:val="19"/>
        </w:rPr>
        <w:t> </w:t>
      </w:r>
      <w:r>
        <w:rPr>
          <w:sz w:val="19"/>
        </w:rPr>
        <w:t>de</w:t>
      </w:r>
      <w:r>
        <w:rPr>
          <w:spacing w:val="14"/>
          <w:sz w:val="19"/>
        </w:rPr>
        <w:t> </w:t>
      </w:r>
      <w:r>
        <w:rPr>
          <w:sz w:val="19"/>
        </w:rPr>
        <w:t>origen,</w:t>
      </w:r>
      <w:r>
        <w:rPr>
          <w:spacing w:val="15"/>
          <w:sz w:val="19"/>
        </w:rPr>
        <w:t> </w:t>
      </w:r>
      <w:r>
        <w:rPr>
          <w:sz w:val="19"/>
        </w:rPr>
        <w:t>así</w:t>
      </w:r>
      <w:r>
        <w:rPr>
          <w:spacing w:val="13"/>
          <w:sz w:val="19"/>
        </w:rPr>
        <w:t> </w:t>
      </w:r>
      <w:r>
        <w:rPr>
          <w:sz w:val="19"/>
        </w:rPr>
        <w:t>como</w:t>
      </w:r>
      <w:r>
        <w:rPr>
          <w:spacing w:val="12"/>
          <w:sz w:val="19"/>
        </w:rPr>
        <w:t> </w:t>
      </w:r>
      <w:r>
        <w:rPr>
          <w:sz w:val="19"/>
        </w:rPr>
        <w:t>a</w:t>
      </w:r>
      <w:r>
        <w:rPr>
          <w:spacing w:val="14"/>
          <w:sz w:val="19"/>
        </w:rPr>
        <w:t> </w:t>
      </w:r>
      <w:r>
        <w:rPr>
          <w:sz w:val="19"/>
        </w:rPr>
        <w:t>la</w:t>
      </w:r>
      <w:r>
        <w:rPr>
          <w:spacing w:val="12"/>
          <w:sz w:val="19"/>
        </w:rPr>
        <w:t> </w:t>
      </w:r>
      <w:r>
        <w:rPr>
          <w:sz w:val="19"/>
        </w:rPr>
        <w:t>capacidad</w:t>
      </w:r>
      <w:r>
        <w:rPr>
          <w:spacing w:val="14"/>
          <w:sz w:val="19"/>
        </w:rPr>
        <w:t> </w:t>
      </w:r>
      <w:r>
        <w:rPr>
          <w:sz w:val="19"/>
        </w:rPr>
        <w:t>de</w:t>
      </w:r>
      <w:r>
        <w:rPr>
          <w:spacing w:val="18"/>
          <w:sz w:val="19"/>
        </w:rPr>
        <w:t> </w:t>
      </w:r>
      <w:r>
        <w:rPr>
          <w:sz w:val="19"/>
        </w:rPr>
        <w:t>ahorro</w:t>
      </w:r>
      <w:r>
        <w:rPr>
          <w:spacing w:val="14"/>
          <w:sz w:val="19"/>
        </w:rPr>
        <w:t> </w:t>
      </w:r>
      <w:r>
        <w:rPr>
          <w:sz w:val="19"/>
        </w:rPr>
        <w:t>de</w:t>
      </w:r>
    </w:p>
    <w:p>
      <w:pPr>
        <w:spacing w:after="0" w:line="283" w:lineRule="auto"/>
        <w:jc w:val="both"/>
        <w:rPr>
          <w:sz w:val="19"/>
        </w:rPr>
        <w:sectPr>
          <w:footerReference w:type="default" r:id="rId27"/>
          <w:pgSz w:w="11900" w:h="16840"/>
          <w:pgMar w:footer="1679" w:header="0" w:top="1600" w:bottom="1860" w:left="1540" w:right="1580"/>
          <w:pgNumType w:start="70"/>
        </w:sectPr>
      </w:pPr>
    </w:p>
    <w:p>
      <w:pPr>
        <w:pStyle w:val="BodyText"/>
        <w:rPr>
          <w:sz w:val="20"/>
        </w:rPr>
      </w:pPr>
    </w:p>
    <w:p>
      <w:pPr>
        <w:pStyle w:val="BodyText"/>
        <w:spacing w:before="10"/>
        <w:rPr>
          <w:sz w:val="16"/>
        </w:rPr>
      </w:pPr>
    </w:p>
    <w:p>
      <w:pPr>
        <w:pStyle w:val="BodyText"/>
        <w:spacing w:line="364" w:lineRule="auto" w:before="74"/>
        <w:ind w:left="115" w:right="103"/>
        <w:jc w:val="both"/>
      </w:pPr>
      <w:r>
        <w:rPr/>
        <w:t>De </w:t>
      </w:r>
      <w:r>
        <w:rPr>
          <w:spacing w:val="-3"/>
        </w:rPr>
        <w:t>aquí </w:t>
      </w:r>
      <w:r>
        <w:rPr/>
        <w:t>resulta </w:t>
      </w:r>
      <w:r>
        <w:rPr>
          <w:spacing w:val="-3"/>
        </w:rPr>
        <w:t>el acentuado interés </w:t>
      </w:r>
      <w:r>
        <w:rPr/>
        <w:t>de los </w:t>
      </w:r>
      <w:r>
        <w:rPr>
          <w:spacing w:val="-3"/>
        </w:rPr>
        <w:t>gobiernos </w:t>
      </w:r>
      <w:r>
        <w:rPr/>
        <w:t>federal y </w:t>
      </w:r>
      <w:r>
        <w:rPr>
          <w:spacing w:val="-3"/>
        </w:rPr>
        <w:t>estatales </w:t>
      </w:r>
      <w:r>
        <w:rPr/>
        <w:t>en ese tipo de remesas y procuran </w:t>
      </w:r>
      <w:r>
        <w:rPr>
          <w:spacing w:val="-3"/>
        </w:rPr>
        <w:t>comprometer </w:t>
      </w:r>
      <w:r>
        <w:rPr/>
        <w:t>a los </w:t>
      </w:r>
      <w:r>
        <w:rPr>
          <w:spacing w:val="-3"/>
        </w:rPr>
        <w:t>migrantes </w:t>
      </w:r>
      <w:r>
        <w:rPr/>
        <w:t>para </w:t>
      </w:r>
      <w:r>
        <w:rPr>
          <w:spacing w:val="-3"/>
        </w:rPr>
        <w:t>canalizarlas  </w:t>
      </w:r>
      <w:r>
        <w:rPr/>
        <w:t>a  la  </w:t>
      </w:r>
      <w:r>
        <w:rPr>
          <w:spacing w:val="-3"/>
        </w:rPr>
        <w:t>inversión </w:t>
      </w:r>
      <w:r>
        <w:rPr/>
        <w:t>en desarrollo </w:t>
      </w:r>
      <w:r>
        <w:rPr>
          <w:spacing w:val="-3"/>
        </w:rPr>
        <w:t>regional </w:t>
      </w:r>
      <w:r>
        <w:rPr/>
        <w:t>en las </w:t>
      </w:r>
      <w:r>
        <w:rPr>
          <w:spacing w:val="-3"/>
        </w:rPr>
        <w:t>comunidades </w:t>
      </w:r>
      <w:r>
        <w:rPr/>
        <w:t>de </w:t>
      </w:r>
      <w:r>
        <w:rPr>
          <w:spacing w:val="-3"/>
        </w:rPr>
        <w:t>origen </w:t>
      </w:r>
      <w:r>
        <w:rPr/>
        <w:t>dado el </w:t>
      </w:r>
      <w:r>
        <w:rPr>
          <w:spacing w:val="-3"/>
        </w:rPr>
        <w:t>vínculo evidente </w:t>
      </w:r>
      <w:r>
        <w:rPr/>
        <w:t>que puede </w:t>
      </w:r>
      <w:r>
        <w:rPr>
          <w:spacing w:val="-3"/>
        </w:rPr>
        <w:t>establecerse </w:t>
      </w:r>
      <w:r>
        <w:rPr/>
        <w:t>entre migración </w:t>
      </w:r>
      <w:r>
        <w:rPr>
          <w:spacing w:val="-3"/>
        </w:rPr>
        <w:t>internacional, envío </w:t>
      </w:r>
      <w:r>
        <w:rPr/>
        <w:t>de remesas, </w:t>
      </w:r>
      <w:r>
        <w:rPr>
          <w:spacing w:val="-3"/>
        </w:rPr>
        <w:t>manutención </w:t>
      </w:r>
      <w:r>
        <w:rPr/>
        <w:t>de las familias, </w:t>
      </w:r>
      <w:r>
        <w:rPr>
          <w:spacing w:val="-3"/>
        </w:rPr>
        <w:t>economía </w:t>
      </w:r>
      <w:r>
        <w:rPr/>
        <w:t>y mercado de trabajo locales y en suma desarrollo </w:t>
      </w:r>
      <w:r>
        <w:rPr>
          <w:spacing w:val="-3"/>
        </w:rPr>
        <w:t>regional </w:t>
      </w:r>
      <w:r>
        <w:rPr/>
        <w:t>y </w:t>
      </w:r>
      <w:r>
        <w:rPr>
          <w:spacing w:val="-3"/>
        </w:rPr>
        <w:t>nacional (Cebada, 2000:354). </w:t>
      </w:r>
      <w:r>
        <w:rPr/>
        <w:t>Además como </w:t>
      </w:r>
      <w:r>
        <w:rPr>
          <w:spacing w:val="-3"/>
        </w:rPr>
        <w:t>el </w:t>
      </w:r>
      <w:r>
        <w:rPr/>
        <w:t>modelo </w:t>
      </w:r>
      <w:r>
        <w:rPr>
          <w:spacing w:val="-3"/>
        </w:rPr>
        <w:t>económico neoliberal </w:t>
      </w:r>
      <w:r>
        <w:rPr/>
        <w:t>ha </w:t>
      </w:r>
      <w:r>
        <w:rPr>
          <w:spacing w:val="-2"/>
        </w:rPr>
        <w:t>implicado </w:t>
      </w:r>
      <w:r>
        <w:rPr>
          <w:spacing w:val="-3"/>
        </w:rPr>
        <w:t>también </w:t>
      </w:r>
      <w:r>
        <w:rPr/>
        <w:t>menos </w:t>
      </w:r>
      <w:r>
        <w:rPr>
          <w:spacing w:val="-3"/>
        </w:rPr>
        <w:t>gastos </w:t>
      </w:r>
      <w:r>
        <w:rPr/>
        <w:t>en servicios </w:t>
      </w:r>
      <w:r>
        <w:rPr>
          <w:spacing w:val="-3"/>
        </w:rPr>
        <w:t>públicos, </w:t>
      </w:r>
      <w:r>
        <w:rPr/>
        <w:t>es </w:t>
      </w:r>
      <w:r>
        <w:rPr>
          <w:spacing w:val="-3"/>
        </w:rPr>
        <w:t>posible </w:t>
      </w:r>
      <w:r>
        <w:rPr/>
        <w:t>afirmar que las </w:t>
      </w:r>
      <w:r>
        <w:rPr>
          <w:spacing w:val="-3"/>
        </w:rPr>
        <w:t>remesas compensan, </w:t>
      </w:r>
      <w:r>
        <w:rPr/>
        <w:t>en </w:t>
      </w:r>
      <w:r>
        <w:rPr>
          <w:spacing w:val="-3"/>
        </w:rPr>
        <w:t>alguna </w:t>
      </w:r>
      <w:r>
        <w:rPr/>
        <w:t>forma las </w:t>
      </w:r>
      <w:r>
        <w:rPr>
          <w:spacing w:val="-3"/>
        </w:rPr>
        <w:t>insuficiencias </w:t>
      </w:r>
      <w:r>
        <w:rPr/>
        <w:t>del </w:t>
      </w:r>
      <w:r>
        <w:rPr>
          <w:spacing w:val="-3"/>
        </w:rPr>
        <w:t>gasto </w:t>
      </w:r>
      <w:r>
        <w:rPr/>
        <w:t>público y que </w:t>
      </w:r>
      <w:r>
        <w:rPr>
          <w:spacing w:val="-3"/>
        </w:rPr>
        <w:t>contribuyen </w:t>
      </w:r>
      <w:r>
        <w:rPr/>
        <w:t>a </w:t>
      </w:r>
      <w:r>
        <w:rPr>
          <w:spacing w:val="-3"/>
        </w:rPr>
        <w:t>preservar </w:t>
      </w:r>
      <w:r>
        <w:rPr/>
        <w:t>la estabilidad económica y social” </w:t>
      </w:r>
      <w:r>
        <w:rPr>
          <w:spacing w:val="-3"/>
        </w:rPr>
        <w:t>(Padilla,</w:t>
      </w:r>
      <w:r>
        <w:rPr>
          <w:spacing w:val="40"/>
        </w:rPr>
        <w:t> </w:t>
      </w:r>
      <w:r>
        <w:rPr>
          <w:spacing w:val="-3"/>
        </w:rPr>
        <w:t>2000:370).</w:t>
      </w:r>
    </w:p>
    <w:p>
      <w:pPr>
        <w:pStyle w:val="BodyText"/>
        <w:spacing w:before="10"/>
        <w:rPr>
          <w:sz w:val="20"/>
        </w:rPr>
      </w:pPr>
    </w:p>
    <w:p>
      <w:pPr>
        <w:pStyle w:val="BodyText"/>
        <w:spacing w:line="357" w:lineRule="auto"/>
        <w:ind w:left="115" w:right="100"/>
        <w:jc w:val="both"/>
      </w:pPr>
      <w:r>
        <w:rPr/>
        <w:t>Como resultado de los esfuerzos colectivos pueden citarse el fideicomiso para la transferencia de remesas, FIDERAZA en Jalisco, el Programa </w:t>
      </w:r>
      <w:r>
        <w:rPr>
          <w:i/>
        </w:rPr>
        <w:t>Mi Comunidad </w:t>
      </w:r>
      <w:r>
        <w:rPr/>
        <w:t>en Guanajuato y el Programa </w:t>
      </w:r>
      <w:r>
        <w:rPr>
          <w:i/>
        </w:rPr>
        <w:t>Tres por Uno </w:t>
      </w:r>
      <w:r>
        <w:rPr/>
        <w:t>en Zacatecas (Castro y Tuirán, 2000:320), los cuales han sido agrupados en este último y extendido a todas las estados de la república como una acción del gobierno federal del actual sexenio</w:t>
      </w:r>
      <w:r>
        <w:rPr>
          <w:position w:val="11"/>
          <w:sz w:val="15"/>
        </w:rPr>
        <w:t>85, 86</w:t>
      </w:r>
      <w:r>
        <w:rPr/>
        <w:t>.</w:t>
      </w:r>
    </w:p>
    <w:p>
      <w:pPr>
        <w:pStyle w:val="BodyText"/>
        <w:spacing w:line="364" w:lineRule="auto" w:before="227"/>
        <w:ind w:left="115" w:right="104"/>
        <w:jc w:val="both"/>
      </w:pPr>
      <w:r>
        <w:rPr/>
        <w:t>Un breve antecedente permite vislumbrar las </w:t>
      </w:r>
      <w:r>
        <w:rPr>
          <w:spacing w:val="-3"/>
        </w:rPr>
        <w:t>posibilidades </w:t>
      </w:r>
      <w:r>
        <w:rPr/>
        <w:t>de su </w:t>
      </w:r>
      <w:r>
        <w:rPr>
          <w:spacing w:val="-3"/>
        </w:rPr>
        <w:t>desarrollo. </w:t>
      </w:r>
      <w:r>
        <w:rPr/>
        <w:t>En el caso de </w:t>
      </w:r>
      <w:r>
        <w:rPr>
          <w:i/>
          <w:spacing w:val="-3"/>
        </w:rPr>
        <w:t>Mi </w:t>
      </w:r>
      <w:r>
        <w:rPr>
          <w:i/>
        </w:rPr>
        <w:t>Comunidad </w:t>
      </w:r>
      <w:r>
        <w:rPr/>
        <w:t>existían dos modalidades de inversión: una privada y otra </w:t>
      </w:r>
      <w:r>
        <w:rPr>
          <w:spacing w:val="-3"/>
        </w:rPr>
        <w:t>social. </w:t>
      </w:r>
      <w:r>
        <w:rPr/>
        <w:t>En la primera los </w:t>
      </w:r>
      <w:r>
        <w:rPr>
          <w:spacing w:val="-3"/>
        </w:rPr>
        <w:t>ex migrantes </w:t>
      </w:r>
      <w:r>
        <w:rPr/>
        <w:t>fungían como </w:t>
      </w:r>
      <w:r>
        <w:rPr>
          <w:spacing w:val="-3"/>
        </w:rPr>
        <w:t>administradores </w:t>
      </w:r>
      <w:r>
        <w:rPr/>
        <w:t>y ‘socios’ del patrón </w:t>
      </w:r>
      <w:r>
        <w:rPr>
          <w:spacing w:val="-3"/>
        </w:rPr>
        <w:t>estadounidense. </w:t>
      </w:r>
      <w:r>
        <w:rPr/>
        <w:t>Este programa consistía </w:t>
      </w:r>
      <w:r>
        <w:rPr>
          <w:spacing w:val="-3"/>
        </w:rPr>
        <w:t>inicialmente </w:t>
      </w:r>
      <w:r>
        <w:rPr/>
        <w:t>en </w:t>
      </w:r>
      <w:r>
        <w:rPr>
          <w:spacing w:val="-3"/>
        </w:rPr>
        <w:t>el establecimiento </w:t>
      </w:r>
      <w:r>
        <w:rPr/>
        <w:t>de 10 </w:t>
      </w:r>
      <w:r>
        <w:rPr>
          <w:spacing w:val="-3"/>
        </w:rPr>
        <w:t>maquiladoras </w:t>
      </w:r>
      <w:r>
        <w:rPr/>
        <w:t>poniendo un dólar por cada </w:t>
      </w:r>
      <w:r>
        <w:rPr>
          <w:spacing w:val="-3"/>
        </w:rPr>
        <w:t>dólar </w:t>
      </w:r>
      <w:r>
        <w:rPr/>
        <w:t>de  “remesas”  hasta  </w:t>
      </w:r>
      <w:r>
        <w:rPr>
          <w:spacing w:val="-3"/>
        </w:rPr>
        <w:t>completar </w:t>
      </w:r>
      <w:r>
        <w:rPr/>
        <w:t>la </w:t>
      </w:r>
      <w:r>
        <w:rPr>
          <w:spacing w:val="-3"/>
        </w:rPr>
        <w:t>inversión </w:t>
      </w:r>
      <w:r>
        <w:rPr/>
        <w:t>inicial de 120,000 dólares. En el año 2000 seis </w:t>
      </w:r>
      <w:r>
        <w:rPr>
          <w:spacing w:val="53"/>
        </w:rPr>
        <w:t> </w:t>
      </w:r>
      <w:r>
        <w:rPr>
          <w:spacing w:val="-3"/>
        </w:rPr>
        <w:t>maquiladoras</w:t>
      </w:r>
    </w:p>
    <w:p>
      <w:pPr>
        <w:pStyle w:val="BodyText"/>
        <w:rPr>
          <w:sz w:val="20"/>
        </w:rPr>
      </w:pPr>
    </w:p>
    <w:p>
      <w:pPr>
        <w:pStyle w:val="BodyText"/>
        <w:spacing w:before="2"/>
        <w:rPr>
          <w:sz w:val="20"/>
        </w:rPr>
      </w:pPr>
      <w:r>
        <w:rPr/>
        <w:pict>
          <v:line style="position:absolute;mso-position-horizontal-relative:page;mso-position-vertical-relative:paragraph;z-index:2488;mso-wrap-distance-left:0;mso-wrap-distance-right:0" from="82.799995pt,13.942679pt" to="510.479986pt,13.942679pt" stroked="true" strokeweight=".72pt" strokecolor="#000000">
            <w10:wrap type="topAndBottom"/>
          </v:line>
        </w:pict>
      </w:r>
    </w:p>
    <w:p>
      <w:pPr>
        <w:spacing w:line="283" w:lineRule="auto" w:before="73"/>
        <w:ind w:left="115" w:right="104" w:firstLine="0"/>
        <w:jc w:val="both"/>
        <w:rPr>
          <w:sz w:val="19"/>
        </w:rPr>
      </w:pPr>
      <w:r>
        <w:rPr>
          <w:sz w:val="19"/>
        </w:rPr>
        <w:t>los migrantes, estos actores sociales resultan protagonistas en sus respectivos países. Las asociaciones que han creado, más allá de la atención de los problemas que se suscitan en su interacción con el país que los alberga, han tenido de manera espontánea funciones importantes (Serrano, 2000:308).</w:t>
      </w:r>
    </w:p>
    <w:p>
      <w:pPr>
        <w:spacing w:line="247" w:lineRule="auto" w:before="157"/>
        <w:ind w:left="115" w:right="108" w:firstLine="0"/>
        <w:jc w:val="both"/>
        <w:rPr>
          <w:sz w:val="19"/>
        </w:rPr>
      </w:pPr>
      <w:r>
        <w:rPr>
          <w:position w:val="10"/>
          <w:sz w:val="12"/>
        </w:rPr>
        <w:t>85 </w:t>
      </w:r>
      <w:r>
        <w:rPr>
          <w:sz w:val="19"/>
        </w:rPr>
        <w:t>Además, entre otras múltiples acciones, de escasa influencia, encaminadas a mejorar el desempeño migratorio, se instituyó el Programa </w:t>
      </w:r>
      <w:r>
        <w:rPr>
          <w:i/>
          <w:sz w:val="19"/>
        </w:rPr>
        <w:t>Adopte una   Comunidad</w:t>
      </w:r>
      <w:r>
        <w:rPr>
          <w:sz w:val="19"/>
        </w:rPr>
        <w:t>.</w:t>
      </w:r>
    </w:p>
    <w:p>
      <w:pPr>
        <w:pStyle w:val="BodyText"/>
        <w:spacing w:before="5"/>
        <w:rPr>
          <w:sz w:val="16"/>
        </w:rPr>
      </w:pPr>
    </w:p>
    <w:p>
      <w:pPr>
        <w:spacing w:line="283" w:lineRule="auto" w:before="0"/>
        <w:ind w:left="116" w:right="105" w:firstLine="0"/>
        <w:jc w:val="both"/>
        <w:rPr>
          <w:sz w:val="19"/>
        </w:rPr>
      </w:pPr>
      <w:r>
        <w:rPr>
          <w:position w:val="10"/>
          <w:sz w:val="12"/>
        </w:rPr>
        <w:t>86 </w:t>
      </w:r>
      <w:r>
        <w:rPr>
          <w:sz w:val="19"/>
        </w:rPr>
        <w:t>Según expertos del seminario “Proyectos Empresariales como destino de los ahorros de los paisanos en los Estados Unidos” realizado el 15/03/2002 patrocinado por NAFIN y  EL  Banco Mundial (BM), pocas son las empresas constituidas con fondos de emigrantes que  están  funcionando correctamente. Igual calificativo se mereció el programa </w:t>
      </w:r>
      <w:r>
        <w:rPr>
          <w:i/>
          <w:sz w:val="19"/>
        </w:rPr>
        <w:t>Adopte una    Comunidad</w:t>
      </w:r>
      <w:r>
        <w:rPr>
          <w:sz w:val="19"/>
        </w:rPr>
        <w:t>.</w:t>
      </w:r>
    </w:p>
    <w:p>
      <w:pPr>
        <w:spacing w:after="0" w:line="283"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ya estaban terminadas, cinco en capacitación (conjuntando 740 empleos) y una en compras (ver Cebada, 2000:354,360).</w:t>
      </w:r>
    </w:p>
    <w:p>
      <w:pPr>
        <w:pStyle w:val="BodyText"/>
        <w:spacing w:line="367" w:lineRule="auto" w:before="197"/>
        <w:ind w:left="116" w:right="103"/>
        <w:jc w:val="both"/>
      </w:pPr>
      <w:r>
        <w:rPr/>
        <w:t>El </w:t>
      </w:r>
      <w:r>
        <w:rPr>
          <w:spacing w:val="-3"/>
        </w:rPr>
        <w:t>caso </w:t>
      </w:r>
      <w:r>
        <w:rPr/>
        <w:t>del </w:t>
      </w:r>
      <w:r>
        <w:rPr>
          <w:spacing w:val="-3"/>
        </w:rPr>
        <w:t>programa </w:t>
      </w:r>
      <w:r>
        <w:rPr>
          <w:i/>
        </w:rPr>
        <w:t>Tres por Uno </w:t>
      </w:r>
      <w:r>
        <w:rPr/>
        <w:t>de </w:t>
      </w:r>
      <w:r>
        <w:rPr>
          <w:spacing w:val="-3"/>
        </w:rPr>
        <w:t>Zacatecas </w:t>
      </w:r>
      <w:r>
        <w:rPr/>
        <w:t>que fue una </w:t>
      </w:r>
      <w:r>
        <w:rPr>
          <w:spacing w:val="-3"/>
        </w:rPr>
        <w:t>reestructuración del programa </w:t>
      </w:r>
      <w:r>
        <w:rPr/>
        <w:t>Dos por Uno </w:t>
      </w:r>
      <w:r>
        <w:rPr>
          <w:spacing w:val="-3"/>
        </w:rPr>
        <w:t>de </w:t>
      </w:r>
      <w:r>
        <w:rPr/>
        <w:t>1992, en donde por cada </w:t>
      </w:r>
      <w:r>
        <w:rPr>
          <w:spacing w:val="-3"/>
        </w:rPr>
        <w:t>dólar </w:t>
      </w:r>
      <w:r>
        <w:rPr/>
        <w:t>de remesas </w:t>
      </w:r>
      <w:r>
        <w:rPr>
          <w:spacing w:val="-3"/>
        </w:rPr>
        <w:t>el </w:t>
      </w:r>
      <w:r>
        <w:rPr/>
        <w:t>gobierno </w:t>
      </w:r>
      <w:r>
        <w:rPr>
          <w:spacing w:val="-3"/>
        </w:rPr>
        <w:t>estatal </w:t>
      </w:r>
      <w:r>
        <w:rPr/>
        <w:t>aportaba otro </w:t>
      </w:r>
      <w:r>
        <w:rPr>
          <w:spacing w:val="-3"/>
        </w:rPr>
        <w:t>dólar </w:t>
      </w:r>
      <w:r>
        <w:rPr/>
        <w:t>y el </w:t>
      </w:r>
      <w:r>
        <w:rPr>
          <w:spacing w:val="-3"/>
        </w:rPr>
        <w:t>gobierno </w:t>
      </w:r>
      <w:r>
        <w:rPr/>
        <w:t>municipal uno más. A esto se agregó en 1998 la </w:t>
      </w:r>
      <w:r>
        <w:rPr>
          <w:spacing w:val="-2"/>
        </w:rPr>
        <w:t>aportación </w:t>
      </w:r>
      <w:r>
        <w:rPr/>
        <w:t>de un dólar </w:t>
      </w:r>
      <w:r>
        <w:rPr>
          <w:spacing w:val="-3"/>
        </w:rPr>
        <w:t>adicional </w:t>
      </w:r>
      <w:r>
        <w:rPr/>
        <w:t>por </w:t>
      </w:r>
      <w:r>
        <w:rPr>
          <w:spacing w:val="-3"/>
        </w:rPr>
        <w:t>parte </w:t>
      </w:r>
      <w:r>
        <w:rPr/>
        <w:t>del gobierno </w:t>
      </w:r>
      <w:r>
        <w:rPr>
          <w:spacing w:val="-3"/>
        </w:rPr>
        <w:t>federal </w:t>
      </w:r>
      <w:r>
        <w:rPr/>
        <w:t>a través de  la Secretaría de Desarrollo </w:t>
      </w:r>
      <w:r>
        <w:rPr>
          <w:spacing w:val="-3"/>
        </w:rPr>
        <w:t>Social </w:t>
      </w:r>
      <w:r>
        <w:rPr/>
        <w:t>con lo que en 1999 se </w:t>
      </w:r>
      <w:r>
        <w:rPr>
          <w:spacing w:val="-3"/>
        </w:rPr>
        <w:t>invirtieron </w:t>
      </w:r>
      <w:r>
        <w:rPr/>
        <w:t>48 </w:t>
      </w:r>
      <w:r>
        <w:rPr>
          <w:spacing w:val="-2"/>
        </w:rPr>
        <w:t>millones </w:t>
      </w:r>
      <w:r>
        <w:rPr/>
        <w:t>de </w:t>
      </w:r>
      <w:r>
        <w:rPr>
          <w:spacing w:val="-3"/>
        </w:rPr>
        <w:t>pesos </w:t>
      </w:r>
      <w:r>
        <w:rPr/>
        <w:t>y en 2000 se recibieron 104 </w:t>
      </w:r>
      <w:r>
        <w:rPr>
          <w:spacing w:val="-3"/>
        </w:rPr>
        <w:t>solicitudes </w:t>
      </w:r>
      <w:r>
        <w:rPr/>
        <w:t>para una inversión total de  60 </w:t>
      </w:r>
      <w:r>
        <w:rPr>
          <w:spacing w:val="-3"/>
        </w:rPr>
        <w:t>millones </w:t>
      </w:r>
      <w:r>
        <w:rPr/>
        <w:t>de pesos (Ver </w:t>
      </w:r>
      <w:r>
        <w:rPr>
          <w:spacing w:val="-3"/>
        </w:rPr>
        <w:t>Hamann,</w:t>
      </w:r>
      <w:r>
        <w:rPr>
          <w:spacing w:val="48"/>
        </w:rPr>
        <w:t> </w:t>
      </w:r>
      <w:r>
        <w:rPr>
          <w:spacing w:val="-3"/>
        </w:rPr>
        <w:t>2001:7).</w:t>
      </w:r>
    </w:p>
    <w:p>
      <w:pPr>
        <w:pStyle w:val="BodyText"/>
        <w:rPr>
          <w:sz w:val="22"/>
        </w:rPr>
      </w:pPr>
    </w:p>
    <w:p>
      <w:pPr>
        <w:pStyle w:val="BodyText"/>
        <w:spacing w:line="364" w:lineRule="auto" w:before="152"/>
        <w:ind w:left="116" w:right="104"/>
        <w:jc w:val="both"/>
      </w:pPr>
      <w:r>
        <w:rPr/>
        <w:t>Con la esperanza de reducir con ello los costos de transporte en el ejercicio de 1999, el 53.5% de los recursos se emplearon para pavimentar calles o carreteras   y el 12.8% para la construcción de presas y </w:t>
      </w:r>
      <w:r>
        <w:rPr>
          <w:spacing w:val="2"/>
        </w:rPr>
        <w:t>la </w:t>
      </w:r>
      <w:r>
        <w:rPr/>
        <w:t>perforación de pozos. Al incorporar al concepto de inversión en infraestructura productiva a la reconstrucción de escuelas, adquisición de equipo de cómputo, electrificación, canalización y construcción de vados, la proporción asciende al 75.7% del total de recursos (Hamann,</w:t>
      </w:r>
      <w:r>
        <w:rPr>
          <w:spacing w:val="21"/>
        </w:rPr>
        <w:t> </w:t>
      </w:r>
      <w:r>
        <w:rPr/>
        <w:t>2001:8).</w:t>
      </w:r>
    </w:p>
    <w:p>
      <w:pPr>
        <w:pStyle w:val="BodyText"/>
        <w:rPr>
          <w:sz w:val="22"/>
        </w:rPr>
      </w:pPr>
    </w:p>
    <w:p>
      <w:pPr>
        <w:pStyle w:val="BodyText"/>
        <w:spacing w:line="357" w:lineRule="auto" w:before="153"/>
        <w:ind w:left="116" w:right="102"/>
        <w:jc w:val="both"/>
      </w:pPr>
      <w:r>
        <w:rPr/>
        <w:t>De lo visto hasta </w:t>
      </w:r>
      <w:r>
        <w:rPr>
          <w:spacing w:val="-3"/>
        </w:rPr>
        <w:t>aquí </w:t>
      </w:r>
      <w:r>
        <w:rPr/>
        <w:t>se desprende que el </w:t>
      </w:r>
      <w:r>
        <w:rPr>
          <w:spacing w:val="-3"/>
        </w:rPr>
        <w:t>papel </w:t>
      </w:r>
      <w:r>
        <w:rPr/>
        <w:t>de las </w:t>
      </w:r>
      <w:r>
        <w:rPr>
          <w:spacing w:val="-3"/>
        </w:rPr>
        <w:t>remesas es </w:t>
      </w:r>
      <w:r>
        <w:rPr/>
        <w:t>muy </w:t>
      </w:r>
      <w:r>
        <w:rPr>
          <w:spacing w:val="-3"/>
        </w:rPr>
        <w:t>controversial. </w:t>
      </w:r>
      <w:r>
        <w:rPr/>
        <w:t>No se les puede </w:t>
      </w:r>
      <w:r>
        <w:rPr>
          <w:spacing w:val="-3"/>
        </w:rPr>
        <w:t>atribuir </w:t>
      </w:r>
      <w:r>
        <w:rPr/>
        <w:t>a </w:t>
      </w:r>
      <w:r>
        <w:rPr>
          <w:spacing w:val="-3"/>
        </w:rPr>
        <w:t>priori </w:t>
      </w:r>
      <w:r>
        <w:rPr/>
        <w:t>un </w:t>
      </w:r>
      <w:r>
        <w:rPr>
          <w:spacing w:val="-3"/>
        </w:rPr>
        <w:t>determinado  papel  </w:t>
      </w:r>
      <w:r>
        <w:rPr/>
        <w:t>como  </w:t>
      </w:r>
      <w:r>
        <w:rPr>
          <w:spacing w:val="-3"/>
        </w:rPr>
        <w:t>detonante </w:t>
      </w:r>
      <w:r>
        <w:rPr/>
        <w:t>del </w:t>
      </w:r>
      <w:r>
        <w:rPr>
          <w:spacing w:val="-3"/>
        </w:rPr>
        <w:t>desarrollo </w:t>
      </w:r>
      <w:r>
        <w:rPr/>
        <w:t>económico</w:t>
      </w:r>
      <w:r>
        <w:rPr>
          <w:position w:val="11"/>
          <w:sz w:val="15"/>
        </w:rPr>
        <w:t>87 </w:t>
      </w:r>
      <w:r>
        <w:rPr/>
        <w:t>y </w:t>
      </w:r>
      <w:r>
        <w:rPr>
          <w:spacing w:val="-3"/>
        </w:rPr>
        <w:t>probablemente, </w:t>
      </w:r>
      <w:r>
        <w:rPr>
          <w:spacing w:val="-2"/>
        </w:rPr>
        <w:t>habría </w:t>
      </w:r>
      <w:r>
        <w:rPr/>
        <w:t>que </w:t>
      </w:r>
      <w:r>
        <w:rPr>
          <w:spacing w:val="-3"/>
        </w:rPr>
        <w:t>convenir </w:t>
      </w:r>
      <w:r>
        <w:rPr/>
        <w:t>con </w:t>
      </w:r>
      <w:r>
        <w:rPr>
          <w:spacing w:val="-3"/>
        </w:rPr>
        <w:t>Arroyo </w:t>
      </w:r>
      <w:r>
        <w:rPr/>
        <w:t>y Berumen </w:t>
      </w:r>
      <w:r>
        <w:rPr>
          <w:spacing w:val="-3"/>
        </w:rPr>
        <w:t>(2000:346) </w:t>
      </w:r>
      <w:r>
        <w:rPr/>
        <w:t>en que los </w:t>
      </w:r>
      <w:r>
        <w:rPr>
          <w:spacing w:val="-3"/>
        </w:rPr>
        <w:t>efectos multiplicadores </w:t>
      </w:r>
      <w:r>
        <w:rPr/>
        <w:t>de las </w:t>
      </w:r>
      <w:r>
        <w:rPr>
          <w:spacing w:val="-3"/>
        </w:rPr>
        <w:t>remesas </w:t>
      </w:r>
      <w:r>
        <w:rPr/>
        <w:t>en México</w:t>
      </w:r>
      <w:r>
        <w:rPr>
          <w:spacing w:val="47"/>
        </w:rPr>
        <w:t> </w:t>
      </w:r>
      <w:r>
        <w:rPr/>
        <w:t>se</w:t>
      </w:r>
      <w:r>
        <w:rPr>
          <w:spacing w:val="47"/>
        </w:rPr>
        <w:t> </w:t>
      </w:r>
      <w:r>
        <w:rPr/>
        <w:t>han</w:t>
      </w:r>
      <w:r>
        <w:rPr>
          <w:spacing w:val="45"/>
        </w:rPr>
        <w:t> </w:t>
      </w:r>
      <w:r>
        <w:rPr>
          <w:spacing w:val="-3"/>
        </w:rPr>
        <w:t>sobrevalorado.</w:t>
      </w:r>
      <w:r>
        <w:rPr>
          <w:spacing w:val="48"/>
        </w:rPr>
        <w:t> </w:t>
      </w:r>
      <w:r>
        <w:rPr/>
        <w:t>Esos</w:t>
      </w:r>
      <w:r>
        <w:rPr>
          <w:spacing w:val="46"/>
        </w:rPr>
        <w:t> </w:t>
      </w:r>
      <w:r>
        <w:rPr/>
        <w:t>ingresos</w:t>
      </w:r>
      <w:r>
        <w:rPr>
          <w:spacing w:val="46"/>
        </w:rPr>
        <w:t> </w:t>
      </w:r>
      <w:r>
        <w:rPr/>
        <w:t>son</w:t>
      </w:r>
      <w:r>
        <w:rPr>
          <w:spacing w:val="50"/>
        </w:rPr>
        <w:t> </w:t>
      </w:r>
      <w:r>
        <w:rPr>
          <w:spacing w:val="-3"/>
        </w:rPr>
        <w:t>parte</w:t>
      </w:r>
      <w:r>
        <w:rPr>
          <w:spacing w:val="45"/>
        </w:rPr>
        <w:t> </w:t>
      </w:r>
      <w:r>
        <w:rPr/>
        <w:t>integral</w:t>
      </w:r>
      <w:r>
        <w:rPr>
          <w:spacing w:val="52"/>
        </w:rPr>
        <w:t> </w:t>
      </w:r>
      <w:r>
        <w:rPr/>
        <w:t>de</w:t>
      </w:r>
      <w:r>
        <w:rPr>
          <w:spacing w:val="45"/>
        </w:rPr>
        <w:t> </w:t>
      </w:r>
      <w:r>
        <w:rPr/>
        <w:t>la</w:t>
      </w:r>
      <w:r>
        <w:rPr>
          <w:spacing w:val="47"/>
        </w:rPr>
        <w:t> </w:t>
      </w:r>
      <w:r>
        <w:rPr/>
        <w:t>economía</w:t>
      </w:r>
    </w:p>
    <w:p>
      <w:pPr>
        <w:pStyle w:val="BodyText"/>
        <w:spacing w:line="364" w:lineRule="auto" w:before="15"/>
        <w:ind w:left="116" w:right="105"/>
        <w:jc w:val="both"/>
      </w:pPr>
      <w:r>
        <w:rPr>
          <w:spacing w:val="-3"/>
        </w:rPr>
        <w:t>mexicana, </w:t>
      </w:r>
      <w:r>
        <w:rPr/>
        <w:t>sirven para </w:t>
      </w:r>
      <w:r>
        <w:rPr>
          <w:spacing w:val="-3"/>
        </w:rPr>
        <w:t>el sostenimiento </w:t>
      </w:r>
      <w:r>
        <w:rPr/>
        <w:t>de </w:t>
      </w:r>
      <w:r>
        <w:rPr>
          <w:spacing w:val="-2"/>
        </w:rPr>
        <w:t>muchas </w:t>
      </w:r>
      <w:r>
        <w:rPr>
          <w:spacing w:val="-3"/>
        </w:rPr>
        <w:t>familias,  </w:t>
      </w:r>
      <w:r>
        <w:rPr/>
        <w:t>una  pequeña </w:t>
      </w:r>
      <w:r>
        <w:rPr>
          <w:spacing w:val="-3"/>
        </w:rPr>
        <w:t>proporción </w:t>
      </w:r>
      <w:r>
        <w:rPr/>
        <w:t>se invierte productivamente y </w:t>
      </w:r>
      <w:r>
        <w:rPr>
          <w:spacing w:val="-3"/>
        </w:rPr>
        <w:t>en mejoras </w:t>
      </w:r>
      <w:r>
        <w:rPr/>
        <w:t>de la vivienda, y </w:t>
      </w:r>
      <w:r>
        <w:rPr>
          <w:spacing w:val="-3"/>
        </w:rPr>
        <w:t>en </w:t>
      </w:r>
      <w:r>
        <w:rPr/>
        <w:t>muchos casos son </w:t>
      </w:r>
      <w:r>
        <w:rPr>
          <w:spacing w:val="-3"/>
        </w:rPr>
        <w:t>fundamentales </w:t>
      </w:r>
      <w:r>
        <w:rPr/>
        <w:t>para la </w:t>
      </w:r>
      <w:r>
        <w:rPr>
          <w:spacing w:val="-3"/>
        </w:rPr>
        <w:t>movilidad social </w:t>
      </w:r>
      <w:r>
        <w:rPr/>
        <w:t>de los </w:t>
      </w:r>
      <w:r>
        <w:rPr>
          <w:spacing w:val="-3"/>
        </w:rPr>
        <w:t>emigrantes </w:t>
      </w:r>
      <w:r>
        <w:rPr/>
        <w:t>y </w:t>
      </w:r>
      <w:r>
        <w:rPr>
          <w:spacing w:val="-3"/>
        </w:rPr>
        <w:t>algunos miembros </w:t>
      </w:r>
      <w:r>
        <w:rPr/>
        <w:t>de su</w:t>
      </w:r>
      <w:r>
        <w:rPr>
          <w:spacing w:val="11"/>
        </w:rPr>
        <w:t> </w:t>
      </w:r>
      <w:r>
        <w:rPr/>
        <w:t>familia.</w:t>
      </w:r>
    </w:p>
    <w:p>
      <w:pPr>
        <w:pStyle w:val="BodyText"/>
        <w:rPr>
          <w:sz w:val="20"/>
        </w:rPr>
      </w:pPr>
    </w:p>
    <w:p>
      <w:pPr>
        <w:pStyle w:val="BodyText"/>
        <w:spacing w:before="9"/>
        <w:rPr>
          <w:sz w:val="20"/>
        </w:rPr>
      </w:pPr>
      <w:r>
        <w:rPr/>
        <w:pict>
          <v:line style="position:absolute;mso-position-horizontal-relative:page;mso-position-vertical-relative:paragraph;z-index:2512;mso-wrap-distance-left:0;mso-wrap-distance-right:0" from="82.799995pt,14.302709pt" to="222.959992pt,14.302709pt" stroked="true" strokeweight=".72pt" strokecolor="#000000">
            <w10:wrap type="topAndBottom"/>
          </v:line>
        </w:pict>
      </w:r>
    </w:p>
    <w:p>
      <w:pPr>
        <w:spacing w:line="283" w:lineRule="auto" w:before="41"/>
        <w:ind w:left="116" w:right="105" w:firstLine="0"/>
        <w:jc w:val="both"/>
        <w:rPr>
          <w:sz w:val="19"/>
        </w:rPr>
      </w:pPr>
      <w:r>
        <w:rPr>
          <w:position w:val="10"/>
          <w:sz w:val="12"/>
        </w:rPr>
        <w:t>87 </w:t>
      </w:r>
      <w:r>
        <w:rPr>
          <w:sz w:val="19"/>
        </w:rPr>
        <w:t>A pesar de ello, y precisamente por lo reducido de algunos de esos efectos parciales  Martin advierte que, sin embargo, las remesas ‘rara vez son la chispa que crea suficiente actividad económica para hacer la migración innecesaria’ (Citado por Meyers,   2000:281).</w:t>
      </w:r>
    </w:p>
    <w:p>
      <w:pPr>
        <w:spacing w:after="0" w:line="283"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57" w:lineRule="auto" w:before="74"/>
        <w:ind w:left="115" w:right="103"/>
        <w:jc w:val="both"/>
      </w:pPr>
      <w:r>
        <w:rPr/>
        <w:t>Un problema </w:t>
      </w:r>
      <w:r>
        <w:rPr>
          <w:spacing w:val="-3"/>
        </w:rPr>
        <w:t>preocupante al </w:t>
      </w:r>
      <w:r>
        <w:rPr/>
        <w:t>que también hay que </w:t>
      </w:r>
      <w:r>
        <w:rPr>
          <w:spacing w:val="-3"/>
        </w:rPr>
        <w:t>dedicarle </w:t>
      </w:r>
      <w:r>
        <w:rPr/>
        <w:t>cierta atención </w:t>
      </w:r>
      <w:r>
        <w:rPr>
          <w:spacing w:val="-3"/>
        </w:rPr>
        <w:t>es </w:t>
      </w:r>
      <w:r>
        <w:rPr/>
        <w:t>que “... las </w:t>
      </w:r>
      <w:r>
        <w:rPr>
          <w:spacing w:val="-3"/>
        </w:rPr>
        <w:t>remesas </w:t>
      </w:r>
      <w:r>
        <w:rPr/>
        <w:t>tienden a disminuir </w:t>
      </w:r>
      <w:r>
        <w:rPr>
          <w:spacing w:val="-3"/>
        </w:rPr>
        <w:t>después </w:t>
      </w:r>
      <w:r>
        <w:rPr/>
        <w:t>de la </w:t>
      </w:r>
      <w:r>
        <w:rPr>
          <w:spacing w:val="-3"/>
        </w:rPr>
        <w:t>primera </w:t>
      </w:r>
      <w:r>
        <w:rPr/>
        <w:t>o segunda </w:t>
      </w:r>
      <w:r>
        <w:rPr>
          <w:spacing w:val="-3"/>
        </w:rPr>
        <w:t>generación </w:t>
      </w:r>
      <w:r>
        <w:rPr/>
        <w:t>y  el flujo </w:t>
      </w:r>
      <w:r>
        <w:rPr>
          <w:spacing w:val="-3"/>
        </w:rPr>
        <w:t>continuo </w:t>
      </w:r>
      <w:r>
        <w:rPr/>
        <w:t>de recursos depende de los </w:t>
      </w:r>
      <w:r>
        <w:rPr>
          <w:spacing w:val="-3"/>
        </w:rPr>
        <w:t>nuevos emigrantes </w:t>
      </w:r>
      <w:r>
        <w:rPr/>
        <w:t>(Lozano </w:t>
      </w:r>
      <w:r>
        <w:rPr>
          <w:spacing w:val="-3"/>
        </w:rPr>
        <w:t>citado </w:t>
      </w:r>
      <w:r>
        <w:rPr/>
        <w:t>por Meyers, </w:t>
      </w:r>
      <w:r>
        <w:rPr>
          <w:spacing w:val="-3"/>
        </w:rPr>
        <w:t>2000:275)</w:t>
      </w:r>
      <w:r>
        <w:rPr>
          <w:spacing w:val="-3"/>
          <w:position w:val="11"/>
          <w:sz w:val="15"/>
        </w:rPr>
        <w:t>88 </w:t>
      </w:r>
      <w:r>
        <w:rPr/>
        <w:t>y de los tiempos de estancia de los </w:t>
      </w:r>
      <w:r>
        <w:rPr>
          <w:spacing w:val="-3"/>
        </w:rPr>
        <w:t>emigrantes </w:t>
      </w:r>
      <w:r>
        <w:rPr/>
        <w:t>los </w:t>
      </w:r>
      <w:r>
        <w:rPr>
          <w:spacing w:val="-3"/>
        </w:rPr>
        <w:t>cuales </w:t>
      </w:r>
      <w:r>
        <w:rPr/>
        <w:t>se han </w:t>
      </w:r>
      <w:r>
        <w:rPr>
          <w:spacing w:val="-3"/>
        </w:rPr>
        <w:t>incrementado: de </w:t>
      </w:r>
      <w:r>
        <w:rPr/>
        <w:t>1.1 </w:t>
      </w:r>
      <w:r>
        <w:rPr>
          <w:spacing w:val="-3"/>
        </w:rPr>
        <w:t>años </w:t>
      </w:r>
      <w:r>
        <w:rPr/>
        <w:t>en la </w:t>
      </w:r>
      <w:r>
        <w:rPr>
          <w:spacing w:val="-3"/>
        </w:rPr>
        <w:t>década </w:t>
      </w:r>
      <w:r>
        <w:rPr/>
        <w:t>de los 1980’s a 2.1 años en los </w:t>
      </w:r>
      <w:r>
        <w:rPr>
          <w:spacing w:val="24"/>
        </w:rPr>
        <w:t> </w:t>
      </w:r>
      <w:r>
        <w:rPr/>
        <w:t>1990’s</w:t>
      </w:r>
    </w:p>
    <w:p>
      <w:pPr>
        <w:pStyle w:val="BodyText"/>
        <w:spacing w:before="15"/>
        <w:ind w:left="115"/>
        <w:jc w:val="both"/>
      </w:pPr>
      <w:r>
        <w:rPr/>
        <w:t>(Delgado y Rodríguez,  2000:76).</w:t>
      </w:r>
    </w:p>
    <w:p>
      <w:pPr>
        <w:pStyle w:val="BodyText"/>
        <w:rPr>
          <w:sz w:val="22"/>
        </w:rPr>
      </w:pPr>
    </w:p>
    <w:p>
      <w:pPr>
        <w:pStyle w:val="BodyText"/>
        <w:spacing w:before="1"/>
        <w:rPr>
          <w:sz w:val="25"/>
        </w:rPr>
      </w:pPr>
    </w:p>
    <w:p>
      <w:pPr>
        <w:pStyle w:val="BodyText"/>
        <w:spacing w:line="364" w:lineRule="auto"/>
        <w:ind w:left="115" w:right="103"/>
        <w:jc w:val="both"/>
      </w:pPr>
      <w:r>
        <w:rPr/>
        <w:t>“Las comunidades rurales con alta marginación social y reconocida tradición migratoria sufren la reducción del monto de las remesas enviadas por sus emigrantes, que en su mayoría se establecen en Estados Unidos y cuyos familiares en México cambian de residencia para vivir en los centros metropolitanos” (Yúnez, 2000:348).</w:t>
      </w:r>
    </w:p>
    <w:p>
      <w:pPr>
        <w:pStyle w:val="BodyText"/>
        <w:rPr>
          <w:sz w:val="22"/>
        </w:rPr>
      </w:pPr>
    </w:p>
    <w:p>
      <w:pPr>
        <w:pStyle w:val="BodyText"/>
        <w:spacing w:before="10"/>
        <w:rPr>
          <w:sz w:val="29"/>
        </w:rPr>
      </w:pPr>
    </w:p>
    <w:p>
      <w:pPr>
        <w:pStyle w:val="Heading2"/>
        <w:numPr>
          <w:ilvl w:val="0"/>
          <w:numId w:val="3"/>
        </w:numPr>
        <w:tabs>
          <w:tab w:pos="496" w:val="left" w:leader="none"/>
        </w:tabs>
        <w:spacing w:line="240" w:lineRule="auto" w:before="1" w:after="0"/>
        <w:ind w:left="495" w:right="0" w:hanging="379"/>
        <w:jc w:val="both"/>
      </w:pPr>
      <w:r>
        <w:rPr/>
        <w:t>ANÀLISIS DE RESULTADOS Y</w:t>
      </w:r>
      <w:r>
        <w:rPr>
          <w:spacing w:val="-52"/>
        </w:rPr>
        <w:t> </w:t>
      </w:r>
      <w:r>
        <w:rPr/>
        <w:t>CONCLUSIONES</w:t>
      </w:r>
    </w:p>
    <w:p>
      <w:pPr>
        <w:pStyle w:val="BodyText"/>
        <w:spacing w:before="10"/>
        <w:rPr>
          <w:b/>
          <w:sz w:val="32"/>
        </w:rPr>
      </w:pPr>
    </w:p>
    <w:p>
      <w:pPr>
        <w:pStyle w:val="BodyText"/>
        <w:spacing w:line="364" w:lineRule="auto"/>
        <w:ind w:left="115" w:right="103"/>
        <w:jc w:val="both"/>
      </w:pPr>
      <w:r>
        <w:rPr/>
        <w:t>La emigración de México a los Estados Unidos, el mayor movimiento demográfico laboral en el mundo, cuya consolidación provino de los requerimientos de mano    de obra que las guerras mundiales ejercieron sobre la economía estadounidense, continúa siendo un fenómeno muy trascendente para el campo mexicano, especialmente ante la apertura comercial y los subsidios contemplados en la Ley Agrícola 2005-2012 de los Estados Unidos, además de que los requerimientos de productividad y los cambios demográficos laborales de este país han intensificado la emigración mexicana de carácter</w:t>
      </w:r>
      <w:r>
        <w:rPr>
          <w:spacing w:val="57"/>
        </w:rPr>
        <w:t> </w:t>
      </w:r>
      <w:r>
        <w:rPr/>
        <w:t>indocumentado.</w:t>
      </w:r>
    </w:p>
    <w:p>
      <w:pPr>
        <w:pStyle w:val="BodyText"/>
        <w:rPr>
          <w:sz w:val="22"/>
        </w:rPr>
      </w:pPr>
    </w:p>
    <w:p>
      <w:pPr>
        <w:pStyle w:val="BodyText"/>
        <w:rPr>
          <w:sz w:val="22"/>
        </w:rPr>
      </w:pPr>
    </w:p>
    <w:p>
      <w:pPr>
        <w:pStyle w:val="BodyText"/>
        <w:spacing w:line="364" w:lineRule="auto" w:before="135"/>
        <w:ind w:left="115" w:right="106"/>
        <w:jc w:val="both"/>
      </w:pPr>
      <w:r>
        <w:rPr/>
        <w:t>En este contexto, es importante mencionar que bajo la visión tradicional de la sociedad mexicana, la emigración ha sido considerada, la mayoría de las veces como una fuga de recursos promovida casi exclusivamente por  el  desempleo.  Este</w:t>
      </w:r>
      <w:r>
        <w:rPr>
          <w:spacing w:val="25"/>
        </w:rPr>
        <w:t> </w:t>
      </w:r>
      <w:r>
        <w:rPr/>
        <w:t>punto</w:t>
      </w:r>
      <w:r>
        <w:rPr>
          <w:spacing w:val="23"/>
        </w:rPr>
        <w:t> </w:t>
      </w:r>
      <w:r>
        <w:rPr/>
        <w:t>de</w:t>
      </w:r>
      <w:r>
        <w:rPr>
          <w:spacing w:val="23"/>
        </w:rPr>
        <w:t> </w:t>
      </w:r>
      <w:r>
        <w:rPr/>
        <w:t>vista</w:t>
      </w:r>
      <w:r>
        <w:rPr>
          <w:spacing w:val="25"/>
        </w:rPr>
        <w:t> </w:t>
      </w:r>
      <w:r>
        <w:rPr/>
        <w:t>ha</w:t>
      </w:r>
      <w:r>
        <w:rPr>
          <w:spacing w:val="29"/>
        </w:rPr>
        <w:t> </w:t>
      </w:r>
      <w:r>
        <w:rPr/>
        <w:t>cambiado:</w:t>
      </w:r>
      <w:r>
        <w:rPr>
          <w:spacing w:val="29"/>
        </w:rPr>
        <w:t> </w:t>
      </w:r>
      <w:r>
        <w:rPr/>
        <w:t>en</w:t>
      </w:r>
      <w:r>
        <w:rPr>
          <w:spacing w:val="25"/>
        </w:rPr>
        <w:t> </w:t>
      </w:r>
      <w:r>
        <w:rPr/>
        <w:t>primer</w:t>
      </w:r>
      <w:r>
        <w:rPr>
          <w:spacing w:val="25"/>
        </w:rPr>
        <w:t> </w:t>
      </w:r>
      <w:r>
        <w:rPr/>
        <w:t>lugar,</w:t>
      </w:r>
      <w:r>
        <w:rPr>
          <w:spacing w:val="29"/>
        </w:rPr>
        <w:t> </w:t>
      </w:r>
      <w:r>
        <w:rPr/>
        <w:t>esa</w:t>
      </w:r>
      <w:r>
        <w:rPr>
          <w:spacing w:val="23"/>
        </w:rPr>
        <w:t> </w:t>
      </w:r>
      <w:r>
        <w:rPr/>
        <w:t>perspectiva</w:t>
      </w:r>
      <w:r>
        <w:rPr>
          <w:spacing w:val="25"/>
        </w:rPr>
        <w:t> </w:t>
      </w:r>
      <w:r>
        <w:rPr/>
        <w:t>no</w:t>
      </w:r>
      <w:r>
        <w:rPr>
          <w:spacing w:val="25"/>
        </w:rPr>
        <w:t> </w:t>
      </w:r>
      <w:r>
        <w:rPr/>
        <w:t>concuerda</w:t>
      </w:r>
    </w:p>
    <w:p>
      <w:pPr>
        <w:pStyle w:val="BodyText"/>
        <w:spacing w:before="5"/>
        <w:rPr>
          <w:sz w:val="17"/>
        </w:rPr>
      </w:pPr>
      <w:r>
        <w:rPr/>
        <w:pict>
          <v:line style="position:absolute;mso-position-horizontal-relative:page;mso-position-vertical-relative:paragraph;z-index:2536;mso-wrap-distance-left:0;mso-wrap-distance-right:0" from="82.799995pt,12.361751pt" to="222.959992pt,12.361751pt" stroked="true" strokeweight=".72pt" strokecolor="#000000">
            <w10:wrap type="topAndBottom"/>
          </v:line>
        </w:pict>
      </w:r>
    </w:p>
    <w:p>
      <w:pPr>
        <w:spacing w:line="247" w:lineRule="auto" w:before="36"/>
        <w:ind w:left="116" w:right="105" w:firstLine="0"/>
        <w:jc w:val="both"/>
        <w:rPr>
          <w:sz w:val="19"/>
        </w:rPr>
      </w:pPr>
      <w:r>
        <w:rPr>
          <w:position w:val="10"/>
          <w:sz w:val="12"/>
        </w:rPr>
        <w:t>88 </w:t>
      </w:r>
      <w:r>
        <w:rPr>
          <w:sz w:val="19"/>
        </w:rPr>
        <w:t>“Del análisis de estas encuestas (EMIF), más las realizadas por el gobierno de Estados Unidos, Lozano refiere que la proporción de emigrantes ocupados que envió dinero a México disminuyó de 0.80 a 0.70 entre 1987 y 1991 (Cebada,  2000:359).</w:t>
      </w:r>
    </w:p>
    <w:p>
      <w:pPr>
        <w:spacing w:after="0" w:line="247" w:lineRule="auto"/>
        <w:jc w:val="both"/>
        <w:rPr>
          <w:sz w:val="19"/>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3"/>
        <w:jc w:val="both"/>
      </w:pPr>
      <w:r>
        <w:rPr/>
        <w:t>con el hecho de que más del 80% de los emigrantes indocumentados estuvieron empleados antes de su partida, ni con la cuestión de que el porcentaje restante (aparentemente desocupado) al igual que el anterior, tuvo que disponer de entre</w:t>
      </w:r>
    </w:p>
    <w:p>
      <w:pPr>
        <w:pStyle w:val="BodyText"/>
        <w:spacing w:line="364" w:lineRule="auto" w:before="5"/>
        <w:ind w:left="115" w:right="104"/>
        <w:jc w:val="both"/>
      </w:pPr>
      <w:r>
        <w:rPr/>
        <w:t>$20,000 y $30,000 para financiar su viaje, cantidad que  no es fácil de conseguir  sin contar con un trabajo previo o sin el acceso de las redes sociales; en segundo lugar, históricamente, la emigración ha sido una solución efectiva para aliviar las presiones que ejercen los excedentes de mano de obra y ha demostrado ser un medio eficiente para resolver los problemas económicos tanto de las naciones emisoras como de los países receptores, y en tercer lugar, la emigración es una actitud legítima y compatible con las libertades de tránsito y elección a que todo  ser humano tiene</w:t>
      </w:r>
      <w:r>
        <w:rPr>
          <w:spacing w:val="28"/>
        </w:rPr>
        <w:t> </w:t>
      </w:r>
      <w:r>
        <w:rPr/>
        <w:t>derecho.</w:t>
      </w:r>
    </w:p>
    <w:p>
      <w:pPr>
        <w:pStyle w:val="BodyText"/>
        <w:rPr>
          <w:sz w:val="22"/>
        </w:rPr>
      </w:pPr>
    </w:p>
    <w:p>
      <w:pPr>
        <w:pStyle w:val="BodyText"/>
        <w:spacing w:line="364" w:lineRule="auto" w:before="155"/>
        <w:ind w:left="115" w:right="105"/>
        <w:jc w:val="both"/>
      </w:pPr>
      <w:r>
        <w:rPr/>
        <w:t>Para qué retener cautivos a los trabajadores emprendedores, viviendo en condiciones ínfimas o medianas de vida, si además cuando ellos han emigrado no sólo han podido mejorar la situación económica de sus familias sino que también  se han convertido en personajes protagónicos que contribuyen, en mayor o menor medida al mejoramiento de sus localidades de origen; siendo también personas que en un medio más propicio han podido desarrollar, sus capacidades a plenitud. Al respecto, resulta sintomático el caso de Amayuca, Morelos, donde de 1997 a 2002 el número de establecimientos comerciales en su mayoría, aumentó al 30% anual al mismo tiempo que la migración internacional procedente de ese lugar se incrementó en un 27% al año. No es aventurado atribuir tal índice de crecimiento   al envío de remesas desde el extranjero; así lo confirman las cifras de todo el municipio en donde la cantidad de negocios aumentó aproximadamente al 4.6%  por año durante el periodo 1990-2000, siguiendo de cerca a la evolución del Producto Interno Bruto de la</w:t>
      </w:r>
      <w:r>
        <w:rPr>
          <w:spacing w:val="39"/>
        </w:rPr>
        <w:t> </w:t>
      </w:r>
      <w:r>
        <w:rPr/>
        <w:t>entidad.</w:t>
      </w:r>
    </w:p>
    <w:p>
      <w:pPr>
        <w:pStyle w:val="BodyText"/>
        <w:rPr>
          <w:sz w:val="22"/>
        </w:rPr>
      </w:pPr>
    </w:p>
    <w:p>
      <w:pPr>
        <w:pStyle w:val="BodyText"/>
        <w:spacing w:line="364" w:lineRule="auto" w:before="155"/>
        <w:ind w:left="115" w:right="108"/>
        <w:jc w:val="both"/>
      </w:pPr>
      <w:r>
        <w:rPr/>
        <w:t>Más aún, para la economía mexicana las remesas provenientes de la emigración hacia los Estados Unidos han constituido un rubro indispensable (y de bajo costo) para  el  equilibrio  de  la  Balanza  de  Pagos  y  un  elemento  que  dinamiza     las</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6"/>
        <w:jc w:val="both"/>
      </w:pPr>
      <w:r>
        <w:rPr/>
        <w:t>economías locales y regionales de amplias zonas del país, incluyendo cada vez más a localidades menos rurales y de orígenes diferentes a los  tradicionales.</w:t>
      </w:r>
    </w:p>
    <w:p>
      <w:pPr>
        <w:pStyle w:val="BodyText"/>
        <w:spacing w:line="364" w:lineRule="auto" w:before="5"/>
        <w:ind w:left="115" w:right="104"/>
        <w:jc w:val="both"/>
      </w:pPr>
      <w:r>
        <w:rPr/>
        <w:t>Por ello el objetivo general de esta investigación fue medir los impactos de la migración mexicana hacia los Estados Unidos sobre las comunidades y regiones  de origen. En consecuencia, en primer lugar se estimaron, mediante análisis estadísticos, los efectos de las desigualdades en la distribución nacional del  ingreso sobre la emigración internacional. En seguida, por medio de un índice de desigualdad, se midió la influencia de la emigración, en la distribución del ingreso para Guanajuato y</w:t>
      </w:r>
      <w:r>
        <w:rPr>
          <w:spacing w:val="34"/>
        </w:rPr>
        <w:t> </w:t>
      </w:r>
      <w:r>
        <w:rPr/>
        <w:t>Michoacán.</w:t>
      </w:r>
    </w:p>
    <w:p>
      <w:pPr>
        <w:pStyle w:val="BodyText"/>
        <w:rPr>
          <w:sz w:val="22"/>
        </w:rPr>
      </w:pPr>
    </w:p>
    <w:p>
      <w:pPr>
        <w:pStyle w:val="BodyText"/>
        <w:spacing w:line="364" w:lineRule="auto" w:before="155"/>
        <w:ind w:left="115" w:right="105"/>
        <w:jc w:val="both"/>
      </w:pPr>
      <w:r>
        <w:rPr/>
        <w:t>Se levantaron sendas encuestas en Tangancícuaro, Michoacán (con más de un siglo de emigración) y en Amayuca, Morelos (con escasos 30 años de experiencia migratoria). Tales encuestas permitieron calcular los índices de concentración de   la tierra en ambas comunidades, además de hacer un análisis del proceso migratorio, la trayectoria laboral de los migrantes y sus familiares. Posteriormente se analizó estadísticamente la casualidad de la emigración y los impactos en la producción y el consumo de ambas</w:t>
      </w:r>
      <w:r>
        <w:rPr>
          <w:spacing w:val="56"/>
        </w:rPr>
        <w:t> </w:t>
      </w:r>
      <w:r>
        <w:rPr/>
        <w:t>comunidades.</w:t>
      </w:r>
    </w:p>
    <w:p>
      <w:pPr>
        <w:pStyle w:val="BodyText"/>
        <w:rPr>
          <w:sz w:val="22"/>
        </w:rPr>
      </w:pPr>
    </w:p>
    <w:p>
      <w:pPr>
        <w:pStyle w:val="BodyText"/>
        <w:spacing w:line="364" w:lineRule="auto" w:before="155"/>
        <w:ind w:left="115" w:right="107"/>
        <w:jc w:val="both"/>
      </w:pPr>
      <w:r>
        <w:rPr/>
        <w:t>La revisión de literatura permitió apreciar varios puntos de vista diferentes que permiten proponer algunos elementos explicativos a los que se han presentado  con anterioridad o que habían sido tratados bajo otras </w:t>
      </w:r>
      <w:r>
        <w:rPr>
          <w:spacing w:val="14"/>
        </w:rPr>
        <w:t> </w:t>
      </w:r>
      <w:r>
        <w:rPr/>
        <w:t>perspectivas.</w:t>
      </w:r>
    </w:p>
    <w:p>
      <w:pPr>
        <w:pStyle w:val="BodyText"/>
        <w:rPr>
          <w:sz w:val="22"/>
        </w:rPr>
      </w:pPr>
    </w:p>
    <w:p>
      <w:pPr>
        <w:pStyle w:val="BodyText"/>
        <w:spacing w:line="364" w:lineRule="auto" w:before="155"/>
        <w:ind w:left="115" w:right="105"/>
        <w:jc w:val="both"/>
      </w:pPr>
      <w:r>
        <w:rPr/>
        <w:t>Precisamente, en este sentido, a partir de la reconsideración de las necesidades según la Pirámide de Máslow, resulta que las necesidades de reconocimiento  social aparecen como un factor de suma importancia en la explicación de la migración. De igual manera, la distribución del ingreso es otro escenario más explorado aunque bajo perspectivas que no cuantifican plenamente la existencia  de alguna influencia de la</w:t>
      </w:r>
      <w:r>
        <w:rPr>
          <w:spacing w:val="36"/>
        </w:rPr>
        <w:t> </w:t>
      </w:r>
      <w:r>
        <w:rPr/>
        <w:t>emigración.</w:t>
      </w:r>
    </w:p>
    <w:p>
      <w:pPr>
        <w:pStyle w:val="BodyText"/>
        <w:rPr>
          <w:sz w:val="22"/>
        </w:rPr>
      </w:pPr>
    </w:p>
    <w:p>
      <w:pPr>
        <w:pStyle w:val="BodyText"/>
        <w:spacing w:line="367" w:lineRule="auto" w:before="150"/>
        <w:ind w:left="115" w:right="105"/>
        <w:jc w:val="both"/>
      </w:pPr>
      <w:r>
        <w:rPr/>
        <w:t>Lo anterior es importante porque a pesar de que México sobresale como un país emergente,</w:t>
      </w:r>
      <w:r>
        <w:rPr>
          <w:spacing w:val="55"/>
        </w:rPr>
        <w:t> </w:t>
      </w:r>
      <w:r>
        <w:rPr/>
        <w:t>el</w:t>
      </w:r>
      <w:r>
        <w:rPr>
          <w:spacing w:val="56"/>
        </w:rPr>
        <w:t> </w:t>
      </w:r>
      <w:r>
        <w:rPr/>
        <w:t>desempeño</w:t>
      </w:r>
      <w:r>
        <w:rPr>
          <w:spacing w:val="55"/>
        </w:rPr>
        <w:t> </w:t>
      </w:r>
      <w:r>
        <w:rPr/>
        <w:t>de</w:t>
      </w:r>
      <w:r>
        <w:rPr>
          <w:spacing w:val="55"/>
        </w:rPr>
        <w:t> </w:t>
      </w:r>
      <w:r>
        <w:rPr/>
        <w:t>su</w:t>
      </w:r>
      <w:r>
        <w:rPr>
          <w:spacing w:val="55"/>
        </w:rPr>
        <w:t> </w:t>
      </w:r>
      <w:r>
        <w:rPr/>
        <w:t>economía</w:t>
      </w:r>
      <w:r>
        <w:rPr>
          <w:spacing w:val="55"/>
        </w:rPr>
        <w:t> </w:t>
      </w:r>
      <w:r>
        <w:rPr/>
        <w:t>se</w:t>
      </w:r>
      <w:r>
        <w:rPr>
          <w:spacing w:val="53"/>
        </w:rPr>
        <w:t> </w:t>
      </w:r>
      <w:r>
        <w:rPr/>
        <w:t>ha</w:t>
      </w:r>
      <w:r>
        <w:rPr>
          <w:spacing w:val="53"/>
        </w:rPr>
        <w:t> </w:t>
      </w:r>
      <w:r>
        <w:rPr/>
        <w:t>caracterizado</w:t>
      </w:r>
      <w:r>
        <w:rPr>
          <w:spacing w:val="55"/>
        </w:rPr>
        <w:t> </w:t>
      </w:r>
      <w:r>
        <w:rPr/>
        <w:t>ya</w:t>
      </w:r>
      <w:r>
        <w:rPr>
          <w:spacing w:val="58"/>
        </w:rPr>
        <w:t> </w:t>
      </w:r>
      <w:r>
        <w:rPr/>
        <w:t>durante</w:t>
      </w:r>
      <w:r>
        <w:rPr>
          <w:spacing w:val="53"/>
        </w:rPr>
        <w:t> </w:t>
      </w:r>
      <w:r>
        <w:rPr/>
        <w:t>un</w:t>
      </w:r>
    </w:p>
    <w:p>
      <w:pPr>
        <w:spacing w:after="0" w:line="367"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largo tiempo por presentar altos niveles de desigualdad, producto de la disfunción estructural y del errático desempeño</w:t>
      </w:r>
      <w:r>
        <w:rPr>
          <w:spacing w:val="54"/>
        </w:rPr>
        <w:t> </w:t>
      </w:r>
      <w:r>
        <w:rPr/>
        <w:t>económicos.</w:t>
      </w:r>
    </w:p>
    <w:p>
      <w:pPr>
        <w:pStyle w:val="BodyText"/>
        <w:rPr>
          <w:sz w:val="22"/>
        </w:rPr>
      </w:pPr>
    </w:p>
    <w:p>
      <w:pPr>
        <w:pStyle w:val="BodyText"/>
        <w:spacing w:line="364" w:lineRule="auto" w:before="155"/>
        <w:ind w:left="115" w:right="105"/>
        <w:jc w:val="both"/>
      </w:pPr>
      <w:r>
        <w:rPr/>
        <w:t>Entre los resultados obtenidos se tiene que más del 84% del flujo migratorio nacional es explicado por la desigualdad en la distribución del ingreso y el grado   en que la población de las entidades involucradas en la emigración ha alcanzado  el nivel de la educación mayor a tres años de escolaridad y menor a preparatoria completa. Así, en virtud de que los diferentes estados de la República Mexicana   se han ido incorporando paulatinamente a la emigración, esta relación es útil para mostrar la influencia de la desigualdad en la distribución del ingreso sobre la emigración internacional en el corto</w:t>
      </w:r>
      <w:r>
        <w:rPr>
          <w:spacing w:val="44"/>
        </w:rPr>
        <w:t> </w:t>
      </w:r>
      <w:r>
        <w:rPr/>
        <w:t>plazo.</w:t>
      </w:r>
    </w:p>
    <w:p>
      <w:pPr>
        <w:pStyle w:val="BodyText"/>
        <w:rPr>
          <w:sz w:val="22"/>
        </w:rPr>
      </w:pPr>
    </w:p>
    <w:p>
      <w:pPr>
        <w:pStyle w:val="BodyText"/>
        <w:spacing w:line="364" w:lineRule="auto" w:before="155"/>
        <w:ind w:left="115" w:right="105"/>
        <w:jc w:val="both"/>
      </w:pPr>
      <w:r>
        <w:rPr/>
        <w:t>Además, los índices de concentración y los coeficientes de variación calculados para Michoacán y Guanajuato muestran una mejoría en la  distribución  de  tractores agrícolas (los cuales son una fuente de ingresos) de donde se puede afirmar que en el largo plazo, la emigración internacional funciona como un elemento que disminuye las disparidades en los ingresos agrícolas de los municipios pertenecientes a entidades de arraigada tradición migratoria. De la comparación de los índices de concentración y los coeficientes de variación de la tierra en posesión de los migrantes resulta algo semejante: los indicadores muestran un aumento en la desigualdad en Amayuca al contrario de Tangancícuaro.</w:t>
      </w:r>
    </w:p>
    <w:p>
      <w:pPr>
        <w:pStyle w:val="BodyText"/>
        <w:rPr>
          <w:sz w:val="22"/>
        </w:rPr>
      </w:pPr>
    </w:p>
    <w:p>
      <w:pPr>
        <w:pStyle w:val="BodyText"/>
        <w:spacing w:line="364" w:lineRule="auto" w:before="155"/>
        <w:ind w:left="115" w:right="105"/>
        <w:jc w:val="both"/>
      </w:pPr>
      <w:r>
        <w:rPr/>
        <w:t>Del análisis de otras características de ambas comunidades resulta que en Amayuca el tamaño de la familia, la edad promedio de los migrantes, la edad a la primera migración y el nivel educativo son mayores, aunque  los  tangancicuarenses están dedicando una mayor proporción de las remesas a la educación de sus hijos, pero los montos de las remesas si bien son más frecuentes, en cantidad total son mucho menores que los correspondientes a Amayuca. Esto en una evidencia más de que la emigración tiene diversos efectos, de corto y largo plazos, en la redistribución del</w:t>
      </w:r>
      <w:r>
        <w:rPr>
          <w:spacing w:val="60"/>
        </w:rPr>
        <w:t> </w:t>
      </w:r>
      <w:r>
        <w:rPr/>
        <w:t>ingreso.</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4"/>
        <w:jc w:val="both"/>
      </w:pPr>
      <w:r>
        <w:rPr/>
        <w:t>El destino preferido de los tangancicuarenses es California y su  ocupación  principal es la agricultura en tanto que los amayuquenses tienen como primer destino a Texas, Georgia, Nueva York y Florida y su ocupación principales son la remodelación, pintura y limpieza de edificios y otros servicios. Los amayuquenses tienen que dedicar más tiempo al aprendizaje de oficios, tienen una mayor heterogeneidad laboral y movilidad geográfica, en tanto que con los tangancicuarenses no pasa lo mismo, pues la mayoría de ellos va a ocuparse en labores en las cuales ya han adquirido alguna experiencia en </w:t>
      </w:r>
      <w:r>
        <w:rPr>
          <w:spacing w:val="19"/>
        </w:rPr>
        <w:t> </w:t>
      </w:r>
      <w:r>
        <w:rPr/>
        <w:t>México.</w:t>
      </w:r>
    </w:p>
    <w:p>
      <w:pPr>
        <w:pStyle w:val="BodyText"/>
        <w:rPr>
          <w:sz w:val="22"/>
        </w:rPr>
      </w:pPr>
    </w:p>
    <w:p>
      <w:pPr>
        <w:pStyle w:val="BodyText"/>
        <w:spacing w:line="364" w:lineRule="auto" w:before="153"/>
        <w:ind w:left="115" w:right="105"/>
        <w:jc w:val="both"/>
      </w:pPr>
      <w:r>
        <w:rPr/>
        <w:t>En general alrededor del 80% de los migrantes de ambas comunidades salen de   la agricultura pero en la primera comunidad regresan a esa misma actividad más del 60% de ellos en tanto que en la otra acurre en menos del 40% de los casos. Por ello las mejoras en la agricultura son más frecuentes en Tangancícuaro mientras que los principales usos de las remesas en Amayuca  son  la  manutención de la familia (también en Tangancícuaro) y el mejoramiento o la construcción de la casa habitación y la adquisición de  muebles.</w:t>
      </w:r>
    </w:p>
    <w:p>
      <w:pPr>
        <w:pStyle w:val="BodyText"/>
        <w:rPr>
          <w:sz w:val="22"/>
        </w:rPr>
      </w:pPr>
    </w:p>
    <w:p>
      <w:pPr>
        <w:pStyle w:val="BodyText"/>
        <w:spacing w:line="364" w:lineRule="auto" w:before="155"/>
        <w:ind w:left="115" w:right="105"/>
        <w:jc w:val="both"/>
      </w:pPr>
      <w:r>
        <w:rPr/>
        <w:t>Las principales variables que explican el flujo migratorio en Amayuca son: el nivel deseado de consumo, el número de miembros de la familia, la edad del migrante,  la cantidad de parientes en los Estados Unidos, la posesión o carencia familiar de tierra de riego y la proporción de la producción que la familia destina a la comercialización, así como la desocupación o la subocupación. </w:t>
      </w:r>
      <w:r>
        <w:rPr>
          <w:spacing w:val="2"/>
        </w:rPr>
        <w:t>En </w:t>
      </w:r>
      <w:r>
        <w:rPr/>
        <w:t>contraste, en Tangancícuaro las variables explicativas son: el número de hijas por familia, el    cual redunda en un menor número de varones disponibles para emigrar; el tiempo de estancia previsto en Estados Unidos, reflejo de la presión del  consumo  deseado sobre las posibilidades de satisfacerlo; la edad del migrante, la baja escolaridad del migrante y las actividades agrícolas desarrolladas </w:t>
      </w:r>
      <w:r>
        <w:rPr>
          <w:spacing w:val="19"/>
        </w:rPr>
        <w:t> </w:t>
      </w:r>
      <w:r>
        <w:rPr/>
        <w:t>previamente.</w:t>
      </w:r>
    </w:p>
    <w:p>
      <w:pPr>
        <w:pStyle w:val="BodyText"/>
        <w:rPr>
          <w:sz w:val="22"/>
        </w:rPr>
      </w:pPr>
    </w:p>
    <w:p>
      <w:pPr>
        <w:pStyle w:val="BodyText"/>
        <w:spacing w:line="364" w:lineRule="auto" w:before="155"/>
        <w:ind w:left="115" w:right="106"/>
        <w:jc w:val="both"/>
      </w:pPr>
      <w:r>
        <w:rPr/>
        <w:t>En ambos casos son notables las necesidades de carácter socio-afectivo tales como el deseo de superar el estatus social actual y conseguir el  reconocimiento  de la sociedad, las que relacionan las presiones del consumo sobre el   </w:t>
      </w:r>
      <w:r>
        <w:rPr>
          <w:spacing w:val="15"/>
        </w:rPr>
        <w:t> </w:t>
      </w:r>
      <w:r>
        <w:rPr/>
        <w:t>número de</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4"/>
        <w:jc w:val="both"/>
      </w:pPr>
      <w:r>
        <w:rPr/>
        <w:t>trabajadores disponibles y las desigualdades en la distribución del ingreso. Al respecto, la alta proporción de hijos que ayudan a trabajar en la parcela familiar podría ser una evidencia de que la distribución del ingreso es una variable de primera importancia en la emigración internacional, por que la posición que  enfrenta el individuo con respecto al capital agrícola se percibe como una posibilidad muy remota en ambas comunidades y entonces la emigración se ve como una alternativa para adquirirlo y superar la tutela </w:t>
      </w:r>
      <w:r>
        <w:rPr>
          <w:spacing w:val="1"/>
        </w:rPr>
        <w:t> </w:t>
      </w:r>
      <w:r>
        <w:rPr/>
        <w:t>paternal.</w:t>
      </w:r>
    </w:p>
    <w:p>
      <w:pPr>
        <w:pStyle w:val="BodyText"/>
        <w:rPr>
          <w:sz w:val="22"/>
        </w:rPr>
      </w:pPr>
    </w:p>
    <w:p>
      <w:pPr>
        <w:pStyle w:val="BodyText"/>
        <w:spacing w:line="364" w:lineRule="auto" w:before="155"/>
        <w:ind w:left="115" w:right="106"/>
        <w:jc w:val="both"/>
      </w:pPr>
      <w:r>
        <w:rPr/>
        <w:t>Así, no obstante que la comparación de la concentración de la tierra entre los migrantes muestra que en el corto plazo la distribución de la tierra se torna mas desigual, en el largo plazo esta desigualdad disminuye, especialmente cuando el objetivo de la emigración es financiar la adquisición de bienes destinados a la producción agrícola y mejorar su proceso productivo. Si las principales diferencias encontradas entre ambas comunidades las asociamos a la manera en que evoluciona una comunidad migratoria, entonces podemos tener una visión de los cambios que se suceden en el patrón migratorio en el corto y largo  plazos.</w:t>
      </w:r>
    </w:p>
    <w:p>
      <w:pPr>
        <w:pStyle w:val="BodyText"/>
        <w:rPr>
          <w:sz w:val="22"/>
        </w:rPr>
      </w:pPr>
    </w:p>
    <w:p>
      <w:pPr>
        <w:pStyle w:val="BodyText"/>
        <w:spacing w:line="364" w:lineRule="auto" w:before="155"/>
        <w:ind w:left="115" w:right="105"/>
        <w:jc w:val="both"/>
      </w:pPr>
      <w:r>
        <w:rPr/>
        <w:t>Al respecto se espera que en las primeras décadas del siglo XXI, en Amayuca, la apertura de cuentas bancarias y la incipiente compra de bienes destinados a la producción se incrementen aunque no muy notablemente, tomando en cuenta que la tierra de cultivo es un recurso más escaso en esta comunidad y que el comportamiento del flujo migratorio se mantenga más o menos estable en Tangancícuaro, dependiendo más bien del crecimiento demográfico mientras que en Amayuca la tendencia de la migración es a intensificarse dada la creciente consolidación de las redes sociales.</w:t>
      </w:r>
    </w:p>
    <w:p>
      <w:pPr>
        <w:pStyle w:val="BodyText"/>
        <w:rPr>
          <w:sz w:val="22"/>
        </w:rPr>
      </w:pPr>
    </w:p>
    <w:p>
      <w:pPr>
        <w:pStyle w:val="BodyText"/>
        <w:spacing w:line="364" w:lineRule="auto" w:before="155"/>
        <w:ind w:left="115" w:right="104"/>
        <w:jc w:val="both"/>
      </w:pPr>
      <w:r>
        <w:rPr/>
        <w:t>Por otra parte, ya que los factores de emigración se caracterizan por poseer un  alto grado de autonomía, las medidas usadas en el pasado, tendentes a disminuir la emigración rural resultan ineficaces y las que ahora pueden ser aplicadas son escasas y sólo es posible ponerlas en práctica en aquellas regiones en donde las redes</w:t>
      </w:r>
      <w:r>
        <w:rPr>
          <w:spacing w:val="26"/>
        </w:rPr>
        <w:t> </w:t>
      </w:r>
      <w:r>
        <w:rPr/>
        <w:t>sociales</w:t>
      </w:r>
      <w:r>
        <w:rPr>
          <w:spacing w:val="28"/>
        </w:rPr>
        <w:t> </w:t>
      </w:r>
      <w:r>
        <w:rPr/>
        <w:t>o</w:t>
      </w:r>
      <w:r>
        <w:rPr>
          <w:spacing w:val="25"/>
        </w:rPr>
        <w:t> </w:t>
      </w:r>
      <w:r>
        <w:rPr/>
        <w:t>la</w:t>
      </w:r>
      <w:r>
        <w:rPr>
          <w:spacing w:val="27"/>
        </w:rPr>
        <w:t> </w:t>
      </w:r>
      <w:r>
        <w:rPr/>
        <w:t>emigración</w:t>
      </w:r>
      <w:r>
        <w:rPr>
          <w:spacing w:val="25"/>
        </w:rPr>
        <w:t> </w:t>
      </w:r>
      <w:r>
        <w:rPr/>
        <w:t>no</w:t>
      </w:r>
      <w:r>
        <w:rPr>
          <w:spacing w:val="25"/>
        </w:rPr>
        <w:t> </w:t>
      </w:r>
      <w:r>
        <w:rPr/>
        <w:t>han</w:t>
      </w:r>
      <w:r>
        <w:rPr>
          <w:spacing w:val="27"/>
        </w:rPr>
        <w:t> </w:t>
      </w:r>
      <w:r>
        <w:rPr/>
        <w:t>iniciado.</w:t>
      </w:r>
      <w:r>
        <w:rPr>
          <w:spacing w:val="27"/>
        </w:rPr>
        <w:t> </w:t>
      </w:r>
      <w:r>
        <w:rPr/>
        <w:t>En</w:t>
      </w:r>
      <w:r>
        <w:rPr>
          <w:spacing w:val="27"/>
        </w:rPr>
        <w:t> </w:t>
      </w:r>
      <w:r>
        <w:rPr/>
        <w:t>ese</w:t>
      </w:r>
      <w:r>
        <w:rPr>
          <w:spacing w:val="27"/>
        </w:rPr>
        <w:t> </w:t>
      </w:r>
      <w:r>
        <w:rPr/>
        <w:t>sentido,</w:t>
      </w:r>
      <w:r>
        <w:rPr>
          <w:spacing w:val="30"/>
        </w:rPr>
        <w:t> </w:t>
      </w:r>
      <w:r>
        <w:rPr/>
        <w:t>Amayuca</w:t>
      </w:r>
      <w:r>
        <w:rPr>
          <w:spacing w:val="25"/>
        </w:rPr>
        <w:t> </w:t>
      </w:r>
      <w:r>
        <w:rPr/>
        <w:t>resulta</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ser un caso intermedio. En esta comunidad se puede proponer el reforzamiento   del control demográfico y el desarrollo</w:t>
      </w:r>
      <w:r>
        <w:rPr>
          <w:spacing w:val="50"/>
        </w:rPr>
        <w:t> </w:t>
      </w:r>
      <w:r>
        <w:rPr/>
        <w:t>rural.</w:t>
      </w:r>
    </w:p>
    <w:p>
      <w:pPr>
        <w:pStyle w:val="BodyText"/>
        <w:rPr>
          <w:sz w:val="22"/>
        </w:rPr>
      </w:pPr>
    </w:p>
    <w:p>
      <w:pPr>
        <w:pStyle w:val="BodyText"/>
        <w:spacing w:line="364" w:lineRule="auto" w:before="155"/>
        <w:ind w:left="115" w:right="105"/>
        <w:jc w:val="both"/>
      </w:pPr>
      <w:r>
        <w:rPr/>
        <w:t>Esto último no debe entenderse solamente como programas de aumento a la producción agropecuaria sino que también, y quizá  fundamentalmente,  en  otro tipo de actividades más igualadoras de la distribución del ingreso como podría  serlo la industria (incluyendo la agropecuaria) y los servicios, pero bajo una forma organizativa acorde a las posibilidades y espiraciones de los  habitantes  de  la zonas</w:t>
      </w:r>
      <w:r>
        <w:rPr>
          <w:spacing w:val="12"/>
        </w:rPr>
        <w:t> </w:t>
      </w:r>
      <w:r>
        <w:rPr/>
        <w:t>rurales.</w:t>
      </w:r>
    </w:p>
    <w:p>
      <w:pPr>
        <w:pStyle w:val="BodyText"/>
        <w:rPr>
          <w:sz w:val="22"/>
        </w:rPr>
      </w:pPr>
    </w:p>
    <w:p>
      <w:pPr>
        <w:pStyle w:val="BodyText"/>
        <w:spacing w:line="364" w:lineRule="auto" w:before="153"/>
        <w:ind w:left="115" w:right="103"/>
        <w:jc w:val="both"/>
      </w:pPr>
      <w:r>
        <w:rPr/>
        <w:t>En cambio, en un escenario bajo el cual la emigración es ya un </w:t>
      </w:r>
      <w:r>
        <w:rPr>
          <w:i/>
        </w:rPr>
        <w:t>modus vivendi </w:t>
      </w:r>
      <w:r>
        <w:rPr/>
        <w:t>(como lo es en Tangancícuaro) debería pensarse en otras cosas: facilitar el  tránsito a los inmigrantes especialmente a los indocumentados; advertirles ampliamente de los obstáculos que pueden encontrar en su camino; promover a través de los clubes de inmigrantes, u otras organizaciones, la capacitación de los emigrados para que puedan ascender en la escala laboral. Además, ante el creciente número de defunciones registradas en las franjas fronterizas podría sugerirse solicitar el destacamento de personal de alguna Organización No Gubernamental para que puedan auxiliar a los inmigrantes indocumentados  cuando sus vidas se vean en peligro. También resulta importante considerar los posibles mecanismos para capitalizar los ahorros que los emigrantes tienen en los Estados Unidos los cuales ascienden a casi siete mil millones de dólares por </w:t>
      </w:r>
      <w:r>
        <w:rPr>
          <w:spacing w:val="22"/>
        </w:rPr>
        <w:t> </w:t>
      </w:r>
      <w:r>
        <w:rPr/>
        <w:t>año.</w:t>
      </w:r>
    </w:p>
    <w:p>
      <w:pPr>
        <w:pStyle w:val="BodyText"/>
        <w:rPr>
          <w:sz w:val="22"/>
        </w:rPr>
      </w:pPr>
    </w:p>
    <w:p>
      <w:pPr>
        <w:pStyle w:val="BodyText"/>
        <w:spacing w:line="364" w:lineRule="auto" w:before="155"/>
        <w:ind w:left="115" w:right="104"/>
        <w:jc w:val="both"/>
      </w:pPr>
      <w:r>
        <w:rPr/>
        <w:t>En consecuencia, la manera de visualizar la  emigración  internacional  ha cambiado. Ahora puede entenderse que los migrantes son gente que enfrenta el dilema de permanecer en niveles ínfimos o medios de subsistencia, o  bien  emigrar; ya que así como esperan obtener beneficios al trasladarse a los Estados Unidos en la búsqueda de mejores horizontes, también están dispuestos  a sufrir  los costos de ese accionar y a enfrentar los riesgos que ello implica y aún más, puesto que su costo de oportunidad de permanecer en México  es sumamente  alto.</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La aplicación de un enfoque, de carácter integral, es importante puesto que proporciona una visión distinta de la emigración internacional y, por  lo  tanto, puede servir de fundamento para una nueva política migratoria en  la  que  se tomen en cuenta las expectativas  de los mexicanos, los obstáculos que enfrentan  y su potencialidad para contribuir al desarrollo local, regional y </w:t>
      </w:r>
      <w:r>
        <w:rPr>
          <w:spacing w:val="18"/>
        </w:rPr>
        <w:t> </w:t>
      </w:r>
      <w:r>
        <w:rPr/>
        <w:t>nacional.</w:t>
      </w:r>
    </w:p>
    <w:p>
      <w:pPr>
        <w:pStyle w:val="BodyText"/>
        <w:rPr>
          <w:sz w:val="22"/>
        </w:rPr>
      </w:pPr>
    </w:p>
    <w:p>
      <w:pPr>
        <w:pStyle w:val="BodyText"/>
        <w:spacing w:line="364" w:lineRule="auto" w:before="155"/>
        <w:ind w:left="115" w:right="103"/>
        <w:jc w:val="both"/>
      </w:pPr>
      <w:r>
        <w:rPr/>
        <w:t>Procurando no restarle importancia a ninguno de los enfoques explicativos de la emigración internacional mexicana, es importante reconocer que dicho proceso es el resultado de la interacción de múltiples factores que se encuentran ubicados, básicamente, en uno u otro o ambos lados de la  frontera.</w:t>
      </w:r>
    </w:p>
    <w:p>
      <w:pPr>
        <w:pStyle w:val="BodyText"/>
        <w:rPr>
          <w:sz w:val="22"/>
        </w:rPr>
      </w:pPr>
    </w:p>
    <w:p>
      <w:pPr>
        <w:pStyle w:val="BodyText"/>
        <w:spacing w:line="364" w:lineRule="auto" w:before="155"/>
        <w:ind w:left="115" w:right="105"/>
        <w:jc w:val="both"/>
      </w:pPr>
      <w:r>
        <w:rPr/>
        <w:t>En el entramado intermedio, pero haciendo llegar sus nexos desde las  comunidades más apartadas hasta los lugares específicos de empleo, se encuentran las redes sociales y otras instituciones que facilitan el acceso de los migrantes a los Estados Unidos, proveen de información y en algunos casos de financiamiento e incluso de trabajo en un mercado laboral diversificado, contribuyendo también a conformar la trayectoria histórico-laboral del migrante y constituyendo en suma una forma de capital social y la posibilidad de reproducir parcialmente el ambiente local de origen. Esto Además, facilita el proceso de adaptación al nuevo entorno y las decisiones de carácter individual o familiar al abaratar por esos medios los costos de la emigración y al aumentar los posibles beneficios.</w:t>
      </w:r>
    </w:p>
    <w:p>
      <w:pPr>
        <w:pStyle w:val="BodyText"/>
        <w:rPr>
          <w:sz w:val="22"/>
        </w:rPr>
      </w:pPr>
    </w:p>
    <w:p>
      <w:pPr>
        <w:pStyle w:val="BodyText"/>
        <w:spacing w:line="364" w:lineRule="auto" w:before="155"/>
        <w:ind w:left="115" w:right="105"/>
        <w:jc w:val="both"/>
      </w:pPr>
      <w:r>
        <w:rPr/>
        <w:t>En este contexto los Estados Unidos, constituyen el centro del sistema en donde  se ubican los factores que ejercen la fuerza de atracción en tanto que en México  se localiza un conjunto de factores periféricos que incluyen: los escasos recursos disponibles para la supervivencia, las estrategias familiares y la cultura migratoria; en suma la acumulación de factores expulsores muy ligados a elementos que van muy de la mano con la inequidad en la distribución del ingreso y el desenvolvimiento  macroeconómico  nacional.  Estos  y  los  anteriores </w:t>
      </w:r>
      <w:r>
        <w:rPr>
          <w:spacing w:val="18"/>
        </w:rPr>
        <w:t> </w:t>
      </w:r>
      <w:r>
        <w:rPr/>
        <w:t>determinan</w:t>
      </w:r>
    </w:p>
    <w:p>
      <w:pPr>
        <w:spacing w:after="0" w:line="364" w:lineRule="auto"/>
        <w:jc w:val="both"/>
        <w:sectPr>
          <w:footerReference w:type="default" r:id="rId28"/>
          <w:pgSz w:w="11900" w:h="16840"/>
          <w:pgMar w:footer="1679" w:header="0" w:top="1600" w:bottom="1860" w:left="1540" w:right="1580"/>
          <w:pgNumType w:start="80"/>
        </w:sectPr>
      </w:pPr>
    </w:p>
    <w:p>
      <w:pPr>
        <w:pStyle w:val="BodyText"/>
        <w:rPr>
          <w:sz w:val="20"/>
        </w:rPr>
      </w:pPr>
    </w:p>
    <w:p>
      <w:pPr>
        <w:pStyle w:val="BodyText"/>
        <w:spacing w:before="7"/>
        <w:rPr>
          <w:sz w:val="16"/>
        </w:rPr>
      </w:pPr>
    </w:p>
    <w:p>
      <w:pPr>
        <w:pStyle w:val="BodyText"/>
        <w:spacing w:line="364" w:lineRule="auto" w:before="74"/>
        <w:ind w:left="115" w:right="105"/>
        <w:jc w:val="both"/>
      </w:pPr>
      <w:r>
        <w:rPr/>
        <w:t>dos conjuntos de causas que se suman en la misma dirección y hacen de la emigración un proceso prácticamente</w:t>
      </w:r>
      <w:r>
        <w:rPr>
          <w:spacing w:val="56"/>
        </w:rPr>
        <w:t> </w:t>
      </w:r>
      <w:r>
        <w:rPr/>
        <w:t>irreversible.</w:t>
      </w:r>
    </w:p>
    <w:p>
      <w:pPr>
        <w:pStyle w:val="BodyText"/>
        <w:rPr>
          <w:sz w:val="22"/>
        </w:rPr>
      </w:pPr>
    </w:p>
    <w:p>
      <w:pPr>
        <w:pStyle w:val="BodyText"/>
        <w:spacing w:line="364" w:lineRule="auto" w:before="155"/>
        <w:ind w:left="115" w:right="105"/>
        <w:jc w:val="both"/>
      </w:pPr>
      <w:r>
        <w:rPr/>
        <w:t>Dado que las remesas que los emigrantes envían o traen para el beneficio de sus familias, y luego sirven de soporte al sector externo de la economía mexicana, dependen de varios factores relacionados con la efectividad del proceso de transferencia, es necesario diseñar los mecanismos que permitan atraerlas hacia nuestro país incluyendo en ellos una mayor reducción en los costos y riesgos de envíos y la reducción del excesivo número de días que se emplean en tramitar el establecimiento de un negocio en México. Esto es de especial importancia puesto que la gran mayoría de los emigrantes que salen de la agricultura de México, después de su estancia en Estados Unidos no regresan necesariamente a ella, aunque si lo hacen al sector rural en buena</w:t>
      </w:r>
      <w:r>
        <w:rPr>
          <w:spacing w:val="54"/>
        </w:rPr>
        <w:t> </w:t>
      </w:r>
      <w:r>
        <w:rPr/>
        <w:t>medida.</w:t>
      </w:r>
    </w:p>
    <w:p>
      <w:pPr>
        <w:pStyle w:val="BodyText"/>
        <w:rPr>
          <w:sz w:val="22"/>
        </w:rPr>
      </w:pPr>
    </w:p>
    <w:p>
      <w:pPr>
        <w:pStyle w:val="BodyText"/>
        <w:spacing w:line="364" w:lineRule="auto" w:before="153"/>
        <w:ind w:left="115" w:right="105"/>
        <w:jc w:val="both"/>
      </w:pPr>
      <w:r>
        <w:rPr/>
        <w:t>En el ámbito de la agricultura es imprescindible considerar la situación de los mercados laborales de los municipios aledaños a las zonas de emigración para conocer la flexibilidad que poseen como proveedores de mano de obra a las unidades agrícolas; agilizar los flujos de información referente a la situación de los mercados de producto e insumos agrícolas y, del  mercado  laboral  estadounidense. Esto  permitirá una mejor  asignación  de los recursos, incluidas  las remesas que se reciben en las comunidades  migratorias.</w:t>
      </w:r>
    </w:p>
    <w:p>
      <w:pPr>
        <w:pStyle w:val="BodyText"/>
        <w:rPr>
          <w:sz w:val="22"/>
        </w:rPr>
      </w:pPr>
    </w:p>
    <w:p>
      <w:pPr>
        <w:pStyle w:val="BodyText"/>
        <w:spacing w:before="10"/>
        <w:rPr>
          <w:sz w:val="29"/>
        </w:rPr>
      </w:pPr>
    </w:p>
    <w:p>
      <w:pPr>
        <w:pStyle w:val="Heading2"/>
        <w:numPr>
          <w:ilvl w:val="0"/>
          <w:numId w:val="3"/>
        </w:numPr>
        <w:tabs>
          <w:tab w:pos="582" w:val="left" w:leader="none"/>
        </w:tabs>
        <w:spacing w:line="240" w:lineRule="auto" w:before="1" w:after="0"/>
        <w:ind w:left="581" w:right="0" w:hanging="465"/>
        <w:jc w:val="both"/>
      </w:pPr>
      <w:r>
        <w:rPr/>
        <w:t>REFERENCIAS</w:t>
      </w:r>
      <w:r>
        <w:rPr>
          <w:spacing w:val="10"/>
        </w:rPr>
        <w:t> </w:t>
      </w:r>
      <w:r>
        <w:rPr/>
        <w:t>BIBLIOGRÁFICAS</w:t>
      </w:r>
    </w:p>
    <w:p>
      <w:pPr>
        <w:pStyle w:val="BodyText"/>
        <w:spacing w:before="1"/>
        <w:rPr>
          <w:b/>
          <w:sz w:val="33"/>
        </w:rPr>
      </w:pPr>
    </w:p>
    <w:p>
      <w:pPr>
        <w:pStyle w:val="BodyText"/>
        <w:spacing w:line="364" w:lineRule="auto"/>
        <w:ind w:left="115" w:right="103"/>
        <w:jc w:val="both"/>
      </w:pPr>
      <w:r>
        <w:rPr>
          <w:spacing w:val="-3"/>
        </w:rPr>
        <w:t>Adams, R.H. </w:t>
      </w:r>
      <w:r>
        <w:rPr>
          <w:spacing w:val="-4"/>
        </w:rPr>
        <w:t>1994:</w:t>
      </w:r>
      <w:r>
        <w:rPr>
          <w:spacing w:val="55"/>
        </w:rPr>
        <w:t> </w:t>
      </w:r>
      <w:r>
        <w:rPr>
          <w:spacing w:val="-3"/>
        </w:rPr>
        <w:t>“Non </w:t>
      </w:r>
      <w:r>
        <w:rPr/>
        <w:t>farm </w:t>
      </w:r>
      <w:r>
        <w:rPr>
          <w:spacing w:val="-3"/>
        </w:rPr>
        <w:t>income and inequality </w:t>
      </w:r>
      <w:r>
        <w:rPr/>
        <w:t>in </w:t>
      </w:r>
      <w:r>
        <w:rPr>
          <w:spacing w:val="-3"/>
        </w:rPr>
        <w:t>rural </w:t>
      </w:r>
      <w:r>
        <w:rPr>
          <w:spacing w:val="-4"/>
        </w:rPr>
        <w:t>Pakistan:</w:t>
      </w:r>
      <w:r>
        <w:rPr>
          <w:spacing w:val="55"/>
        </w:rPr>
        <w:t> </w:t>
      </w:r>
      <w:r>
        <w:rPr/>
        <w:t>a </w:t>
      </w:r>
      <w:r>
        <w:rPr>
          <w:spacing w:val="-3"/>
        </w:rPr>
        <w:t>decomposition analysis” </w:t>
      </w:r>
      <w:r>
        <w:rPr/>
        <w:t>in </w:t>
      </w:r>
      <w:r>
        <w:rPr>
          <w:spacing w:val="-3"/>
        </w:rPr>
        <w:t>The </w:t>
      </w:r>
      <w:r>
        <w:rPr>
          <w:spacing w:val="-4"/>
        </w:rPr>
        <w:t>Journal </w:t>
      </w:r>
      <w:r>
        <w:rPr>
          <w:spacing w:val="-3"/>
        </w:rPr>
        <w:t>of Development </w:t>
      </w:r>
      <w:r>
        <w:rPr>
          <w:spacing w:val="-4"/>
        </w:rPr>
        <w:t>Studies, </w:t>
      </w:r>
      <w:r>
        <w:rPr>
          <w:spacing w:val="-3"/>
        </w:rPr>
        <w:t>Vol. 31, </w:t>
      </w:r>
      <w:r>
        <w:rPr/>
        <w:t>Nº </w:t>
      </w:r>
      <w:r>
        <w:rPr>
          <w:spacing w:val="-3"/>
        </w:rPr>
        <w:t>1, </w:t>
      </w:r>
      <w:r>
        <w:rPr>
          <w:spacing w:val="-4"/>
        </w:rPr>
        <w:t>October. </w:t>
      </w:r>
      <w:r>
        <w:rPr>
          <w:spacing w:val="-3"/>
        </w:rPr>
        <w:t>London. </w:t>
      </w:r>
      <w:r>
        <w:rPr/>
        <w:t>Pp </w:t>
      </w:r>
      <w:r>
        <w:rPr>
          <w:spacing w:val="-3"/>
        </w:rPr>
        <w:t>110-133.</w:t>
      </w:r>
    </w:p>
    <w:p>
      <w:pPr>
        <w:pStyle w:val="BodyText"/>
        <w:rPr>
          <w:sz w:val="22"/>
        </w:rPr>
      </w:pPr>
    </w:p>
    <w:p>
      <w:pPr>
        <w:pStyle w:val="BodyText"/>
        <w:spacing w:line="364" w:lineRule="auto" w:before="155"/>
        <w:ind w:left="115" w:right="107"/>
        <w:jc w:val="both"/>
      </w:pPr>
      <w:r>
        <w:rPr/>
        <w:t>Adelman, I. y G. Dalton. 1971. “A factor analysis of modernization in village India”. In G. Dalton, Economic Development and Social Change. The modernization of village communities. The National History Press. New</w:t>
      </w:r>
      <w:r>
        <w:rPr>
          <w:spacing w:val="61"/>
        </w:rPr>
        <w:t> </w:t>
      </w:r>
      <w:r>
        <w:rPr/>
        <w:t>York.</w:t>
      </w:r>
    </w:p>
    <w:p>
      <w:pPr>
        <w:spacing w:after="0" w:line="364" w:lineRule="auto"/>
        <w:jc w:val="both"/>
        <w:sectPr>
          <w:pgSz w:w="11900" w:h="16840"/>
          <w:pgMar w:header="0" w:footer="1679" w:top="1600" w:bottom="1860" w:left="1540" w:right="1580"/>
        </w:sectPr>
      </w:pPr>
    </w:p>
    <w:p>
      <w:pPr>
        <w:pStyle w:val="BodyText"/>
        <w:rPr>
          <w:sz w:val="20"/>
        </w:rPr>
      </w:pPr>
    </w:p>
    <w:p>
      <w:pPr>
        <w:pStyle w:val="BodyText"/>
        <w:rPr>
          <w:sz w:val="20"/>
        </w:rPr>
      </w:pPr>
    </w:p>
    <w:p>
      <w:pPr>
        <w:pStyle w:val="BodyText"/>
        <w:rPr>
          <w:sz w:val="20"/>
        </w:rPr>
      </w:pPr>
    </w:p>
    <w:p>
      <w:pPr>
        <w:pStyle w:val="BodyText"/>
        <w:spacing w:before="1"/>
        <w:rPr>
          <w:sz w:val="18"/>
        </w:rPr>
      </w:pPr>
    </w:p>
    <w:p>
      <w:pPr>
        <w:pStyle w:val="BodyText"/>
        <w:spacing w:line="364" w:lineRule="auto"/>
        <w:ind w:left="115" w:right="105"/>
        <w:jc w:val="both"/>
      </w:pPr>
      <w:r>
        <w:rPr>
          <w:spacing w:val="-3"/>
        </w:rPr>
        <w:t>Adelman, </w:t>
      </w:r>
      <w:r>
        <w:rPr/>
        <w:t>I. y J. E. </w:t>
      </w:r>
      <w:r>
        <w:rPr>
          <w:spacing w:val="-3"/>
        </w:rPr>
        <w:t>Taylor. </w:t>
      </w:r>
      <w:r>
        <w:rPr/>
        <w:t>“Is </w:t>
      </w:r>
      <w:r>
        <w:rPr>
          <w:spacing w:val="-3"/>
        </w:rPr>
        <w:t>structural </w:t>
      </w:r>
      <w:r>
        <w:rPr>
          <w:spacing w:val="-4"/>
        </w:rPr>
        <w:t>adjustment </w:t>
      </w:r>
      <w:r>
        <w:rPr>
          <w:spacing w:val="-3"/>
        </w:rPr>
        <w:t>with </w:t>
      </w:r>
      <w:r>
        <w:rPr/>
        <w:t>a </w:t>
      </w:r>
      <w:r>
        <w:rPr>
          <w:spacing w:val="-3"/>
        </w:rPr>
        <w:t>human </w:t>
      </w:r>
      <w:r>
        <w:rPr/>
        <w:t>face </w:t>
      </w:r>
      <w:r>
        <w:rPr>
          <w:spacing w:val="-3"/>
        </w:rPr>
        <w:t>possible? The case of Mexico” </w:t>
      </w:r>
      <w:r>
        <w:rPr/>
        <w:t>in </w:t>
      </w:r>
      <w:r>
        <w:rPr>
          <w:spacing w:val="-3"/>
        </w:rPr>
        <w:t>Journal of Development Studies, </w:t>
      </w:r>
      <w:r>
        <w:rPr/>
        <w:t>Nº </w:t>
      </w:r>
      <w:r>
        <w:rPr>
          <w:spacing w:val="-3"/>
        </w:rPr>
        <w:t>26. </w:t>
      </w:r>
      <w:r>
        <w:rPr>
          <w:spacing w:val="-4"/>
        </w:rPr>
        <w:t>London. </w:t>
      </w:r>
      <w:r>
        <w:rPr/>
        <w:t>Pp  </w:t>
      </w:r>
      <w:r>
        <w:rPr>
          <w:spacing w:val="-3"/>
        </w:rPr>
        <w:t>387-407.</w:t>
      </w:r>
    </w:p>
    <w:p>
      <w:pPr>
        <w:pStyle w:val="BodyText"/>
        <w:spacing w:line="364" w:lineRule="auto" w:before="5"/>
        <w:ind w:left="115" w:right="103"/>
        <w:jc w:val="both"/>
      </w:pPr>
      <w:r>
        <w:rPr>
          <w:spacing w:val="-3"/>
        </w:rPr>
        <w:t>Alba, </w:t>
      </w:r>
      <w:r>
        <w:rPr/>
        <w:t>F. </w:t>
      </w:r>
      <w:r>
        <w:rPr>
          <w:spacing w:val="-3"/>
        </w:rPr>
        <w:t>2001. “Consolidación </w:t>
      </w:r>
      <w:r>
        <w:rPr/>
        <w:t>de los </w:t>
      </w:r>
      <w:r>
        <w:rPr>
          <w:spacing w:val="-4"/>
        </w:rPr>
        <w:t>patrones </w:t>
      </w:r>
      <w:r>
        <w:rPr>
          <w:spacing w:val="-3"/>
        </w:rPr>
        <w:t>emergentes” </w:t>
      </w:r>
      <w:r>
        <w:rPr/>
        <w:t>in </w:t>
      </w:r>
      <w:r>
        <w:rPr>
          <w:spacing w:val="-3"/>
        </w:rPr>
        <w:t>Revista Demos </w:t>
      </w:r>
      <w:r>
        <w:rPr/>
        <w:t>Nº </w:t>
      </w:r>
      <w:r>
        <w:rPr>
          <w:spacing w:val="-3"/>
        </w:rPr>
        <w:t>13, Carta demográfica sobre </w:t>
      </w:r>
      <w:r>
        <w:rPr/>
        <w:t>México </w:t>
      </w:r>
      <w:r>
        <w:rPr>
          <w:spacing w:val="-3"/>
        </w:rPr>
        <w:t>2000. Sección: Migración Internacional. </w:t>
      </w:r>
      <w:r>
        <w:rPr>
          <w:spacing w:val="-4"/>
        </w:rPr>
        <w:t>CONAPO. </w:t>
      </w:r>
      <w:r>
        <w:rPr>
          <w:spacing w:val="-3"/>
        </w:rPr>
        <w:t>México. </w:t>
      </w:r>
      <w:r>
        <w:rPr/>
        <w:t>Pp </w:t>
      </w:r>
      <w:r>
        <w:rPr>
          <w:spacing w:val="-3"/>
        </w:rPr>
        <w:t>10-11.</w:t>
      </w:r>
    </w:p>
    <w:p>
      <w:pPr>
        <w:pStyle w:val="BodyText"/>
        <w:rPr>
          <w:sz w:val="22"/>
        </w:rPr>
      </w:pPr>
    </w:p>
    <w:p>
      <w:pPr>
        <w:pStyle w:val="BodyText"/>
        <w:spacing w:line="364" w:lineRule="auto" w:before="155"/>
        <w:ind w:left="115" w:right="105"/>
        <w:jc w:val="both"/>
      </w:pPr>
      <w:r>
        <w:rPr>
          <w:spacing w:val="-3"/>
        </w:rPr>
        <w:t>Alba, </w:t>
      </w:r>
      <w:r>
        <w:rPr/>
        <w:t>F. </w:t>
      </w:r>
      <w:r>
        <w:rPr>
          <w:spacing w:val="-3"/>
        </w:rPr>
        <w:t>1993. </w:t>
      </w:r>
      <w:r>
        <w:rPr/>
        <w:t>“El </w:t>
      </w:r>
      <w:r>
        <w:rPr>
          <w:spacing w:val="-4"/>
        </w:rPr>
        <w:t>Tratado </w:t>
      </w:r>
      <w:r>
        <w:rPr/>
        <w:t>de </w:t>
      </w:r>
      <w:r>
        <w:rPr>
          <w:spacing w:val="-3"/>
        </w:rPr>
        <w:t>Libre Comercio </w:t>
      </w:r>
      <w:r>
        <w:rPr/>
        <w:t>y la </w:t>
      </w:r>
      <w:r>
        <w:rPr>
          <w:spacing w:val="-3"/>
        </w:rPr>
        <w:t>emigración </w:t>
      </w:r>
      <w:r>
        <w:rPr/>
        <w:t>de </w:t>
      </w:r>
      <w:r>
        <w:rPr>
          <w:spacing w:val="-3"/>
        </w:rPr>
        <w:t>mexicanos  </w:t>
      </w:r>
      <w:r>
        <w:rPr/>
        <w:t>a </w:t>
      </w:r>
      <w:r>
        <w:rPr>
          <w:spacing w:val="-3"/>
        </w:rPr>
        <w:t>Estados Unidos” </w:t>
      </w:r>
      <w:r>
        <w:rPr/>
        <w:t>in BANCOMEXT. Revista Comercio Exterior, Vol. 43,  Nº  8,  agosto de 1993. México. Pp</w:t>
      </w:r>
      <w:r>
        <w:rPr>
          <w:spacing w:val="41"/>
        </w:rPr>
        <w:t> </w:t>
      </w:r>
      <w:r>
        <w:rPr/>
        <w:t>743-749.</w:t>
      </w:r>
    </w:p>
    <w:p>
      <w:pPr>
        <w:pStyle w:val="BodyText"/>
        <w:rPr>
          <w:sz w:val="22"/>
        </w:rPr>
      </w:pPr>
    </w:p>
    <w:p>
      <w:pPr>
        <w:pStyle w:val="BodyText"/>
        <w:spacing w:line="364" w:lineRule="auto" w:before="155"/>
        <w:ind w:left="115" w:right="103"/>
        <w:jc w:val="both"/>
      </w:pPr>
      <w:r>
        <w:rPr>
          <w:spacing w:val="-3"/>
        </w:rPr>
        <w:t>Alba, </w:t>
      </w:r>
      <w:r>
        <w:rPr/>
        <w:t>F. </w:t>
      </w:r>
      <w:r>
        <w:rPr>
          <w:spacing w:val="-3"/>
        </w:rPr>
        <w:t>1981. “La migración </w:t>
      </w:r>
      <w:r>
        <w:rPr>
          <w:spacing w:val="-4"/>
        </w:rPr>
        <w:t>internacional </w:t>
      </w:r>
      <w:r>
        <w:rPr/>
        <w:t>como </w:t>
      </w:r>
      <w:r>
        <w:rPr>
          <w:spacing w:val="-3"/>
        </w:rPr>
        <w:t>fenómeno sociopolítico” </w:t>
      </w:r>
      <w:r>
        <w:rPr/>
        <w:t>in </w:t>
      </w:r>
      <w:r>
        <w:rPr>
          <w:spacing w:val="-4"/>
        </w:rPr>
        <w:t>ANUIES.</w:t>
      </w:r>
      <w:r>
        <w:rPr>
          <w:spacing w:val="55"/>
        </w:rPr>
        <w:t> </w:t>
      </w:r>
      <w:r>
        <w:rPr>
          <w:spacing w:val="-3"/>
        </w:rPr>
        <w:t>Estudios </w:t>
      </w:r>
      <w:r>
        <w:rPr>
          <w:spacing w:val="-4"/>
        </w:rPr>
        <w:t>Fronterizos. </w:t>
      </w:r>
      <w:r>
        <w:rPr>
          <w:spacing w:val="-3"/>
        </w:rPr>
        <w:t>Reunión </w:t>
      </w:r>
      <w:r>
        <w:rPr/>
        <w:t>de </w:t>
      </w:r>
      <w:r>
        <w:rPr>
          <w:spacing w:val="-4"/>
        </w:rPr>
        <w:t>Universidades</w:t>
      </w:r>
      <w:r>
        <w:rPr>
          <w:spacing w:val="55"/>
        </w:rPr>
        <w:t> </w:t>
      </w:r>
      <w:r>
        <w:rPr/>
        <w:t>de </w:t>
      </w:r>
      <w:r>
        <w:rPr>
          <w:spacing w:val="-3"/>
        </w:rPr>
        <w:t>México </w:t>
      </w:r>
      <w:r>
        <w:rPr/>
        <w:t>y </w:t>
      </w:r>
      <w:r>
        <w:rPr>
          <w:spacing w:val="-3"/>
        </w:rPr>
        <w:t>Estados Unidos.  México. </w:t>
      </w:r>
      <w:r>
        <w:rPr/>
        <w:t>Pp</w:t>
      </w:r>
      <w:r>
        <w:rPr>
          <w:spacing w:val="28"/>
        </w:rPr>
        <w:t> </w:t>
      </w:r>
      <w:r>
        <w:rPr>
          <w:spacing w:val="-4"/>
        </w:rPr>
        <w:t>215-264.</w:t>
      </w:r>
    </w:p>
    <w:p>
      <w:pPr>
        <w:pStyle w:val="BodyText"/>
        <w:rPr>
          <w:sz w:val="22"/>
        </w:rPr>
      </w:pPr>
    </w:p>
    <w:p>
      <w:pPr>
        <w:pStyle w:val="BodyText"/>
        <w:spacing w:line="364" w:lineRule="auto" w:before="155"/>
        <w:ind w:left="115" w:right="100"/>
      </w:pPr>
      <w:r>
        <w:rPr/>
        <w:t>Archetti. 1974. “Introducción” in CHAYANOV, A. V. 1974. La Organización de la Unidad Económica Campesina. 1ª edición. Ediciones Nueva Visión. Buenos Aires. Aragonés, A. M. 2001. “Trabajadores indocumentados y políticas neoliberales” in BANCOMEXT. Revista Comercio Exterior, Vol. 51, Nº 4, abril de 2001. México. Pp 323-332.</w:t>
      </w:r>
    </w:p>
    <w:p>
      <w:pPr>
        <w:pStyle w:val="BodyText"/>
        <w:spacing w:line="364" w:lineRule="auto" w:before="5"/>
        <w:ind w:left="115" w:right="105"/>
        <w:jc w:val="both"/>
      </w:pPr>
      <w:r>
        <w:rPr>
          <w:spacing w:val="-3"/>
        </w:rPr>
        <w:t>Arroyo </w:t>
      </w:r>
      <w:r>
        <w:rPr/>
        <w:t>A., J. y </w:t>
      </w:r>
      <w:r>
        <w:rPr>
          <w:spacing w:val="-3"/>
        </w:rPr>
        <w:t>Berumen </w:t>
      </w:r>
      <w:r>
        <w:rPr/>
        <w:t>S., S. </w:t>
      </w:r>
      <w:r>
        <w:rPr>
          <w:spacing w:val="-4"/>
        </w:rPr>
        <w:t>2000. </w:t>
      </w:r>
      <w:r>
        <w:rPr>
          <w:spacing w:val="-3"/>
        </w:rPr>
        <w:t>“Efectos subregionales </w:t>
      </w:r>
      <w:r>
        <w:rPr/>
        <w:t>de las </w:t>
      </w:r>
      <w:r>
        <w:rPr>
          <w:spacing w:val="-3"/>
        </w:rPr>
        <w:t>remesas </w:t>
      </w:r>
      <w:r>
        <w:rPr/>
        <w:t>de </w:t>
      </w:r>
      <w:r>
        <w:rPr>
          <w:spacing w:val="-3"/>
        </w:rPr>
        <w:t>emigrantes mexicanos </w:t>
      </w:r>
      <w:r>
        <w:rPr/>
        <w:t>en </w:t>
      </w:r>
      <w:r>
        <w:rPr>
          <w:spacing w:val="-3"/>
        </w:rPr>
        <w:t>Estados Unidos” </w:t>
      </w:r>
      <w:r>
        <w:rPr/>
        <w:t>in BANCOMEXT. Revista Comercio Exterior, Vol. 50, Nº 4, abril de 2000. México.</w:t>
      </w:r>
      <w:r>
        <w:rPr>
          <w:spacing w:val="60"/>
        </w:rPr>
        <w:t> </w:t>
      </w:r>
      <w:r>
        <w:rPr/>
        <w:t>Pp340-349.</w:t>
      </w:r>
    </w:p>
    <w:p>
      <w:pPr>
        <w:pStyle w:val="BodyText"/>
        <w:rPr>
          <w:sz w:val="22"/>
        </w:rPr>
      </w:pPr>
    </w:p>
    <w:p>
      <w:pPr>
        <w:pStyle w:val="BodyText"/>
        <w:spacing w:line="364" w:lineRule="auto" w:before="153"/>
        <w:ind w:left="115" w:right="103"/>
        <w:jc w:val="both"/>
      </w:pPr>
      <w:r>
        <w:rPr>
          <w:spacing w:val="-3"/>
        </w:rPr>
        <w:t>Arroyo </w:t>
      </w:r>
      <w:r>
        <w:rPr/>
        <w:t>A, J., </w:t>
      </w:r>
      <w:r>
        <w:rPr>
          <w:spacing w:val="3"/>
        </w:rPr>
        <w:t>W. W. </w:t>
      </w:r>
      <w:r>
        <w:rPr/>
        <w:t>Winnie y </w:t>
      </w:r>
      <w:r>
        <w:rPr>
          <w:spacing w:val="-3"/>
        </w:rPr>
        <w:t>L. </w:t>
      </w:r>
      <w:r>
        <w:rPr/>
        <w:t>A. </w:t>
      </w:r>
      <w:r>
        <w:rPr>
          <w:spacing w:val="-3"/>
        </w:rPr>
        <w:t>Velázquez G. 1986. Migración </w:t>
      </w:r>
      <w:r>
        <w:rPr/>
        <w:t>a </w:t>
      </w:r>
      <w:r>
        <w:rPr>
          <w:spacing w:val="-3"/>
        </w:rPr>
        <w:t>Centros Urbanos, </w:t>
      </w:r>
      <w:r>
        <w:rPr/>
        <w:t>en </w:t>
      </w:r>
      <w:r>
        <w:rPr>
          <w:spacing w:val="-3"/>
        </w:rPr>
        <w:t>una región de fuerte emigración-El caso del occidente </w:t>
      </w:r>
      <w:r>
        <w:rPr/>
        <w:t>de </w:t>
      </w:r>
      <w:r>
        <w:rPr>
          <w:spacing w:val="-3"/>
        </w:rPr>
        <w:t>México. </w:t>
      </w:r>
      <w:r>
        <w:rPr>
          <w:spacing w:val="-4"/>
        </w:rPr>
        <w:t>Guadalajara, </w:t>
      </w:r>
      <w:r>
        <w:rPr>
          <w:spacing w:val="-3"/>
        </w:rPr>
        <w:t>Jalisco, México; CISE, Universidad </w:t>
      </w:r>
      <w:r>
        <w:rPr/>
        <w:t>de  </w:t>
      </w:r>
      <w:r>
        <w:rPr>
          <w:spacing w:val="-4"/>
        </w:rPr>
        <w:t>Guadalajara.</w:t>
      </w:r>
    </w:p>
    <w:p>
      <w:pPr>
        <w:pStyle w:val="BodyText"/>
        <w:rPr>
          <w:sz w:val="22"/>
        </w:rPr>
      </w:pPr>
    </w:p>
    <w:p>
      <w:pPr>
        <w:pStyle w:val="BodyText"/>
        <w:spacing w:line="364" w:lineRule="auto" w:before="155"/>
        <w:ind w:left="115" w:right="105"/>
        <w:jc w:val="both"/>
      </w:pPr>
      <w:r>
        <w:rPr/>
        <w:t>BANCOMEXT (Banco Nacional de Comercio Exterior).Varios Números 1944-1960. Revista Comercio Exterior. México.</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before="74"/>
        <w:ind w:left="115"/>
        <w:jc w:val="both"/>
      </w:pPr>
      <w:r>
        <w:rPr/>
        <w:t>B de M. (BANCO de MEXICO). Varios Números, 1961-1999. Informe  Anual.</w:t>
      </w:r>
    </w:p>
    <w:p>
      <w:pPr>
        <w:pStyle w:val="BodyText"/>
        <w:rPr>
          <w:sz w:val="22"/>
        </w:rPr>
      </w:pPr>
    </w:p>
    <w:p>
      <w:pPr>
        <w:pStyle w:val="BodyText"/>
        <w:spacing w:before="1"/>
        <w:rPr>
          <w:sz w:val="25"/>
        </w:rPr>
      </w:pPr>
    </w:p>
    <w:p>
      <w:pPr>
        <w:pStyle w:val="BodyText"/>
        <w:spacing w:line="364" w:lineRule="auto"/>
        <w:ind w:left="115" w:right="109"/>
        <w:jc w:val="both"/>
      </w:pPr>
      <w:r>
        <w:rPr/>
        <w:t>Bartra, A. 1998. Sobrevivientes. Historia en la frontera. in V Congreso Latinoamericano de Sociología Rural.</w:t>
      </w:r>
      <w:r>
        <w:rPr>
          <w:spacing w:val="58"/>
        </w:rPr>
        <w:t> </w:t>
      </w:r>
      <w:r>
        <w:rPr/>
        <w:t>UACh-CP.</w:t>
      </w:r>
    </w:p>
    <w:p>
      <w:pPr>
        <w:pStyle w:val="BodyText"/>
        <w:rPr>
          <w:sz w:val="22"/>
        </w:rPr>
      </w:pPr>
    </w:p>
    <w:p>
      <w:pPr>
        <w:pStyle w:val="BodyText"/>
        <w:spacing w:line="364" w:lineRule="auto" w:before="155"/>
        <w:ind w:left="115" w:right="108"/>
        <w:jc w:val="both"/>
      </w:pPr>
      <w:r>
        <w:rPr/>
        <w:t>Bartra, R. 1974. Estructura Agraria y Clases Sociales en México. Editorial Era. México.</w:t>
      </w:r>
    </w:p>
    <w:p>
      <w:pPr>
        <w:pStyle w:val="BodyText"/>
        <w:rPr>
          <w:sz w:val="22"/>
        </w:rPr>
      </w:pPr>
    </w:p>
    <w:p>
      <w:pPr>
        <w:pStyle w:val="BodyText"/>
        <w:spacing w:line="364" w:lineRule="auto" w:before="155"/>
        <w:ind w:left="115" w:right="100"/>
        <w:jc w:val="both"/>
      </w:pPr>
      <w:r>
        <w:rPr/>
        <w:t>Bersin, A. D., Subprocurador Federal, California, Distrito Sur, en Comisión Pro Defensa del Migrante en Mexicali, Senado de la República, 17 de abril de 1998. Citado por Moctezuma. 2000.</w:t>
      </w:r>
    </w:p>
    <w:p>
      <w:pPr>
        <w:pStyle w:val="BodyText"/>
        <w:rPr>
          <w:sz w:val="22"/>
        </w:rPr>
      </w:pPr>
    </w:p>
    <w:p>
      <w:pPr>
        <w:pStyle w:val="BodyText"/>
        <w:spacing w:line="364" w:lineRule="auto" w:before="155"/>
        <w:ind w:left="115" w:right="104"/>
        <w:jc w:val="both"/>
      </w:pPr>
      <w:r>
        <w:rPr/>
        <w:t>Bustamante, J. A. 2000; “Migración irregular de México a Estados Unidos. Diez años de investigación del Proyecto Cañón Zapata” in Frontera Norte, Vol. 12, Nº  23; El Colegio de la Frontera Norte, Tijuana, México. Pp </w:t>
      </w:r>
      <w:r>
        <w:rPr>
          <w:spacing w:val="5"/>
        </w:rPr>
        <w:t> </w:t>
      </w:r>
      <w:r>
        <w:rPr/>
        <w:t>7-49.</w:t>
      </w:r>
    </w:p>
    <w:p>
      <w:pPr>
        <w:pStyle w:val="BodyText"/>
        <w:rPr>
          <w:sz w:val="22"/>
        </w:rPr>
      </w:pPr>
    </w:p>
    <w:p>
      <w:pPr>
        <w:pStyle w:val="BodyText"/>
        <w:spacing w:line="364" w:lineRule="auto" w:before="155"/>
        <w:ind w:left="115" w:right="102"/>
        <w:jc w:val="both"/>
      </w:pPr>
      <w:r>
        <w:rPr>
          <w:spacing w:val="-3"/>
        </w:rPr>
        <w:t>Cancian, </w:t>
      </w:r>
      <w:r>
        <w:rPr/>
        <w:t>F. </w:t>
      </w:r>
      <w:r>
        <w:rPr>
          <w:spacing w:val="-4"/>
        </w:rPr>
        <w:t>1991. </w:t>
      </w:r>
      <w:r>
        <w:rPr>
          <w:spacing w:val="-3"/>
        </w:rPr>
        <w:t>“El comportamiento económico en </w:t>
      </w:r>
      <w:r>
        <w:rPr/>
        <w:t>las </w:t>
      </w:r>
      <w:r>
        <w:rPr>
          <w:spacing w:val="-4"/>
        </w:rPr>
        <w:t>comunidades </w:t>
      </w:r>
      <w:r>
        <w:rPr>
          <w:spacing w:val="-3"/>
        </w:rPr>
        <w:t>campesinas”  </w:t>
      </w:r>
      <w:r>
        <w:rPr/>
        <w:t>in S. Plattner, Antropología Económica. CONACULTA-  Alianza  Editorial.  Colección los noventa.</w:t>
      </w:r>
      <w:r>
        <w:rPr>
          <w:spacing w:val="30"/>
        </w:rPr>
        <w:t> </w:t>
      </w:r>
      <w:r>
        <w:rPr/>
        <w:t>México.</w:t>
      </w:r>
    </w:p>
    <w:p>
      <w:pPr>
        <w:pStyle w:val="BodyText"/>
        <w:rPr>
          <w:sz w:val="22"/>
        </w:rPr>
      </w:pPr>
    </w:p>
    <w:p>
      <w:pPr>
        <w:pStyle w:val="BodyText"/>
        <w:spacing w:line="364" w:lineRule="auto" w:before="155"/>
        <w:ind w:left="115" w:right="99"/>
        <w:jc w:val="both"/>
      </w:pPr>
      <w:r>
        <w:rPr>
          <w:spacing w:val="-3"/>
        </w:rPr>
        <w:t>Castillo </w:t>
      </w:r>
      <w:r>
        <w:rPr>
          <w:spacing w:val="-4"/>
        </w:rPr>
        <w:t>G., </w:t>
      </w:r>
      <w:r>
        <w:rPr>
          <w:spacing w:val="-3"/>
        </w:rPr>
        <w:t>V. </w:t>
      </w:r>
      <w:r>
        <w:rPr/>
        <w:t>M. </w:t>
      </w:r>
      <w:r>
        <w:rPr>
          <w:spacing w:val="-4"/>
        </w:rPr>
        <w:t>1995. </w:t>
      </w:r>
      <w:r>
        <w:rPr/>
        <w:t>Sólo </w:t>
      </w:r>
      <w:r>
        <w:rPr>
          <w:spacing w:val="-3"/>
        </w:rPr>
        <w:t>Dios </w:t>
      </w:r>
      <w:r>
        <w:rPr/>
        <w:t>y el </w:t>
      </w:r>
      <w:r>
        <w:rPr>
          <w:spacing w:val="-3"/>
        </w:rPr>
        <w:t>Norte. Migración </w:t>
      </w:r>
      <w:r>
        <w:rPr/>
        <w:t>a </w:t>
      </w:r>
      <w:r>
        <w:rPr>
          <w:spacing w:val="-3"/>
        </w:rPr>
        <w:t>Estados Unidos  </w:t>
      </w:r>
      <w:r>
        <w:rPr/>
        <w:t>y  </w:t>
      </w:r>
      <w:r>
        <w:rPr>
          <w:spacing w:val="-3"/>
        </w:rPr>
        <w:t>desarrollo </w:t>
      </w:r>
      <w:r>
        <w:rPr/>
        <w:t>de </w:t>
      </w:r>
      <w:r>
        <w:rPr>
          <w:spacing w:val="-3"/>
        </w:rPr>
        <w:t>una región </w:t>
      </w:r>
      <w:r>
        <w:rPr/>
        <w:t>de </w:t>
      </w:r>
      <w:r>
        <w:rPr>
          <w:spacing w:val="-3"/>
        </w:rPr>
        <w:t>Jalisco. Colección </w:t>
      </w:r>
      <w:r>
        <w:rPr>
          <w:spacing w:val="-2"/>
        </w:rPr>
        <w:t>Fin </w:t>
      </w:r>
      <w:r>
        <w:rPr/>
        <w:t>de </w:t>
      </w:r>
      <w:r>
        <w:rPr>
          <w:spacing w:val="-3"/>
        </w:rPr>
        <w:t>Milenio. Universidad </w:t>
      </w:r>
      <w:r>
        <w:rPr/>
        <w:t>de </w:t>
      </w:r>
      <w:r>
        <w:rPr>
          <w:spacing w:val="-3"/>
        </w:rPr>
        <w:t>Guadalajara, </w:t>
      </w:r>
      <w:r>
        <w:rPr>
          <w:spacing w:val="-4"/>
        </w:rPr>
        <w:t>Guadalajara, </w:t>
      </w:r>
      <w:r>
        <w:rPr>
          <w:spacing w:val="1"/>
        </w:rPr>
        <w:t> </w:t>
      </w:r>
      <w:r>
        <w:rPr>
          <w:spacing w:val="-3"/>
        </w:rPr>
        <w:t>México.</w:t>
      </w:r>
    </w:p>
    <w:p>
      <w:pPr>
        <w:pStyle w:val="BodyText"/>
        <w:rPr>
          <w:sz w:val="22"/>
        </w:rPr>
      </w:pPr>
    </w:p>
    <w:p>
      <w:pPr>
        <w:pStyle w:val="BodyText"/>
        <w:spacing w:line="367" w:lineRule="auto" w:before="153"/>
        <w:ind w:left="115" w:right="100"/>
        <w:jc w:val="both"/>
      </w:pPr>
      <w:r>
        <w:rPr>
          <w:spacing w:val="-3"/>
        </w:rPr>
        <w:t>Castillo, </w:t>
      </w:r>
      <w:r>
        <w:rPr/>
        <w:t>P. </w:t>
      </w:r>
      <w:r>
        <w:rPr>
          <w:spacing w:val="-4"/>
        </w:rPr>
        <w:t>1977.</w:t>
      </w:r>
      <w:r>
        <w:rPr>
          <w:spacing w:val="55"/>
        </w:rPr>
        <w:t> </w:t>
      </w:r>
      <w:r>
        <w:rPr>
          <w:spacing w:val="-3"/>
        </w:rPr>
        <w:t>“The making of </w:t>
      </w:r>
      <w:r>
        <w:rPr/>
        <w:t>the </w:t>
      </w:r>
      <w:r>
        <w:rPr>
          <w:spacing w:val="-3"/>
        </w:rPr>
        <w:t>mexican working class” </w:t>
      </w:r>
      <w:r>
        <w:rPr/>
        <w:t>in </w:t>
      </w:r>
      <w:r>
        <w:rPr>
          <w:spacing w:val="-3"/>
        </w:rPr>
        <w:t>Reunión </w:t>
      </w:r>
      <w:r>
        <w:rPr/>
        <w:t>de </w:t>
      </w:r>
      <w:r>
        <w:rPr>
          <w:spacing w:val="-3"/>
        </w:rPr>
        <w:t>historiadores mexicanos </w:t>
      </w:r>
      <w:r>
        <w:rPr/>
        <w:t>y </w:t>
      </w:r>
      <w:r>
        <w:rPr>
          <w:spacing w:val="-3"/>
        </w:rPr>
        <w:t>norteamericanos. </w:t>
      </w:r>
      <w:r>
        <w:rPr/>
        <w:t>El </w:t>
      </w:r>
      <w:r>
        <w:rPr>
          <w:spacing w:val="-3"/>
        </w:rPr>
        <w:t>trabajo </w:t>
      </w:r>
      <w:r>
        <w:rPr/>
        <w:t>y los </w:t>
      </w:r>
      <w:r>
        <w:rPr>
          <w:spacing w:val="-4"/>
        </w:rPr>
        <w:t>trabajadores </w:t>
      </w:r>
      <w:r>
        <w:rPr>
          <w:spacing w:val="-3"/>
        </w:rPr>
        <w:t>en  </w:t>
      </w:r>
      <w:r>
        <w:rPr/>
        <w:t>la  </w:t>
      </w:r>
      <w:r>
        <w:rPr>
          <w:spacing w:val="-3"/>
        </w:rPr>
        <w:t>historia de México. El Colegio </w:t>
      </w:r>
      <w:r>
        <w:rPr/>
        <w:t>de </w:t>
      </w:r>
      <w:r>
        <w:rPr>
          <w:spacing w:val="-3"/>
        </w:rPr>
        <w:t>México </w:t>
      </w:r>
      <w:r>
        <w:rPr/>
        <w:t>y </w:t>
      </w:r>
      <w:r>
        <w:rPr>
          <w:spacing w:val="-3"/>
        </w:rPr>
        <w:t>University of </w:t>
      </w:r>
      <w:r>
        <w:rPr>
          <w:spacing w:val="-4"/>
        </w:rPr>
        <w:t>Arizona </w:t>
      </w:r>
      <w:r>
        <w:rPr>
          <w:spacing w:val="-3"/>
        </w:rPr>
        <w:t>Press. México. </w:t>
      </w:r>
      <w:r>
        <w:rPr/>
        <w:t>Pp </w:t>
      </w:r>
      <w:r>
        <w:rPr>
          <w:spacing w:val="-3"/>
        </w:rPr>
        <w:t>506-517.</w:t>
      </w:r>
    </w:p>
    <w:p>
      <w:pPr>
        <w:spacing w:after="0" w:line="367"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6"/>
        <w:jc w:val="both"/>
      </w:pPr>
      <w:r>
        <w:rPr/>
        <w:t>Castro, J. y Tuiran, R. 2000. “Las remesas de los trabajadores migrantes a Estados Unidos” in BANCOMEXT. Revista Comercio Exterior, Vol. 50, Nº 4, abril de 2000. México. Pp 318-333.</w:t>
      </w:r>
    </w:p>
    <w:p>
      <w:pPr>
        <w:pStyle w:val="BodyText"/>
        <w:rPr>
          <w:sz w:val="22"/>
        </w:rPr>
      </w:pPr>
    </w:p>
    <w:p>
      <w:pPr>
        <w:pStyle w:val="BodyText"/>
        <w:spacing w:line="364" w:lineRule="auto" w:before="153"/>
        <w:ind w:left="115" w:right="103"/>
        <w:jc w:val="both"/>
      </w:pPr>
      <w:r>
        <w:rPr/>
        <w:t>Cebada C., M. C. 2000. “Emigración guanajuatense a Estados Unidos” in BANCOMEXT. Revista Comercio Exterior, Vol. 50, Nº 4, abril de 2000. México. Pp 354-349.</w:t>
      </w:r>
    </w:p>
    <w:p>
      <w:pPr>
        <w:pStyle w:val="BodyText"/>
        <w:rPr>
          <w:sz w:val="22"/>
        </w:rPr>
      </w:pPr>
    </w:p>
    <w:p>
      <w:pPr>
        <w:pStyle w:val="BodyText"/>
        <w:spacing w:line="364" w:lineRule="auto" w:before="155"/>
        <w:ind w:left="115" w:right="104"/>
        <w:jc w:val="both"/>
      </w:pPr>
      <w:r>
        <w:rPr/>
        <w:t>CEPAL. 1991. “Remesas y economía familiar en El Salvador, Guatemala y Nicaragua”, preparado para el Proyecto CEPAL y Gobierno de los Países Bajos. Citado por MEYERS, 2000.</w:t>
      </w:r>
    </w:p>
    <w:p>
      <w:pPr>
        <w:pStyle w:val="BodyText"/>
        <w:rPr>
          <w:sz w:val="22"/>
        </w:rPr>
      </w:pPr>
    </w:p>
    <w:p>
      <w:pPr>
        <w:pStyle w:val="BodyText"/>
        <w:spacing w:line="364" w:lineRule="auto" w:before="155"/>
        <w:ind w:left="115" w:right="105"/>
        <w:jc w:val="both"/>
      </w:pPr>
      <w:r>
        <w:rPr/>
        <w:t>Chayanov, A. V. 1974. La Organización de la Unidad Económica Campesina. 1ª edición. Ediciones Nueva Visión. Buenos Aires.</w:t>
      </w:r>
    </w:p>
    <w:p>
      <w:pPr>
        <w:pStyle w:val="BodyText"/>
        <w:rPr>
          <w:sz w:val="22"/>
        </w:rPr>
      </w:pPr>
    </w:p>
    <w:p>
      <w:pPr>
        <w:pStyle w:val="BodyText"/>
        <w:spacing w:line="364" w:lineRule="auto" w:before="155"/>
        <w:ind w:left="115" w:right="108"/>
        <w:jc w:val="both"/>
      </w:pPr>
      <w:r>
        <w:rPr>
          <w:spacing w:val="-3"/>
        </w:rPr>
        <w:t>Chiavenato, </w:t>
      </w:r>
      <w:r>
        <w:rPr/>
        <w:t>I. </w:t>
      </w:r>
      <w:r>
        <w:rPr>
          <w:spacing w:val="-3"/>
        </w:rPr>
        <w:t>1989; Introducción </w:t>
      </w:r>
      <w:r>
        <w:rPr/>
        <w:t>a la Teoría </w:t>
      </w:r>
      <w:r>
        <w:rPr>
          <w:spacing w:val="-3"/>
        </w:rPr>
        <w:t>General </w:t>
      </w:r>
      <w:r>
        <w:rPr/>
        <w:t>de la </w:t>
      </w:r>
      <w:r>
        <w:rPr>
          <w:spacing w:val="-3"/>
        </w:rPr>
        <w:t>Administración; 2ª  edición; </w:t>
      </w:r>
      <w:r>
        <w:rPr/>
        <w:t>Mc </w:t>
      </w:r>
      <w:r>
        <w:rPr>
          <w:spacing w:val="-3"/>
        </w:rPr>
        <w:t>Graw-Hill/Interamericana </w:t>
      </w:r>
      <w:r>
        <w:rPr/>
        <w:t>de México;</w:t>
      </w:r>
      <w:r>
        <w:rPr>
          <w:spacing w:val="60"/>
        </w:rPr>
        <w:t> </w:t>
      </w:r>
      <w:r>
        <w:rPr/>
        <w:t>México.</w:t>
      </w:r>
    </w:p>
    <w:p>
      <w:pPr>
        <w:pStyle w:val="BodyText"/>
        <w:rPr>
          <w:sz w:val="22"/>
        </w:rPr>
      </w:pPr>
    </w:p>
    <w:p>
      <w:pPr>
        <w:pStyle w:val="BodyText"/>
        <w:spacing w:line="364" w:lineRule="auto" w:before="155"/>
        <w:ind w:left="115" w:right="101"/>
        <w:jc w:val="both"/>
      </w:pPr>
      <w:r>
        <w:rPr/>
        <w:t>CNA (Consejo Nacional Agropecuario). Varios Números 1983-2000. Estadísticas Básicas. México.</w:t>
      </w:r>
    </w:p>
    <w:p>
      <w:pPr>
        <w:pStyle w:val="BodyText"/>
        <w:rPr>
          <w:sz w:val="22"/>
        </w:rPr>
      </w:pPr>
    </w:p>
    <w:p>
      <w:pPr>
        <w:pStyle w:val="BodyText"/>
        <w:spacing w:line="364" w:lineRule="auto" w:before="155"/>
        <w:ind w:left="115" w:right="101"/>
        <w:jc w:val="both"/>
      </w:pPr>
      <w:r>
        <w:rPr/>
        <w:t>CONAPO (Consejo Nacional de Población). 1997. “Migración indocumentada a los Estados Unidos: devoluciones realizadas por la patrulla  fronteriza”.</w:t>
      </w:r>
    </w:p>
    <w:p>
      <w:pPr>
        <w:pStyle w:val="BodyText"/>
        <w:rPr>
          <w:sz w:val="22"/>
        </w:rPr>
      </w:pPr>
    </w:p>
    <w:p>
      <w:pPr>
        <w:pStyle w:val="BodyText"/>
        <w:spacing w:line="367" w:lineRule="auto" w:before="153"/>
        <w:ind w:left="115" w:right="103"/>
        <w:jc w:val="both"/>
      </w:pPr>
      <w:r>
        <w:rPr>
          <w:spacing w:val="-3"/>
        </w:rPr>
        <w:t>Cooper, </w:t>
      </w:r>
      <w:r>
        <w:rPr/>
        <w:t>J. A. </w:t>
      </w:r>
      <w:r>
        <w:rPr>
          <w:spacing w:val="-3"/>
        </w:rPr>
        <w:t>1996. “Empleo, desempleo </w:t>
      </w:r>
      <w:r>
        <w:rPr/>
        <w:t>y </w:t>
      </w:r>
      <w:r>
        <w:rPr>
          <w:spacing w:val="-3"/>
        </w:rPr>
        <w:t>salarios. </w:t>
      </w:r>
      <w:r>
        <w:rPr/>
        <w:t>Una </w:t>
      </w:r>
      <w:r>
        <w:rPr>
          <w:spacing w:val="-3"/>
        </w:rPr>
        <w:t>comparación por sexo México, </w:t>
      </w:r>
      <w:r>
        <w:rPr>
          <w:spacing w:val="-4"/>
        </w:rPr>
        <w:t>1982-1995” </w:t>
      </w:r>
      <w:r>
        <w:rPr/>
        <w:t>in </w:t>
      </w:r>
      <w:r>
        <w:rPr>
          <w:spacing w:val="-3"/>
        </w:rPr>
        <w:t>revista Problemas del Desarrollo. Revista </w:t>
      </w:r>
      <w:r>
        <w:rPr>
          <w:spacing w:val="-4"/>
        </w:rPr>
        <w:t>latinoamericana </w:t>
      </w:r>
      <w:r>
        <w:rPr/>
        <w:t>de </w:t>
      </w:r>
      <w:r>
        <w:rPr>
          <w:spacing w:val="-3"/>
        </w:rPr>
        <w:t>economía. </w:t>
      </w:r>
      <w:r>
        <w:rPr/>
        <w:t>Vol. </w:t>
      </w:r>
      <w:r>
        <w:rPr>
          <w:spacing w:val="-3"/>
        </w:rPr>
        <w:t>27, </w:t>
      </w:r>
      <w:r>
        <w:rPr/>
        <w:t>Nº </w:t>
      </w:r>
      <w:r>
        <w:rPr>
          <w:spacing w:val="-3"/>
        </w:rPr>
        <w:t>106. Instituto </w:t>
      </w:r>
      <w:r>
        <w:rPr/>
        <w:t>de </w:t>
      </w:r>
      <w:r>
        <w:rPr>
          <w:spacing w:val="-3"/>
        </w:rPr>
        <w:t>investigaciones Económicas. UNAM. </w:t>
      </w:r>
      <w:r>
        <w:rPr>
          <w:spacing w:val="-4"/>
        </w:rPr>
        <w:t>México.</w:t>
      </w:r>
      <w:r>
        <w:rPr>
          <w:spacing w:val="55"/>
        </w:rPr>
        <w:t> </w:t>
      </w:r>
      <w:r>
        <w:rPr/>
        <w:t>Pp </w:t>
      </w:r>
      <w:r>
        <w:rPr>
          <w:spacing w:val="-3"/>
        </w:rPr>
        <w:t>57-77.</w:t>
      </w:r>
    </w:p>
    <w:p>
      <w:pPr>
        <w:pStyle w:val="BodyText"/>
        <w:rPr>
          <w:sz w:val="22"/>
        </w:rPr>
      </w:pPr>
    </w:p>
    <w:p>
      <w:pPr>
        <w:pStyle w:val="BodyText"/>
        <w:spacing w:line="367" w:lineRule="auto" w:before="148"/>
        <w:ind w:left="115" w:right="103"/>
        <w:jc w:val="both"/>
      </w:pPr>
      <w:r>
        <w:rPr>
          <w:spacing w:val="-3"/>
        </w:rPr>
        <w:t>Cornelius, </w:t>
      </w:r>
      <w:r>
        <w:rPr>
          <w:spacing w:val="3"/>
        </w:rPr>
        <w:t>W. </w:t>
      </w:r>
      <w:r>
        <w:rPr>
          <w:spacing w:val="-4"/>
        </w:rPr>
        <w:t>1990. </w:t>
      </w:r>
      <w:r>
        <w:rPr>
          <w:spacing w:val="-3"/>
        </w:rPr>
        <w:t>Labor Migration </w:t>
      </w:r>
      <w:r>
        <w:rPr/>
        <w:t>to the U: S. </w:t>
      </w:r>
      <w:r>
        <w:rPr>
          <w:spacing w:val="-3"/>
        </w:rPr>
        <w:t>Development </w:t>
      </w:r>
      <w:r>
        <w:rPr/>
        <w:t>, </w:t>
      </w:r>
      <w:r>
        <w:rPr>
          <w:spacing w:val="-3"/>
        </w:rPr>
        <w:t>Outcomes, and Alternatives  </w:t>
      </w:r>
      <w:r>
        <w:rPr/>
        <w:t>in  </w:t>
      </w:r>
      <w:r>
        <w:rPr>
          <w:spacing w:val="-3"/>
        </w:rPr>
        <w:t>Mexican  Sending  Communities,  informe  </w:t>
      </w:r>
      <w:r>
        <w:rPr/>
        <w:t>de  la  </w:t>
      </w:r>
      <w:r>
        <w:rPr>
          <w:spacing w:val="-3"/>
        </w:rPr>
        <w:t>Commission  </w:t>
      </w:r>
      <w:r>
        <w:rPr/>
        <w:t>for the</w:t>
      </w:r>
    </w:p>
    <w:p>
      <w:pPr>
        <w:spacing w:after="0" w:line="367"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3"/>
        <w:jc w:val="both"/>
      </w:pPr>
      <w:r>
        <w:rPr/>
        <w:t>Study of International Migration and Cooperative  Economic  Development. Government  Printing Office. Washington.</w:t>
      </w:r>
    </w:p>
    <w:p>
      <w:pPr>
        <w:pStyle w:val="BodyText"/>
        <w:rPr>
          <w:sz w:val="22"/>
        </w:rPr>
      </w:pPr>
    </w:p>
    <w:p>
      <w:pPr>
        <w:pStyle w:val="BodyText"/>
        <w:spacing w:line="364" w:lineRule="auto" w:before="155"/>
        <w:ind w:left="115" w:right="106"/>
        <w:jc w:val="both"/>
      </w:pPr>
      <w:r>
        <w:rPr/>
        <w:t>Cornelius, W. A. 1989. “La demanda de fuerza de trabajo mexicana en Estados Unidos” in Bustamante, J. A. y W.A. Cornelius (coordinadores). Flujos Migratorios hacia Estados Unidos. Fondo de Cultura Económica (FCE). México. pp  39-66.</w:t>
      </w:r>
    </w:p>
    <w:p>
      <w:pPr>
        <w:pStyle w:val="BodyText"/>
        <w:rPr>
          <w:sz w:val="22"/>
        </w:rPr>
      </w:pPr>
    </w:p>
    <w:p>
      <w:pPr>
        <w:pStyle w:val="BodyText"/>
        <w:spacing w:line="364" w:lineRule="auto" w:before="155"/>
        <w:ind w:left="115" w:right="107"/>
        <w:jc w:val="both"/>
      </w:pPr>
      <w:r>
        <w:rPr/>
        <w:t>Corona V., R. </w:t>
      </w:r>
      <w:r>
        <w:rPr>
          <w:spacing w:val="-3"/>
        </w:rPr>
        <w:t>1993; Migración Permanente Interestatal </w:t>
      </w:r>
      <w:r>
        <w:rPr/>
        <w:t>e </w:t>
      </w:r>
      <w:r>
        <w:rPr>
          <w:spacing w:val="-3"/>
        </w:rPr>
        <w:t>Internacional, </w:t>
      </w:r>
      <w:r>
        <w:rPr>
          <w:spacing w:val="-4"/>
        </w:rPr>
        <w:t>1950-1990.</w:t>
      </w:r>
      <w:r>
        <w:rPr>
          <w:spacing w:val="55"/>
        </w:rPr>
        <w:t> </w:t>
      </w:r>
      <w:r>
        <w:rPr/>
        <w:t>en BANCOMEXT. Revista Comercio Exterior, Vol. 43, Nº 8, agosto de 1993. México. Pp</w:t>
      </w:r>
      <w:r>
        <w:rPr>
          <w:spacing w:val="19"/>
        </w:rPr>
        <w:t> </w:t>
      </w:r>
      <w:r>
        <w:rPr/>
        <w:t>750-762.</w:t>
      </w:r>
    </w:p>
    <w:p>
      <w:pPr>
        <w:pStyle w:val="BodyText"/>
        <w:rPr>
          <w:sz w:val="22"/>
        </w:rPr>
      </w:pPr>
    </w:p>
    <w:p>
      <w:pPr>
        <w:pStyle w:val="BodyText"/>
        <w:spacing w:line="364" w:lineRule="auto" w:before="155"/>
        <w:ind w:left="115" w:right="104"/>
        <w:jc w:val="both"/>
      </w:pPr>
      <w:r>
        <w:rPr/>
        <w:t>Corona V., R. 1987; Estimación del Número de Indocumentados a Nivel Estatal y Municipal; UNAM; México.</w:t>
      </w:r>
    </w:p>
    <w:p>
      <w:pPr>
        <w:pStyle w:val="BodyText"/>
        <w:rPr>
          <w:sz w:val="22"/>
        </w:rPr>
      </w:pPr>
    </w:p>
    <w:p>
      <w:pPr>
        <w:pStyle w:val="BodyText"/>
        <w:spacing w:line="364" w:lineRule="auto" w:before="153"/>
        <w:ind w:left="115" w:right="103"/>
        <w:jc w:val="both"/>
      </w:pPr>
      <w:r>
        <w:rPr/>
        <w:t>Cortés, F. 2001. “Crisis, miembros del hogar e ingresos” in Revista Demos Nº 13 Carta demográfica sobre México 2000. Sección: Hogares y Desigualdad. CONAPO. México. Pp 35-36.</w:t>
      </w:r>
    </w:p>
    <w:p>
      <w:pPr>
        <w:pStyle w:val="BodyText"/>
        <w:rPr>
          <w:sz w:val="22"/>
        </w:rPr>
      </w:pPr>
    </w:p>
    <w:p>
      <w:pPr>
        <w:pStyle w:val="BodyText"/>
        <w:spacing w:line="364" w:lineRule="auto" w:before="155"/>
        <w:ind w:left="115" w:right="107"/>
        <w:jc w:val="both"/>
      </w:pPr>
      <w:r>
        <w:rPr/>
        <w:t>Cortés, F. y Rubalcava, R. M. 1984; Técnicas Estadísticas para el Estudio de la Desigualdad Social. 2ª edición; El Colegio de México.  México.</w:t>
      </w:r>
    </w:p>
    <w:p>
      <w:pPr>
        <w:pStyle w:val="BodyText"/>
        <w:rPr>
          <w:sz w:val="22"/>
        </w:rPr>
      </w:pPr>
    </w:p>
    <w:p>
      <w:pPr>
        <w:pStyle w:val="BodyText"/>
        <w:spacing w:line="364" w:lineRule="auto" w:before="155"/>
        <w:ind w:left="115" w:right="107"/>
        <w:jc w:val="both"/>
      </w:pPr>
      <w:r>
        <w:rPr/>
        <w:t>Cruz Z., A. R. 2001. “Migraciones: las fronteras errantes de la globalización” in BANCOMEXT. Revista Comercio Exterior, Vol. 51, Nº 11, noviembre de 2001. México. Pp 1015-1021.</w:t>
      </w:r>
    </w:p>
    <w:p>
      <w:pPr>
        <w:pStyle w:val="BodyText"/>
        <w:rPr>
          <w:sz w:val="22"/>
        </w:rPr>
      </w:pPr>
    </w:p>
    <w:p>
      <w:pPr>
        <w:pStyle w:val="BodyText"/>
        <w:spacing w:line="364" w:lineRule="auto" w:before="155"/>
        <w:ind w:left="115" w:right="106"/>
        <w:jc w:val="both"/>
      </w:pPr>
      <w:r>
        <w:rPr/>
        <w:t>Cuamea V., F. 2001. “El carácter simbólico de la política migratoria estadounidense” in BANCOMEXT. Revista Comercio Exterior, Vol. 51, Nº 4, abril  de 2001. México. Pp</w:t>
      </w:r>
      <w:r>
        <w:rPr>
          <w:spacing w:val="31"/>
        </w:rPr>
        <w:t> </w:t>
      </w:r>
      <w:r>
        <w:rPr/>
        <w:t>333-340.</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8"/>
        <w:jc w:val="both"/>
      </w:pPr>
      <w:r>
        <w:rPr/>
        <w:t>Cuamea V., F. 1998. “Sanciones económicas, empleadores y migración indocumentada” in BANCOMEXT. Revista Comercio Exterior, Vol. 48, Nº 5, mayo de 1998. México. Pp 384-390.</w:t>
      </w:r>
    </w:p>
    <w:p>
      <w:pPr>
        <w:pStyle w:val="BodyText"/>
        <w:rPr>
          <w:sz w:val="22"/>
        </w:rPr>
      </w:pPr>
    </w:p>
    <w:p>
      <w:pPr>
        <w:pStyle w:val="BodyText"/>
        <w:spacing w:line="364" w:lineRule="auto" w:before="153"/>
        <w:ind w:left="115" w:right="105"/>
        <w:jc w:val="both"/>
      </w:pPr>
      <w:r>
        <w:rPr/>
        <w:t>Delgado </w:t>
      </w:r>
      <w:r>
        <w:rPr>
          <w:spacing w:val="3"/>
        </w:rPr>
        <w:t>W., </w:t>
      </w:r>
      <w:r>
        <w:rPr/>
        <w:t>R. y Rodríguez R., H. 2000. “Las nuevas tendencias de la migración internacional: el caso de Zacatecas” in BANCOMEXT. Revista Comercio Exterior, Vol. 50, Nº 5, mayo de 2000. México. Pp</w:t>
      </w:r>
      <w:r>
        <w:rPr>
          <w:spacing w:val="60"/>
        </w:rPr>
        <w:t> </w:t>
      </w:r>
      <w:r>
        <w:rPr/>
        <w:t>371-380.</w:t>
      </w:r>
    </w:p>
    <w:p>
      <w:pPr>
        <w:pStyle w:val="BodyText"/>
        <w:rPr>
          <w:sz w:val="22"/>
        </w:rPr>
      </w:pPr>
    </w:p>
    <w:p>
      <w:pPr>
        <w:pStyle w:val="BodyText"/>
        <w:spacing w:line="364" w:lineRule="auto" w:before="155"/>
        <w:ind w:left="115" w:right="106"/>
        <w:jc w:val="both"/>
      </w:pPr>
      <w:r>
        <w:rPr/>
        <w:t>Diez-Canedo R., J. 1984. La migración Indocumentada de México a Estados Unidos. Un nuevo enfoque. FCE. México.</w:t>
      </w:r>
    </w:p>
    <w:p>
      <w:pPr>
        <w:pStyle w:val="BodyText"/>
        <w:rPr>
          <w:sz w:val="22"/>
        </w:rPr>
      </w:pPr>
    </w:p>
    <w:p>
      <w:pPr>
        <w:pStyle w:val="BodyText"/>
        <w:spacing w:line="364" w:lineRule="auto" w:before="155"/>
        <w:ind w:left="115" w:right="106"/>
        <w:jc w:val="both"/>
      </w:pPr>
      <w:r>
        <w:rPr/>
        <w:t>DGE (Dirección General de Estadística) 1972. Directorio de Ejidos y comunidades Agrarias. V Censo Ejidal. 1970. Secretaría de Industria y Comercio.  México.</w:t>
      </w:r>
    </w:p>
    <w:p>
      <w:pPr>
        <w:pStyle w:val="BodyText"/>
        <w:rPr>
          <w:sz w:val="22"/>
        </w:rPr>
      </w:pPr>
    </w:p>
    <w:p>
      <w:pPr>
        <w:pStyle w:val="BodyText"/>
        <w:spacing w:line="364" w:lineRule="auto" w:before="153"/>
        <w:ind w:left="115" w:right="107"/>
        <w:jc w:val="both"/>
      </w:pPr>
      <w:r>
        <w:rPr/>
        <w:t>DGEA (Dirección General de Economía Agrícola). 1993. “Consumos aparentes de productos agropecuarios 1925-1982 in revista Econotécnia Agrícola, N° IX, septiembre de 1983. SARH. México.</w:t>
      </w:r>
    </w:p>
    <w:p>
      <w:pPr>
        <w:pStyle w:val="BodyText"/>
        <w:rPr>
          <w:sz w:val="22"/>
        </w:rPr>
      </w:pPr>
    </w:p>
    <w:p>
      <w:pPr>
        <w:pStyle w:val="BodyText"/>
        <w:spacing w:line="364" w:lineRule="auto" w:before="155"/>
        <w:ind w:left="115" w:right="102"/>
        <w:jc w:val="both"/>
      </w:pPr>
      <w:r>
        <w:rPr>
          <w:spacing w:val="-3"/>
        </w:rPr>
        <w:t>Driscoll, B. A. </w:t>
      </w:r>
      <w:r>
        <w:rPr>
          <w:spacing w:val="-4"/>
        </w:rPr>
        <w:t>1995. </w:t>
      </w:r>
      <w:r>
        <w:rPr>
          <w:spacing w:val="-3"/>
        </w:rPr>
        <w:t>“Migración </w:t>
      </w:r>
      <w:r>
        <w:rPr/>
        <w:t>a </w:t>
      </w:r>
      <w:r>
        <w:rPr>
          <w:spacing w:val="-3"/>
        </w:rPr>
        <w:t>Estados Unidos: </w:t>
      </w:r>
      <w:r>
        <w:rPr/>
        <w:t>su </w:t>
      </w:r>
      <w:r>
        <w:rPr>
          <w:spacing w:val="-4"/>
        </w:rPr>
        <w:t>visión </w:t>
      </w:r>
      <w:r>
        <w:rPr>
          <w:spacing w:val="-3"/>
        </w:rPr>
        <w:t>desde México” </w:t>
      </w:r>
      <w:r>
        <w:rPr/>
        <w:t>in </w:t>
      </w:r>
      <w:r>
        <w:rPr>
          <w:spacing w:val="-3"/>
        </w:rPr>
        <w:t>Arriaga </w:t>
      </w:r>
      <w:r>
        <w:rPr/>
        <w:t>W., </w:t>
      </w:r>
      <w:r>
        <w:rPr>
          <w:spacing w:val="-3"/>
        </w:rPr>
        <w:t>V. A. </w:t>
      </w:r>
      <w:r>
        <w:rPr/>
        <w:t>y Suárez A., </w:t>
      </w:r>
      <w:r>
        <w:rPr>
          <w:spacing w:val="-3"/>
        </w:rPr>
        <w:t>A. </w:t>
      </w:r>
      <w:r>
        <w:rPr/>
        <w:t>R. </w:t>
      </w:r>
      <w:r>
        <w:rPr>
          <w:spacing w:val="-3"/>
        </w:rPr>
        <w:t>Estados </w:t>
      </w:r>
      <w:r>
        <w:rPr>
          <w:spacing w:val="-4"/>
        </w:rPr>
        <w:t>Unidos </w:t>
      </w:r>
      <w:r>
        <w:rPr>
          <w:spacing w:val="-3"/>
        </w:rPr>
        <w:t>desde  América  Latina:  </w:t>
      </w:r>
      <w:r>
        <w:rPr>
          <w:spacing w:val="-4"/>
        </w:rPr>
        <w:t>sociedad, </w:t>
      </w:r>
      <w:r>
        <w:rPr>
          <w:spacing w:val="-3"/>
        </w:rPr>
        <w:t>política </w:t>
      </w:r>
      <w:r>
        <w:rPr/>
        <w:t>y </w:t>
      </w:r>
      <w:r>
        <w:rPr>
          <w:spacing w:val="-3"/>
        </w:rPr>
        <w:t>cultura. CIDE. México.</w:t>
      </w:r>
    </w:p>
    <w:p>
      <w:pPr>
        <w:pStyle w:val="BodyText"/>
        <w:rPr>
          <w:sz w:val="22"/>
        </w:rPr>
      </w:pPr>
    </w:p>
    <w:p>
      <w:pPr>
        <w:pStyle w:val="BodyText"/>
        <w:spacing w:line="364" w:lineRule="auto" w:before="155"/>
        <w:ind w:left="115" w:right="102"/>
        <w:jc w:val="both"/>
      </w:pPr>
      <w:r>
        <w:rPr/>
        <w:t>EBPI (Enciclopædia Britannica Publishers Inc.) 1991-1992. Enciclopedia Hispánica. Kentucky, USA.</w:t>
      </w:r>
    </w:p>
    <w:p>
      <w:pPr>
        <w:pStyle w:val="BodyText"/>
        <w:rPr>
          <w:sz w:val="22"/>
        </w:rPr>
      </w:pPr>
    </w:p>
    <w:p>
      <w:pPr>
        <w:pStyle w:val="BodyText"/>
        <w:spacing w:line="364" w:lineRule="auto" w:before="155"/>
        <w:ind w:left="115" w:right="103"/>
        <w:jc w:val="both"/>
      </w:pPr>
      <w:r>
        <w:rPr/>
        <w:t>Escobra L., A., P. Martin, J.E. Taylor y P. Trigueros L. 1998. “Factors that influence Migration” in Mexico-United States Binational Migration Study. Migration between Mexico and The United States. Mexican Ministry of Foreign Affairs and U.S. Commission on Immigration Reform. Vol. 1. Pp  163-250.</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2"/>
        <w:jc w:val="both"/>
      </w:pPr>
      <w:r>
        <w:rPr/>
        <w:t>FEDA </w:t>
      </w:r>
      <w:r>
        <w:rPr>
          <w:spacing w:val="-3"/>
        </w:rPr>
        <w:t>(Fideicomiso para </w:t>
      </w:r>
      <w:r>
        <w:rPr/>
        <w:t>la </w:t>
      </w:r>
      <w:r>
        <w:rPr>
          <w:spacing w:val="-3"/>
        </w:rPr>
        <w:t>Realización </w:t>
      </w:r>
      <w:r>
        <w:rPr/>
        <w:t>de </w:t>
      </w:r>
      <w:r>
        <w:rPr>
          <w:spacing w:val="-3"/>
        </w:rPr>
        <w:t>Estudios </w:t>
      </w:r>
      <w:r>
        <w:rPr/>
        <w:t>de </w:t>
      </w:r>
      <w:r>
        <w:rPr>
          <w:spacing w:val="-3"/>
        </w:rPr>
        <w:t>Desarrollo </w:t>
      </w:r>
      <w:r>
        <w:rPr>
          <w:spacing w:val="-4"/>
        </w:rPr>
        <w:t>Agropecuario) 1978. </w:t>
      </w:r>
      <w:r>
        <w:rPr>
          <w:spacing w:val="-3"/>
        </w:rPr>
        <w:t>Estudio sobre </w:t>
      </w:r>
      <w:r>
        <w:rPr/>
        <w:t>los </w:t>
      </w:r>
      <w:r>
        <w:rPr>
          <w:spacing w:val="-3"/>
        </w:rPr>
        <w:t>Niveles del </w:t>
      </w:r>
      <w:r>
        <w:rPr>
          <w:spacing w:val="-4"/>
        </w:rPr>
        <w:t>Empleo, </w:t>
      </w:r>
      <w:r>
        <w:rPr>
          <w:spacing w:val="-3"/>
        </w:rPr>
        <w:t>Subempleo </w:t>
      </w:r>
      <w:r>
        <w:rPr/>
        <w:t>y </w:t>
      </w:r>
      <w:r>
        <w:rPr>
          <w:spacing w:val="-3"/>
        </w:rPr>
        <w:t>Desempleo en el Sector Rural. BANRURAL.</w:t>
      </w:r>
      <w:r>
        <w:rPr>
          <w:spacing w:val="48"/>
        </w:rPr>
        <w:t> </w:t>
      </w:r>
      <w:r>
        <w:rPr>
          <w:spacing w:val="-4"/>
        </w:rPr>
        <w:t>México.</w:t>
      </w:r>
    </w:p>
    <w:p>
      <w:pPr>
        <w:pStyle w:val="BodyText"/>
        <w:rPr>
          <w:sz w:val="22"/>
        </w:rPr>
      </w:pPr>
    </w:p>
    <w:p>
      <w:pPr>
        <w:pStyle w:val="BodyText"/>
        <w:spacing w:line="367" w:lineRule="auto" w:before="153"/>
        <w:ind w:left="115" w:right="103"/>
        <w:jc w:val="both"/>
      </w:pPr>
      <w:r>
        <w:rPr/>
        <w:t>Ferguson, C. E. y J. P. Gould. 1982. Teoría Microeconómica. 4ª reimpresión (FCE). México.</w:t>
      </w:r>
    </w:p>
    <w:p>
      <w:pPr>
        <w:pStyle w:val="BodyText"/>
        <w:rPr>
          <w:sz w:val="22"/>
        </w:rPr>
      </w:pPr>
    </w:p>
    <w:p>
      <w:pPr>
        <w:pStyle w:val="BodyText"/>
        <w:spacing w:before="152"/>
        <w:ind w:left="115"/>
        <w:jc w:val="both"/>
      </w:pPr>
      <w:r>
        <w:rPr/>
        <w:t>Finanicero, EL (periódico); Varios Números;</w:t>
      </w:r>
      <w:r>
        <w:rPr>
          <w:spacing w:val="54"/>
        </w:rPr>
        <w:t> </w:t>
      </w:r>
      <w:r>
        <w:rPr/>
        <w:t>México.</w:t>
      </w:r>
    </w:p>
    <w:p>
      <w:pPr>
        <w:pStyle w:val="BodyText"/>
        <w:rPr>
          <w:sz w:val="22"/>
        </w:rPr>
      </w:pPr>
    </w:p>
    <w:p>
      <w:pPr>
        <w:pStyle w:val="BodyText"/>
        <w:spacing w:before="10"/>
        <w:rPr>
          <w:sz w:val="24"/>
        </w:rPr>
      </w:pPr>
    </w:p>
    <w:p>
      <w:pPr>
        <w:pStyle w:val="BodyText"/>
        <w:spacing w:line="364" w:lineRule="auto"/>
        <w:ind w:left="115" w:right="107"/>
        <w:jc w:val="both"/>
      </w:pPr>
      <w:r>
        <w:rPr/>
        <w:t>FIRA (Fideicomisos Instituidos en Relación a la Agricultura). 1992. Carpeta de Principales Indicadores del Sector Agropecuario y de FIRA. B de M.  México.</w:t>
      </w:r>
    </w:p>
    <w:p>
      <w:pPr>
        <w:pStyle w:val="BodyText"/>
        <w:rPr>
          <w:sz w:val="22"/>
        </w:rPr>
      </w:pPr>
    </w:p>
    <w:p>
      <w:pPr>
        <w:pStyle w:val="BodyText"/>
        <w:spacing w:line="364" w:lineRule="auto" w:before="155"/>
        <w:ind w:left="115" w:right="107"/>
        <w:jc w:val="both"/>
      </w:pPr>
      <w:r>
        <w:rPr/>
        <w:t>FMI. 1999. “La economía mundial” in Finanzas y Desarrollo. Diciembre de 1999. Washington, D. C. Pp 6-10.</w:t>
      </w:r>
    </w:p>
    <w:p>
      <w:pPr>
        <w:pStyle w:val="BodyText"/>
        <w:rPr>
          <w:sz w:val="22"/>
        </w:rPr>
      </w:pPr>
    </w:p>
    <w:p>
      <w:pPr>
        <w:pStyle w:val="BodyText"/>
        <w:spacing w:line="364" w:lineRule="auto" w:before="155"/>
        <w:ind w:left="115" w:right="103"/>
        <w:jc w:val="both"/>
      </w:pPr>
      <w:r>
        <w:rPr/>
        <w:t>Fonseca M., R. 1988. Reacción de los productores lecheros a la Política  de  Precios Oficiales. Tesis profesional. </w:t>
      </w:r>
      <w:r>
        <w:rPr>
          <w:spacing w:val="-3"/>
        </w:rPr>
        <w:t>Departamento </w:t>
      </w:r>
      <w:r>
        <w:rPr/>
        <w:t>de </w:t>
      </w:r>
      <w:r>
        <w:rPr>
          <w:spacing w:val="-3"/>
        </w:rPr>
        <w:t>Economía Agrícola. Universidad Autónoma Chapingo. </w:t>
      </w:r>
      <w:r>
        <w:rPr>
          <w:spacing w:val="-4"/>
        </w:rPr>
        <w:t>Chapingo, </w:t>
      </w:r>
      <w:r>
        <w:rPr>
          <w:spacing w:val="24"/>
        </w:rPr>
        <w:t> </w:t>
      </w:r>
      <w:r>
        <w:rPr>
          <w:spacing w:val="-3"/>
        </w:rPr>
        <w:t>México.</w:t>
      </w:r>
    </w:p>
    <w:p>
      <w:pPr>
        <w:pStyle w:val="BodyText"/>
        <w:spacing w:line="364" w:lineRule="auto" w:before="2"/>
        <w:ind w:left="115" w:right="105"/>
        <w:jc w:val="both"/>
      </w:pPr>
      <w:r>
        <w:rPr/>
        <w:t>Freeman, R. B. 1980. “The evolution of the american labor market, 1948-80” in Feldestein, M. (Ed.) 1980. The American Economy in Transition. The University of Chicago Press. Chicago, USA. Pp 349-414.</w:t>
      </w:r>
    </w:p>
    <w:p>
      <w:pPr>
        <w:pStyle w:val="BodyText"/>
        <w:rPr>
          <w:sz w:val="22"/>
        </w:rPr>
      </w:pPr>
    </w:p>
    <w:p>
      <w:pPr>
        <w:pStyle w:val="BodyText"/>
        <w:spacing w:line="364" w:lineRule="auto" w:before="155"/>
        <w:ind w:left="115" w:right="108"/>
        <w:jc w:val="both"/>
      </w:pPr>
      <w:r>
        <w:rPr/>
        <w:t>Fujii G., G. 1994; Structural Change and Income Distribution in Mexico; XVIII Congreso de la Asociación de Estudios Latinoamericanos; 10-12 de  marzo;  Atlanta,</w:t>
      </w:r>
      <w:r>
        <w:rPr>
          <w:spacing w:val="12"/>
        </w:rPr>
        <w:t> </w:t>
      </w:r>
      <w:r>
        <w:rPr/>
        <w:t>Geo.</w:t>
      </w:r>
    </w:p>
    <w:p>
      <w:pPr>
        <w:pStyle w:val="BodyText"/>
        <w:rPr>
          <w:sz w:val="22"/>
        </w:rPr>
      </w:pPr>
    </w:p>
    <w:p>
      <w:pPr>
        <w:pStyle w:val="BodyText"/>
        <w:spacing w:line="367" w:lineRule="auto" w:before="155"/>
        <w:ind w:left="115" w:right="105"/>
        <w:jc w:val="both"/>
      </w:pPr>
      <w:r>
        <w:rPr/>
        <w:t>Garavito E., R. A. 1994; “La Pobreza en México” en Modernización y Problemática Social en México. Fundación Konrad Adenauer; México. Pp  168-171.</w:t>
      </w:r>
    </w:p>
    <w:p>
      <w:pPr>
        <w:spacing w:after="0" w:line="367"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0"/>
        <w:jc w:val="both"/>
      </w:pPr>
      <w:r>
        <w:rPr/>
        <w:t>García G., B. 2001. “El mercado laboral a principios del siglo XXI”  in  Revista Demos Nº 13 Carta demográfica sobre México 2000. Sección: La Población Económicamente Activa. CONAPO. México. Pp  22-23.</w:t>
      </w:r>
    </w:p>
    <w:p>
      <w:pPr>
        <w:pStyle w:val="BodyText"/>
        <w:rPr>
          <w:sz w:val="22"/>
        </w:rPr>
      </w:pPr>
    </w:p>
    <w:p>
      <w:pPr>
        <w:pStyle w:val="BodyText"/>
        <w:spacing w:line="364" w:lineRule="auto" w:before="153"/>
        <w:ind w:left="115" w:right="107"/>
        <w:jc w:val="both"/>
      </w:pPr>
      <w:r>
        <w:rPr/>
        <w:t>García y Griego, M. 1987. “Orígenes y supuestos de la Ley Simpson-Rodino de 1986” in Foro Internacional Vol. XXVII Nº 3. El Colegio de México. México. Pp 437-442.</w:t>
      </w:r>
    </w:p>
    <w:p>
      <w:pPr>
        <w:pStyle w:val="BodyText"/>
        <w:rPr>
          <w:sz w:val="22"/>
        </w:rPr>
      </w:pPr>
    </w:p>
    <w:p>
      <w:pPr>
        <w:pStyle w:val="BodyText"/>
        <w:spacing w:line="364" w:lineRule="auto" w:before="155"/>
        <w:ind w:left="115" w:right="100"/>
        <w:jc w:val="both"/>
      </w:pPr>
      <w:r>
        <w:rPr>
          <w:spacing w:val="-3"/>
        </w:rPr>
        <w:t>García </w:t>
      </w:r>
      <w:r>
        <w:rPr/>
        <w:t>y </w:t>
      </w:r>
      <w:r>
        <w:rPr>
          <w:spacing w:val="-3"/>
        </w:rPr>
        <w:t>Griego, </w:t>
      </w:r>
      <w:r>
        <w:rPr/>
        <w:t>M. y M. </w:t>
      </w:r>
      <w:r>
        <w:rPr>
          <w:spacing w:val="-3"/>
        </w:rPr>
        <w:t>Verea </w:t>
      </w:r>
      <w:r>
        <w:rPr/>
        <w:t>C. </w:t>
      </w:r>
      <w:r>
        <w:rPr>
          <w:spacing w:val="-3"/>
        </w:rPr>
        <w:t>1988. México </w:t>
      </w:r>
      <w:r>
        <w:rPr/>
        <w:t>y </w:t>
      </w:r>
      <w:r>
        <w:rPr>
          <w:spacing w:val="-3"/>
        </w:rPr>
        <w:t>Estados Unidos Frente </w:t>
      </w:r>
      <w:r>
        <w:rPr/>
        <w:t>a la </w:t>
      </w:r>
      <w:r>
        <w:rPr>
          <w:spacing w:val="-3"/>
        </w:rPr>
        <w:t>Migración </w:t>
      </w:r>
      <w:r>
        <w:rPr/>
        <w:t>de los </w:t>
      </w:r>
      <w:r>
        <w:rPr>
          <w:spacing w:val="-4"/>
        </w:rPr>
        <w:t>Indocumentados.</w:t>
      </w:r>
      <w:r>
        <w:rPr>
          <w:spacing w:val="55"/>
        </w:rPr>
        <w:t> </w:t>
      </w:r>
      <w:r>
        <w:rPr/>
        <w:t>UNAM, </w:t>
      </w:r>
      <w:r>
        <w:rPr>
          <w:spacing w:val="-3"/>
        </w:rPr>
        <w:t>Coordinación de Humanidades/Ed. </w:t>
      </w:r>
      <w:r>
        <w:rPr>
          <w:spacing w:val="-4"/>
        </w:rPr>
        <w:t>Porrúa.</w:t>
      </w:r>
      <w:r>
        <w:rPr>
          <w:spacing w:val="31"/>
        </w:rPr>
        <w:t> </w:t>
      </w:r>
      <w:r>
        <w:rPr>
          <w:spacing w:val="-3"/>
        </w:rPr>
        <w:t>México.</w:t>
      </w:r>
    </w:p>
    <w:p>
      <w:pPr>
        <w:pStyle w:val="BodyText"/>
        <w:rPr>
          <w:sz w:val="22"/>
        </w:rPr>
      </w:pPr>
    </w:p>
    <w:p>
      <w:pPr>
        <w:pStyle w:val="BodyText"/>
        <w:spacing w:line="364" w:lineRule="auto" w:before="155"/>
        <w:ind w:left="115" w:right="108"/>
        <w:jc w:val="both"/>
      </w:pPr>
      <w:r>
        <w:rPr/>
        <w:t>García y Griego, M. y M. Verea C. 1997. “A paradox of the 1990s.The new U. S. immigration law” in Voices of Mexico. CISAN, UNAM. México. Pp  87-97.</w:t>
      </w:r>
    </w:p>
    <w:p>
      <w:pPr>
        <w:pStyle w:val="BodyText"/>
        <w:rPr>
          <w:sz w:val="22"/>
        </w:rPr>
      </w:pPr>
    </w:p>
    <w:p>
      <w:pPr>
        <w:pStyle w:val="BodyText"/>
        <w:spacing w:line="364" w:lineRule="auto" w:before="155"/>
        <w:ind w:left="115" w:right="105"/>
        <w:jc w:val="both"/>
      </w:pPr>
      <w:r>
        <w:rPr/>
        <w:t>García Z., R. 2000. “Problemas y perspectivas de las remesas de los mexicanos   en Estados Unidos” in BANCOMEXT. Revista Comercio Exterior, Vol. 50, Nº 4,  abril de 2000. México. Pp</w:t>
      </w:r>
      <w:r>
        <w:rPr>
          <w:spacing w:val="37"/>
        </w:rPr>
        <w:t> </w:t>
      </w:r>
      <w:r>
        <w:rPr/>
        <w:t>311-317.</w:t>
      </w:r>
    </w:p>
    <w:p>
      <w:pPr>
        <w:pStyle w:val="BodyText"/>
        <w:rPr>
          <w:sz w:val="22"/>
        </w:rPr>
      </w:pPr>
    </w:p>
    <w:p>
      <w:pPr>
        <w:pStyle w:val="BodyText"/>
        <w:spacing w:line="364" w:lineRule="auto" w:before="153"/>
        <w:ind w:left="115" w:right="106"/>
        <w:jc w:val="both"/>
      </w:pPr>
      <w:r>
        <w:rPr/>
        <w:t>Gemmell, N. y I. Papps. 1991. “The shadow wage in economies with  migrant labour: The case of labour as a traded good. The Manchester School Vol. LIX Nº   1, March 1991. UK. Pp</w:t>
      </w:r>
      <w:r>
        <w:rPr>
          <w:spacing w:val="35"/>
        </w:rPr>
        <w:t> </w:t>
      </w:r>
      <w:r>
        <w:rPr/>
        <w:t>45-63.</w:t>
      </w:r>
    </w:p>
    <w:p>
      <w:pPr>
        <w:pStyle w:val="BodyText"/>
        <w:rPr>
          <w:sz w:val="22"/>
        </w:rPr>
      </w:pPr>
    </w:p>
    <w:p>
      <w:pPr>
        <w:pStyle w:val="BodyText"/>
        <w:spacing w:line="364" w:lineRule="auto" w:before="155"/>
        <w:ind w:left="115" w:right="108"/>
        <w:jc w:val="both"/>
      </w:pPr>
      <w:r>
        <w:rPr/>
        <w:t>Gollás, M., 1982. La Economía Desigual. Empleo y distribución en México. CONACYT. México.</w:t>
      </w:r>
    </w:p>
    <w:p>
      <w:pPr>
        <w:pStyle w:val="BodyText"/>
        <w:rPr>
          <w:sz w:val="22"/>
        </w:rPr>
      </w:pPr>
    </w:p>
    <w:p>
      <w:pPr>
        <w:pStyle w:val="BodyText"/>
        <w:spacing w:line="364" w:lineRule="auto" w:before="155"/>
        <w:ind w:left="115" w:right="103"/>
        <w:jc w:val="both"/>
      </w:pPr>
      <w:r>
        <w:rPr/>
        <w:t>Goldring, L. 1990. Development and Migration: A comparative analysis of two Mexican migrant circuits, </w:t>
      </w:r>
      <w:r>
        <w:rPr>
          <w:spacing w:val="-3"/>
        </w:rPr>
        <w:t>informe </w:t>
      </w:r>
      <w:r>
        <w:rPr/>
        <w:t>de la </w:t>
      </w:r>
      <w:r>
        <w:rPr>
          <w:spacing w:val="-3"/>
        </w:rPr>
        <w:t>Commission </w:t>
      </w:r>
      <w:r>
        <w:rPr/>
        <w:t>for the </w:t>
      </w:r>
      <w:r>
        <w:rPr>
          <w:spacing w:val="-3"/>
        </w:rPr>
        <w:t>Study of </w:t>
      </w:r>
      <w:r>
        <w:rPr>
          <w:spacing w:val="-4"/>
        </w:rPr>
        <w:t>International</w:t>
      </w:r>
      <w:r>
        <w:rPr>
          <w:spacing w:val="55"/>
        </w:rPr>
        <w:t> </w:t>
      </w:r>
      <w:r>
        <w:rPr>
          <w:spacing w:val="-3"/>
        </w:rPr>
        <w:t>Migration </w:t>
      </w:r>
      <w:r>
        <w:rPr/>
        <w:t>and </w:t>
      </w:r>
      <w:r>
        <w:rPr>
          <w:spacing w:val="-3"/>
        </w:rPr>
        <w:t>Cooperative Economic </w:t>
      </w:r>
      <w:r>
        <w:rPr>
          <w:spacing w:val="-4"/>
        </w:rPr>
        <w:t>Development. Government </w:t>
      </w:r>
      <w:r>
        <w:rPr>
          <w:spacing w:val="-3"/>
        </w:rPr>
        <w:t>Printing Office. Washington.</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26"/>
        <w:jc w:val="both"/>
      </w:pPr>
      <w:r>
        <w:rPr/>
        <w:t>Gordillo De A., G., A De Janvry y E. Sadolulet. 1999. La  Segunda  Reforma  Agraria de México: respuestas de familias y comunidades, 1990-1994. CFE/El Colegio de México.</w:t>
      </w:r>
      <w:r>
        <w:rPr>
          <w:spacing w:val="29"/>
        </w:rPr>
        <w:t> </w:t>
      </w:r>
      <w:r>
        <w:rPr/>
        <w:t>México.</w:t>
      </w:r>
    </w:p>
    <w:p>
      <w:pPr>
        <w:pStyle w:val="BodyText"/>
        <w:rPr>
          <w:sz w:val="22"/>
        </w:rPr>
      </w:pPr>
    </w:p>
    <w:p>
      <w:pPr>
        <w:pStyle w:val="BodyText"/>
        <w:spacing w:line="367" w:lineRule="auto" w:before="153"/>
        <w:ind w:left="115" w:right="116"/>
        <w:jc w:val="both"/>
      </w:pPr>
      <w:r>
        <w:rPr/>
        <w:t>Gómez-Q., J. 1977. “ The origins and development of mexican working class in    the United States” in </w:t>
      </w:r>
      <w:r>
        <w:rPr>
          <w:spacing w:val="-3"/>
        </w:rPr>
        <w:t>Reunión </w:t>
      </w:r>
      <w:r>
        <w:rPr/>
        <w:t>de </w:t>
      </w:r>
      <w:r>
        <w:rPr>
          <w:spacing w:val="-3"/>
        </w:rPr>
        <w:t>historiadores mexicanos </w:t>
      </w:r>
      <w:r>
        <w:rPr/>
        <w:t>y </w:t>
      </w:r>
      <w:r>
        <w:rPr>
          <w:spacing w:val="-3"/>
        </w:rPr>
        <w:t>norteamericanos. El trabajo </w:t>
      </w:r>
      <w:r>
        <w:rPr/>
        <w:t>y los </w:t>
      </w:r>
      <w:r>
        <w:rPr>
          <w:spacing w:val="-3"/>
        </w:rPr>
        <w:t>trabajadores </w:t>
      </w:r>
      <w:r>
        <w:rPr/>
        <w:t>en la </w:t>
      </w:r>
      <w:r>
        <w:rPr>
          <w:spacing w:val="-3"/>
        </w:rPr>
        <w:t>historia de México. El Colegio </w:t>
      </w:r>
      <w:r>
        <w:rPr/>
        <w:t>de </w:t>
      </w:r>
      <w:r>
        <w:rPr>
          <w:spacing w:val="-3"/>
        </w:rPr>
        <w:t>México </w:t>
      </w:r>
      <w:r>
        <w:rPr/>
        <w:t>y </w:t>
      </w:r>
      <w:r>
        <w:rPr>
          <w:spacing w:val="-3"/>
        </w:rPr>
        <w:t>University </w:t>
      </w:r>
      <w:r>
        <w:rPr/>
        <w:t>of </w:t>
      </w:r>
      <w:r>
        <w:rPr>
          <w:spacing w:val="-3"/>
        </w:rPr>
        <w:t>Arizona Press. </w:t>
      </w:r>
      <w:r>
        <w:rPr>
          <w:spacing w:val="-4"/>
        </w:rPr>
        <w:t>México. </w:t>
      </w:r>
      <w:r>
        <w:rPr/>
        <w:t>Pp</w:t>
      </w:r>
      <w:r>
        <w:rPr>
          <w:spacing w:val="52"/>
        </w:rPr>
        <w:t> </w:t>
      </w:r>
      <w:r>
        <w:rPr>
          <w:spacing w:val="-4"/>
        </w:rPr>
        <w:t>463-516.</w:t>
      </w:r>
    </w:p>
    <w:p>
      <w:pPr>
        <w:pStyle w:val="BodyText"/>
        <w:rPr>
          <w:sz w:val="22"/>
        </w:rPr>
      </w:pPr>
    </w:p>
    <w:p>
      <w:pPr>
        <w:pStyle w:val="BodyText"/>
        <w:spacing w:line="364" w:lineRule="auto" w:before="150"/>
        <w:ind w:left="115" w:right="125"/>
        <w:jc w:val="both"/>
      </w:pPr>
      <w:r>
        <w:rPr/>
        <w:t>Hamann, V. 2001. Redes sociales, clubes de migrantes y crecimiento económico en</w:t>
      </w:r>
      <w:r>
        <w:rPr>
          <w:spacing w:val="12"/>
        </w:rPr>
        <w:t> </w:t>
      </w:r>
      <w:r>
        <w:rPr/>
        <w:t>Zacatecas.</w:t>
      </w:r>
    </w:p>
    <w:p>
      <w:pPr>
        <w:pStyle w:val="BodyText"/>
        <w:rPr>
          <w:sz w:val="22"/>
        </w:rPr>
      </w:pPr>
    </w:p>
    <w:p>
      <w:pPr>
        <w:pStyle w:val="BodyText"/>
        <w:spacing w:line="364" w:lineRule="auto" w:before="155"/>
        <w:ind w:left="115" w:right="122"/>
        <w:jc w:val="both"/>
      </w:pPr>
      <w:r>
        <w:rPr>
          <w:spacing w:val="-3"/>
        </w:rPr>
        <w:t>Haupt, </w:t>
      </w:r>
      <w:r>
        <w:rPr/>
        <w:t>A. y T. T. </w:t>
      </w:r>
      <w:r>
        <w:rPr>
          <w:spacing w:val="-3"/>
        </w:rPr>
        <w:t>Kane, </w:t>
      </w:r>
      <w:r>
        <w:rPr>
          <w:spacing w:val="-4"/>
        </w:rPr>
        <w:t>1982. </w:t>
      </w:r>
      <w:r>
        <w:rPr>
          <w:spacing w:val="-3"/>
        </w:rPr>
        <w:t>Guía Rápida </w:t>
      </w:r>
      <w:r>
        <w:rPr/>
        <w:t>de </w:t>
      </w:r>
      <w:r>
        <w:rPr>
          <w:spacing w:val="-3"/>
        </w:rPr>
        <w:t>Población del Population Reference Bureau, </w:t>
      </w:r>
      <w:r>
        <w:rPr/>
        <w:t>Inc. </w:t>
      </w:r>
      <w:r>
        <w:rPr>
          <w:spacing w:val="-3"/>
        </w:rPr>
        <w:t>Population Reference </w:t>
      </w:r>
      <w:r>
        <w:rPr>
          <w:spacing w:val="-4"/>
        </w:rPr>
        <w:t>Bureau. </w:t>
      </w:r>
      <w:r>
        <w:rPr>
          <w:spacing w:val="-3"/>
        </w:rPr>
        <w:t>Washington, </w:t>
      </w:r>
      <w:r>
        <w:rPr>
          <w:spacing w:val="-4"/>
        </w:rPr>
        <w:t>citado </w:t>
      </w:r>
      <w:r>
        <w:rPr>
          <w:spacing w:val="-3"/>
        </w:rPr>
        <w:t>por Rionda, </w:t>
      </w:r>
      <w:r>
        <w:rPr>
          <w:spacing w:val="48"/>
        </w:rPr>
        <w:t> </w:t>
      </w:r>
      <w:r>
        <w:rPr>
          <w:spacing w:val="-3"/>
        </w:rPr>
        <w:t>1992.</w:t>
      </w:r>
    </w:p>
    <w:p>
      <w:pPr>
        <w:pStyle w:val="BodyText"/>
        <w:rPr>
          <w:sz w:val="22"/>
        </w:rPr>
      </w:pPr>
    </w:p>
    <w:p>
      <w:pPr>
        <w:pStyle w:val="BodyText"/>
        <w:spacing w:line="364" w:lineRule="auto" w:before="155"/>
        <w:ind w:left="115" w:right="125"/>
        <w:jc w:val="both"/>
      </w:pPr>
      <w:r>
        <w:rPr/>
        <w:t>Hernández, R. 2002. “Teorías sobre campesinado en América Latina: Una evaluación crítica”. in Revista Chilena de Antropología. Santiago de  Chile.</w:t>
      </w:r>
    </w:p>
    <w:p>
      <w:pPr>
        <w:pStyle w:val="BodyText"/>
        <w:rPr>
          <w:sz w:val="22"/>
        </w:rPr>
      </w:pPr>
    </w:p>
    <w:p>
      <w:pPr>
        <w:pStyle w:val="BodyText"/>
        <w:spacing w:line="364" w:lineRule="auto" w:before="155"/>
        <w:ind w:left="115" w:right="124"/>
        <w:jc w:val="both"/>
      </w:pPr>
      <w:r>
        <w:rPr/>
        <w:t>Hernández L., Enrique, 2000a. “Crecimiento económico, distribución del ingreso y pobreza en México” en Revista de Comercio Exterior, Vol. 50 Nº 10, México. Pp 863-873.</w:t>
      </w:r>
    </w:p>
    <w:p>
      <w:pPr>
        <w:pStyle w:val="BodyText"/>
        <w:rPr>
          <w:sz w:val="22"/>
        </w:rPr>
      </w:pPr>
    </w:p>
    <w:p>
      <w:pPr>
        <w:pStyle w:val="BodyText"/>
        <w:spacing w:line="364" w:lineRule="auto" w:before="155"/>
        <w:ind w:left="115" w:right="127"/>
        <w:jc w:val="both"/>
      </w:pPr>
      <w:r>
        <w:rPr/>
        <w:t>Hernández L., Enrique, 2000b. “Políticas de Estabilización y Ajuste y Distribución Funcional del Ingreso en México” en Revista de Comercio Exterior, Vol. 50 Nº 2, México. Pp156-168.</w:t>
      </w:r>
    </w:p>
    <w:p>
      <w:pPr>
        <w:pStyle w:val="BodyText"/>
        <w:rPr>
          <w:sz w:val="22"/>
        </w:rPr>
      </w:pPr>
    </w:p>
    <w:p>
      <w:pPr>
        <w:pStyle w:val="BodyText"/>
        <w:spacing w:line="367" w:lineRule="auto" w:before="155"/>
        <w:ind w:left="115" w:right="130"/>
        <w:jc w:val="both"/>
      </w:pPr>
      <w:r>
        <w:rPr/>
        <w:t>Hernández P, A. 2001. Monografía Municipio de Jantetelco. Imprenta Zodiaco. Cuernavaca.</w:t>
      </w:r>
    </w:p>
    <w:p>
      <w:pPr>
        <w:pStyle w:val="BodyText"/>
        <w:rPr>
          <w:sz w:val="22"/>
        </w:rPr>
      </w:pPr>
    </w:p>
    <w:p>
      <w:pPr>
        <w:pStyle w:val="BodyText"/>
        <w:spacing w:line="367" w:lineRule="auto" w:before="148"/>
        <w:ind w:left="115" w:right="129"/>
        <w:jc w:val="both"/>
      </w:pPr>
      <w:r>
        <w:rPr/>
        <w:t>Hutchinson, E. P. 1981. Legislative History of American Immigration History, 1789- 1965. University of Pennsylvania Press. Filadelfia. Citado por Cuamea,  2001.</w:t>
      </w:r>
    </w:p>
    <w:p>
      <w:pPr>
        <w:spacing w:after="0" w:line="367" w:lineRule="auto"/>
        <w:jc w:val="both"/>
        <w:sectPr>
          <w:pgSz w:w="11900" w:h="16840"/>
          <w:pgMar w:header="0" w:footer="1679" w:top="1600" w:bottom="1860" w:left="1540" w:right="1560"/>
        </w:sectPr>
      </w:pPr>
    </w:p>
    <w:p>
      <w:pPr>
        <w:pStyle w:val="BodyText"/>
        <w:rPr>
          <w:sz w:val="20"/>
        </w:rPr>
      </w:pPr>
    </w:p>
    <w:p>
      <w:pPr>
        <w:pStyle w:val="BodyText"/>
        <w:spacing w:before="7"/>
        <w:rPr>
          <w:sz w:val="16"/>
        </w:rPr>
      </w:pPr>
    </w:p>
    <w:p>
      <w:pPr>
        <w:pStyle w:val="BodyText"/>
        <w:spacing w:line="364" w:lineRule="auto" w:before="74"/>
        <w:ind w:left="115" w:right="103"/>
        <w:jc w:val="both"/>
      </w:pPr>
      <w:r>
        <w:rPr/>
        <w:t>IICA (Instituto Interamericano para la Cooperación Agrícola). 2001. Política Sectorial Agropecuaria en México: Balance de una década, </w:t>
      </w:r>
      <w:r>
        <w:rPr>
          <w:spacing w:val="20"/>
        </w:rPr>
        <w:t> </w:t>
      </w:r>
      <w:r>
        <w:rPr/>
        <w:t>1990-2000.</w:t>
      </w:r>
    </w:p>
    <w:p>
      <w:pPr>
        <w:pStyle w:val="BodyText"/>
        <w:rPr>
          <w:sz w:val="22"/>
        </w:rPr>
      </w:pPr>
    </w:p>
    <w:p>
      <w:pPr>
        <w:pStyle w:val="BodyText"/>
        <w:spacing w:line="364" w:lineRule="auto" w:before="155"/>
        <w:ind w:left="115" w:right="196"/>
        <w:jc w:val="both"/>
      </w:pPr>
      <w:r>
        <w:rPr>
          <w:spacing w:val="-3"/>
        </w:rPr>
        <w:t>INEGI (Instituto </w:t>
      </w:r>
      <w:r>
        <w:rPr>
          <w:spacing w:val="-4"/>
        </w:rPr>
        <w:t>Nacional </w:t>
      </w:r>
      <w:r>
        <w:rPr>
          <w:spacing w:val="-3"/>
        </w:rPr>
        <w:t>de Estadística, </w:t>
      </w:r>
      <w:r>
        <w:rPr>
          <w:spacing w:val="-4"/>
        </w:rPr>
        <w:t>Geografía </w:t>
      </w:r>
      <w:r>
        <w:rPr/>
        <w:t>e </w:t>
      </w:r>
      <w:r>
        <w:rPr>
          <w:spacing w:val="-4"/>
        </w:rPr>
        <w:t>Informática). 1996ª. </w:t>
      </w:r>
      <w:r>
        <w:rPr>
          <w:spacing w:val="-3"/>
        </w:rPr>
        <w:t>Conteo </w:t>
      </w:r>
      <w:r>
        <w:rPr/>
        <w:t>de </w:t>
      </w:r>
      <w:r>
        <w:rPr>
          <w:spacing w:val="-3"/>
        </w:rPr>
        <w:t>Población </w:t>
      </w:r>
      <w:r>
        <w:rPr/>
        <w:t>y </w:t>
      </w:r>
      <w:r>
        <w:rPr>
          <w:spacing w:val="-3"/>
        </w:rPr>
        <w:t>Vivienda 1995. Perfil sociodemográfico. Morelos. México  </w:t>
      </w:r>
      <w:r>
        <w:rPr/>
        <w:t>.</w:t>
      </w:r>
    </w:p>
    <w:p>
      <w:pPr>
        <w:pStyle w:val="BodyText"/>
        <w:rPr>
          <w:sz w:val="22"/>
        </w:rPr>
      </w:pPr>
    </w:p>
    <w:p>
      <w:pPr>
        <w:pStyle w:val="BodyText"/>
        <w:spacing w:line="367" w:lineRule="auto" w:before="155"/>
        <w:ind w:left="115" w:right="259"/>
      </w:pPr>
      <w:r>
        <w:rPr>
          <w:spacing w:val="-3"/>
        </w:rPr>
        <w:t>INEGI. </w:t>
      </w:r>
      <w:r>
        <w:rPr>
          <w:spacing w:val="-4"/>
        </w:rPr>
        <w:t>1996b. </w:t>
      </w:r>
      <w:r>
        <w:rPr>
          <w:spacing w:val="-3"/>
        </w:rPr>
        <w:t>Conteo de Población </w:t>
      </w:r>
      <w:r>
        <w:rPr/>
        <w:t>y </w:t>
      </w:r>
      <w:r>
        <w:rPr>
          <w:spacing w:val="-3"/>
        </w:rPr>
        <w:t>Vivienda 1995. Resultados Definitivos. Morelos. México</w:t>
      </w:r>
    </w:p>
    <w:p>
      <w:pPr>
        <w:pStyle w:val="BodyText"/>
        <w:ind w:left="115"/>
        <w:jc w:val="both"/>
      </w:pPr>
      <w:r>
        <w:rPr>
          <w:spacing w:val="-3"/>
        </w:rPr>
        <w:t>INEGI. </w:t>
      </w:r>
      <w:r>
        <w:rPr>
          <w:spacing w:val="-4"/>
        </w:rPr>
        <w:t>1996c. Tangancícuaro, </w:t>
      </w:r>
      <w:r>
        <w:rPr>
          <w:spacing w:val="-3"/>
        </w:rPr>
        <w:t>Estado </w:t>
      </w:r>
      <w:r>
        <w:rPr/>
        <w:t>de </w:t>
      </w:r>
      <w:r>
        <w:rPr>
          <w:spacing w:val="-4"/>
        </w:rPr>
        <w:t>Michoacán. </w:t>
      </w:r>
      <w:r>
        <w:rPr>
          <w:spacing w:val="48"/>
        </w:rPr>
        <w:t> </w:t>
      </w:r>
      <w:r>
        <w:rPr>
          <w:spacing w:val="-3"/>
        </w:rPr>
        <w:t>México.</w:t>
      </w:r>
    </w:p>
    <w:p>
      <w:pPr>
        <w:pStyle w:val="BodyText"/>
        <w:rPr>
          <w:sz w:val="22"/>
        </w:rPr>
      </w:pPr>
    </w:p>
    <w:p>
      <w:pPr>
        <w:pStyle w:val="BodyText"/>
        <w:spacing w:before="1"/>
        <w:rPr>
          <w:sz w:val="25"/>
        </w:rPr>
      </w:pPr>
    </w:p>
    <w:p>
      <w:pPr>
        <w:pStyle w:val="BodyText"/>
        <w:ind w:left="115"/>
        <w:jc w:val="both"/>
      </w:pPr>
      <w:r>
        <w:rPr/>
        <w:t>INEGI. 1994. XI Censo General de Población y Vivienda 1990.  México.</w:t>
      </w:r>
    </w:p>
    <w:p>
      <w:pPr>
        <w:pStyle w:val="BodyText"/>
        <w:rPr>
          <w:sz w:val="22"/>
        </w:rPr>
      </w:pPr>
    </w:p>
    <w:p>
      <w:pPr>
        <w:pStyle w:val="BodyText"/>
        <w:spacing w:before="1"/>
        <w:rPr>
          <w:sz w:val="25"/>
        </w:rPr>
      </w:pPr>
    </w:p>
    <w:p>
      <w:pPr>
        <w:pStyle w:val="BodyText"/>
        <w:spacing w:line="364" w:lineRule="auto"/>
        <w:ind w:left="115" w:right="104"/>
        <w:jc w:val="both"/>
      </w:pPr>
      <w:r>
        <w:rPr/>
        <w:t>INEGI. 1994. XI Censo General de Población y Vivienda 1990. Morelos. Resultados definitivos. México.</w:t>
      </w:r>
    </w:p>
    <w:p>
      <w:pPr>
        <w:pStyle w:val="BodyText"/>
        <w:rPr>
          <w:sz w:val="22"/>
        </w:rPr>
      </w:pPr>
    </w:p>
    <w:p>
      <w:pPr>
        <w:pStyle w:val="BodyText"/>
        <w:spacing w:before="155"/>
        <w:ind w:left="115"/>
        <w:jc w:val="both"/>
      </w:pPr>
      <w:r>
        <w:rPr/>
        <w:t>INEGI. 1993. VII Censo Agrícola Ganadero 1991.  México.</w:t>
      </w:r>
    </w:p>
    <w:p>
      <w:pPr>
        <w:pStyle w:val="BodyText"/>
        <w:rPr>
          <w:sz w:val="22"/>
        </w:rPr>
      </w:pPr>
    </w:p>
    <w:p>
      <w:pPr>
        <w:pStyle w:val="BodyText"/>
        <w:spacing w:before="1"/>
        <w:rPr>
          <w:sz w:val="25"/>
        </w:rPr>
      </w:pPr>
    </w:p>
    <w:p>
      <w:pPr>
        <w:pStyle w:val="BodyText"/>
        <w:spacing w:line="364" w:lineRule="auto"/>
        <w:ind w:left="115" w:right="100"/>
        <w:jc w:val="both"/>
      </w:pPr>
      <w:r>
        <w:rPr/>
        <w:t>Janvry, De, A. y E. Sadolulet. 1995. Quantitative Development Policy Analysis. The Johns Hopkins University Press. Baltimore y  Londres.</w:t>
      </w:r>
    </w:p>
    <w:p>
      <w:pPr>
        <w:pStyle w:val="BodyText"/>
        <w:rPr>
          <w:sz w:val="22"/>
        </w:rPr>
      </w:pPr>
    </w:p>
    <w:p>
      <w:pPr>
        <w:pStyle w:val="BodyText"/>
        <w:spacing w:line="364" w:lineRule="auto" w:before="155"/>
        <w:ind w:left="115" w:right="103"/>
        <w:jc w:val="both"/>
      </w:pPr>
      <w:r>
        <w:rPr>
          <w:spacing w:val="-4"/>
        </w:rPr>
        <w:t>Janvry, </w:t>
      </w:r>
      <w:r>
        <w:rPr/>
        <w:t>De, A., </w:t>
      </w:r>
      <w:r>
        <w:rPr>
          <w:spacing w:val="-3"/>
        </w:rPr>
        <w:t>E. Sadoluet, B. Davis, K. Seidel </w:t>
      </w:r>
      <w:r>
        <w:rPr/>
        <w:t>y P. Winters. </w:t>
      </w:r>
      <w:r>
        <w:rPr>
          <w:spacing w:val="-4"/>
        </w:rPr>
        <w:t>1997. </w:t>
      </w:r>
      <w:r>
        <w:rPr>
          <w:spacing w:val="-3"/>
        </w:rPr>
        <w:t>“Determinants </w:t>
      </w:r>
      <w:r>
        <w:rPr>
          <w:spacing w:val="-4"/>
        </w:rPr>
        <w:t>of</w:t>
      </w:r>
      <w:r>
        <w:rPr>
          <w:spacing w:val="55"/>
        </w:rPr>
        <w:t> </w:t>
      </w:r>
      <w:r>
        <w:rPr>
          <w:spacing w:val="-3"/>
        </w:rPr>
        <w:t>Mexico-U.S. migration: The role </w:t>
      </w:r>
      <w:r>
        <w:rPr>
          <w:spacing w:val="-4"/>
        </w:rPr>
        <w:t>of </w:t>
      </w:r>
      <w:r>
        <w:rPr>
          <w:spacing w:val="-3"/>
        </w:rPr>
        <w:t>household assets and environmental factors”. Natural Heritage Institute. University </w:t>
      </w:r>
      <w:r>
        <w:rPr/>
        <w:t>of </w:t>
      </w:r>
      <w:r>
        <w:rPr>
          <w:spacing w:val="-3"/>
        </w:rPr>
        <w:t>California </w:t>
      </w:r>
      <w:r>
        <w:rPr/>
        <w:t>at </w:t>
      </w:r>
      <w:r>
        <w:rPr>
          <w:spacing w:val="-4"/>
        </w:rPr>
        <w:t>Berkeley. </w:t>
      </w:r>
      <w:hyperlink r:id="rId30">
        <w:r>
          <w:rPr>
            <w:spacing w:val="-4"/>
          </w:rPr>
          <w:t>www.agecon.lib.umn.edu.</w:t>
        </w:r>
      </w:hyperlink>
    </w:p>
    <w:p>
      <w:pPr>
        <w:pStyle w:val="BodyText"/>
        <w:rPr>
          <w:sz w:val="22"/>
        </w:rPr>
      </w:pPr>
    </w:p>
    <w:p>
      <w:pPr>
        <w:pStyle w:val="BodyText"/>
        <w:spacing w:before="155"/>
        <w:ind w:left="115"/>
        <w:jc w:val="both"/>
      </w:pPr>
      <w:r>
        <w:rPr/>
        <w:t>Jornada, LA (periódico); Varios Números;</w:t>
      </w:r>
      <w:r>
        <w:rPr>
          <w:spacing w:val="57"/>
        </w:rPr>
        <w:t> </w:t>
      </w:r>
      <w:r>
        <w:rPr/>
        <w:t>México.</w:t>
      </w:r>
    </w:p>
    <w:p>
      <w:pPr>
        <w:pStyle w:val="BodyText"/>
        <w:rPr>
          <w:sz w:val="22"/>
        </w:rPr>
      </w:pPr>
    </w:p>
    <w:p>
      <w:pPr>
        <w:pStyle w:val="BodyText"/>
        <w:spacing w:before="1"/>
        <w:rPr>
          <w:sz w:val="25"/>
        </w:rPr>
      </w:pPr>
    </w:p>
    <w:p>
      <w:pPr>
        <w:pStyle w:val="BodyText"/>
        <w:spacing w:line="364" w:lineRule="auto"/>
        <w:ind w:left="115" w:right="104"/>
        <w:jc w:val="both"/>
      </w:pPr>
      <w:r>
        <w:rPr>
          <w:spacing w:val="-3"/>
        </w:rPr>
        <w:t>Kiser, </w:t>
      </w:r>
      <w:r>
        <w:rPr>
          <w:spacing w:val="-4"/>
        </w:rPr>
        <w:t>G. </w:t>
      </w:r>
      <w:r>
        <w:rPr/>
        <w:t>C. y M. Woody K. </w:t>
      </w:r>
      <w:r>
        <w:rPr>
          <w:spacing w:val="-4"/>
        </w:rPr>
        <w:t>1979. </w:t>
      </w:r>
      <w:r>
        <w:rPr>
          <w:spacing w:val="-3"/>
        </w:rPr>
        <w:t>Mexican Workers </w:t>
      </w:r>
      <w:r>
        <w:rPr/>
        <w:t>in the </w:t>
      </w:r>
      <w:r>
        <w:rPr>
          <w:spacing w:val="-3"/>
        </w:rPr>
        <w:t>United states. </w:t>
      </w:r>
      <w:r>
        <w:rPr>
          <w:spacing w:val="-4"/>
        </w:rPr>
        <w:t>Historical</w:t>
      </w:r>
      <w:r>
        <w:rPr>
          <w:spacing w:val="55"/>
        </w:rPr>
        <w:t> </w:t>
      </w:r>
      <w:r>
        <w:rPr>
          <w:spacing w:val="-3"/>
        </w:rPr>
        <w:t>and political </w:t>
      </w:r>
      <w:r>
        <w:rPr>
          <w:spacing w:val="-4"/>
        </w:rPr>
        <w:t>perspectives. </w:t>
      </w:r>
      <w:r>
        <w:rPr>
          <w:spacing w:val="-3"/>
        </w:rPr>
        <w:t>University </w:t>
      </w:r>
      <w:r>
        <w:rPr/>
        <w:t>of New </w:t>
      </w:r>
      <w:r>
        <w:rPr>
          <w:spacing w:val="-3"/>
        </w:rPr>
        <w:t>Mexico </w:t>
      </w:r>
      <w:r>
        <w:rPr>
          <w:spacing w:val="-4"/>
        </w:rPr>
        <w:t>Press. Albuquerque. </w:t>
      </w:r>
      <w:r>
        <w:rPr>
          <w:spacing w:val="-3"/>
        </w:rPr>
        <w:t>Citado </w:t>
      </w:r>
      <w:r>
        <w:rPr/>
        <w:t>por </w:t>
      </w:r>
      <w:r>
        <w:rPr>
          <w:spacing w:val="-3"/>
        </w:rPr>
        <w:t>Rionda.</w:t>
      </w:r>
      <w:r>
        <w:rPr>
          <w:spacing w:val="18"/>
        </w:rPr>
        <w:t> </w:t>
      </w:r>
      <w:r>
        <w:rPr>
          <w:spacing w:val="-3"/>
        </w:rPr>
        <w:t>1992.</w:t>
      </w:r>
    </w:p>
    <w:p>
      <w:pPr>
        <w:spacing w:after="0" w:line="364" w:lineRule="auto"/>
        <w:jc w:val="both"/>
        <w:sectPr>
          <w:footerReference w:type="default" r:id="rId29"/>
          <w:pgSz w:w="11900" w:h="16840"/>
          <w:pgMar w:footer="1679" w:header="0" w:top="1600" w:bottom="1860" w:left="1540" w:right="1580"/>
          <w:pgNumType w:start="90"/>
        </w:sectPr>
      </w:pPr>
    </w:p>
    <w:p>
      <w:pPr>
        <w:pStyle w:val="BodyText"/>
        <w:rPr>
          <w:sz w:val="20"/>
        </w:rPr>
      </w:pPr>
    </w:p>
    <w:p>
      <w:pPr>
        <w:pStyle w:val="BodyText"/>
        <w:spacing w:before="7"/>
        <w:rPr>
          <w:sz w:val="16"/>
        </w:rPr>
      </w:pPr>
    </w:p>
    <w:p>
      <w:pPr>
        <w:pStyle w:val="BodyText"/>
        <w:spacing w:line="364" w:lineRule="auto" w:before="74"/>
        <w:ind w:left="115" w:right="105"/>
        <w:jc w:val="both"/>
      </w:pPr>
      <w:r>
        <w:rPr/>
        <w:t>Leal C., S. 1963. Importancia Económica y Social de la Población Mexicana en Estados Unidos de Norteamérica. Tesis LE, ENE-UNAM,  México.</w:t>
      </w:r>
    </w:p>
    <w:p>
      <w:pPr>
        <w:pStyle w:val="BodyText"/>
        <w:rPr>
          <w:sz w:val="22"/>
        </w:rPr>
      </w:pPr>
    </w:p>
    <w:p>
      <w:pPr>
        <w:pStyle w:val="BodyText"/>
        <w:spacing w:line="364" w:lineRule="auto" w:before="155"/>
        <w:ind w:left="115" w:right="105"/>
        <w:jc w:val="both"/>
      </w:pPr>
      <w:r>
        <w:rPr/>
        <w:t>Lara F., S. M. 1998. Nuevas Experiencias Productivas y Nuevas Formas de Organización Flexible del Trabajo Agrícola. Juan Pablos Editores y Procuraduría Agraria. México.</w:t>
      </w:r>
    </w:p>
    <w:p>
      <w:pPr>
        <w:pStyle w:val="BodyText"/>
        <w:rPr>
          <w:sz w:val="22"/>
        </w:rPr>
      </w:pPr>
    </w:p>
    <w:p>
      <w:pPr>
        <w:pStyle w:val="BodyText"/>
        <w:spacing w:line="364" w:lineRule="auto" w:before="155"/>
        <w:ind w:left="115" w:right="108"/>
        <w:jc w:val="both"/>
      </w:pPr>
      <w:r>
        <w:rPr/>
        <w:t>Lollock, L. 2001. “The foreign born population in the United states: March 2000, Current Population Reports, P20-534, U.S. Census Bureau, Washington,  D.C.</w:t>
      </w:r>
    </w:p>
    <w:p>
      <w:pPr>
        <w:pStyle w:val="BodyText"/>
        <w:rPr>
          <w:sz w:val="22"/>
        </w:rPr>
      </w:pPr>
    </w:p>
    <w:p>
      <w:pPr>
        <w:pStyle w:val="BodyText"/>
        <w:spacing w:line="364" w:lineRule="auto" w:before="155"/>
        <w:ind w:left="115" w:right="108"/>
        <w:jc w:val="both"/>
      </w:pPr>
      <w:r>
        <w:rPr/>
        <w:t>López C., G. 1986a. “Tangancícuaro: Población y Migración” in Herrejón P., C. (Coordinador). Estudios Michoacanos. El Colegio de Michoacán. Zamora,  México.</w:t>
      </w:r>
    </w:p>
    <w:p>
      <w:pPr>
        <w:pStyle w:val="BodyText"/>
        <w:rPr>
          <w:sz w:val="22"/>
        </w:rPr>
      </w:pPr>
    </w:p>
    <w:p>
      <w:pPr>
        <w:pStyle w:val="BodyText"/>
        <w:spacing w:line="364" w:lineRule="auto" w:before="155"/>
        <w:ind w:left="115" w:right="105"/>
        <w:jc w:val="both"/>
      </w:pPr>
      <w:r>
        <w:rPr/>
        <w:t>López C., G. 1986b. La Casa Dividida: Un estudio de caso sobre la migración a Estados Unidos en un pueblo michoacano. El Colegio de Michoacán.  México.</w:t>
      </w:r>
    </w:p>
    <w:p>
      <w:pPr>
        <w:pStyle w:val="BodyText"/>
        <w:rPr>
          <w:sz w:val="22"/>
        </w:rPr>
      </w:pPr>
    </w:p>
    <w:p>
      <w:pPr>
        <w:pStyle w:val="BodyText"/>
        <w:spacing w:line="367" w:lineRule="auto" w:before="155"/>
        <w:ind w:left="115" w:right="108"/>
        <w:jc w:val="both"/>
      </w:pPr>
      <w:r>
        <w:rPr/>
        <w:t>López G., J. 1994. “Salarios y ganancias en la economía mexicana” en BANCOMEXT. Revista de Comercio Exterior, Vol. 44 Nº 5, México. Pp  393-399.</w:t>
      </w:r>
    </w:p>
    <w:p>
      <w:pPr>
        <w:pStyle w:val="BodyText"/>
        <w:rPr>
          <w:sz w:val="22"/>
        </w:rPr>
      </w:pPr>
    </w:p>
    <w:p>
      <w:pPr>
        <w:pStyle w:val="BodyText"/>
        <w:spacing w:line="364" w:lineRule="auto" w:before="150"/>
        <w:ind w:left="115" w:right="100"/>
        <w:jc w:val="both"/>
      </w:pPr>
      <w:r>
        <w:rPr>
          <w:spacing w:val="-3"/>
        </w:rPr>
        <w:t>Lozano-Ascencio, </w:t>
      </w:r>
      <w:r>
        <w:rPr/>
        <w:t>F. </w:t>
      </w:r>
      <w:r>
        <w:rPr>
          <w:spacing w:val="-4"/>
        </w:rPr>
        <w:t>1996. </w:t>
      </w:r>
      <w:r>
        <w:rPr>
          <w:spacing w:val="-3"/>
        </w:rPr>
        <w:t>“La migración </w:t>
      </w:r>
      <w:r>
        <w:rPr>
          <w:spacing w:val="-4"/>
        </w:rPr>
        <w:t>internacional </w:t>
      </w:r>
      <w:r>
        <w:rPr/>
        <w:t>y </w:t>
      </w:r>
      <w:r>
        <w:rPr>
          <w:spacing w:val="-3"/>
        </w:rPr>
        <w:t>remesas: cambios en el quinquenio 1990-1995” </w:t>
      </w:r>
      <w:r>
        <w:rPr/>
        <w:t>in </w:t>
      </w:r>
      <w:r>
        <w:rPr>
          <w:spacing w:val="-3"/>
        </w:rPr>
        <w:t>Memoria del Coloquio </w:t>
      </w:r>
      <w:r>
        <w:rPr>
          <w:spacing w:val="-4"/>
        </w:rPr>
        <w:t>Internacional</w:t>
      </w:r>
      <w:r>
        <w:rPr>
          <w:spacing w:val="55"/>
        </w:rPr>
        <w:t> </w:t>
      </w:r>
      <w:r>
        <w:rPr>
          <w:spacing w:val="-4"/>
        </w:rPr>
        <w:t>sobre</w:t>
      </w:r>
      <w:r>
        <w:rPr>
          <w:spacing w:val="55"/>
        </w:rPr>
        <w:t> </w:t>
      </w:r>
      <w:r>
        <w:rPr>
          <w:spacing w:val="-3"/>
        </w:rPr>
        <w:t>Migración Mexicana </w:t>
      </w:r>
      <w:r>
        <w:rPr/>
        <w:t>a </w:t>
      </w:r>
      <w:r>
        <w:rPr>
          <w:spacing w:val="-3"/>
        </w:rPr>
        <w:t>Estados Unidos, </w:t>
      </w:r>
      <w:r>
        <w:rPr>
          <w:spacing w:val="-4"/>
        </w:rPr>
        <w:t>Guanajuato </w:t>
      </w:r>
      <w:r>
        <w:rPr/>
        <w:t>, </w:t>
      </w:r>
      <w:r>
        <w:rPr>
          <w:spacing w:val="-3"/>
        </w:rPr>
        <w:t>México. </w:t>
      </w:r>
      <w:r>
        <w:rPr>
          <w:spacing w:val="-4"/>
        </w:rPr>
        <w:t>Citado </w:t>
      </w:r>
      <w:r>
        <w:rPr>
          <w:spacing w:val="-3"/>
        </w:rPr>
        <w:t>por Cebada, </w:t>
      </w:r>
      <w:r>
        <w:rPr>
          <w:spacing w:val="56"/>
        </w:rPr>
        <w:t> </w:t>
      </w:r>
      <w:r>
        <w:rPr>
          <w:spacing w:val="-4"/>
        </w:rPr>
        <w:t>2000.</w:t>
      </w:r>
    </w:p>
    <w:p>
      <w:pPr>
        <w:pStyle w:val="BodyText"/>
        <w:rPr>
          <w:sz w:val="22"/>
        </w:rPr>
      </w:pPr>
    </w:p>
    <w:p>
      <w:pPr>
        <w:pStyle w:val="BodyText"/>
        <w:spacing w:line="364" w:lineRule="auto" w:before="155"/>
        <w:ind w:left="115" w:right="106"/>
        <w:jc w:val="both"/>
      </w:pPr>
      <w:r>
        <w:rPr>
          <w:spacing w:val="-3"/>
        </w:rPr>
        <w:t>Lozano-Ascencio, </w:t>
      </w:r>
      <w:r>
        <w:rPr>
          <w:spacing w:val="-4"/>
        </w:rPr>
        <w:t>F.1997a.“Remesas:¿fuente </w:t>
      </w:r>
      <w:r>
        <w:rPr>
          <w:spacing w:val="-3"/>
        </w:rPr>
        <w:t>inagotable </w:t>
      </w:r>
      <w:r>
        <w:rPr/>
        <w:t>de  </w:t>
      </w:r>
      <w:r>
        <w:rPr>
          <w:spacing w:val="-3"/>
        </w:rPr>
        <w:t>divisas?”  </w:t>
      </w:r>
      <w:r>
        <w:rPr/>
        <w:t>in  </w:t>
      </w:r>
      <w:r>
        <w:rPr>
          <w:spacing w:val="-3"/>
        </w:rPr>
        <w:t>Ciudades </w:t>
      </w:r>
      <w:r>
        <w:rPr/>
        <w:t>Nº </w:t>
      </w:r>
      <w:r>
        <w:rPr>
          <w:spacing w:val="-3"/>
        </w:rPr>
        <w:t>35. Citado por Meyers. </w:t>
      </w:r>
      <w:r>
        <w:rPr>
          <w:spacing w:val="-4"/>
        </w:rPr>
        <w:t>2000.</w:t>
      </w:r>
    </w:p>
    <w:p>
      <w:pPr>
        <w:pStyle w:val="BodyText"/>
        <w:rPr>
          <w:sz w:val="22"/>
        </w:rPr>
      </w:pPr>
    </w:p>
    <w:p>
      <w:pPr>
        <w:pStyle w:val="BodyText"/>
        <w:spacing w:line="364" w:lineRule="auto" w:before="155"/>
        <w:ind w:left="115" w:right="103"/>
        <w:jc w:val="both"/>
      </w:pPr>
      <w:r>
        <w:rPr>
          <w:spacing w:val="-3"/>
        </w:rPr>
        <w:t>Lozano-Ascencio, </w:t>
      </w:r>
      <w:r>
        <w:rPr>
          <w:spacing w:val="-4"/>
        </w:rPr>
        <w:t>F.1997b.“Immigration,</w:t>
      </w:r>
      <w:r>
        <w:rPr>
          <w:spacing w:val="55"/>
        </w:rPr>
        <w:t> </w:t>
      </w:r>
      <w:r>
        <w:rPr>
          <w:spacing w:val="-4"/>
        </w:rPr>
        <w:t>Settlement</w:t>
      </w:r>
      <w:r>
        <w:rPr>
          <w:spacing w:val="55"/>
        </w:rPr>
        <w:t> </w:t>
      </w:r>
      <w:r>
        <w:rPr/>
        <w:t>in the </w:t>
      </w:r>
      <w:r>
        <w:rPr>
          <w:spacing w:val="-3"/>
        </w:rPr>
        <w:t>United States, and Remittances: Evidence </w:t>
      </w:r>
      <w:r>
        <w:rPr/>
        <w:t>from the </w:t>
      </w:r>
      <w:r>
        <w:rPr>
          <w:spacing w:val="-3"/>
        </w:rPr>
        <w:t>mexican case. Ponencia. Reunión Anual </w:t>
      </w:r>
      <w:r>
        <w:rPr/>
        <w:t>de </w:t>
      </w:r>
      <w:r>
        <w:rPr>
          <w:spacing w:val="-3"/>
        </w:rPr>
        <w:t>PAA, marzo </w:t>
      </w:r>
      <w:r>
        <w:rPr/>
        <w:t>de </w:t>
      </w:r>
      <w:r>
        <w:rPr>
          <w:spacing w:val="-3"/>
        </w:rPr>
        <w:t>1997. Citado por Meyers.</w:t>
      </w:r>
      <w:r>
        <w:rPr>
          <w:spacing w:val="51"/>
        </w:rPr>
        <w:t> </w:t>
      </w:r>
      <w:r>
        <w:rPr>
          <w:spacing w:val="-4"/>
        </w:rPr>
        <w:t>2000.</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0"/>
        <w:jc w:val="both"/>
      </w:pPr>
      <w:r>
        <w:rPr>
          <w:spacing w:val="-3"/>
        </w:rPr>
        <w:t>Macías G., </w:t>
      </w:r>
      <w:r>
        <w:rPr/>
        <w:t>S. </w:t>
      </w:r>
      <w:r>
        <w:rPr>
          <w:spacing w:val="-4"/>
        </w:rPr>
        <w:t>1997.</w:t>
      </w:r>
      <w:r>
        <w:rPr>
          <w:spacing w:val="55"/>
        </w:rPr>
        <w:t> </w:t>
      </w:r>
      <w:r>
        <w:rPr>
          <w:spacing w:val="-3"/>
        </w:rPr>
        <w:t>Transmigración Laboral </w:t>
      </w:r>
      <w:r>
        <w:rPr/>
        <w:t>y </w:t>
      </w:r>
      <w:r>
        <w:rPr>
          <w:spacing w:val="-3"/>
        </w:rPr>
        <w:t>Movilidad Social </w:t>
      </w:r>
      <w:r>
        <w:rPr/>
        <w:t>in </w:t>
      </w:r>
      <w:r>
        <w:rPr>
          <w:spacing w:val="-3"/>
        </w:rPr>
        <w:t>Economía Internacional </w:t>
      </w:r>
      <w:r>
        <w:rPr/>
        <w:t>Nº </w:t>
      </w:r>
      <w:r>
        <w:rPr>
          <w:spacing w:val="-3"/>
        </w:rPr>
        <w:t>54, abril-junio. Benemérita </w:t>
      </w:r>
      <w:r>
        <w:rPr>
          <w:spacing w:val="-4"/>
        </w:rPr>
        <w:t>Universidad</w:t>
      </w:r>
      <w:r>
        <w:rPr>
          <w:spacing w:val="55"/>
        </w:rPr>
        <w:t> </w:t>
      </w:r>
      <w:r>
        <w:rPr>
          <w:spacing w:val="-3"/>
        </w:rPr>
        <w:t>Autónoma </w:t>
      </w:r>
      <w:r>
        <w:rPr/>
        <w:t>de  </w:t>
      </w:r>
      <w:r>
        <w:rPr>
          <w:spacing w:val="-3"/>
        </w:rPr>
        <w:t>Puebla (BUAP). </w:t>
      </w:r>
      <w:r>
        <w:rPr/>
        <w:t>Pp </w:t>
      </w:r>
      <w:r>
        <w:rPr>
          <w:spacing w:val="-4"/>
        </w:rPr>
        <w:t>59-74.</w:t>
      </w:r>
    </w:p>
    <w:p>
      <w:pPr>
        <w:pStyle w:val="BodyText"/>
        <w:rPr>
          <w:sz w:val="22"/>
        </w:rPr>
      </w:pPr>
    </w:p>
    <w:p>
      <w:pPr>
        <w:pStyle w:val="BodyText"/>
        <w:spacing w:line="367" w:lineRule="auto" w:before="153"/>
        <w:ind w:left="115" w:right="100"/>
        <w:jc w:val="both"/>
      </w:pPr>
      <w:r>
        <w:rPr/>
        <w:t>Maloney, W. F. 1998. “Are labor markets in developing countries dualistic?” World Bank, Policy Research Working Paper Nº 1941. Washington,  D.C.</w:t>
      </w:r>
    </w:p>
    <w:p>
      <w:pPr>
        <w:pStyle w:val="BodyText"/>
        <w:rPr>
          <w:sz w:val="22"/>
        </w:rPr>
      </w:pPr>
    </w:p>
    <w:p>
      <w:pPr>
        <w:pStyle w:val="BodyText"/>
        <w:spacing w:line="364" w:lineRule="auto" w:before="152"/>
        <w:ind w:left="115" w:right="100"/>
        <w:jc w:val="both"/>
      </w:pPr>
      <w:r>
        <w:rPr>
          <w:spacing w:val="-3"/>
        </w:rPr>
        <w:t>Márquez </w:t>
      </w:r>
      <w:r>
        <w:rPr/>
        <w:t>P., C y J. </w:t>
      </w:r>
      <w:r>
        <w:rPr>
          <w:spacing w:val="-4"/>
        </w:rPr>
        <w:t>Ros. </w:t>
      </w:r>
      <w:r>
        <w:rPr>
          <w:spacing w:val="-3"/>
        </w:rPr>
        <w:t>1990. “Segmentación </w:t>
      </w:r>
      <w:r>
        <w:rPr/>
        <w:t>del </w:t>
      </w:r>
      <w:r>
        <w:rPr>
          <w:spacing w:val="-3"/>
        </w:rPr>
        <w:t>mercado de trabajo </w:t>
      </w:r>
      <w:r>
        <w:rPr/>
        <w:t>y </w:t>
      </w:r>
      <w:r>
        <w:rPr>
          <w:spacing w:val="-3"/>
        </w:rPr>
        <w:t>desarrollo económico </w:t>
      </w:r>
      <w:r>
        <w:rPr/>
        <w:t>en </w:t>
      </w:r>
      <w:r>
        <w:rPr>
          <w:spacing w:val="-3"/>
        </w:rPr>
        <w:t>México” El </w:t>
      </w:r>
      <w:r>
        <w:rPr>
          <w:spacing w:val="-4"/>
        </w:rPr>
        <w:t>Trimestre </w:t>
      </w:r>
      <w:r>
        <w:rPr>
          <w:spacing w:val="-3"/>
        </w:rPr>
        <w:t>Económico. Fondo </w:t>
      </w:r>
      <w:r>
        <w:rPr/>
        <w:t>de </w:t>
      </w:r>
      <w:r>
        <w:rPr>
          <w:spacing w:val="-3"/>
        </w:rPr>
        <w:t>Cultura  Económica.  Nº 226, abril-junio. México.</w:t>
      </w:r>
      <w:r>
        <w:rPr>
          <w:spacing w:val="54"/>
        </w:rPr>
        <w:t> </w:t>
      </w:r>
      <w:r>
        <w:rPr>
          <w:spacing w:val="-4"/>
        </w:rPr>
        <w:t>Pp343-378.</w:t>
      </w:r>
    </w:p>
    <w:p>
      <w:pPr>
        <w:pStyle w:val="BodyText"/>
        <w:rPr>
          <w:sz w:val="22"/>
        </w:rPr>
      </w:pPr>
    </w:p>
    <w:p>
      <w:pPr>
        <w:pStyle w:val="BodyText"/>
        <w:spacing w:line="364" w:lineRule="auto" w:before="155"/>
        <w:ind w:left="115" w:right="101"/>
        <w:jc w:val="both"/>
      </w:pPr>
      <w:r>
        <w:rPr>
          <w:spacing w:val="-3"/>
        </w:rPr>
        <w:t>Martin, </w:t>
      </w:r>
      <w:r>
        <w:rPr/>
        <w:t>P. </w:t>
      </w:r>
      <w:r>
        <w:rPr>
          <w:spacing w:val="-4"/>
        </w:rPr>
        <w:t>1990.</w:t>
      </w:r>
      <w:r>
        <w:rPr>
          <w:spacing w:val="55"/>
        </w:rPr>
        <w:t> </w:t>
      </w:r>
      <w:r>
        <w:rPr>
          <w:spacing w:val="-3"/>
        </w:rPr>
        <w:t>Labor migration and economic </w:t>
      </w:r>
      <w:r>
        <w:rPr>
          <w:spacing w:val="-4"/>
        </w:rPr>
        <w:t>development,</w:t>
      </w:r>
      <w:r>
        <w:rPr>
          <w:spacing w:val="55"/>
        </w:rPr>
        <w:t> </w:t>
      </w:r>
      <w:r>
        <w:rPr>
          <w:spacing w:val="-3"/>
        </w:rPr>
        <w:t>informe </w:t>
      </w:r>
      <w:r>
        <w:rPr/>
        <w:t>de la </w:t>
      </w:r>
      <w:r>
        <w:rPr>
          <w:spacing w:val="-3"/>
        </w:rPr>
        <w:t>Commission </w:t>
      </w:r>
      <w:r>
        <w:rPr/>
        <w:t>for the </w:t>
      </w:r>
      <w:r>
        <w:rPr>
          <w:spacing w:val="-3"/>
        </w:rPr>
        <w:t>Study of </w:t>
      </w:r>
      <w:r>
        <w:rPr>
          <w:spacing w:val="-4"/>
        </w:rPr>
        <w:t>International </w:t>
      </w:r>
      <w:r>
        <w:rPr>
          <w:spacing w:val="-3"/>
        </w:rPr>
        <w:t>Migration and Cooperative Economic Development. </w:t>
      </w:r>
      <w:r>
        <w:rPr>
          <w:spacing w:val="-4"/>
        </w:rPr>
        <w:t>Government </w:t>
      </w:r>
      <w:r>
        <w:rPr>
          <w:spacing w:val="-3"/>
        </w:rPr>
        <w:t>Printing Office.  Washington.</w:t>
      </w:r>
    </w:p>
    <w:p>
      <w:pPr>
        <w:pStyle w:val="BodyText"/>
        <w:rPr>
          <w:sz w:val="22"/>
        </w:rPr>
      </w:pPr>
    </w:p>
    <w:p>
      <w:pPr>
        <w:pStyle w:val="BodyText"/>
        <w:spacing w:line="364" w:lineRule="auto" w:before="155"/>
        <w:ind w:left="115" w:right="100"/>
      </w:pPr>
      <w:r>
        <w:rPr/>
        <w:t>Martínez S., T. 1988. Historia Social de la Agricultura I. Mimeo, Departamento de Economía Agrícola. Universidad Autónoma Chapingo.  México.</w:t>
      </w:r>
    </w:p>
    <w:p>
      <w:pPr>
        <w:pStyle w:val="BodyText"/>
        <w:rPr>
          <w:sz w:val="22"/>
        </w:rPr>
      </w:pPr>
    </w:p>
    <w:p>
      <w:pPr>
        <w:pStyle w:val="BodyText"/>
        <w:spacing w:line="364" w:lineRule="auto" w:before="155"/>
        <w:ind w:left="115" w:right="103"/>
        <w:jc w:val="both"/>
      </w:pPr>
      <w:r>
        <w:rPr>
          <w:spacing w:val="-4"/>
        </w:rPr>
        <w:t>Massey, </w:t>
      </w:r>
      <w:r>
        <w:rPr/>
        <w:t>D. S., R. </w:t>
      </w:r>
      <w:r>
        <w:rPr>
          <w:spacing w:val="-4"/>
        </w:rPr>
        <w:t>Alarcón, </w:t>
      </w:r>
      <w:r>
        <w:rPr/>
        <w:t>J. </w:t>
      </w:r>
      <w:r>
        <w:rPr>
          <w:spacing w:val="-3"/>
        </w:rPr>
        <w:t>Durand </w:t>
      </w:r>
      <w:r>
        <w:rPr/>
        <w:t>y H. </w:t>
      </w:r>
      <w:r>
        <w:rPr>
          <w:spacing w:val="-3"/>
        </w:rPr>
        <w:t>González. 1987. Return </w:t>
      </w:r>
      <w:r>
        <w:rPr/>
        <w:t>to </w:t>
      </w:r>
      <w:r>
        <w:rPr>
          <w:spacing w:val="-3"/>
        </w:rPr>
        <w:t>Aztlan: The social process of </w:t>
      </w:r>
      <w:r>
        <w:rPr>
          <w:spacing w:val="-4"/>
        </w:rPr>
        <w:t>transnational</w:t>
      </w:r>
      <w:r>
        <w:rPr>
          <w:spacing w:val="55"/>
        </w:rPr>
        <w:t> </w:t>
      </w:r>
      <w:r>
        <w:rPr>
          <w:spacing w:val="-3"/>
        </w:rPr>
        <w:t>migration from </w:t>
      </w:r>
      <w:r>
        <w:rPr>
          <w:spacing w:val="-4"/>
        </w:rPr>
        <w:t>western</w:t>
      </w:r>
      <w:r>
        <w:rPr>
          <w:spacing w:val="55"/>
        </w:rPr>
        <w:t> </w:t>
      </w:r>
      <w:r>
        <w:rPr>
          <w:spacing w:val="-3"/>
        </w:rPr>
        <w:t>Mexico.  University  of California Press. </w:t>
      </w:r>
      <w:r>
        <w:rPr>
          <w:spacing w:val="-4"/>
        </w:rPr>
        <w:t>Berkeley. </w:t>
      </w:r>
      <w:r>
        <w:rPr>
          <w:spacing w:val="-3"/>
        </w:rPr>
        <w:t>Citado por Smith.  </w:t>
      </w:r>
      <w:r>
        <w:rPr>
          <w:spacing w:val="-4"/>
        </w:rPr>
        <w:t>2000.</w:t>
      </w:r>
    </w:p>
    <w:p>
      <w:pPr>
        <w:pStyle w:val="BodyText"/>
        <w:rPr>
          <w:sz w:val="22"/>
        </w:rPr>
      </w:pPr>
    </w:p>
    <w:p>
      <w:pPr>
        <w:pStyle w:val="BodyText"/>
        <w:spacing w:line="364" w:lineRule="auto" w:before="155"/>
        <w:ind w:left="115" w:right="104"/>
        <w:jc w:val="both"/>
      </w:pPr>
      <w:r>
        <w:rPr>
          <w:spacing w:val="-4"/>
        </w:rPr>
        <w:t>Massey,</w:t>
      </w:r>
      <w:r>
        <w:rPr>
          <w:spacing w:val="55"/>
        </w:rPr>
        <w:t> </w:t>
      </w:r>
      <w:r>
        <w:rPr/>
        <w:t>D. S., L. </w:t>
      </w:r>
      <w:r>
        <w:rPr>
          <w:spacing w:val="-3"/>
        </w:rPr>
        <w:t>Goldring </w:t>
      </w:r>
      <w:r>
        <w:rPr/>
        <w:t>y J. </w:t>
      </w:r>
      <w:r>
        <w:rPr>
          <w:spacing w:val="-3"/>
        </w:rPr>
        <w:t>Durand, 1994; “Continuities </w:t>
      </w:r>
      <w:r>
        <w:rPr/>
        <w:t>in  </w:t>
      </w:r>
      <w:r>
        <w:rPr>
          <w:spacing w:val="-4"/>
        </w:rPr>
        <w:t>Transnational </w:t>
      </w:r>
      <w:r>
        <w:rPr>
          <w:spacing w:val="-3"/>
        </w:rPr>
        <w:t>Migration: </w:t>
      </w:r>
      <w:r>
        <w:rPr/>
        <w:t>An </w:t>
      </w:r>
      <w:r>
        <w:rPr>
          <w:spacing w:val="-3"/>
        </w:rPr>
        <w:t>analysis of </w:t>
      </w:r>
      <w:r>
        <w:rPr>
          <w:spacing w:val="-4"/>
        </w:rPr>
        <w:t>Nineteen </w:t>
      </w:r>
      <w:r>
        <w:rPr>
          <w:spacing w:val="-3"/>
        </w:rPr>
        <w:t>Mexican Communities” </w:t>
      </w:r>
      <w:r>
        <w:rPr/>
        <w:t>en </w:t>
      </w:r>
      <w:r>
        <w:rPr>
          <w:spacing w:val="-3"/>
        </w:rPr>
        <w:t>American </w:t>
      </w:r>
      <w:r>
        <w:rPr>
          <w:spacing w:val="-4"/>
        </w:rPr>
        <w:t>Journal of Sociology, </w:t>
      </w:r>
      <w:r>
        <w:rPr/>
        <w:t>vol </w:t>
      </w:r>
      <w:r>
        <w:rPr>
          <w:spacing w:val="-3"/>
        </w:rPr>
        <w:t>99, </w:t>
      </w:r>
      <w:r>
        <w:rPr/>
        <w:t>Nº </w:t>
      </w:r>
      <w:r>
        <w:rPr>
          <w:spacing w:val="-3"/>
        </w:rPr>
        <w:t>6,  </w:t>
      </w:r>
      <w:r>
        <w:rPr>
          <w:spacing w:val="-4"/>
        </w:rPr>
        <w:t>May.1492-1533.</w:t>
      </w:r>
    </w:p>
    <w:p>
      <w:pPr>
        <w:pStyle w:val="BodyText"/>
        <w:rPr>
          <w:sz w:val="22"/>
        </w:rPr>
      </w:pPr>
    </w:p>
    <w:p>
      <w:pPr>
        <w:pStyle w:val="BodyText"/>
        <w:spacing w:line="364" w:lineRule="auto" w:before="155"/>
        <w:ind w:left="115" w:right="100"/>
        <w:jc w:val="both"/>
      </w:pPr>
      <w:r>
        <w:rPr>
          <w:spacing w:val="-4"/>
        </w:rPr>
        <w:t>Massey, </w:t>
      </w:r>
      <w:r>
        <w:rPr/>
        <w:t>D. y A. </w:t>
      </w:r>
      <w:r>
        <w:rPr>
          <w:spacing w:val="-3"/>
        </w:rPr>
        <w:t>Singer. 1995. </w:t>
      </w:r>
      <w:r>
        <w:rPr/>
        <w:t>“New </w:t>
      </w:r>
      <w:r>
        <w:rPr>
          <w:spacing w:val="-3"/>
        </w:rPr>
        <w:t>estimates </w:t>
      </w:r>
      <w:r>
        <w:rPr/>
        <w:t>of </w:t>
      </w:r>
      <w:r>
        <w:rPr>
          <w:spacing w:val="-4"/>
        </w:rPr>
        <w:t>undocumented </w:t>
      </w:r>
      <w:r>
        <w:rPr>
          <w:spacing w:val="-3"/>
        </w:rPr>
        <w:t>mexican migration and </w:t>
      </w:r>
      <w:r>
        <w:rPr/>
        <w:t>the </w:t>
      </w:r>
      <w:r>
        <w:rPr>
          <w:spacing w:val="-3"/>
        </w:rPr>
        <w:t>probability </w:t>
      </w:r>
      <w:r>
        <w:rPr/>
        <w:t>of </w:t>
      </w:r>
      <w:r>
        <w:rPr>
          <w:spacing w:val="-4"/>
        </w:rPr>
        <w:t>apprehensión” </w:t>
      </w:r>
      <w:r>
        <w:rPr/>
        <w:t>in </w:t>
      </w:r>
      <w:r>
        <w:rPr>
          <w:spacing w:val="-4"/>
        </w:rPr>
        <w:t>Demography, </w:t>
      </w:r>
      <w:r>
        <w:rPr/>
        <w:t>Vol. 32, Nº 2. </w:t>
      </w:r>
      <w:r>
        <w:rPr>
          <w:spacing w:val="-3"/>
        </w:rPr>
        <w:t>Citado por Smith. 2000 </w:t>
      </w:r>
      <w:r>
        <w:rPr/>
        <w:t>y </w:t>
      </w:r>
      <w:r>
        <w:rPr>
          <w:spacing w:val="-3"/>
        </w:rPr>
        <w:t>Hamann. 2001.</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0"/>
        <w:jc w:val="both"/>
      </w:pPr>
      <w:r>
        <w:rPr>
          <w:spacing w:val="-4"/>
        </w:rPr>
        <w:t>Massey, </w:t>
      </w:r>
      <w:r>
        <w:rPr/>
        <w:t>D. S., J. </w:t>
      </w:r>
      <w:r>
        <w:rPr>
          <w:spacing w:val="-4"/>
        </w:rPr>
        <w:t>Arango, </w:t>
      </w:r>
      <w:r>
        <w:rPr/>
        <w:t>H. </w:t>
      </w:r>
      <w:r>
        <w:rPr>
          <w:spacing w:val="-4"/>
        </w:rPr>
        <w:t>Graeme, </w:t>
      </w:r>
      <w:r>
        <w:rPr/>
        <w:t>A. </w:t>
      </w:r>
      <w:r>
        <w:rPr>
          <w:spacing w:val="-3"/>
        </w:rPr>
        <w:t>Kouaouci, </w:t>
      </w:r>
      <w:r>
        <w:rPr/>
        <w:t>A. </w:t>
      </w:r>
      <w:r>
        <w:rPr>
          <w:spacing w:val="-3"/>
        </w:rPr>
        <w:t>Pellegrino </w:t>
      </w:r>
      <w:r>
        <w:rPr/>
        <w:t>y J.  E.  </w:t>
      </w:r>
      <w:r>
        <w:rPr>
          <w:spacing w:val="-4"/>
        </w:rPr>
        <w:t>Taylor. 1994. </w:t>
      </w:r>
      <w:r>
        <w:rPr/>
        <w:t>An </w:t>
      </w:r>
      <w:r>
        <w:rPr>
          <w:spacing w:val="-3"/>
        </w:rPr>
        <w:t>Evaluation </w:t>
      </w:r>
      <w:r>
        <w:rPr>
          <w:spacing w:val="-4"/>
        </w:rPr>
        <w:t>of </w:t>
      </w:r>
      <w:r>
        <w:rPr>
          <w:spacing w:val="-3"/>
        </w:rPr>
        <w:t>International </w:t>
      </w:r>
      <w:r>
        <w:rPr>
          <w:spacing w:val="-4"/>
        </w:rPr>
        <w:t>Migration Theory: </w:t>
      </w:r>
      <w:r>
        <w:rPr>
          <w:spacing w:val="-3"/>
        </w:rPr>
        <w:t>The North American Case. </w:t>
      </w:r>
      <w:r>
        <w:rPr/>
        <w:t>in </w:t>
      </w:r>
      <w:r>
        <w:rPr>
          <w:spacing w:val="-3"/>
        </w:rPr>
        <w:t>Population and Development </w:t>
      </w:r>
      <w:r>
        <w:rPr>
          <w:spacing w:val="-4"/>
        </w:rPr>
        <w:t>Review, </w:t>
      </w:r>
      <w:r>
        <w:rPr>
          <w:spacing w:val="-3"/>
        </w:rPr>
        <w:t>Vol. 20, Number 3, September. </w:t>
      </w:r>
      <w:r>
        <w:rPr/>
        <w:t>Pp </w:t>
      </w:r>
      <w:r>
        <w:rPr>
          <w:spacing w:val="54"/>
        </w:rPr>
        <w:t> </w:t>
      </w:r>
      <w:r>
        <w:rPr>
          <w:spacing w:val="-4"/>
        </w:rPr>
        <w:t>699-751.</w:t>
      </w:r>
    </w:p>
    <w:p>
      <w:pPr>
        <w:pStyle w:val="BodyText"/>
        <w:rPr>
          <w:sz w:val="22"/>
        </w:rPr>
      </w:pPr>
    </w:p>
    <w:p>
      <w:pPr>
        <w:pStyle w:val="BodyText"/>
        <w:spacing w:line="367" w:lineRule="auto" w:before="153"/>
        <w:ind w:left="115" w:right="100"/>
        <w:jc w:val="both"/>
      </w:pPr>
      <w:r>
        <w:rPr>
          <w:spacing w:val="-4"/>
        </w:rPr>
        <w:t>Mazumbdar,</w:t>
      </w:r>
      <w:r>
        <w:rPr>
          <w:spacing w:val="55"/>
        </w:rPr>
        <w:t> </w:t>
      </w:r>
      <w:r>
        <w:rPr/>
        <w:t>D. </w:t>
      </w:r>
      <w:r>
        <w:rPr>
          <w:spacing w:val="-3"/>
        </w:rPr>
        <w:t>1983. “Segmented labor markets </w:t>
      </w:r>
      <w:r>
        <w:rPr/>
        <w:t>in </w:t>
      </w:r>
      <w:r>
        <w:rPr>
          <w:spacing w:val="-3"/>
        </w:rPr>
        <w:t>LDCs” </w:t>
      </w:r>
      <w:r>
        <w:rPr/>
        <w:t>in </w:t>
      </w:r>
      <w:r>
        <w:rPr>
          <w:spacing w:val="-3"/>
        </w:rPr>
        <w:t>The  American Economic </w:t>
      </w:r>
      <w:r>
        <w:rPr>
          <w:spacing w:val="-4"/>
        </w:rPr>
        <w:t>Review. </w:t>
      </w:r>
      <w:r>
        <w:rPr>
          <w:spacing w:val="-3"/>
        </w:rPr>
        <w:t>Vol. 73 </w:t>
      </w:r>
      <w:r>
        <w:rPr/>
        <w:t>Nº </w:t>
      </w:r>
      <w:r>
        <w:rPr>
          <w:spacing w:val="-3"/>
        </w:rPr>
        <w:t>2. Nashville, Tn. USA. </w:t>
      </w:r>
      <w:r>
        <w:rPr/>
        <w:t>Pp  </w:t>
      </w:r>
      <w:r>
        <w:rPr>
          <w:spacing w:val="-4"/>
        </w:rPr>
        <w:t>254-259.</w:t>
      </w:r>
    </w:p>
    <w:p>
      <w:pPr>
        <w:pStyle w:val="BodyText"/>
        <w:rPr>
          <w:sz w:val="22"/>
        </w:rPr>
      </w:pPr>
    </w:p>
    <w:p>
      <w:pPr>
        <w:pStyle w:val="BodyText"/>
        <w:spacing w:line="364" w:lineRule="auto" w:before="152"/>
        <w:ind w:left="115" w:right="100"/>
        <w:jc w:val="both"/>
      </w:pPr>
      <w:r>
        <w:rPr/>
        <w:t>Meyers, D. Waller. 2000. “Remesas en América Latina: revisión de literatura” in BANCOMEXT. Revista Comercio Exterior, Vol. 50, Nº 4, abril de 2000. México. Pp 275-288.</w:t>
      </w:r>
    </w:p>
    <w:p>
      <w:pPr>
        <w:pStyle w:val="BodyText"/>
        <w:spacing w:line="364" w:lineRule="auto" w:before="5"/>
        <w:ind w:left="115" w:right="101"/>
        <w:jc w:val="both"/>
      </w:pPr>
      <w:r>
        <w:rPr/>
        <w:t>Mines, R. 1982. The Evolution of Mexican Migration to the United States: A case study. Bulletin 1902. University of California. Division of agricultural Sciences and Giannini Foundation.</w:t>
      </w:r>
    </w:p>
    <w:p>
      <w:pPr>
        <w:pStyle w:val="BodyText"/>
        <w:rPr>
          <w:sz w:val="22"/>
        </w:rPr>
      </w:pPr>
    </w:p>
    <w:p>
      <w:pPr>
        <w:pStyle w:val="BodyText"/>
        <w:spacing w:line="367" w:lineRule="auto" w:before="153"/>
        <w:ind w:left="115" w:right="104"/>
        <w:jc w:val="both"/>
      </w:pPr>
      <w:r>
        <w:rPr>
          <w:spacing w:val="-3"/>
        </w:rPr>
        <w:t>Mines, </w:t>
      </w:r>
      <w:r>
        <w:rPr/>
        <w:t>R. y A. </w:t>
      </w:r>
      <w:r>
        <w:rPr>
          <w:spacing w:val="-3"/>
        </w:rPr>
        <w:t>de Janvry. </w:t>
      </w:r>
      <w:r>
        <w:rPr>
          <w:spacing w:val="-4"/>
        </w:rPr>
        <w:t>1982. </w:t>
      </w:r>
      <w:r>
        <w:rPr>
          <w:spacing w:val="-3"/>
        </w:rPr>
        <w:t>“Migration </w:t>
      </w:r>
      <w:r>
        <w:rPr/>
        <w:t>to the </w:t>
      </w:r>
      <w:r>
        <w:rPr>
          <w:spacing w:val="-3"/>
        </w:rPr>
        <w:t>United States </w:t>
      </w:r>
      <w:r>
        <w:rPr>
          <w:spacing w:val="-4"/>
        </w:rPr>
        <w:t>and </w:t>
      </w:r>
      <w:r>
        <w:rPr>
          <w:spacing w:val="-3"/>
        </w:rPr>
        <w:t>mexican </w:t>
      </w:r>
      <w:r>
        <w:rPr>
          <w:spacing w:val="-4"/>
        </w:rPr>
        <w:t>rural </w:t>
      </w:r>
      <w:r>
        <w:rPr>
          <w:spacing w:val="-3"/>
        </w:rPr>
        <w:t>development: </w:t>
      </w:r>
      <w:r>
        <w:rPr/>
        <w:t>A </w:t>
      </w:r>
      <w:r>
        <w:rPr>
          <w:spacing w:val="-3"/>
        </w:rPr>
        <w:t>case study. American </w:t>
      </w:r>
      <w:r>
        <w:rPr>
          <w:spacing w:val="-4"/>
        </w:rPr>
        <w:t>Journal    </w:t>
      </w:r>
      <w:r>
        <w:rPr/>
        <w:t>of </w:t>
      </w:r>
      <w:r>
        <w:rPr>
          <w:spacing w:val="-4"/>
        </w:rPr>
        <w:t>Agricultural </w:t>
      </w:r>
      <w:r>
        <w:rPr>
          <w:spacing w:val="-3"/>
        </w:rPr>
        <w:t>Economics, Vol. 64, </w:t>
      </w:r>
      <w:r>
        <w:rPr/>
        <w:t>Nº</w:t>
      </w:r>
    </w:p>
    <w:p>
      <w:pPr>
        <w:pStyle w:val="ListParagraph"/>
        <w:numPr>
          <w:ilvl w:val="0"/>
          <w:numId w:val="5"/>
        </w:numPr>
        <w:tabs>
          <w:tab w:pos="368" w:val="left" w:leader="none"/>
        </w:tabs>
        <w:spacing w:line="240" w:lineRule="auto" w:before="0" w:after="0"/>
        <w:ind w:left="367" w:right="0" w:hanging="251"/>
        <w:jc w:val="both"/>
        <w:rPr>
          <w:sz w:val="23"/>
        </w:rPr>
      </w:pPr>
      <w:r>
        <w:rPr>
          <w:spacing w:val="-3"/>
          <w:sz w:val="23"/>
        </w:rPr>
        <w:t>August 1982. American Agricultural </w:t>
      </w:r>
      <w:r>
        <w:rPr>
          <w:spacing w:val="-4"/>
          <w:sz w:val="23"/>
        </w:rPr>
        <w:t>Economics </w:t>
      </w:r>
      <w:r>
        <w:rPr>
          <w:spacing w:val="-3"/>
          <w:sz w:val="23"/>
        </w:rPr>
        <w:t>Association. Utah State  </w:t>
      </w:r>
      <w:r>
        <w:rPr>
          <w:spacing w:val="4"/>
          <w:sz w:val="23"/>
        </w:rPr>
        <w:t> </w:t>
      </w:r>
      <w:r>
        <w:rPr>
          <w:spacing w:val="-4"/>
          <w:sz w:val="23"/>
        </w:rPr>
        <w:t>University.</w:t>
      </w:r>
    </w:p>
    <w:p>
      <w:pPr>
        <w:pStyle w:val="BodyText"/>
        <w:rPr>
          <w:sz w:val="22"/>
        </w:rPr>
      </w:pPr>
    </w:p>
    <w:p>
      <w:pPr>
        <w:pStyle w:val="BodyText"/>
        <w:spacing w:before="1"/>
        <w:rPr>
          <w:sz w:val="25"/>
        </w:rPr>
      </w:pPr>
    </w:p>
    <w:p>
      <w:pPr>
        <w:pStyle w:val="BodyText"/>
        <w:spacing w:line="364" w:lineRule="auto"/>
        <w:ind w:left="115" w:right="105"/>
        <w:jc w:val="both"/>
      </w:pPr>
      <w:r>
        <w:rPr>
          <w:spacing w:val="-3"/>
        </w:rPr>
        <w:t>Moctezuma L., </w:t>
      </w:r>
      <w:r>
        <w:rPr/>
        <w:t>M. </w:t>
      </w:r>
      <w:r>
        <w:rPr>
          <w:spacing w:val="-4"/>
        </w:rPr>
        <w:t>2000.</w:t>
      </w:r>
      <w:r>
        <w:rPr>
          <w:spacing w:val="55"/>
        </w:rPr>
        <w:t> </w:t>
      </w:r>
      <w:r>
        <w:rPr/>
        <w:t>“El </w:t>
      </w:r>
      <w:r>
        <w:rPr>
          <w:spacing w:val="-3"/>
        </w:rPr>
        <w:t>circuito migrante </w:t>
      </w:r>
      <w:r>
        <w:rPr/>
        <w:t>Sain  Alto,  </w:t>
      </w:r>
      <w:r>
        <w:rPr>
          <w:spacing w:val="-4"/>
        </w:rPr>
        <w:t>Zacatecas-Okland, </w:t>
      </w:r>
      <w:r>
        <w:rPr>
          <w:spacing w:val="-3"/>
        </w:rPr>
        <w:t>California” </w:t>
      </w:r>
      <w:r>
        <w:rPr/>
        <w:t>in BANCOMEXT. Revista Comercio Exterior, Vol. 50, Nº 5, mayo de 2000. México. Pp 396-405.</w:t>
      </w:r>
    </w:p>
    <w:p>
      <w:pPr>
        <w:pStyle w:val="BodyText"/>
        <w:rPr>
          <w:sz w:val="22"/>
        </w:rPr>
      </w:pPr>
    </w:p>
    <w:p>
      <w:pPr>
        <w:pStyle w:val="BodyText"/>
        <w:spacing w:line="364" w:lineRule="auto" w:before="155"/>
        <w:ind w:left="115" w:right="103"/>
        <w:jc w:val="both"/>
      </w:pPr>
      <w:r>
        <w:rPr>
          <w:spacing w:val="-4"/>
        </w:rPr>
        <w:t>Mungaray, </w:t>
      </w:r>
      <w:r>
        <w:rPr/>
        <w:t>A. y J. M. </w:t>
      </w:r>
      <w:r>
        <w:rPr>
          <w:spacing w:val="-4"/>
        </w:rPr>
        <w:t>Ocegueda. </w:t>
      </w:r>
      <w:r>
        <w:rPr>
          <w:spacing w:val="-3"/>
        </w:rPr>
        <w:t>1995. “La nueva frontera norte: entre </w:t>
      </w:r>
      <w:r>
        <w:rPr/>
        <w:t>la </w:t>
      </w:r>
      <w:r>
        <w:rPr>
          <w:spacing w:val="-3"/>
        </w:rPr>
        <w:t>devaluación </w:t>
      </w:r>
      <w:r>
        <w:rPr/>
        <w:t>y la </w:t>
      </w:r>
      <w:r>
        <w:rPr>
          <w:spacing w:val="-3"/>
        </w:rPr>
        <w:t>187” </w:t>
      </w:r>
      <w:r>
        <w:rPr/>
        <w:t>in BANCOMEXT. Revista Comercio Exterior, Vol. 45, Nº 6, junio de 1995. México. Pp</w:t>
      </w:r>
      <w:r>
        <w:rPr>
          <w:spacing w:val="19"/>
        </w:rPr>
        <w:t> </w:t>
      </w:r>
      <w:r>
        <w:rPr/>
        <w:t>450-459.</w:t>
      </w:r>
    </w:p>
    <w:p>
      <w:pPr>
        <w:pStyle w:val="BodyText"/>
        <w:rPr>
          <w:sz w:val="22"/>
        </w:rPr>
      </w:pPr>
    </w:p>
    <w:p>
      <w:pPr>
        <w:pStyle w:val="BodyText"/>
        <w:spacing w:line="364" w:lineRule="auto" w:before="155"/>
        <w:ind w:left="115" w:right="101"/>
        <w:jc w:val="both"/>
      </w:pPr>
      <w:r>
        <w:rPr>
          <w:spacing w:val="-4"/>
        </w:rPr>
        <w:t>Muñoz,</w:t>
      </w:r>
      <w:r>
        <w:rPr>
          <w:spacing w:val="55"/>
        </w:rPr>
        <w:t> </w:t>
      </w:r>
      <w:r>
        <w:rPr/>
        <w:t>H y O de </w:t>
      </w:r>
      <w:r>
        <w:rPr>
          <w:spacing w:val="-3"/>
        </w:rPr>
        <w:t>Oliveira. </w:t>
      </w:r>
      <w:r>
        <w:rPr>
          <w:spacing w:val="-4"/>
        </w:rPr>
        <w:t>1980.</w:t>
      </w:r>
      <w:r>
        <w:rPr>
          <w:spacing w:val="55"/>
        </w:rPr>
        <w:t> </w:t>
      </w:r>
      <w:r>
        <w:rPr>
          <w:spacing w:val="-3"/>
        </w:rPr>
        <w:t>“Notas sobre algunos </w:t>
      </w:r>
      <w:r>
        <w:rPr>
          <w:spacing w:val="-4"/>
        </w:rPr>
        <w:t>aspectos</w:t>
      </w:r>
      <w:r>
        <w:rPr>
          <w:spacing w:val="55"/>
        </w:rPr>
        <w:t> </w:t>
      </w:r>
      <w:r>
        <w:rPr>
          <w:spacing w:val="-3"/>
        </w:rPr>
        <w:t>teórico- metodológicos </w:t>
      </w:r>
      <w:r>
        <w:rPr/>
        <w:t>de las </w:t>
      </w:r>
      <w:r>
        <w:rPr>
          <w:spacing w:val="-3"/>
        </w:rPr>
        <w:t>migraciones internas </w:t>
      </w:r>
      <w:r>
        <w:rPr/>
        <w:t>y la </w:t>
      </w:r>
      <w:r>
        <w:rPr>
          <w:spacing w:val="-3"/>
        </w:rPr>
        <w:t>fuerza </w:t>
      </w:r>
      <w:r>
        <w:rPr/>
        <w:t>de </w:t>
      </w:r>
      <w:r>
        <w:rPr>
          <w:spacing w:val="-3"/>
        </w:rPr>
        <w:t>trabajo”, </w:t>
      </w:r>
      <w:r>
        <w:rPr/>
        <w:t>en </w:t>
      </w:r>
      <w:r>
        <w:rPr>
          <w:spacing w:val="-3"/>
        </w:rPr>
        <w:t>varios, Tres </w:t>
      </w:r>
      <w:r>
        <w:rPr>
          <w:spacing w:val="-4"/>
        </w:rPr>
        <w:t>Ensayos  </w:t>
      </w:r>
      <w:r>
        <w:rPr>
          <w:spacing w:val="-3"/>
        </w:rPr>
        <w:t>sobre Migraciones Internas. UNAM. </w:t>
      </w:r>
      <w:r>
        <w:rPr>
          <w:spacing w:val="-4"/>
        </w:rPr>
        <w:t>Cuadernos  </w:t>
      </w:r>
      <w:r>
        <w:rPr/>
        <w:t>de </w:t>
      </w:r>
      <w:r>
        <w:rPr>
          <w:spacing w:val="-3"/>
        </w:rPr>
        <w:t>Investigación Social   </w:t>
      </w:r>
      <w:r>
        <w:rPr/>
        <w:t>Nº</w:t>
      </w:r>
    </w:p>
    <w:p>
      <w:pPr>
        <w:pStyle w:val="ListParagraph"/>
        <w:numPr>
          <w:ilvl w:val="0"/>
          <w:numId w:val="5"/>
        </w:numPr>
        <w:tabs>
          <w:tab w:pos="368" w:val="left" w:leader="none"/>
        </w:tabs>
        <w:spacing w:line="240" w:lineRule="auto" w:before="2" w:after="0"/>
        <w:ind w:left="367" w:right="0" w:hanging="251"/>
        <w:jc w:val="both"/>
        <w:rPr>
          <w:sz w:val="23"/>
        </w:rPr>
      </w:pPr>
      <w:r>
        <w:rPr>
          <w:spacing w:val="-3"/>
          <w:sz w:val="23"/>
        </w:rPr>
        <w:t>México.</w:t>
      </w:r>
    </w:p>
    <w:p>
      <w:pPr>
        <w:spacing w:after="0" w:line="240" w:lineRule="auto"/>
        <w:jc w:val="both"/>
        <w:rPr>
          <w:sz w:val="23"/>
        </w:rPr>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3"/>
        <w:jc w:val="both"/>
      </w:pPr>
      <w:r>
        <w:rPr>
          <w:spacing w:val="-3"/>
        </w:rPr>
        <w:t>Muñoz </w:t>
      </w:r>
      <w:r>
        <w:rPr/>
        <w:t>I., C. </w:t>
      </w:r>
      <w:r>
        <w:rPr>
          <w:spacing w:val="-3"/>
        </w:rPr>
        <w:t>1992 </w:t>
      </w:r>
      <w:r>
        <w:rPr/>
        <w:t>“La </w:t>
      </w:r>
      <w:r>
        <w:rPr>
          <w:spacing w:val="-3"/>
        </w:rPr>
        <w:t>escolaridad </w:t>
      </w:r>
      <w:r>
        <w:rPr/>
        <w:t>y la </w:t>
      </w:r>
      <w:r>
        <w:rPr>
          <w:spacing w:val="-3"/>
        </w:rPr>
        <w:t>dinámica de </w:t>
      </w:r>
      <w:r>
        <w:rPr/>
        <w:t>los </w:t>
      </w:r>
      <w:r>
        <w:rPr>
          <w:spacing w:val="-3"/>
        </w:rPr>
        <w:t>mercados de trabajo: experiencia </w:t>
      </w:r>
      <w:r>
        <w:rPr>
          <w:spacing w:val="-4"/>
        </w:rPr>
        <w:t>reciente </w:t>
      </w:r>
      <w:r>
        <w:rPr/>
        <w:t>y </w:t>
      </w:r>
      <w:r>
        <w:rPr>
          <w:spacing w:val="-3"/>
        </w:rPr>
        <w:t>perspectivas </w:t>
      </w:r>
      <w:r>
        <w:rPr/>
        <w:t>a </w:t>
      </w:r>
      <w:r>
        <w:rPr>
          <w:spacing w:val="-3"/>
        </w:rPr>
        <w:t>mediano plazo </w:t>
      </w:r>
      <w:r>
        <w:rPr/>
        <w:t>in </w:t>
      </w:r>
      <w:r>
        <w:rPr>
          <w:spacing w:val="-3"/>
        </w:rPr>
        <w:t>El Colegio de México, Ajuste </w:t>
      </w:r>
      <w:r>
        <w:rPr>
          <w:spacing w:val="-4"/>
        </w:rPr>
        <w:t>Estructural  </w:t>
      </w:r>
      <w:r>
        <w:rPr/>
        <w:t>y </w:t>
      </w:r>
      <w:r>
        <w:rPr>
          <w:spacing w:val="-3"/>
        </w:rPr>
        <w:t>Mercados Laborales </w:t>
      </w:r>
      <w:r>
        <w:rPr/>
        <w:t>y </w:t>
      </w:r>
      <w:r>
        <w:rPr>
          <w:spacing w:val="-3"/>
        </w:rPr>
        <w:t>TLC. México. </w:t>
      </w:r>
      <w:r>
        <w:rPr/>
        <w:t>Pp  </w:t>
      </w:r>
      <w:r>
        <w:rPr>
          <w:spacing w:val="-4"/>
        </w:rPr>
        <w:t>105-126.</w:t>
      </w:r>
    </w:p>
    <w:p>
      <w:pPr>
        <w:pStyle w:val="BodyText"/>
        <w:rPr>
          <w:sz w:val="22"/>
        </w:rPr>
      </w:pPr>
    </w:p>
    <w:p>
      <w:pPr>
        <w:pStyle w:val="BodyText"/>
        <w:spacing w:line="367" w:lineRule="auto" w:before="153"/>
        <w:ind w:left="115" w:right="103"/>
        <w:jc w:val="both"/>
      </w:pPr>
      <w:r>
        <w:rPr>
          <w:spacing w:val="-3"/>
        </w:rPr>
        <w:t>NAFIN (Nacional </w:t>
      </w:r>
      <w:r>
        <w:rPr>
          <w:spacing w:val="-4"/>
        </w:rPr>
        <w:t>Financiera).</w:t>
      </w:r>
      <w:r>
        <w:rPr>
          <w:spacing w:val="55"/>
        </w:rPr>
        <w:t> </w:t>
      </w:r>
      <w:r>
        <w:rPr>
          <w:spacing w:val="-4"/>
        </w:rPr>
        <w:t>1981,</w:t>
      </w:r>
      <w:r>
        <w:rPr>
          <w:spacing w:val="55"/>
        </w:rPr>
        <w:t> </w:t>
      </w:r>
      <w:r>
        <w:rPr>
          <w:spacing w:val="-3"/>
        </w:rPr>
        <w:t>1985. La Economía Mexicana </w:t>
      </w:r>
      <w:r>
        <w:rPr/>
        <w:t>en </w:t>
      </w:r>
      <w:r>
        <w:rPr>
          <w:spacing w:val="-3"/>
        </w:rPr>
        <w:t>Cifras.  México.</w:t>
      </w:r>
    </w:p>
    <w:p>
      <w:pPr>
        <w:pStyle w:val="BodyText"/>
        <w:rPr>
          <w:sz w:val="22"/>
        </w:rPr>
      </w:pPr>
    </w:p>
    <w:p>
      <w:pPr>
        <w:pStyle w:val="BodyText"/>
        <w:spacing w:line="364" w:lineRule="auto" w:before="152"/>
        <w:ind w:left="115" w:right="259"/>
      </w:pPr>
      <w:r>
        <w:rPr/>
        <w:t>NAFIN Y (BM) BANCO MUNDIAL. 2002. Proyectos Empresariales como Destino de los Ahorros de los Paisanos en Estados Unidos (Seminario).  México.</w:t>
      </w:r>
    </w:p>
    <w:p>
      <w:pPr>
        <w:pStyle w:val="BodyText"/>
        <w:spacing w:line="364" w:lineRule="auto" w:before="5"/>
        <w:ind w:left="115" w:right="100"/>
        <w:jc w:val="both"/>
      </w:pPr>
      <w:r>
        <w:rPr/>
        <w:t>OECD. 1999. Trends in International Migration. Continuous reporting system on migration. Annual report.  París.</w:t>
      </w:r>
    </w:p>
    <w:p>
      <w:pPr>
        <w:pStyle w:val="BodyText"/>
        <w:rPr>
          <w:sz w:val="22"/>
        </w:rPr>
      </w:pPr>
    </w:p>
    <w:p>
      <w:pPr>
        <w:pStyle w:val="BodyText"/>
        <w:spacing w:before="155"/>
        <w:ind w:left="115"/>
        <w:jc w:val="both"/>
      </w:pPr>
      <w:r>
        <w:rPr/>
        <w:t>OECD. 2001. Health at a Glance.  París.</w:t>
      </w:r>
    </w:p>
    <w:p>
      <w:pPr>
        <w:pStyle w:val="BodyText"/>
        <w:rPr>
          <w:sz w:val="22"/>
        </w:rPr>
      </w:pPr>
    </w:p>
    <w:p>
      <w:pPr>
        <w:pStyle w:val="BodyText"/>
        <w:spacing w:before="10"/>
        <w:rPr>
          <w:sz w:val="24"/>
        </w:rPr>
      </w:pPr>
    </w:p>
    <w:p>
      <w:pPr>
        <w:pStyle w:val="BodyText"/>
        <w:spacing w:line="364" w:lineRule="auto"/>
        <w:ind w:left="115" w:right="103"/>
        <w:jc w:val="both"/>
      </w:pPr>
      <w:r>
        <w:rPr>
          <w:spacing w:val="-3"/>
        </w:rPr>
        <w:t>Ortiz </w:t>
      </w:r>
      <w:r>
        <w:rPr/>
        <w:t>B., </w:t>
      </w:r>
      <w:r>
        <w:rPr>
          <w:spacing w:val="-3"/>
        </w:rPr>
        <w:t>O. </w:t>
      </w:r>
      <w:r>
        <w:rPr>
          <w:spacing w:val="-4"/>
        </w:rPr>
        <w:t>1995. </w:t>
      </w:r>
      <w:r>
        <w:rPr>
          <w:spacing w:val="-3"/>
        </w:rPr>
        <w:t>Análisis </w:t>
      </w:r>
      <w:r>
        <w:rPr/>
        <w:t>de </w:t>
      </w:r>
      <w:r>
        <w:rPr>
          <w:spacing w:val="-3"/>
        </w:rPr>
        <w:t>Cultivos </w:t>
      </w:r>
      <w:r>
        <w:rPr>
          <w:spacing w:val="-4"/>
        </w:rPr>
        <w:t>Tradicionales </w:t>
      </w:r>
      <w:r>
        <w:rPr/>
        <w:t>y su </w:t>
      </w:r>
      <w:r>
        <w:rPr>
          <w:spacing w:val="-3"/>
        </w:rPr>
        <w:t>Sustitución por Otros Cultivos </w:t>
      </w:r>
      <w:r>
        <w:rPr/>
        <w:t>en </w:t>
      </w:r>
      <w:r>
        <w:rPr>
          <w:spacing w:val="-3"/>
        </w:rPr>
        <w:t>Cuatro Comunidades del Oriente de Morelos. Tesis </w:t>
      </w:r>
      <w:r>
        <w:rPr/>
        <w:t>de </w:t>
      </w:r>
      <w:r>
        <w:rPr>
          <w:spacing w:val="-3"/>
        </w:rPr>
        <w:t>Maestría. DICEA, </w:t>
      </w:r>
      <w:r>
        <w:rPr/>
        <w:t>UACH. </w:t>
      </w:r>
      <w:r>
        <w:rPr>
          <w:spacing w:val="-3"/>
        </w:rPr>
        <w:t>Chapingo.</w:t>
      </w:r>
      <w:r>
        <w:rPr>
          <w:spacing w:val="19"/>
        </w:rPr>
        <w:t> </w:t>
      </w:r>
      <w:r>
        <w:rPr>
          <w:spacing w:val="-3"/>
        </w:rPr>
        <w:t>México.</w:t>
      </w:r>
    </w:p>
    <w:p>
      <w:pPr>
        <w:pStyle w:val="BodyText"/>
        <w:rPr>
          <w:sz w:val="22"/>
        </w:rPr>
      </w:pPr>
    </w:p>
    <w:p>
      <w:pPr>
        <w:pStyle w:val="BodyText"/>
        <w:spacing w:line="364" w:lineRule="auto" w:before="155"/>
        <w:ind w:left="115" w:right="100"/>
        <w:jc w:val="both"/>
      </w:pPr>
      <w:r>
        <w:rPr>
          <w:spacing w:val="-3"/>
        </w:rPr>
        <w:t>Padilla, </w:t>
      </w:r>
      <w:r>
        <w:rPr/>
        <w:t>J. </w:t>
      </w:r>
      <w:r>
        <w:rPr>
          <w:spacing w:val="-4"/>
        </w:rPr>
        <w:t>M.</w:t>
      </w:r>
      <w:r>
        <w:rPr>
          <w:spacing w:val="55"/>
        </w:rPr>
        <w:t> </w:t>
      </w:r>
      <w:r>
        <w:rPr>
          <w:spacing w:val="-4"/>
        </w:rPr>
        <w:t>2000.</w:t>
      </w:r>
      <w:r>
        <w:rPr>
          <w:spacing w:val="55"/>
        </w:rPr>
        <w:t> </w:t>
      </w:r>
      <w:r>
        <w:rPr>
          <w:spacing w:val="-3"/>
        </w:rPr>
        <w:t>“Emigración internacional </w:t>
      </w:r>
      <w:r>
        <w:rPr/>
        <w:t>y </w:t>
      </w:r>
      <w:r>
        <w:rPr>
          <w:spacing w:val="-3"/>
        </w:rPr>
        <w:t>remesas </w:t>
      </w:r>
      <w:r>
        <w:rPr/>
        <w:t>en </w:t>
      </w:r>
      <w:r>
        <w:rPr>
          <w:spacing w:val="-3"/>
        </w:rPr>
        <w:t>Zacatecas” </w:t>
      </w:r>
      <w:r>
        <w:rPr/>
        <w:t>in BANCOMEXT. Revista Comercio Exterior, Vol. 50, Nº 5, mayo de 2000.  México.  Pp</w:t>
      </w:r>
      <w:r>
        <w:rPr>
          <w:spacing w:val="10"/>
        </w:rPr>
        <w:t> </w:t>
      </w:r>
      <w:r>
        <w:rPr/>
        <w:t>363-370.</w:t>
      </w:r>
    </w:p>
    <w:p>
      <w:pPr>
        <w:pStyle w:val="BodyText"/>
        <w:rPr>
          <w:sz w:val="22"/>
        </w:rPr>
      </w:pPr>
    </w:p>
    <w:p>
      <w:pPr>
        <w:pStyle w:val="BodyText"/>
        <w:spacing w:line="364" w:lineRule="auto" w:before="155"/>
        <w:ind w:left="115" w:right="104"/>
        <w:jc w:val="both"/>
      </w:pPr>
      <w:r>
        <w:rPr>
          <w:spacing w:val="-3"/>
        </w:rPr>
        <w:t>Palacios M., G. </w:t>
      </w:r>
      <w:r>
        <w:rPr>
          <w:spacing w:val="-4"/>
        </w:rPr>
        <w:t>1965. </w:t>
      </w:r>
      <w:r>
        <w:rPr>
          <w:spacing w:val="-3"/>
        </w:rPr>
        <w:t>Las Exportaciones Mexicanas </w:t>
      </w:r>
      <w:r>
        <w:rPr/>
        <w:t>y </w:t>
      </w:r>
      <w:r>
        <w:rPr>
          <w:spacing w:val="-3"/>
        </w:rPr>
        <w:t>el GATT.  Tesis Profesional  </w:t>
      </w:r>
      <w:r>
        <w:rPr/>
        <w:t>LE. </w:t>
      </w:r>
      <w:r>
        <w:rPr>
          <w:spacing w:val="-3"/>
        </w:rPr>
        <w:t>UNAM.</w:t>
      </w:r>
      <w:r>
        <w:rPr>
          <w:spacing w:val="14"/>
        </w:rPr>
        <w:t> </w:t>
      </w:r>
      <w:r>
        <w:rPr>
          <w:spacing w:val="-3"/>
        </w:rPr>
        <w:t>México.</w:t>
      </w:r>
    </w:p>
    <w:p>
      <w:pPr>
        <w:pStyle w:val="BodyText"/>
        <w:rPr>
          <w:sz w:val="22"/>
        </w:rPr>
      </w:pPr>
    </w:p>
    <w:p>
      <w:pPr>
        <w:pStyle w:val="BodyText"/>
        <w:spacing w:before="155"/>
        <w:ind w:left="115"/>
        <w:jc w:val="both"/>
      </w:pPr>
      <w:r>
        <w:rPr/>
        <w:t>Partida B., V. 1995; Migración Interna, Tomo II. Colmex-INEGI-UNAM.  México.</w:t>
      </w:r>
    </w:p>
    <w:p>
      <w:pPr>
        <w:pStyle w:val="BodyText"/>
        <w:rPr>
          <w:sz w:val="22"/>
        </w:rPr>
      </w:pPr>
    </w:p>
    <w:p>
      <w:pPr>
        <w:pStyle w:val="BodyText"/>
        <w:spacing w:before="1"/>
        <w:rPr>
          <w:sz w:val="25"/>
        </w:rPr>
      </w:pPr>
    </w:p>
    <w:p>
      <w:pPr>
        <w:pStyle w:val="BodyText"/>
        <w:spacing w:line="364" w:lineRule="auto"/>
        <w:ind w:left="115" w:right="106"/>
        <w:jc w:val="both"/>
      </w:pPr>
      <w:r>
        <w:rPr/>
        <w:t>Passel, J. S. 1997. “Tendencias recientes de la migración mexicana a los Estados Unidos” in La Contribución de los migrantes Mexicanos a la Sociedad de los Estados Unidos de América. SEGOB. Mexico. Pp  13-34.</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0"/>
        <w:jc w:val="both"/>
      </w:pPr>
      <w:r>
        <w:rPr>
          <w:spacing w:val="-3"/>
        </w:rPr>
        <w:t>Passel, </w:t>
      </w:r>
      <w:r>
        <w:rPr/>
        <w:t>J. </w:t>
      </w:r>
      <w:r>
        <w:rPr>
          <w:spacing w:val="-3"/>
        </w:rPr>
        <w:t>1995. “Illegal immigration: </w:t>
      </w:r>
      <w:r>
        <w:rPr/>
        <w:t>How big a </w:t>
      </w:r>
      <w:r>
        <w:rPr>
          <w:spacing w:val="-3"/>
        </w:rPr>
        <w:t>problem?”. Ponencia. Conferencia sobre Migración </w:t>
      </w:r>
      <w:r>
        <w:rPr>
          <w:spacing w:val="-4"/>
        </w:rPr>
        <w:t>Latinoamericana: </w:t>
      </w:r>
      <w:r>
        <w:rPr>
          <w:spacing w:val="-3"/>
        </w:rPr>
        <w:t>La Dimensión </w:t>
      </w:r>
      <w:r>
        <w:rPr/>
        <w:t>de la </w:t>
      </w:r>
      <w:r>
        <w:rPr>
          <w:spacing w:val="-3"/>
        </w:rPr>
        <w:t>Política </w:t>
      </w:r>
      <w:r>
        <w:rPr>
          <w:spacing w:val="-4"/>
        </w:rPr>
        <w:t>Exterior, </w:t>
      </w:r>
      <w:r>
        <w:rPr>
          <w:spacing w:val="-3"/>
        </w:rPr>
        <w:t>Medidien House. Washington. </w:t>
      </w:r>
      <w:r>
        <w:rPr>
          <w:spacing w:val="-4"/>
        </w:rPr>
        <w:t>Citado </w:t>
      </w:r>
      <w:r>
        <w:rPr>
          <w:spacing w:val="-3"/>
        </w:rPr>
        <w:t>por </w:t>
      </w:r>
      <w:r>
        <w:rPr/>
        <w:t>Smith,</w:t>
      </w:r>
      <w:r>
        <w:rPr>
          <w:spacing w:val="53"/>
        </w:rPr>
        <w:t> </w:t>
      </w:r>
      <w:r>
        <w:rPr>
          <w:spacing w:val="-4"/>
        </w:rPr>
        <w:t>2000.</w:t>
      </w:r>
    </w:p>
    <w:p>
      <w:pPr>
        <w:pStyle w:val="BodyText"/>
        <w:rPr>
          <w:sz w:val="22"/>
        </w:rPr>
      </w:pPr>
    </w:p>
    <w:p>
      <w:pPr>
        <w:pStyle w:val="BodyText"/>
        <w:spacing w:line="364" w:lineRule="auto" w:before="153"/>
        <w:ind w:left="115" w:right="101"/>
        <w:jc w:val="both"/>
      </w:pPr>
      <w:r>
        <w:rPr>
          <w:spacing w:val="-3"/>
        </w:rPr>
        <w:t>Pescador O., </w:t>
      </w:r>
      <w:r>
        <w:rPr/>
        <w:t>J. A. </w:t>
      </w:r>
      <w:r>
        <w:rPr>
          <w:spacing w:val="-3"/>
        </w:rPr>
        <w:t>1998. “La contribución económica </w:t>
      </w:r>
      <w:r>
        <w:rPr/>
        <w:t>de los </w:t>
      </w:r>
      <w:r>
        <w:rPr>
          <w:spacing w:val="-3"/>
        </w:rPr>
        <w:t>inmigrantes mexicanos  </w:t>
      </w:r>
      <w:r>
        <w:rPr/>
        <w:t>en </w:t>
      </w:r>
      <w:r>
        <w:rPr>
          <w:spacing w:val="-3"/>
        </w:rPr>
        <w:t>Estados Unidos” </w:t>
      </w:r>
      <w:r>
        <w:rPr/>
        <w:t>in BANCOMEXT. Revista Comercio Exterior, Vol. 48, Nº 11, noviembre de 1998. México. Pp</w:t>
      </w:r>
      <w:r>
        <w:rPr>
          <w:spacing w:val="45"/>
        </w:rPr>
        <w:t> </w:t>
      </w:r>
      <w:r>
        <w:rPr/>
        <w:t>927-935.</w:t>
      </w:r>
    </w:p>
    <w:p>
      <w:pPr>
        <w:pStyle w:val="BodyText"/>
        <w:rPr>
          <w:sz w:val="22"/>
        </w:rPr>
      </w:pPr>
    </w:p>
    <w:p>
      <w:pPr>
        <w:pStyle w:val="BodyText"/>
        <w:spacing w:line="364" w:lineRule="auto" w:before="155"/>
        <w:ind w:left="115" w:right="100"/>
      </w:pPr>
      <w:r>
        <w:rPr/>
        <w:t>Plattner, S. 1991. “Mercados y centros mercantiles”. En S. Plattner, Antropología Económica. CONACULTA- Alianza Editorial. Colección los noventa.  México.</w:t>
      </w:r>
    </w:p>
    <w:p>
      <w:pPr>
        <w:pStyle w:val="BodyText"/>
        <w:rPr>
          <w:sz w:val="22"/>
        </w:rPr>
      </w:pPr>
    </w:p>
    <w:p>
      <w:pPr>
        <w:pStyle w:val="BodyText"/>
        <w:spacing w:line="364" w:lineRule="auto" w:before="155"/>
        <w:ind w:left="115" w:right="104"/>
        <w:jc w:val="both"/>
      </w:pPr>
      <w:r>
        <w:rPr>
          <w:spacing w:val="-3"/>
        </w:rPr>
        <w:t>Portillo </w:t>
      </w:r>
      <w:r>
        <w:rPr/>
        <w:t>V., </w:t>
      </w:r>
      <w:r>
        <w:rPr>
          <w:spacing w:val="-3"/>
        </w:rPr>
        <w:t>M. </w:t>
      </w:r>
      <w:r>
        <w:rPr>
          <w:spacing w:val="-4"/>
        </w:rPr>
        <w:t>1997. </w:t>
      </w:r>
      <w:r>
        <w:rPr>
          <w:spacing w:val="-3"/>
        </w:rPr>
        <w:t>“Producción agrícola para </w:t>
      </w:r>
      <w:r>
        <w:rPr/>
        <w:t>la </w:t>
      </w:r>
      <w:r>
        <w:rPr>
          <w:spacing w:val="-3"/>
        </w:rPr>
        <w:t>exportación </w:t>
      </w:r>
      <w:r>
        <w:rPr/>
        <w:t>y su </w:t>
      </w:r>
      <w:r>
        <w:rPr>
          <w:spacing w:val="-3"/>
        </w:rPr>
        <w:t>impacto en el empleo rural” </w:t>
      </w:r>
      <w:r>
        <w:rPr/>
        <w:t>in </w:t>
      </w:r>
      <w:r>
        <w:rPr>
          <w:spacing w:val="-3"/>
        </w:rPr>
        <w:t>Memoria del seminario </w:t>
      </w:r>
      <w:r>
        <w:rPr>
          <w:spacing w:val="-4"/>
        </w:rPr>
        <w:t>sobre </w:t>
      </w:r>
      <w:r>
        <w:rPr/>
        <w:t>la </w:t>
      </w:r>
      <w:r>
        <w:rPr>
          <w:spacing w:val="-3"/>
        </w:rPr>
        <w:t>migración </w:t>
      </w:r>
      <w:r>
        <w:rPr>
          <w:spacing w:val="-4"/>
        </w:rPr>
        <w:t>internacional </w:t>
      </w:r>
      <w:r>
        <w:rPr/>
        <w:t>y </w:t>
      </w:r>
      <w:r>
        <w:rPr>
          <w:spacing w:val="-3"/>
        </w:rPr>
        <w:t>el  desarrollo económico </w:t>
      </w:r>
      <w:r>
        <w:rPr>
          <w:spacing w:val="-4"/>
        </w:rPr>
        <w:t>de </w:t>
      </w:r>
      <w:r>
        <w:rPr>
          <w:spacing w:val="-3"/>
        </w:rPr>
        <w:t>México. CONAPO. </w:t>
      </w:r>
      <w:r>
        <w:rPr>
          <w:spacing w:val="-4"/>
        </w:rPr>
        <w:t>Zacatecas, </w:t>
      </w:r>
      <w:r>
        <w:rPr>
          <w:spacing w:val="-3"/>
        </w:rPr>
        <w:t>México. </w:t>
      </w:r>
      <w:r>
        <w:rPr/>
        <w:t>Pp </w:t>
      </w:r>
      <w:r>
        <w:rPr>
          <w:spacing w:val="50"/>
        </w:rPr>
        <w:t> </w:t>
      </w:r>
      <w:r>
        <w:rPr>
          <w:spacing w:val="-4"/>
        </w:rPr>
        <w:t>109-119.</w:t>
      </w:r>
    </w:p>
    <w:p>
      <w:pPr>
        <w:pStyle w:val="BodyText"/>
        <w:rPr>
          <w:sz w:val="22"/>
        </w:rPr>
      </w:pPr>
    </w:p>
    <w:p>
      <w:pPr>
        <w:pStyle w:val="BodyText"/>
        <w:spacing w:line="364" w:lineRule="auto" w:before="155"/>
        <w:ind w:left="115" w:right="105"/>
        <w:jc w:val="both"/>
      </w:pPr>
      <w:r>
        <w:rPr/>
        <w:t>Preibisch, 1996; “Neoliberalismo y Migración en el Campo Mexicano: Bosquejo de dos Comunidades Poblanas” en Economía Internacional, BUAP, Nº 52, octubre diciembre, Puebla, México. Pp 73-79.</w:t>
      </w:r>
    </w:p>
    <w:p>
      <w:pPr>
        <w:pStyle w:val="BodyText"/>
        <w:rPr>
          <w:sz w:val="22"/>
        </w:rPr>
      </w:pPr>
    </w:p>
    <w:p>
      <w:pPr>
        <w:pStyle w:val="BodyText"/>
        <w:spacing w:line="364" w:lineRule="auto" w:before="153"/>
        <w:ind w:left="115" w:right="108"/>
        <w:jc w:val="both"/>
      </w:pPr>
      <w:r>
        <w:rPr/>
        <w:t>Pries, L. 1997. “Migración laboral internacional y espacios  sociales  transnacionales: bosquejo teórico-empírico” in Macías G., S. y F. Herrera L.(Coordinadores). 1997. Migración Laboral Internacional. BUAP. México. Pp 17- 53.</w:t>
      </w:r>
    </w:p>
    <w:p>
      <w:pPr>
        <w:pStyle w:val="BodyText"/>
        <w:rPr>
          <w:sz w:val="22"/>
        </w:rPr>
      </w:pPr>
    </w:p>
    <w:p>
      <w:pPr>
        <w:pStyle w:val="BodyText"/>
        <w:spacing w:line="367" w:lineRule="auto" w:before="153"/>
        <w:ind w:left="115" w:right="107"/>
        <w:jc w:val="both"/>
      </w:pPr>
      <w:r>
        <w:rPr/>
        <w:t>Rionda R., M. 1992. Y Jalaron pa’l Norte. Instituto Nacional de Antropología e Historia. México.</w:t>
      </w:r>
    </w:p>
    <w:p>
      <w:pPr>
        <w:pStyle w:val="BodyText"/>
        <w:rPr>
          <w:sz w:val="22"/>
        </w:rPr>
      </w:pPr>
    </w:p>
    <w:p>
      <w:pPr>
        <w:pStyle w:val="BodyText"/>
        <w:spacing w:line="364" w:lineRule="auto" w:before="152"/>
        <w:ind w:left="115" w:right="108"/>
        <w:jc w:val="both"/>
      </w:pPr>
      <w:r>
        <w:rPr/>
        <w:t>Roseberry, W. 1991. “Los campesinos y el mundo”. in S. Plattner, Antropología Económica. CONACULTA- Alianza editorial. Colección los noventa.  México.</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7"/>
        <w:jc w:val="both"/>
      </w:pPr>
      <w:r>
        <w:rPr/>
        <w:t>Santiago C., M.J. 2001ª.“El contexto económico de la migración internacional de retorno en México” en prensa.</w:t>
      </w:r>
    </w:p>
    <w:p>
      <w:pPr>
        <w:pStyle w:val="BodyText"/>
        <w:rPr>
          <w:sz w:val="22"/>
        </w:rPr>
      </w:pPr>
    </w:p>
    <w:p>
      <w:pPr>
        <w:pStyle w:val="BodyText"/>
        <w:spacing w:line="364" w:lineRule="auto" w:before="155"/>
        <w:ind w:left="115" w:right="105"/>
        <w:jc w:val="both"/>
      </w:pPr>
      <w:r>
        <w:rPr/>
        <w:t>Santiago C., M.J. 2001b. “Importancia económica de la migración internacional en México. Análisis desde la perspectiva de las remesas” in revista Momento Económico Nº 114, marzo-abril de 2001. Instituto de Investigaciones Económicas. UNAM. México. Pp 41-47.</w:t>
      </w:r>
    </w:p>
    <w:p>
      <w:pPr>
        <w:pStyle w:val="BodyText"/>
        <w:rPr>
          <w:sz w:val="22"/>
        </w:rPr>
      </w:pPr>
    </w:p>
    <w:p>
      <w:pPr>
        <w:pStyle w:val="BodyText"/>
        <w:spacing w:before="155"/>
        <w:ind w:left="115"/>
        <w:jc w:val="both"/>
      </w:pPr>
      <w:r>
        <w:rPr/>
        <w:t>Santiago C., M.J. 1996. Comunicación</w:t>
      </w:r>
      <w:r>
        <w:rPr>
          <w:spacing w:val="54"/>
        </w:rPr>
        <w:t> </w:t>
      </w:r>
      <w:r>
        <w:rPr/>
        <w:t>Personal.</w:t>
      </w:r>
    </w:p>
    <w:p>
      <w:pPr>
        <w:pStyle w:val="BodyText"/>
        <w:rPr>
          <w:sz w:val="22"/>
        </w:rPr>
      </w:pPr>
    </w:p>
    <w:p>
      <w:pPr>
        <w:pStyle w:val="BodyText"/>
        <w:spacing w:before="1"/>
        <w:rPr>
          <w:sz w:val="25"/>
        </w:rPr>
      </w:pPr>
    </w:p>
    <w:p>
      <w:pPr>
        <w:pStyle w:val="BodyText"/>
        <w:spacing w:line="364" w:lineRule="auto"/>
        <w:ind w:left="115" w:right="107"/>
        <w:jc w:val="both"/>
      </w:pPr>
      <w:r>
        <w:rPr/>
        <w:t>SEGOB (Secretaría de Gobernación). 1998-I-23. Diario Oficial de la Federación (DOF). México. Pp 2-11.</w:t>
      </w:r>
    </w:p>
    <w:p>
      <w:pPr>
        <w:pStyle w:val="BodyText"/>
        <w:rPr>
          <w:sz w:val="22"/>
        </w:rPr>
      </w:pPr>
    </w:p>
    <w:p>
      <w:pPr>
        <w:pStyle w:val="BodyText"/>
        <w:spacing w:before="155"/>
        <w:ind w:left="115"/>
        <w:jc w:val="both"/>
      </w:pPr>
      <w:r>
        <w:rPr/>
        <w:t>SEGOB. 1997. Estadística Migratoria. Centro de Estudios Migratorios.  México.</w:t>
      </w:r>
    </w:p>
    <w:p>
      <w:pPr>
        <w:pStyle w:val="BodyText"/>
        <w:rPr>
          <w:sz w:val="22"/>
        </w:rPr>
      </w:pPr>
    </w:p>
    <w:p>
      <w:pPr>
        <w:pStyle w:val="BodyText"/>
        <w:spacing w:before="1"/>
        <w:rPr>
          <w:sz w:val="25"/>
        </w:rPr>
      </w:pPr>
    </w:p>
    <w:p>
      <w:pPr>
        <w:pStyle w:val="BodyText"/>
        <w:spacing w:line="364" w:lineRule="auto"/>
        <w:ind w:left="115" w:right="107"/>
        <w:jc w:val="both"/>
      </w:pPr>
      <w:r>
        <w:rPr/>
        <w:t>SEGOB y GEM (Gobierno del Estado de Morelos). 1988. Los Municipios de Morelos. Centro Estatal de Estudios Municipales de Morelos.  México.</w:t>
      </w:r>
    </w:p>
    <w:p>
      <w:pPr>
        <w:pStyle w:val="BodyText"/>
        <w:rPr>
          <w:sz w:val="22"/>
        </w:rPr>
      </w:pPr>
    </w:p>
    <w:p>
      <w:pPr>
        <w:pStyle w:val="BodyText"/>
        <w:spacing w:line="364" w:lineRule="auto" w:before="155"/>
        <w:ind w:left="115" w:right="105"/>
        <w:jc w:val="both"/>
      </w:pPr>
      <w:r>
        <w:rPr/>
        <w:t>SPP (Secretaría de Programación y Presupuesto) 1983. X Censo General de Población y Vivienda 1980. México.</w:t>
      </w:r>
    </w:p>
    <w:p>
      <w:pPr>
        <w:pStyle w:val="BodyText"/>
        <w:spacing w:line="364" w:lineRule="auto" w:before="5"/>
        <w:ind w:left="115" w:right="101"/>
        <w:jc w:val="both"/>
      </w:pPr>
      <w:r>
        <w:rPr>
          <w:spacing w:val="-4"/>
        </w:rPr>
        <w:t>Serrano</w:t>
      </w:r>
      <w:r>
        <w:rPr>
          <w:spacing w:val="55"/>
        </w:rPr>
        <w:t> </w:t>
      </w:r>
      <w:r>
        <w:rPr/>
        <w:t>C., P. </w:t>
      </w:r>
      <w:r>
        <w:rPr>
          <w:spacing w:val="-3"/>
        </w:rPr>
        <w:t>2000. “Remesas familiares </w:t>
      </w:r>
      <w:r>
        <w:rPr/>
        <w:t>y </w:t>
      </w:r>
      <w:r>
        <w:rPr>
          <w:spacing w:val="-3"/>
        </w:rPr>
        <w:t>colectivas de los emigrantes centroamericanos en Estados Unidos” </w:t>
      </w:r>
      <w:r>
        <w:rPr/>
        <w:t>in BANCOMEXT. Revista Comercio Exterior, Vol. 50, Nº 4, abril de 2000. México. Pp</w:t>
      </w:r>
      <w:r>
        <w:rPr>
          <w:spacing w:val="55"/>
        </w:rPr>
        <w:t> </w:t>
      </w:r>
      <w:r>
        <w:rPr/>
        <w:t>305-310.</w:t>
      </w:r>
    </w:p>
    <w:p>
      <w:pPr>
        <w:pStyle w:val="BodyText"/>
        <w:rPr>
          <w:sz w:val="22"/>
        </w:rPr>
      </w:pPr>
    </w:p>
    <w:p>
      <w:pPr>
        <w:pStyle w:val="BodyText"/>
        <w:spacing w:line="367" w:lineRule="auto" w:before="153"/>
        <w:ind w:left="115" w:right="100"/>
      </w:pPr>
      <w:r>
        <w:rPr/>
        <w:t>Shanin, T. 1976. La Naturaleza y Lógica de la Economía Campesina. Editorial Anagrama. Barcelona.</w:t>
      </w:r>
    </w:p>
    <w:p>
      <w:pPr>
        <w:pStyle w:val="BodyText"/>
        <w:rPr>
          <w:sz w:val="22"/>
        </w:rPr>
      </w:pPr>
    </w:p>
    <w:p>
      <w:pPr>
        <w:pStyle w:val="BodyText"/>
        <w:spacing w:line="364" w:lineRule="auto" w:before="152"/>
        <w:ind w:left="115" w:right="103"/>
        <w:jc w:val="both"/>
      </w:pPr>
      <w:r>
        <w:rPr/>
        <w:t>Shejtman, A. 1986. Economía Campesina y Agricultura Empresarial (tipología de productores del agro mexicano). CEPAL. Siglo XXI editores; 3ª Ed.  México.</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8"/>
        <w:jc w:val="both"/>
      </w:pPr>
      <w:r>
        <w:rPr/>
        <w:t>Smith, M. E. 1991. “La economía informal”. in S. Plattner,  Antropología  Económica. CONACULTA- Alianza Editorial. Colección los noventa. </w:t>
      </w:r>
      <w:r>
        <w:rPr>
          <w:spacing w:val="17"/>
        </w:rPr>
        <w:t> </w:t>
      </w:r>
      <w:r>
        <w:rPr/>
        <w:t>México.</w:t>
      </w:r>
    </w:p>
    <w:p>
      <w:pPr>
        <w:pStyle w:val="BodyText"/>
        <w:rPr>
          <w:sz w:val="22"/>
        </w:rPr>
      </w:pPr>
    </w:p>
    <w:p>
      <w:pPr>
        <w:pStyle w:val="BodyText"/>
        <w:spacing w:line="364" w:lineRule="auto" w:before="155"/>
        <w:ind w:left="115" w:right="106"/>
        <w:jc w:val="both"/>
      </w:pPr>
      <w:r>
        <w:rPr/>
        <w:t>Smith, R. 2000. “Dilemas y perspectivas del sistema migratorio de América del Norte” in BANCOMEXT. Revista Comercio Exterior, Vol. 50, Nº 4, abril de 2000. México. Pp 289-304.</w:t>
      </w:r>
    </w:p>
    <w:p>
      <w:pPr>
        <w:pStyle w:val="BodyText"/>
        <w:rPr>
          <w:sz w:val="22"/>
        </w:rPr>
      </w:pPr>
    </w:p>
    <w:p>
      <w:pPr>
        <w:pStyle w:val="BodyText"/>
        <w:spacing w:line="364" w:lineRule="auto" w:before="155"/>
        <w:ind w:left="115" w:right="105"/>
        <w:jc w:val="both"/>
      </w:pPr>
      <w:r>
        <w:rPr/>
        <w:t>Solís, L. y Zedillo, E. 1994. La Deuda Externa de México. Re-edición. Instituto de Investigación Económica y Social Lucas Alamán A. C. México.</w:t>
      </w:r>
    </w:p>
    <w:p>
      <w:pPr>
        <w:pStyle w:val="BodyText"/>
        <w:rPr>
          <w:sz w:val="22"/>
        </w:rPr>
      </w:pPr>
    </w:p>
    <w:p>
      <w:pPr>
        <w:pStyle w:val="BodyText"/>
        <w:spacing w:line="364" w:lineRule="auto" w:before="155"/>
        <w:ind w:left="115" w:right="259"/>
      </w:pPr>
      <w:r>
        <w:rPr/>
        <w:t>Sowell, 1996; Migrations and Cultures. A world view. Harper Collins Publishers. SRE (Secretaría de Relaciones Exteriores). 1997. Estudio Binacional México- Estados Unidos sobre Migración. Citado por Cebada.</w:t>
      </w:r>
      <w:r>
        <w:rPr>
          <w:spacing w:val="62"/>
        </w:rPr>
        <w:t> </w:t>
      </w:r>
      <w:r>
        <w:rPr/>
        <w:t>2000.</w:t>
      </w:r>
    </w:p>
    <w:p>
      <w:pPr>
        <w:pStyle w:val="BodyText"/>
        <w:rPr>
          <w:sz w:val="22"/>
        </w:rPr>
      </w:pPr>
    </w:p>
    <w:p>
      <w:pPr>
        <w:pStyle w:val="BodyText"/>
        <w:spacing w:line="364" w:lineRule="auto" w:before="153"/>
        <w:ind w:left="115" w:right="100"/>
        <w:jc w:val="both"/>
      </w:pPr>
      <w:r>
        <w:rPr/>
        <w:t>Stark, O. y Taylor, J. E. 1988. Deprivation and International Migration. Discussion paper number 36, Migration and Development Program, Harvard University. Cambridge, Massachusetts.</w:t>
      </w:r>
    </w:p>
    <w:p>
      <w:pPr>
        <w:pStyle w:val="BodyText"/>
        <w:rPr>
          <w:sz w:val="22"/>
        </w:rPr>
      </w:pPr>
    </w:p>
    <w:p>
      <w:pPr>
        <w:pStyle w:val="BodyText"/>
        <w:spacing w:line="364" w:lineRule="auto" w:before="155"/>
        <w:ind w:left="115" w:right="105"/>
        <w:jc w:val="both"/>
      </w:pPr>
      <w:r>
        <w:rPr/>
        <w:t>Strickland, B. K. 1987. “Síntesis del proyecto de Ley Simpson-Rodino” in Foro Internacional Vol. XXVII Nº 3. El Colegio de México. México. Pp  443-450.</w:t>
      </w:r>
    </w:p>
    <w:p>
      <w:pPr>
        <w:pStyle w:val="BodyText"/>
        <w:rPr>
          <w:sz w:val="22"/>
        </w:rPr>
      </w:pPr>
    </w:p>
    <w:p>
      <w:pPr>
        <w:pStyle w:val="BodyText"/>
        <w:spacing w:line="364" w:lineRule="auto" w:before="155"/>
        <w:ind w:left="115" w:right="100"/>
        <w:jc w:val="both"/>
      </w:pPr>
      <w:r>
        <w:rPr>
          <w:spacing w:val="-3"/>
        </w:rPr>
        <w:t>Taylor, </w:t>
      </w:r>
      <w:r>
        <w:rPr/>
        <w:t>E. y T. J. Wyatt. </w:t>
      </w:r>
      <w:r>
        <w:rPr>
          <w:spacing w:val="-4"/>
        </w:rPr>
        <w:t>1996. </w:t>
      </w:r>
      <w:r>
        <w:rPr>
          <w:spacing w:val="-3"/>
        </w:rPr>
        <w:t>“The Shadow value of migrant </w:t>
      </w:r>
      <w:r>
        <w:rPr>
          <w:spacing w:val="-4"/>
        </w:rPr>
        <w:t>remittances,  </w:t>
      </w:r>
      <w:r>
        <w:rPr>
          <w:spacing w:val="-3"/>
        </w:rPr>
        <w:t>income  and inequality </w:t>
      </w:r>
      <w:r>
        <w:rPr/>
        <w:t>in a </w:t>
      </w:r>
      <w:r>
        <w:rPr>
          <w:spacing w:val="-3"/>
        </w:rPr>
        <w:t>household-farm </w:t>
      </w:r>
      <w:r>
        <w:rPr>
          <w:spacing w:val="-4"/>
        </w:rPr>
        <w:t>economy”</w:t>
      </w:r>
      <w:r>
        <w:rPr>
          <w:spacing w:val="55"/>
        </w:rPr>
        <w:t> </w:t>
      </w:r>
      <w:r>
        <w:rPr/>
        <w:t>in </w:t>
      </w:r>
      <w:r>
        <w:rPr>
          <w:spacing w:val="-3"/>
        </w:rPr>
        <w:t>The Journal of  </w:t>
      </w:r>
      <w:r>
        <w:rPr>
          <w:spacing w:val="-4"/>
        </w:rPr>
        <w:t>Development  </w:t>
      </w:r>
      <w:r>
        <w:rPr>
          <w:spacing w:val="-3"/>
        </w:rPr>
        <w:t>Studies, Vol. 32, </w:t>
      </w:r>
      <w:r>
        <w:rPr/>
        <w:t>Nº 6, </w:t>
      </w:r>
      <w:r>
        <w:rPr>
          <w:spacing w:val="-3"/>
        </w:rPr>
        <w:t>August </w:t>
      </w:r>
      <w:r>
        <w:rPr>
          <w:spacing w:val="-4"/>
        </w:rPr>
        <w:t>1996. </w:t>
      </w:r>
      <w:r>
        <w:rPr>
          <w:spacing w:val="-3"/>
        </w:rPr>
        <w:t>London. </w:t>
      </w:r>
      <w:r>
        <w:rPr/>
        <w:t>Pp </w:t>
      </w:r>
      <w:r>
        <w:rPr>
          <w:spacing w:val="-4"/>
        </w:rPr>
        <w:t>899-905. </w:t>
      </w:r>
      <w:r>
        <w:rPr>
          <w:spacing w:val="-3"/>
        </w:rPr>
        <w:t>Citado por Verduzco </w:t>
      </w:r>
      <w:r>
        <w:rPr/>
        <w:t>y </w:t>
      </w:r>
      <w:r>
        <w:rPr>
          <w:spacing w:val="-3"/>
        </w:rPr>
        <w:t>Unger.</w:t>
      </w:r>
      <w:r>
        <w:rPr>
          <w:spacing w:val="18"/>
        </w:rPr>
        <w:t> </w:t>
      </w:r>
      <w:r>
        <w:rPr>
          <w:spacing w:val="-3"/>
        </w:rPr>
        <w:t>1998.</w:t>
      </w:r>
    </w:p>
    <w:p>
      <w:pPr>
        <w:pStyle w:val="BodyText"/>
        <w:rPr>
          <w:sz w:val="22"/>
        </w:rPr>
      </w:pPr>
    </w:p>
    <w:p>
      <w:pPr>
        <w:pStyle w:val="BodyText"/>
        <w:spacing w:line="364" w:lineRule="auto" w:before="155"/>
        <w:ind w:left="115" w:right="100"/>
        <w:jc w:val="both"/>
      </w:pPr>
      <w:r>
        <w:rPr/>
        <w:t>Taylor, E. 1984. Differential Migration, Networks, Information and Risk. Discussion paper number 11, Migration and Development Program, Harvard University. Cambridge, Massachusetts.</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7"/>
        <w:jc w:val="both"/>
      </w:pPr>
      <w:r>
        <w:rPr/>
        <w:t>Therrien, M. y R. R. Ramírez A. 2001. “The hispanic population  in  the  United states: March 2000, Current Population Reports, P20-535, U.S. Census Bureau, Washington, D.C.</w:t>
      </w:r>
    </w:p>
    <w:p>
      <w:pPr>
        <w:pStyle w:val="BodyText"/>
        <w:rPr>
          <w:sz w:val="22"/>
        </w:rPr>
      </w:pPr>
    </w:p>
    <w:p>
      <w:pPr>
        <w:pStyle w:val="BodyText"/>
        <w:spacing w:line="367" w:lineRule="auto" w:before="153"/>
        <w:ind w:left="115" w:right="104"/>
        <w:jc w:val="both"/>
      </w:pPr>
      <w:r>
        <w:rPr/>
        <w:t>Todaro, M. 1987. Economía para un Mundo en Desarrollo. Introducción a los principios, problemas y políticas para el desarrollo; FCE,  México.</w:t>
      </w:r>
    </w:p>
    <w:p>
      <w:pPr>
        <w:pStyle w:val="BodyText"/>
        <w:rPr>
          <w:sz w:val="22"/>
        </w:rPr>
      </w:pPr>
    </w:p>
    <w:p>
      <w:pPr>
        <w:pStyle w:val="BodyText"/>
        <w:spacing w:line="364" w:lineRule="auto" w:before="152"/>
        <w:ind w:left="115" w:right="100"/>
      </w:pPr>
      <w:r>
        <w:rPr/>
        <w:t>Toledo, M. V. 1987. “Los campesinos y la cuestión ecológica”. in IX Coloquio. Las Sociedades Rurales Hoy. El Colegio de</w:t>
      </w:r>
      <w:r>
        <w:rPr>
          <w:spacing w:val="55"/>
        </w:rPr>
        <w:t> </w:t>
      </w:r>
      <w:r>
        <w:rPr/>
        <w:t>Michoacán.</w:t>
      </w:r>
    </w:p>
    <w:p>
      <w:pPr>
        <w:pStyle w:val="BodyText"/>
        <w:rPr>
          <w:sz w:val="22"/>
        </w:rPr>
      </w:pPr>
    </w:p>
    <w:p>
      <w:pPr>
        <w:pStyle w:val="BodyText"/>
        <w:spacing w:line="364" w:lineRule="auto" w:before="155"/>
        <w:ind w:left="115" w:right="102"/>
        <w:jc w:val="both"/>
      </w:pPr>
      <w:r>
        <w:rPr>
          <w:spacing w:val="-3"/>
        </w:rPr>
        <w:t>Valdivia </w:t>
      </w:r>
      <w:r>
        <w:rPr/>
        <w:t>A., R. </w:t>
      </w:r>
      <w:r>
        <w:rPr>
          <w:spacing w:val="-3"/>
        </w:rPr>
        <w:t>1998. Análisis Comparativo </w:t>
      </w:r>
      <w:r>
        <w:rPr/>
        <w:t>de la </w:t>
      </w:r>
      <w:r>
        <w:rPr>
          <w:spacing w:val="-4"/>
        </w:rPr>
        <w:t>Distribución </w:t>
      </w:r>
      <w:r>
        <w:rPr/>
        <w:t>de la </w:t>
      </w:r>
      <w:r>
        <w:rPr>
          <w:spacing w:val="-2"/>
        </w:rPr>
        <w:t>Tierra </w:t>
      </w:r>
      <w:r>
        <w:rPr/>
        <w:t>y </w:t>
      </w:r>
      <w:r>
        <w:rPr>
          <w:spacing w:val="-3"/>
        </w:rPr>
        <w:t>Apoyos Directos </w:t>
      </w:r>
      <w:r>
        <w:rPr>
          <w:spacing w:val="-4"/>
        </w:rPr>
        <w:t>al  Productor. </w:t>
      </w:r>
      <w:r>
        <w:rPr>
          <w:spacing w:val="-3"/>
        </w:rPr>
        <w:t>Estudio </w:t>
      </w:r>
      <w:r>
        <w:rPr/>
        <w:t>de </w:t>
      </w:r>
      <w:r>
        <w:rPr>
          <w:spacing w:val="-3"/>
        </w:rPr>
        <w:t>casos. Tesis de doctorado </w:t>
      </w:r>
      <w:r>
        <w:rPr/>
        <w:t>en </w:t>
      </w:r>
      <w:r>
        <w:rPr>
          <w:spacing w:val="-3"/>
        </w:rPr>
        <w:t>economía. Colegio  </w:t>
      </w:r>
      <w:r>
        <w:rPr/>
        <w:t>de </w:t>
      </w:r>
      <w:r>
        <w:rPr>
          <w:spacing w:val="-3"/>
        </w:rPr>
        <w:t>Postgraduados. Montecillo,</w:t>
      </w:r>
      <w:r>
        <w:rPr>
          <w:spacing w:val="44"/>
        </w:rPr>
        <w:t> </w:t>
      </w:r>
      <w:r>
        <w:rPr>
          <w:spacing w:val="-3"/>
        </w:rPr>
        <w:t>México.</w:t>
      </w:r>
    </w:p>
    <w:p>
      <w:pPr>
        <w:pStyle w:val="BodyText"/>
        <w:rPr>
          <w:sz w:val="22"/>
        </w:rPr>
      </w:pPr>
    </w:p>
    <w:p>
      <w:pPr>
        <w:pStyle w:val="BodyText"/>
        <w:spacing w:line="367" w:lineRule="auto" w:before="153"/>
        <w:ind w:left="115" w:right="100"/>
        <w:jc w:val="both"/>
      </w:pPr>
      <w:r>
        <w:rPr>
          <w:spacing w:val="-3"/>
        </w:rPr>
        <w:t>Verduzco G. </w:t>
      </w:r>
      <w:r>
        <w:rPr/>
        <w:t>y K. </w:t>
      </w:r>
      <w:r>
        <w:rPr>
          <w:spacing w:val="-3"/>
        </w:rPr>
        <w:t>Unger. </w:t>
      </w:r>
      <w:r>
        <w:rPr>
          <w:spacing w:val="-4"/>
        </w:rPr>
        <w:t>1998. </w:t>
      </w:r>
      <w:r>
        <w:rPr>
          <w:spacing w:val="-3"/>
        </w:rPr>
        <w:t>“Impacts </w:t>
      </w:r>
      <w:r>
        <w:rPr>
          <w:spacing w:val="-4"/>
        </w:rPr>
        <w:t>of </w:t>
      </w:r>
      <w:r>
        <w:rPr>
          <w:spacing w:val="-3"/>
        </w:rPr>
        <w:t>migration </w:t>
      </w:r>
      <w:r>
        <w:rPr/>
        <w:t>in </w:t>
      </w:r>
      <w:r>
        <w:rPr>
          <w:spacing w:val="-3"/>
        </w:rPr>
        <w:t>Mexico” </w:t>
      </w:r>
      <w:r>
        <w:rPr/>
        <w:t>in </w:t>
      </w:r>
      <w:r>
        <w:rPr>
          <w:spacing w:val="-3"/>
        </w:rPr>
        <w:t>Mexico-United States Binational </w:t>
      </w:r>
      <w:r>
        <w:rPr>
          <w:spacing w:val="-4"/>
        </w:rPr>
        <w:t>Migration Study. </w:t>
      </w:r>
      <w:r>
        <w:rPr>
          <w:spacing w:val="-3"/>
        </w:rPr>
        <w:t>Migration </w:t>
      </w:r>
      <w:r>
        <w:rPr>
          <w:spacing w:val="-4"/>
        </w:rPr>
        <w:t>between </w:t>
      </w:r>
      <w:r>
        <w:rPr>
          <w:spacing w:val="-3"/>
        </w:rPr>
        <w:t>Mexico and </w:t>
      </w:r>
      <w:r>
        <w:rPr/>
        <w:t>The </w:t>
      </w:r>
      <w:r>
        <w:rPr>
          <w:spacing w:val="-3"/>
        </w:rPr>
        <w:t>United States. Mexican Ministry </w:t>
      </w:r>
      <w:r>
        <w:rPr/>
        <w:t>of </w:t>
      </w:r>
      <w:r>
        <w:rPr>
          <w:spacing w:val="-3"/>
        </w:rPr>
        <w:t>Foreign Affairs and </w:t>
      </w:r>
      <w:r>
        <w:rPr/>
        <w:t>U.S. </w:t>
      </w:r>
      <w:r>
        <w:rPr>
          <w:spacing w:val="-3"/>
        </w:rPr>
        <w:t>Commission  </w:t>
      </w:r>
      <w:r>
        <w:rPr/>
        <w:t>on </w:t>
      </w:r>
      <w:r>
        <w:rPr>
          <w:spacing w:val="-3"/>
        </w:rPr>
        <w:t>Immigration  Reform. Vol. 1, </w:t>
      </w:r>
      <w:r>
        <w:rPr/>
        <w:t>Pp </w:t>
      </w:r>
      <w:r>
        <w:rPr>
          <w:spacing w:val="-4"/>
        </w:rPr>
        <w:t>395-435.</w:t>
      </w:r>
    </w:p>
    <w:p>
      <w:pPr>
        <w:pStyle w:val="BodyText"/>
        <w:rPr>
          <w:sz w:val="22"/>
        </w:rPr>
      </w:pPr>
    </w:p>
    <w:p>
      <w:pPr>
        <w:pStyle w:val="BodyText"/>
        <w:spacing w:line="364" w:lineRule="auto" w:before="150"/>
        <w:ind w:left="115" w:right="104"/>
        <w:jc w:val="both"/>
      </w:pPr>
      <w:r>
        <w:rPr/>
        <w:t>Verea, M. 1982. Entre México y los Estados Unidos: Los indocumentados. Ed. El Caballito. México.</w:t>
      </w:r>
    </w:p>
    <w:p>
      <w:pPr>
        <w:pStyle w:val="BodyText"/>
        <w:rPr>
          <w:sz w:val="22"/>
        </w:rPr>
      </w:pPr>
    </w:p>
    <w:p>
      <w:pPr>
        <w:pStyle w:val="BodyText"/>
        <w:spacing w:line="364" w:lineRule="auto" w:before="155"/>
        <w:ind w:left="115" w:right="100"/>
        <w:jc w:val="both"/>
      </w:pPr>
      <w:r>
        <w:rPr>
          <w:spacing w:val="-3"/>
        </w:rPr>
        <w:t>Villarreal, R. </w:t>
      </w:r>
      <w:r>
        <w:rPr>
          <w:spacing w:val="-4"/>
        </w:rPr>
        <w:t>1982. </w:t>
      </w:r>
      <w:r>
        <w:rPr>
          <w:spacing w:val="-3"/>
        </w:rPr>
        <w:t>“El modelo industrial </w:t>
      </w:r>
      <w:r>
        <w:rPr>
          <w:spacing w:val="-4"/>
        </w:rPr>
        <w:t>exportador. </w:t>
      </w:r>
      <w:r>
        <w:rPr/>
        <w:t>Una </w:t>
      </w:r>
      <w:r>
        <w:rPr>
          <w:spacing w:val="-3"/>
        </w:rPr>
        <w:t>estrategia </w:t>
      </w:r>
      <w:r>
        <w:rPr/>
        <w:t>de </w:t>
      </w:r>
      <w:r>
        <w:rPr>
          <w:spacing w:val="-3"/>
        </w:rPr>
        <w:t>desarrollo </w:t>
      </w:r>
      <w:r>
        <w:rPr/>
        <w:t>en </w:t>
      </w:r>
      <w:r>
        <w:rPr>
          <w:spacing w:val="-3"/>
        </w:rPr>
        <w:t>México” </w:t>
      </w:r>
      <w:r>
        <w:rPr/>
        <w:t>in </w:t>
      </w:r>
      <w:r>
        <w:rPr>
          <w:spacing w:val="-3"/>
        </w:rPr>
        <w:t>El </w:t>
      </w:r>
      <w:r>
        <w:rPr>
          <w:spacing w:val="-4"/>
        </w:rPr>
        <w:t>Comercio </w:t>
      </w:r>
      <w:r>
        <w:rPr>
          <w:spacing w:val="-3"/>
        </w:rPr>
        <w:t>Exterior de México, Tomo </w:t>
      </w:r>
      <w:r>
        <w:rPr/>
        <w:t>I. 1ª </w:t>
      </w:r>
      <w:r>
        <w:rPr>
          <w:spacing w:val="-3"/>
        </w:rPr>
        <w:t>edición.  IMCE/ADACI/Siglo XXI editores. México. Pp</w:t>
      </w:r>
      <w:r>
        <w:rPr>
          <w:spacing w:val="45"/>
        </w:rPr>
        <w:t> </w:t>
      </w:r>
      <w:r>
        <w:rPr>
          <w:spacing w:val="-4"/>
        </w:rPr>
        <w:t>19-41.</w:t>
      </w:r>
    </w:p>
    <w:p>
      <w:pPr>
        <w:pStyle w:val="BodyText"/>
        <w:rPr>
          <w:sz w:val="22"/>
        </w:rPr>
      </w:pPr>
    </w:p>
    <w:p>
      <w:pPr>
        <w:pStyle w:val="BodyText"/>
        <w:spacing w:before="155"/>
        <w:ind w:left="115"/>
        <w:jc w:val="both"/>
      </w:pPr>
      <w:r>
        <w:rPr/>
        <w:t>Warman, A. 1983. “Invitación al pleito”. in revista Nexos Nº 71.  México.</w:t>
      </w:r>
    </w:p>
    <w:p>
      <w:pPr>
        <w:pStyle w:val="BodyText"/>
        <w:rPr>
          <w:sz w:val="22"/>
        </w:rPr>
      </w:pPr>
    </w:p>
    <w:p>
      <w:pPr>
        <w:pStyle w:val="BodyText"/>
        <w:spacing w:before="1"/>
        <w:rPr>
          <w:sz w:val="25"/>
        </w:rPr>
      </w:pPr>
    </w:p>
    <w:p>
      <w:pPr>
        <w:pStyle w:val="BodyText"/>
        <w:spacing w:line="364" w:lineRule="auto"/>
        <w:ind w:left="115" w:right="103"/>
        <w:jc w:val="both"/>
      </w:pPr>
      <w:r>
        <w:rPr>
          <w:spacing w:val="-3"/>
        </w:rPr>
        <w:t>Weintraub, </w:t>
      </w:r>
      <w:r>
        <w:rPr/>
        <w:t>S. </w:t>
      </w:r>
      <w:r>
        <w:rPr>
          <w:spacing w:val="-3"/>
        </w:rPr>
        <w:t>1989. </w:t>
      </w:r>
      <w:r>
        <w:rPr>
          <w:spacing w:val="-4"/>
        </w:rPr>
        <w:t>“Implications </w:t>
      </w:r>
      <w:r>
        <w:rPr>
          <w:spacing w:val="-3"/>
        </w:rPr>
        <w:t>of mexican demographic developments </w:t>
      </w:r>
      <w:r>
        <w:rPr/>
        <w:t>for the </w:t>
      </w:r>
      <w:r>
        <w:rPr>
          <w:spacing w:val="-3"/>
        </w:rPr>
        <w:t>United States” </w:t>
      </w:r>
      <w:r>
        <w:rPr/>
        <w:t>in </w:t>
      </w:r>
      <w:r>
        <w:rPr>
          <w:spacing w:val="-3"/>
        </w:rPr>
        <w:t>Bean,  F.,  S.   Weintraub </w:t>
      </w:r>
      <w:r>
        <w:rPr/>
        <w:t>y J. </w:t>
      </w:r>
      <w:r>
        <w:rPr>
          <w:spacing w:val="-3"/>
        </w:rPr>
        <w:t>Schmandt  (eds). 1989. Mexican   and</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34"/>
      </w:pPr>
      <w:r>
        <w:rPr/>
        <w:t>Central American Population and US Immigration Policy. Centro de Estudios Mexicano-Estadounidenses. Universidad de Texas. Austin. Citado por Smith,   2000.</w:t>
      </w:r>
    </w:p>
    <w:p>
      <w:pPr>
        <w:pStyle w:val="BodyText"/>
        <w:rPr>
          <w:sz w:val="22"/>
        </w:rPr>
      </w:pPr>
    </w:p>
    <w:p>
      <w:pPr>
        <w:pStyle w:val="BodyText"/>
        <w:spacing w:line="364" w:lineRule="auto" w:before="155"/>
        <w:ind w:left="115" w:right="418"/>
      </w:pPr>
      <w:r>
        <w:rPr/>
        <w:t>Young, C. M. 1976. The Social Setting of Migration: factors affecting migration from a sierra zapotec village in Oaxaca, México. Tesis doctoral, University of London, citado por Rionda, 1992.</w:t>
      </w:r>
    </w:p>
    <w:p>
      <w:pPr>
        <w:pStyle w:val="BodyText"/>
        <w:rPr>
          <w:sz w:val="22"/>
        </w:rPr>
      </w:pPr>
    </w:p>
    <w:p>
      <w:pPr>
        <w:pStyle w:val="BodyText"/>
        <w:spacing w:line="364" w:lineRule="auto" w:before="155"/>
        <w:ind w:left="115" w:right="100"/>
        <w:jc w:val="both"/>
      </w:pPr>
      <w:r>
        <w:rPr/>
        <w:t>Yúnez-Naude, A. 2000. “Cambio estructural y emigración rural a Estados Unidos” in BANCOMEXT. Revista Comercio Exterior, Vol. 50, Nº 4, abril de 2000. México. Pp 334-339.</w:t>
      </w:r>
    </w:p>
    <w:p>
      <w:pPr>
        <w:spacing w:after="0" w:line="364" w:lineRule="auto"/>
        <w:jc w:val="both"/>
        <w:sectPr>
          <w:pgSz w:w="11900" w:h="16840"/>
          <w:pgMar w:header="0" w:footer="1679" w:top="1600" w:bottom="1860" w:left="1540" w:right="1580"/>
        </w:sectPr>
      </w:pPr>
    </w:p>
    <w:p>
      <w:pPr>
        <w:pStyle w:val="BodyText"/>
        <w:spacing w:before="4"/>
        <w:rPr>
          <w:rFonts w:ascii="Times New Roman"/>
          <w:sz w:val="17"/>
        </w:rPr>
      </w:pPr>
    </w:p>
    <w:p>
      <w:pPr>
        <w:spacing w:after="0"/>
        <w:rPr>
          <w:rFonts w:ascii="Times New Roman"/>
          <w:sz w:val="17"/>
        </w:rPr>
        <w:sectPr>
          <w:footerReference w:type="default" r:id="rId31"/>
          <w:pgSz w:w="11900" w:h="16840"/>
          <w:pgMar w:footer="1619" w:header="0" w:top="1600" w:bottom="1800" w:left="1680" w:right="1580"/>
          <w:pgNumType w:start="100"/>
        </w:sectPr>
      </w:pPr>
    </w:p>
    <w:p>
      <w:pPr>
        <w:pStyle w:val="BodyText"/>
        <w:rPr>
          <w:rFonts w:ascii="Times New Roman"/>
          <w:sz w:val="20"/>
        </w:rPr>
      </w:pPr>
    </w:p>
    <w:p>
      <w:pPr>
        <w:pStyle w:val="BodyText"/>
        <w:spacing w:before="7"/>
        <w:rPr>
          <w:rFonts w:ascii="Times New Roman"/>
          <w:sz w:val="17"/>
        </w:rPr>
      </w:pPr>
    </w:p>
    <w:p>
      <w:pPr>
        <w:pStyle w:val="Heading1"/>
        <w:spacing w:before="56"/>
        <w:ind w:left="1092" w:right="375" w:firstLine="2"/>
      </w:pPr>
      <w:r>
        <w:rPr/>
        <w:t>2. PANORAMA INTERNACIONAL DE LA EMIGRACIÓN Y LAS REMESAS EN MÉXICO</w:t>
      </w:r>
    </w:p>
    <w:p>
      <w:pPr>
        <w:pStyle w:val="BodyText"/>
        <w:spacing w:before="2"/>
        <w:rPr>
          <w:b/>
          <w:sz w:val="43"/>
        </w:rPr>
      </w:pPr>
    </w:p>
    <w:p>
      <w:pPr>
        <w:pStyle w:val="Heading4"/>
        <w:spacing w:before="1"/>
        <w:ind w:left="115" w:right="13"/>
        <w:jc w:val="center"/>
      </w:pPr>
      <w:r>
        <w:rPr/>
        <w:t>Francisco Pérez Soto</w:t>
      </w:r>
    </w:p>
    <w:p>
      <w:pPr>
        <w:spacing w:before="10"/>
        <w:ind w:left="109" w:right="101" w:firstLine="0"/>
        <w:jc w:val="center"/>
        <w:rPr>
          <w:sz w:val="19"/>
        </w:rPr>
      </w:pPr>
      <w:r>
        <w:rPr>
          <w:sz w:val="19"/>
        </w:rPr>
        <w:t>División de Ciencias Económico Administrativas de la UACH   </w:t>
      </w:r>
      <w:hyperlink r:id="rId19">
        <w:r>
          <w:rPr>
            <w:sz w:val="19"/>
          </w:rPr>
          <w:t>perezsotof@hotmail.com</w:t>
        </w:r>
      </w:hyperlink>
    </w:p>
    <w:p>
      <w:pPr>
        <w:pStyle w:val="BodyText"/>
        <w:spacing w:before="10"/>
        <w:rPr>
          <w:sz w:val="19"/>
        </w:rPr>
      </w:pPr>
    </w:p>
    <w:p>
      <w:pPr>
        <w:pStyle w:val="Heading4"/>
        <w:ind w:left="105" w:right="101"/>
        <w:jc w:val="center"/>
      </w:pPr>
      <w:r>
        <w:rPr/>
        <w:t>Esther Figueroa Hernández</w:t>
      </w:r>
    </w:p>
    <w:p>
      <w:pPr>
        <w:spacing w:before="10"/>
        <w:ind w:left="107" w:right="101" w:firstLine="0"/>
        <w:jc w:val="center"/>
        <w:rPr>
          <w:sz w:val="19"/>
        </w:rPr>
      </w:pPr>
      <w:r>
        <w:rPr>
          <w:sz w:val="19"/>
        </w:rPr>
        <w:t>Autónoma del Estado de México. </w:t>
      </w:r>
      <w:r>
        <w:rPr>
          <w:spacing w:val="50"/>
          <w:sz w:val="19"/>
        </w:rPr>
        <w:t> </w:t>
      </w:r>
      <w:hyperlink r:id="rId17">
        <w:r>
          <w:rPr>
            <w:sz w:val="19"/>
          </w:rPr>
          <w:t>esfigue_3@yahoo.com.mx</w:t>
        </w:r>
      </w:hyperlink>
    </w:p>
    <w:p>
      <w:pPr>
        <w:pStyle w:val="BodyText"/>
        <w:spacing w:before="7"/>
        <w:rPr>
          <w:sz w:val="19"/>
        </w:rPr>
      </w:pPr>
    </w:p>
    <w:p>
      <w:pPr>
        <w:pStyle w:val="Heading4"/>
        <w:spacing w:before="1"/>
        <w:ind w:left="106" w:right="101"/>
        <w:jc w:val="center"/>
      </w:pPr>
      <w:r>
        <w:rPr/>
        <w:t>Gerónimo Barrios Puente</w:t>
      </w:r>
    </w:p>
    <w:p>
      <w:pPr>
        <w:spacing w:before="10"/>
        <w:ind w:left="107" w:right="101" w:firstLine="0"/>
        <w:jc w:val="center"/>
        <w:rPr>
          <w:sz w:val="19"/>
        </w:rPr>
      </w:pPr>
      <w:r>
        <w:rPr>
          <w:sz w:val="19"/>
        </w:rPr>
        <w:t>Profesor investigador de la División de Ciencias Económico Administrativas de la   UACH</w:t>
      </w:r>
    </w:p>
    <w:p>
      <w:pPr>
        <w:pStyle w:val="BodyText"/>
        <w:spacing w:before="10"/>
        <w:rPr>
          <w:sz w:val="19"/>
        </w:rPr>
      </w:pPr>
    </w:p>
    <w:p>
      <w:pPr>
        <w:pStyle w:val="Heading4"/>
        <w:ind w:left="105" w:right="101"/>
        <w:jc w:val="center"/>
      </w:pPr>
      <w:r>
        <w:rPr/>
        <w:t>Daniel Sepúlveda Jiménez</w:t>
      </w:r>
    </w:p>
    <w:p>
      <w:pPr>
        <w:spacing w:before="47"/>
        <w:ind w:left="109" w:right="101" w:firstLine="0"/>
        <w:jc w:val="center"/>
        <w:rPr>
          <w:sz w:val="21"/>
        </w:rPr>
      </w:pPr>
      <w:r>
        <w:rPr>
          <w:sz w:val="21"/>
        </w:rPr>
        <w:t>Universidad Autónoma</w:t>
      </w:r>
      <w:r>
        <w:rPr>
          <w:spacing w:val="52"/>
          <w:sz w:val="21"/>
        </w:rPr>
        <w:t> </w:t>
      </w:r>
      <w:r>
        <w:rPr>
          <w:sz w:val="21"/>
        </w:rPr>
        <w:t>Chapingo</w:t>
      </w:r>
    </w:p>
    <w:p>
      <w:pPr>
        <w:pStyle w:val="Heading4"/>
        <w:spacing w:before="152"/>
        <w:ind w:left="103" w:right="101"/>
        <w:jc w:val="center"/>
      </w:pPr>
      <w:r>
        <w:rPr/>
        <w:t>Marcos Portillo Vázquez</w:t>
      </w:r>
    </w:p>
    <w:p>
      <w:pPr>
        <w:spacing w:before="13"/>
        <w:ind w:left="102" w:right="101" w:firstLine="0"/>
        <w:jc w:val="center"/>
        <w:rPr>
          <w:sz w:val="19"/>
        </w:rPr>
      </w:pPr>
      <w:r>
        <w:rPr>
          <w:sz w:val="19"/>
        </w:rPr>
        <w:t>División de Ciencias Económico Administrativas de la  UACH</w:t>
      </w:r>
    </w:p>
    <w:p>
      <w:pPr>
        <w:pStyle w:val="BodyText"/>
        <w:spacing w:before="7"/>
        <w:rPr>
          <w:sz w:val="19"/>
        </w:rPr>
      </w:pPr>
    </w:p>
    <w:p>
      <w:pPr>
        <w:pStyle w:val="Heading4"/>
        <w:spacing w:before="1"/>
        <w:ind w:left="105" w:right="101"/>
        <w:jc w:val="center"/>
      </w:pPr>
      <w:r>
        <w:rPr/>
        <w:t>Jesús Loera Martínez</w:t>
      </w:r>
    </w:p>
    <w:p>
      <w:pPr>
        <w:spacing w:before="10"/>
        <w:ind w:left="107" w:right="101" w:firstLine="0"/>
        <w:jc w:val="center"/>
        <w:rPr>
          <w:sz w:val="19"/>
        </w:rPr>
      </w:pPr>
      <w:r>
        <w:rPr>
          <w:sz w:val="19"/>
        </w:rPr>
        <w:t>División de Ciencias Económico Administrativas de la UACH,    </w:t>
      </w:r>
      <w:hyperlink r:id="rId32">
        <w:r>
          <w:rPr>
            <w:sz w:val="19"/>
          </w:rPr>
          <w:t>jloeramtz2004@yahoo.com.mx</w:t>
        </w:r>
      </w:hyperlink>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ListParagraph"/>
        <w:numPr>
          <w:ilvl w:val="1"/>
          <w:numId w:val="5"/>
        </w:numPr>
        <w:tabs>
          <w:tab w:pos="376" w:val="left" w:leader="none"/>
        </w:tabs>
        <w:spacing w:line="240" w:lineRule="auto" w:before="148" w:after="0"/>
        <w:ind w:left="375" w:right="0" w:hanging="259"/>
        <w:jc w:val="both"/>
        <w:rPr>
          <w:b/>
          <w:sz w:val="31"/>
        </w:rPr>
      </w:pPr>
      <w:r>
        <w:rPr>
          <w:b/>
          <w:sz w:val="31"/>
        </w:rPr>
        <w:t>INTRODUCCIÓN</w:t>
      </w:r>
    </w:p>
    <w:p>
      <w:pPr>
        <w:pStyle w:val="BodyText"/>
        <w:spacing w:line="364" w:lineRule="auto" w:before="253"/>
        <w:ind w:left="115" w:right="103"/>
        <w:jc w:val="both"/>
      </w:pPr>
      <w:r>
        <w:rPr/>
        <w:t>La migración es un fenómeno que ocurre desde el momento que el hombre busca nuevas alternativas para mejorar su bienestar social. Su aspecto benéfico es el  flujo de remesas captadas en las regiones expulsoras de mano  de  obra,  las cuales se encuentran concentradas principalmente en zonas rurales. La tendencia de las remesas está encaminada hacia la satisfacción de  las  necesidades  básicas, así como en la adquisición de bienes de consumo, y en la compra y  mejora de vivienda. Existen países que tienen flujos migratorios masivos, motivo por el cual reciben grandes cantidades de</w:t>
      </w:r>
      <w:r>
        <w:rPr>
          <w:spacing w:val="62"/>
        </w:rPr>
        <w:t> </w:t>
      </w:r>
      <w:r>
        <w:rPr/>
        <w:t>remesas.</w:t>
      </w:r>
    </w:p>
    <w:p>
      <w:pPr>
        <w:pStyle w:val="BodyText"/>
        <w:rPr>
          <w:sz w:val="22"/>
        </w:rPr>
      </w:pPr>
    </w:p>
    <w:p>
      <w:pPr>
        <w:pStyle w:val="BodyText"/>
        <w:spacing w:line="364" w:lineRule="auto" w:before="155"/>
        <w:ind w:left="115" w:right="107"/>
        <w:jc w:val="both"/>
      </w:pPr>
      <w:r>
        <w:rPr/>
        <w:t>Este trabajo introductorio se basa en dos apartados, el primero de éstos explica el comportamiento de los países expulsores y países de destino de la mano de obra migrante, analizándose, por cuestiones de facilidad, en cinco regiones del mundo,  a saber; África, Asia, Europa, Latinoamérica y</w:t>
      </w:r>
      <w:r>
        <w:rPr>
          <w:spacing w:val="61"/>
        </w:rPr>
        <w:t> </w:t>
      </w:r>
      <w:r>
        <w:rPr/>
        <w:t>Oceanía.</w:t>
      </w:r>
    </w:p>
    <w:p>
      <w:pPr>
        <w:spacing w:after="0" w:line="364" w:lineRule="auto"/>
        <w:jc w:val="both"/>
        <w:sectPr>
          <w:pgSz w:w="11900" w:h="16840"/>
          <w:pgMar w:header="0" w:footer="1619" w:top="1600" w:bottom="180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En el apartado dos se explica el comportamiento de las remesas en México, así como los distintos medios por los que se envía dinero de  Estados  Unidos  a México, los sistemas de transferencias formales de fondos (TFF) que se  encuentran regulados y que dan una idea de los flujos monetarios que ingresan al país por concepto de remesas, y los sistemas de transferencia informales  de fondos (TIF) de los cuales no se tiene control alguno y que por ende han puesto mucho énfasis los distintos gobiernos para combatir el  dinero ilícito, proveniente  de narcotráfico, lavado de dinero y extorsión. Asimismo, se analizan los Estados que perciben los mayores flujos monetarios dentro del</w:t>
      </w:r>
      <w:r>
        <w:rPr>
          <w:spacing w:val="61"/>
        </w:rPr>
        <w:t> </w:t>
      </w:r>
      <w:r>
        <w:rPr/>
        <w:t>país.</w:t>
      </w:r>
    </w:p>
    <w:p>
      <w:pPr>
        <w:pStyle w:val="BodyText"/>
        <w:rPr>
          <w:sz w:val="22"/>
        </w:rPr>
      </w:pPr>
    </w:p>
    <w:p>
      <w:pPr>
        <w:pStyle w:val="BodyText"/>
        <w:spacing w:line="364" w:lineRule="auto" w:before="155"/>
        <w:ind w:left="115" w:right="103"/>
        <w:jc w:val="both"/>
      </w:pPr>
      <w:r>
        <w:rPr/>
        <w:t>Existen países en Europa que obtienen importantes flujos  monetarios  por  concepto de remesas muy superiores en promedio a los demás, tales como España, Grecia y Portugal, por lo que los migrantes ven a estas naciones como fuente generadora de mano de obra barata en tanto que países como Alemania, Francia y Reino Unido, suelen ser vistos como los países que generan empleos.  Por otro lado Asia tiene como pilares en captación de remesas a India, China y Filipinas, países que sin duda tienen una gran cantidad de habitantes en su territorio nacional, mientras que en Latinoamérica México y Brasil obtienen los mayores flujos, ambos por tener importantes asimetrías estructurales con los  países del norte del continente y que se reflejan particularmente en el aspecto económico. Por lo que concierne a Oceanía, los países más importantes  en  cuanto a expulsión de migrantes son: Australia y Nueva Zelanda, finalmente África obtiene los mayores flujos de remesas de países que su destino son a países petroleros, estos son: Marruecos, Egipto y</w:t>
      </w:r>
      <w:r>
        <w:rPr>
          <w:spacing w:val="53"/>
        </w:rPr>
        <w:t> </w:t>
      </w:r>
      <w:r>
        <w:rPr/>
        <w:t>Argelia.</w:t>
      </w:r>
    </w:p>
    <w:p>
      <w:pPr>
        <w:pStyle w:val="BodyText"/>
        <w:rPr>
          <w:sz w:val="22"/>
        </w:rPr>
      </w:pPr>
    </w:p>
    <w:p>
      <w:pPr>
        <w:pStyle w:val="BodyText"/>
        <w:spacing w:line="364" w:lineRule="auto" w:before="155"/>
        <w:ind w:left="115" w:right="105"/>
        <w:jc w:val="both"/>
      </w:pPr>
      <w:r>
        <w:rPr/>
        <w:t>Los países que captan la atención de los migrantes son aquellos que se  encuentran clasificados como industriales y de primer mundo. En el continente Europeo Alemania y Francia son los primeros destinos, si bien es cierto también España ha captado la atención de los migrantes, por lo que es  un  país  que expulsa gran cantidad de mano de obra, pero recibe  flujos migratorios  también muy fuertes. Por el lado de Asia, Japón es el destino que los migrantes   </w:t>
      </w:r>
      <w:r>
        <w:rPr>
          <w:spacing w:val="10"/>
        </w:rPr>
        <w:t> </w:t>
      </w:r>
      <w:r>
        <w:rPr/>
        <w:t>han fijado</w:t>
      </w:r>
    </w:p>
    <w:p>
      <w:pPr>
        <w:spacing w:after="0" w:line="364" w:lineRule="auto"/>
        <w:jc w:val="both"/>
        <w:sectPr>
          <w:pgSz w:w="11900" w:h="16840"/>
          <w:pgMar w:header="0" w:footer="161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4"/>
        <w:jc w:val="both"/>
      </w:pPr>
      <w:r>
        <w:rPr/>
        <w:t>como meta para instalarse, principalmente provienen de Brasil y Ecuador, debido   a que fueron países que tienen gran ascendencia nipona, finalmente nos encontramos que los países que provienen de Sudamérica y del Norte  de  América, buscan incursionar a Estados Unidos, país que recibe grandes flujos migratorios, pues tan solo en el año 2005 se instalaron alrededor de 10 000 migrantes provenientes de</w:t>
      </w:r>
      <w:r>
        <w:rPr>
          <w:spacing w:val="38"/>
        </w:rPr>
        <w:t> </w:t>
      </w:r>
      <w:r>
        <w:rPr/>
        <w:t>México.</w:t>
      </w:r>
    </w:p>
    <w:p>
      <w:pPr>
        <w:pStyle w:val="BodyText"/>
        <w:rPr>
          <w:sz w:val="22"/>
        </w:rPr>
      </w:pPr>
    </w:p>
    <w:p>
      <w:pPr>
        <w:pStyle w:val="BodyText"/>
        <w:rPr>
          <w:sz w:val="22"/>
        </w:rPr>
      </w:pPr>
    </w:p>
    <w:p>
      <w:pPr>
        <w:pStyle w:val="Heading4"/>
        <w:spacing w:before="192"/>
        <w:ind w:left="115"/>
        <w:jc w:val="both"/>
      </w:pPr>
      <w:r>
        <w:rPr/>
        <w:t>Planteamiento general del problema de la migración a nivel  internacional</w:t>
      </w:r>
    </w:p>
    <w:p>
      <w:pPr>
        <w:pStyle w:val="BodyText"/>
        <w:spacing w:before="2"/>
        <w:rPr>
          <w:b/>
          <w:sz w:val="29"/>
        </w:rPr>
      </w:pPr>
    </w:p>
    <w:p>
      <w:pPr>
        <w:pStyle w:val="BodyText"/>
        <w:spacing w:line="364" w:lineRule="auto"/>
        <w:ind w:left="115" w:right="105"/>
        <w:jc w:val="both"/>
      </w:pPr>
      <w:r>
        <w:rPr/>
        <w:t>Parte esencial de que los migrantes quieran incursionar hacia los Estados Unidos, se debe a las dilaciones estructurales que tiene nuestro país con los vecinos del norte, de ahí que busquen una mejora en su forma de vida, traduciéndose en mayores ingresos, que conlleva siempre a una mejora personal,  tanto  en consumo, salud o</w:t>
      </w:r>
      <w:r>
        <w:rPr>
          <w:spacing w:val="30"/>
        </w:rPr>
        <w:t> </w:t>
      </w:r>
      <w:r>
        <w:rPr/>
        <w:t>vivienda.</w:t>
      </w:r>
    </w:p>
    <w:p>
      <w:pPr>
        <w:pStyle w:val="BodyText"/>
        <w:rPr>
          <w:sz w:val="22"/>
        </w:rPr>
      </w:pPr>
    </w:p>
    <w:p>
      <w:pPr>
        <w:pStyle w:val="BodyText"/>
        <w:spacing w:line="364" w:lineRule="auto" w:before="155"/>
        <w:ind w:left="115" w:right="103"/>
        <w:jc w:val="both"/>
      </w:pPr>
      <w:r>
        <w:rPr/>
        <w:t>De esta forma es que la atención por distintas entidades gubernamentales está centrada en el tema de las remesas, pues en las últimas décadas, los cambios de nivel parecen estar relacionados con el comportamiento cíclico de la economía mexicana, aumentando considerablemente entre 1982-1983 y posteriormente en 1995, y aunque la industria petrolera ha mostrado su gran fuerza siendo  la  principal fuente de ingresos mediante el comercio exterior, constantemente se ve asechada por los flujos monetarios que ingresan por el concepto de remesas, que entre los años 2003 al año 2006 se colocó por primera vez en su historia como la segunda fuente principal en la captación de ingresos para </w:t>
      </w:r>
      <w:r>
        <w:rPr>
          <w:spacing w:val="10"/>
        </w:rPr>
        <w:t> </w:t>
      </w:r>
      <w:r>
        <w:rPr/>
        <w:t>México.</w:t>
      </w:r>
    </w:p>
    <w:p>
      <w:pPr>
        <w:pStyle w:val="BodyText"/>
        <w:rPr>
          <w:sz w:val="22"/>
        </w:rPr>
      </w:pPr>
    </w:p>
    <w:p>
      <w:pPr>
        <w:pStyle w:val="BodyText"/>
        <w:spacing w:line="364" w:lineRule="auto" w:before="155"/>
        <w:ind w:left="115" w:right="105"/>
        <w:jc w:val="both"/>
      </w:pPr>
      <w:r>
        <w:rPr/>
        <w:t>La necesidad de conocer los efectos que traen aunados las remesas sobre la economía mexicana se debe a que representan un flujo monetario que en más del 80% es destinado al autoconsumo y el resto a la inversión o ahorro, lo que trae efectos de encadenamiento en la economía nacional y se logra desplazar la oferta de bienes y servicios positivamente pero que también mueven la tasa de inflación, el desempleo y, en general, los macroprecios de la  economía.</w:t>
      </w:r>
    </w:p>
    <w:p>
      <w:pPr>
        <w:spacing w:after="0" w:line="364" w:lineRule="auto"/>
        <w:jc w:val="both"/>
        <w:sectPr>
          <w:pgSz w:w="11900" w:h="16840"/>
          <w:pgMar w:header="0" w:footer="1619" w:top="1600" w:bottom="1860" w:left="1540" w:right="1580"/>
        </w:sectPr>
      </w:pPr>
    </w:p>
    <w:p>
      <w:pPr>
        <w:pStyle w:val="BodyText"/>
        <w:rPr>
          <w:sz w:val="20"/>
        </w:rPr>
      </w:pPr>
    </w:p>
    <w:p>
      <w:pPr>
        <w:pStyle w:val="BodyText"/>
        <w:spacing w:before="3"/>
        <w:rPr>
          <w:sz w:val="17"/>
        </w:rPr>
      </w:pPr>
    </w:p>
    <w:p>
      <w:pPr>
        <w:pStyle w:val="Heading2"/>
        <w:numPr>
          <w:ilvl w:val="1"/>
          <w:numId w:val="5"/>
        </w:numPr>
        <w:tabs>
          <w:tab w:pos="467" w:val="left" w:leader="none"/>
        </w:tabs>
        <w:spacing w:line="240" w:lineRule="auto" w:before="61" w:after="0"/>
        <w:ind w:left="466" w:right="0" w:hanging="350"/>
        <w:jc w:val="both"/>
      </w:pPr>
      <w:r>
        <w:rPr/>
        <w:t>ANÁLISIS Y DISCUSIÓN DE</w:t>
      </w:r>
      <w:r>
        <w:rPr>
          <w:spacing w:val="8"/>
        </w:rPr>
        <w:t> </w:t>
      </w:r>
      <w:r>
        <w:rPr/>
        <w:t>RESULTADOS</w:t>
      </w:r>
    </w:p>
    <w:p>
      <w:pPr>
        <w:pStyle w:val="BodyText"/>
        <w:spacing w:before="9"/>
        <w:rPr>
          <w:b/>
          <w:sz w:val="32"/>
        </w:rPr>
      </w:pPr>
    </w:p>
    <w:p>
      <w:pPr>
        <w:pStyle w:val="Heading3"/>
        <w:ind w:left="115"/>
      </w:pPr>
      <w:r>
        <w:rPr/>
        <w:t>Remesas a nivel internacional</w:t>
      </w:r>
    </w:p>
    <w:p>
      <w:pPr>
        <w:pStyle w:val="BodyText"/>
        <w:spacing w:before="1"/>
        <w:rPr>
          <w:b/>
          <w:sz w:val="31"/>
        </w:rPr>
      </w:pPr>
    </w:p>
    <w:p>
      <w:pPr>
        <w:pStyle w:val="BodyText"/>
        <w:spacing w:line="364" w:lineRule="auto"/>
        <w:ind w:left="115" w:right="104"/>
        <w:jc w:val="both"/>
      </w:pPr>
      <w:r>
        <w:rPr/>
        <w:t>En años recientes miles de millones de migrantes envían dinero a sus familias en todo el mundo, el Banco Interamericano de Desarrollo (BID) estima que durante 2004 los trabajadores extranjeros enviaron al menos US$ 175 000 millones a su país de origen, aunque el BM difiere de esta cifra ya que informa que en ese  mismo año el monto de envíos fue de US $100 000 millones de dólares en flujos  de remesas oficiales y otra suma igual de remesas no oficiales, estas diferencias   se deben a que el BID las estima por medio de encuestas y el BM se basa en  datos obtenidos de los bancos centrales. El Banco Mundial utiliza diversas formas para estimar las remesas, aunque también clasifica a los países mediante las rentas recibidas anualmente, por el concepto de remesas, tal y como se observa  en la figura</w:t>
      </w:r>
      <w:r>
        <w:rPr>
          <w:spacing w:val="14"/>
        </w:rPr>
        <w:t> </w:t>
      </w:r>
      <w:r>
        <w:rPr/>
        <w:t>1.</w:t>
      </w:r>
    </w:p>
    <w:p>
      <w:pPr>
        <w:spacing w:after="0" w:line="364" w:lineRule="auto"/>
        <w:jc w:val="both"/>
        <w:sectPr>
          <w:pgSz w:w="11900" w:h="16840"/>
          <w:pgMar w:header="0" w:footer="1619" w:top="1600" w:bottom="1860" w:left="1540" w:right="1580"/>
        </w:sectPr>
      </w:pPr>
    </w:p>
    <w:p>
      <w:pPr>
        <w:pStyle w:val="BodyText"/>
        <w:rPr>
          <w:sz w:val="20"/>
        </w:rPr>
      </w:pPr>
    </w:p>
    <w:p>
      <w:pPr>
        <w:pStyle w:val="BodyText"/>
        <w:spacing w:before="5"/>
        <w:rPr>
          <w:sz w:val="16"/>
        </w:rPr>
      </w:pPr>
    </w:p>
    <w:p>
      <w:pPr>
        <w:pStyle w:val="Heading4"/>
        <w:spacing w:line="280" w:lineRule="auto" w:before="74"/>
        <w:ind w:left="628" w:right="620"/>
        <w:jc w:val="center"/>
      </w:pPr>
      <w:r>
        <w:rPr/>
        <w:pict>
          <v:group style="position:absolute;margin-left:85.524872pt;margin-top:46.611668pt;width:422.25pt;height:286.75pt;mso-position-horizontal-relative:page;mso-position-vertical-relative:paragraph;z-index:-711856" coordorigin="1710,932" coordsize="8445,5735">
            <v:shape style="position:absolute;left:5681;top:1034;width:3989;height:5232" type="#_x0000_t75" stroked="false">
              <v:imagedata r:id="rId33" o:title=""/>
            </v:shape>
            <v:line style="position:absolute" from="6346,1034" to="6346,6266" stroked="true" strokeweight=".12pt" strokecolor="#000000"/>
            <v:line style="position:absolute" from="7013,1034" to="7013,6266" stroked="true" strokeweight=".12pt" strokecolor="#000000"/>
            <v:line style="position:absolute" from="7680,1034" to="7680,6266" stroked="true" strokeweight=".12pt" strokecolor="#000000"/>
            <v:line style="position:absolute" from="8333,1034" to="8333,6266" stroked="true" strokeweight=".12pt" strokecolor="#000000"/>
            <v:line style="position:absolute" from="9000,1034" to="9000,6266" stroked="true" strokeweight=".12pt" strokecolor="#000000"/>
            <v:line style="position:absolute" from="9667,1034" to="9667,6266" stroked="true" strokeweight=".12pt" strokecolor="#000000"/>
            <v:shape style="position:absolute;left:42248;top:95885;width:29647;height:49576" coordorigin="42248,95885" coordsize="29647,49576" path="m5681,1034l9667,1034m9667,1034l9667,6266m9667,6266l5681,6266m5681,6266l5681,1034e" filled="false" stroked="true" strokeweight=".550559pt" strokecolor="#7f7f7f">
              <v:path arrowok="t"/>
            </v:shape>
            <v:shape style="position:absolute;left:5681;top:6083;width:581;height:106" type="#_x0000_t75" stroked="false">
              <v:imagedata r:id="rId34" o:title=""/>
            </v:shape>
            <v:rect style="position:absolute;left:5681;top:6081;width:578;height:108" filled="false" stroked="true" strokeweight=".488672pt" strokecolor="#000000"/>
            <v:shape style="position:absolute;left:5681;top:5803;width:322;height:115" type="#_x0000_t75" stroked="false">
              <v:imagedata r:id="rId35" o:title=""/>
            </v:shape>
            <v:rect style="position:absolute;left:5681;top:5800;width:319;height:118" filled="false" stroked="true" strokeweight=".500065pt" strokecolor="#000000"/>
            <v:shape style="position:absolute;left:5681;top:5531;width:643;height:106" type="#_x0000_t75" stroked="false">
              <v:imagedata r:id="rId36" o:title=""/>
            </v:shape>
            <v:rect style="position:absolute;left:5681;top:5529;width:641;height:106" filled="false" stroked="true" strokeweight=".487709pt" strokecolor="#000000"/>
            <v:shape style="position:absolute;left:5681;top:5251;width:101;height:115" type="#_x0000_t75" stroked="false">
              <v:imagedata r:id="rId37" o:title=""/>
            </v:shape>
            <v:rect style="position:absolute;left:5681;top:5248;width:98;height:115" filled="false" stroked="true" strokeweight=".560935pt" strokecolor="#000000"/>
            <v:shape style="position:absolute;left:5681;top:4977;width:926;height:108" type="#_x0000_t75" stroked="false">
              <v:imagedata r:id="rId38" o:title=""/>
            </v:shape>
            <v:rect style="position:absolute;left:5681;top:4977;width:924;height:106" filled="false" stroked="true" strokeweight=".485912pt" strokecolor="#000000"/>
            <v:shape style="position:absolute;left:5681;top:4425;width:902;height:108" type="#_x0000_t75" stroked="false">
              <v:imagedata r:id="rId39" o:title=""/>
            </v:shape>
            <v:rect style="position:absolute;left:5681;top:4425;width:900;height:106" filled="false" stroked="true" strokeweight=".486002pt" strokecolor="#000000"/>
            <v:shape style="position:absolute;left:5681;top:4154;width:605;height:108" type="#_x0000_t75" stroked="false">
              <v:imagedata r:id="rId40" o:title=""/>
            </v:shape>
            <v:rect style="position:absolute;left:5681;top:4154;width:605;height:106" filled="false" stroked="true" strokeweight=".488126pt" strokecolor="#000000"/>
            <v:shape style="position:absolute;left:5681;top:3873;width:137;height:118" type="#_x0000_t75" stroked="false">
              <v:imagedata r:id="rId41" o:title=""/>
            </v:shape>
            <v:rect style="position:absolute;left:5681;top:3873;width:134;height:115" filled="false" stroked="true" strokeweight=".540407pt" strokecolor="#000000"/>
            <v:shape style="position:absolute;left:5681;top:3602;width:2383;height:108" type="#_x0000_t75" stroked="false">
              <v:imagedata r:id="rId42" o:title=""/>
            </v:shape>
            <v:rect style="position:absolute;left:5681;top:3602;width:2381;height:106" filled="false" stroked="true" strokeweight=".484461pt" strokecolor="#000000"/>
            <v:shape style="position:absolute;left:5681;top:3321;width:593;height:118" type="#_x0000_t75" stroked="false">
              <v:imagedata r:id="rId43" o:title=""/>
            </v:shape>
            <v:rect style="position:absolute;left:5681;top:3321;width:590;height:115" filled="false" stroked="true" strokeweight=".489068pt" strokecolor="#000000"/>
            <v:shape style="position:absolute;left:5681;top:3050;width:1236;height:106" type="#_x0000_t75" stroked="false">
              <v:imagedata r:id="rId44" o:title=""/>
            </v:shape>
            <v:rect style="position:absolute;left:5681;top:3050;width:1234;height:106" filled="false" stroked="true" strokeweight=".485165pt" strokecolor="#000000"/>
            <v:shape style="position:absolute;left:5681;top:2779;width:322;height:106" type="#_x0000_t75" stroked="false">
              <v:imagedata r:id="rId35" o:title=""/>
            </v:shape>
            <v:rect style="position:absolute;left:5681;top:2779;width:319;height:106" filled="false" stroked="true" strokeweight=".497293pt" strokecolor="#000000"/>
            <v:shape style="position:absolute;left:5681;top:2498;width:1790;height:115" type="#_x0000_t75" stroked="false">
              <v:imagedata r:id="rId45" o:title=""/>
            </v:shape>
            <v:rect style="position:absolute;left:5681;top:2498;width:1788;height:115" filled="false" stroked="true" strokeweight=".484749pt" strokecolor="#000000"/>
            <v:shape style="position:absolute;left:5681;top:1946;width:458;height:115" type="#_x0000_t75" stroked="false">
              <v:imagedata r:id="rId46" o:title=""/>
            </v:shape>
            <v:rect style="position:absolute;left:5681;top:1946;width:456;height:115" filled="false" stroked="true" strokeweight=".492163pt" strokecolor="#000000"/>
            <v:shape style="position:absolute;left:5681;top:1675;width:101;height:106" type="#_x0000_t75" stroked="false">
              <v:imagedata r:id="rId37" o:title=""/>
            </v:shape>
            <v:rect style="position:absolute;left:5681;top:1672;width:98;height:108" filled="false" stroked="true" strokeweight=".556709pt" strokecolor="#000000"/>
            <v:shape style="position:absolute;left:5681;top:1394;width:557;height:115" type="#_x0000_t75" stroked="false">
              <v:imagedata r:id="rId47" o:title=""/>
            </v:shape>
            <v:rect style="position:absolute;left:5681;top:1391;width:554;height:118" filled="false" stroked="true" strokeweight=".489916pt" strokecolor="#000000"/>
            <v:shape style="position:absolute;left:5681;top:1123;width:3310;height:106" type="#_x0000_t75" stroked="false">
              <v:imagedata r:id="rId48" o:title=""/>
            </v:shape>
            <v:rect style="position:absolute;left:5681;top:1120;width:3307;height:108" filled="false" stroked="true" strokeweight=".484341pt" strokecolor="#000000"/>
            <v:shape style="position:absolute;left:46820;top:-100072;width:33740;height:43920" coordorigin="46820,-100072" coordsize="33740,43920" path="m5681,6266l9667,6266m5681,6304l5681,6266m6346,6304l6346,6266m7013,6304l7013,6266m7680,6304l7680,6266m8333,6304l8333,6266m9000,6304l9000,6266m9667,6304l9667,6266m5681,1034l5681,6266m5618,6266l5681,6266m5618,5995l5681,5995m5618,5714l5681,5714m5618,5443l5681,5443m5618,5162l5681,5162m5618,4891l5681,4891m5618,4610l5681,4610m5618,4339l5681,4339m5618,4067l5681,4067m5618,3784l5681,3784m5618,3513l5681,3513m5618,3232l5681,3232m5618,2961l5681,2961m5618,2690l5681,2690m5618,2409l5681,2409m5618,2138l5681,2138m5618,1857l5681,1857m5618,1586l5681,1586m5618,1305l5681,1305m5618,1034l5681,1034e" filled="false" stroked="true" strokeweight=".12pt" strokecolor="#000000">
              <v:path arrowok="t"/>
            </v:shape>
            <v:shape style="position:absolute;left:1716;top:938;width:8434;height:5724" type="#_x0000_t202" filled="false" stroked="true" strokeweight=".540984pt" strokecolor="#000000">
              <v:textbox inset="0,0,0,0">
                <w:txbxContent>
                  <w:p>
                    <w:pPr>
                      <w:spacing w:line="240" w:lineRule="auto" w:before="3"/>
                      <w:rPr>
                        <w:sz w:val="12"/>
                      </w:rPr>
                    </w:pPr>
                  </w:p>
                  <w:p>
                    <w:pPr>
                      <w:spacing w:line="384" w:lineRule="auto" w:before="1"/>
                      <w:ind w:left="1909" w:right="4617" w:firstLine="1308"/>
                      <w:jc w:val="right"/>
                      <w:rPr>
                        <w:sz w:val="15"/>
                      </w:rPr>
                    </w:pPr>
                    <w:r>
                      <w:rPr>
                        <w:w w:val="120"/>
                        <w:sz w:val="15"/>
                      </w:rPr>
                      <w:t>Mundo </w:t>
                    </w:r>
                    <w:r>
                      <w:rPr>
                        <w:w w:val="125"/>
                        <w:sz w:val="15"/>
                      </w:rPr>
                      <w:t>Renta Media Superior</w:t>
                    </w:r>
                    <w:r>
                      <w:rPr>
                        <w:w w:val="123"/>
                        <w:sz w:val="15"/>
                      </w:rPr>
                      <w:t> </w:t>
                    </w:r>
                    <w:r>
                      <w:rPr>
                        <w:w w:val="125"/>
                        <w:sz w:val="15"/>
                      </w:rPr>
                      <w:t>Africa Sub-Saharan</w:t>
                    </w:r>
                  </w:p>
                  <w:p>
                    <w:pPr>
                      <w:spacing w:line="391" w:lineRule="auto" w:before="0"/>
                      <w:ind w:left="2675" w:right="4622" w:firstLine="74"/>
                      <w:jc w:val="right"/>
                      <w:rPr>
                        <w:sz w:val="15"/>
                      </w:rPr>
                    </w:pPr>
                    <w:r>
                      <w:rPr>
                        <w:w w:val="125"/>
                        <w:sz w:val="15"/>
                      </w:rPr>
                      <w:t>Asia del Sur</w:t>
                    </w:r>
                    <w:r>
                      <w:rPr>
                        <w:w w:val="123"/>
                        <w:sz w:val="15"/>
                      </w:rPr>
                      <w:t> </w:t>
                    </w:r>
                    <w:r>
                      <w:rPr>
                        <w:w w:val="125"/>
                        <w:sz w:val="15"/>
                      </w:rPr>
                      <w:t>Africa del sur</w:t>
                    </w:r>
                  </w:p>
                  <w:p>
                    <w:pPr>
                      <w:spacing w:line="391" w:lineRule="auto" w:before="0"/>
                      <w:ind w:left="1057" w:right="4328" w:firstLine="1495"/>
                      <w:jc w:val="left"/>
                      <w:rPr>
                        <w:sz w:val="15"/>
                      </w:rPr>
                    </w:pPr>
                    <w:r>
                      <w:rPr>
                        <w:w w:val="125"/>
                        <w:sz w:val="15"/>
                      </w:rPr>
                      <w:t>Renta Media Medio Oriente y Africa del Norte</w:t>
                    </w:r>
                  </w:p>
                  <w:p>
                    <w:pPr>
                      <w:spacing w:line="391" w:lineRule="auto" w:before="0"/>
                      <w:ind w:left="1724" w:right="4629" w:firstLine="530"/>
                      <w:jc w:val="right"/>
                      <w:rPr>
                        <w:sz w:val="15"/>
                      </w:rPr>
                    </w:pPr>
                    <w:r>
                      <w:rPr>
                        <w:w w:val="125"/>
                        <w:sz w:val="15"/>
                      </w:rPr>
                      <w:t>Renta media Baja</w:t>
                    </w:r>
                    <w:r>
                      <w:rPr>
                        <w:w w:val="123"/>
                        <w:sz w:val="15"/>
                      </w:rPr>
                      <w:t> </w:t>
                    </w:r>
                    <w:r>
                      <w:rPr>
                        <w:w w:val="125"/>
                        <w:sz w:val="15"/>
                      </w:rPr>
                      <w:t>Paises con ingreso bajo</w:t>
                    </w:r>
                  </w:p>
                  <w:p>
                    <w:pPr>
                      <w:spacing w:line="381" w:lineRule="auto" w:before="0"/>
                      <w:ind w:left="1355" w:right="4627" w:firstLine="60"/>
                      <w:jc w:val="right"/>
                      <w:rPr>
                        <w:sz w:val="15"/>
                      </w:rPr>
                    </w:pPr>
                    <w:r>
                      <w:rPr>
                        <w:w w:val="125"/>
                        <w:sz w:val="15"/>
                      </w:rPr>
                      <w:t>Países con renta media alta</w:t>
                    </w:r>
                    <w:r>
                      <w:rPr>
                        <w:w w:val="123"/>
                        <w:sz w:val="15"/>
                      </w:rPr>
                      <w:t> </w:t>
                    </w:r>
                    <w:r>
                      <w:rPr>
                        <w:w w:val="125"/>
                        <w:sz w:val="15"/>
                      </w:rPr>
                      <w:t>Países menos desarrollados</w:t>
                    </w:r>
                    <w:r>
                      <w:rPr>
                        <w:w w:val="123"/>
                        <w:sz w:val="15"/>
                      </w:rPr>
                      <w:t> </w:t>
                    </w:r>
                    <w:r>
                      <w:rPr>
                        <w:w w:val="125"/>
                        <w:sz w:val="15"/>
                      </w:rPr>
                      <w:t>America Latina y el Caribe</w:t>
                    </w:r>
                    <w:r>
                      <w:rPr>
                        <w:w w:val="123"/>
                        <w:sz w:val="15"/>
                      </w:rPr>
                      <w:t> </w:t>
                    </w:r>
                    <w:r>
                      <w:rPr>
                        <w:w w:val="125"/>
                        <w:sz w:val="15"/>
                      </w:rPr>
                      <w:t>Renta alta en OCDE</w:t>
                    </w:r>
                  </w:p>
                  <w:p>
                    <w:pPr>
                      <w:spacing w:before="9"/>
                      <w:ind w:left="0" w:right="4632" w:firstLine="0"/>
                      <w:jc w:val="right"/>
                      <w:rPr>
                        <w:sz w:val="15"/>
                      </w:rPr>
                    </w:pPr>
                    <w:r>
                      <w:rPr>
                        <w:w w:val="125"/>
                        <w:sz w:val="15"/>
                      </w:rPr>
                      <w:t>Renta alta no en paises de la OCDE</w:t>
                    </w:r>
                  </w:p>
                  <w:p>
                    <w:pPr>
                      <w:spacing w:line="391" w:lineRule="auto" w:before="98"/>
                      <w:ind w:left="157" w:right="4627" w:firstLine="2776"/>
                      <w:jc w:val="right"/>
                      <w:rPr>
                        <w:sz w:val="15"/>
                      </w:rPr>
                    </w:pPr>
                    <w:r>
                      <w:rPr>
                        <w:w w:val="125"/>
                        <w:sz w:val="15"/>
                      </w:rPr>
                      <w:t>Renta alta</w:t>
                    </w:r>
                    <w:r>
                      <w:rPr>
                        <w:w w:val="123"/>
                        <w:sz w:val="15"/>
                      </w:rPr>
                      <w:t> </w:t>
                    </w:r>
                    <w:r>
                      <w:rPr>
                        <w:w w:val="125"/>
                        <w:sz w:val="15"/>
                      </w:rPr>
                      <w:t>Paises Pesadamente endeudados pobres</w:t>
                    </w:r>
                  </w:p>
                  <w:p>
                    <w:pPr>
                      <w:spacing w:line="376" w:lineRule="auto" w:before="0"/>
                      <w:ind w:left="1921" w:right="4629" w:hanging="322"/>
                      <w:jc w:val="right"/>
                      <w:rPr>
                        <w:sz w:val="15"/>
                      </w:rPr>
                    </w:pPr>
                    <w:r>
                      <w:rPr>
                        <w:w w:val="125"/>
                        <w:sz w:val="15"/>
                      </w:rPr>
                      <w:t>Union Monetaria Europea</w:t>
                    </w:r>
                    <w:r>
                      <w:rPr>
                        <w:w w:val="123"/>
                        <w:sz w:val="15"/>
                      </w:rPr>
                      <w:t> </w:t>
                    </w:r>
                    <w:r>
                      <w:rPr>
                        <w:w w:val="125"/>
                        <w:sz w:val="15"/>
                      </w:rPr>
                      <w:t>Europa y Asia central</w:t>
                    </w:r>
                  </w:p>
                  <w:p>
                    <w:pPr>
                      <w:spacing w:before="12"/>
                      <w:ind w:left="0" w:right="4679" w:firstLine="0"/>
                      <w:jc w:val="right"/>
                      <w:rPr>
                        <w:sz w:val="15"/>
                      </w:rPr>
                    </w:pPr>
                    <w:r>
                      <w:rPr>
                        <w:w w:val="125"/>
                        <w:sz w:val="15"/>
                      </w:rPr>
                      <w:t>Asia del este y el Pacífico</w:t>
                    </w:r>
                  </w:p>
                  <w:p>
                    <w:pPr>
                      <w:spacing w:line="240" w:lineRule="auto" w:before="10"/>
                      <w:rPr>
                        <w:sz w:val="13"/>
                      </w:rPr>
                    </w:pPr>
                  </w:p>
                  <w:p>
                    <w:pPr>
                      <w:tabs>
                        <w:tab w:pos="4391" w:val="left" w:leader="none"/>
                        <w:tab w:pos="5058" w:val="left" w:leader="none"/>
                      </w:tabs>
                      <w:spacing w:before="1"/>
                      <w:ind w:left="3923" w:right="0" w:firstLine="0"/>
                      <w:jc w:val="left"/>
                      <w:rPr>
                        <w:sz w:val="12"/>
                      </w:rPr>
                    </w:pPr>
                    <w:r>
                      <w:rPr>
                        <w:w w:val="125"/>
                        <w:sz w:val="12"/>
                      </w:rPr>
                      <w:t>0</w:t>
                      <w:tab/>
                    </w:r>
                    <w:r>
                      <w:rPr>
                        <w:spacing w:val="4"/>
                        <w:w w:val="125"/>
                        <w:sz w:val="12"/>
                      </w:rPr>
                      <w:t>5E+10</w:t>
                      <w:tab/>
                      <w:t>1E+11   1.5E+11   </w:t>
                    </w:r>
                    <w:r>
                      <w:rPr>
                        <w:spacing w:val="5"/>
                        <w:w w:val="125"/>
                        <w:sz w:val="12"/>
                      </w:rPr>
                      <w:t>2E+11   </w:t>
                    </w:r>
                    <w:r>
                      <w:rPr>
                        <w:spacing w:val="4"/>
                        <w:w w:val="125"/>
                        <w:sz w:val="12"/>
                      </w:rPr>
                      <w:t>2.5E+11 </w:t>
                    </w:r>
                    <w:r>
                      <w:rPr>
                        <w:spacing w:val="42"/>
                        <w:w w:val="125"/>
                        <w:sz w:val="12"/>
                      </w:rPr>
                      <w:t> </w:t>
                    </w:r>
                    <w:r>
                      <w:rPr>
                        <w:spacing w:val="4"/>
                        <w:w w:val="125"/>
                        <w:sz w:val="12"/>
                      </w:rPr>
                      <w:t>3E+11</w:t>
                    </w:r>
                  </w:p>
                </w:txbxContent>
              </v:textbox>
              <w10:wrap type="none"/>
            </v:shape>
            <w10:wrap type="none"/>
          </v:group>
        </w:pict>
      </w:r>
      <w:r>
        <w:rPr/>
        <w:pict>
          <v:group style="position:absolute;margin-left:110.219795pt;margin-top:53.786346pt;width:6.15pt;height:5.05pt;mso-position-horizontal-relative:page;mso-position-vertical-relative:paragraph;z-index:-711832" coordorigin="2204,1076" coordsize="123,101">
            <v:shape style="position:absolute;left:2213;top:1082;width:110;height:89" type="#_x0000_t75" stroked="false">
              <v:imagedata r:id="rId49" o:title=""/>
            </v:shape>
            <v:rect style="position:absolute;left:2210;top:1082;width:110;height:89" filled="false" stroked="true" strokeweight=".536334pt" strokecolor="#000000"/>
            <w10:wrap type="none"/>
          </v:group>
        </w:pict>
      </w:r>
      <w:r>
        <w:rPr/>
        <w:t>Figura 1. Clasificación de las remesas según el Banco Mundial, 2005 (millones de dólares)</w:t>
      </w:r>
    </w:p>
    <w:p>
      <w:pPr>
        <w:pStyle w:val="BodyText"/>
        <w:spacing w:before="7"/>
        <w:rPr>
          <w:b/>
        </w:rPr>
      </w:pPr>
      <w:r>
        <w:rPr/>
        <w:pict>
          <v:shape style="position:absolute;margin-left:107.399994pt;margin-top:15.658214pt;width:53.2pt;height:11.2pt;mso-position-horizontal-relative:page;mso-position-vertical-relative:paragraph;z-index:2560;mso-wrap-distance-left:0;mso-wrap-distance-right:0" type="#_x0000_t202" filled="false" stroked="true" strokeweight=".12pt" strokecolor="#000000">
            <v:textbox inset="0,0,0,0">
              <w:txbxContent>
                <w:p>
                  <w:pPr>
                    <w:spacing w:before="40"/>
                    <w:ind w:left="236" w:right="0" w:firstLine="0"/>
                    <w:jc w:val="left"/>
                    <w:rPr>
                      <w:sz w:val="14"/>
                    </w:rPr>
                  </w:pPr>
                  <w:r>
                    <w:rPr>
                      <w:w w:val="125"/>
                      <w:sz w:val="14"/>
                    </w:rPr>
                    <w:t>Remesas</w:t>
                  </w:r>
                </w:p>
              </w:txbxContent>
            </v:textbox>
            <w10:wrap type="topAndBottom"/>
          </v:shape>
        </w:pic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9"/>
        <w:rPr>
          <w:b/>
          <w:sz w:val="32"/>
        </w:rPr>
      </w:pPr>
    </w:p>
    <w:p>
      <w:pPr>
        <w:spacing w:before="0"/>
        <w:ind w:left="115" w:right="100" w:firstLine="0"/>
        <w:jc w:val="left"/>
        <w:rPr>
          <w:sz w:val="19"/>
        </w:rPr>
      </w:pPr>
      <w:r>
        <w:rPr>
          <w:sz w:val="19"/>
        </w:rPr>
        <w:t>Fuente: Elaboración propia con datos del World  Bank.</w:t>
      </w:r>
    </w:p>
    <w:p>
      <w:pPr>
        <w:pStyle w:val="BodyText"/>
        <w:rPr>
          <w:sz w:val="18"/>
        </w:rPr>
      </w:pPr>
    </w:p>
    <w:p>
      <w:pPr>
        <w:pStyle w:val="BodyText"/>
        <w:rPr>
          <w:sz w:val="18"/>
        </w:rPr>
      </w:pPr>
    </w:p>
    <w:p>
      <w:pPr>
        <w:pStyle w:val="BodyText"/>
        <w:rPr>
          <w:sz w:val="18"/>
        </w:rPr>
      </w:pPr>
    </w:p>
    <w:p>
      <w:pPr>
        <w:pStyle w:val="BodyText"/>
        <w:spacing w:before="10"/>
        <w:rPr>
          <w:sz w:val="18"/>
        </w:rPr>
      </w:pPr>
    </w:p>
    <w:p>
      <w:pPr>
        <w:pStyle w:val="BodyText"/>
        <w:spacing w:line="367" w:lineRule="auto"/>
        <w:ind w:left="115" w:right="105"/>
      </w:pPr>
      <w:r>
        <w:rPr/>
        <w:t>De las remesas enviadas durante el año 2004, la India recibió la mayor cantidad   en</w:t>
      </w:r>
      <w:r>
        <w:rPr>
          <w:spacing w:val="36"/>
        </w:rPr>
        <w:t> </w:t>
      </w:r>
      <w:r>
        <w:rPr/>
        <w:t>remesas</w:t>
      </w:r>
      <w:r>
        <w:rPr>
          <w:spacing w:val="40"/>
        </w:rPr>
        <w:t> </w:t>
      </w:r>
      <w:r>
        <w:rPr/>
        <w:t>con</w:t>
      </w:r>
      <w:r>
        <w:rPr>
          <w:spacing w:val="36"/>
        </w:rPr>
        <w:t> </w:t>
      </w:r>
      <w:r>
        <w:rPr/>
        <w:t>un</w:t>
      </w:r>
      <w:r>
        <w:rPr>
          <w:spacing w:val="36"/>
        </w:rPr>
        <w:t> </w:t>
      </w:r>
      <w:r>
        <w:rPr/>
        <w:t>monto</w:t>
      </w:r>
      <w:r>
        <w:rPr>
          <w:spacing w:val="39"/>
        </w:rPr>
        <w:t> </w:t>
      </w:r>
      <w:r>
        <w:rPr/>
        <w:t>de</w:t>
      </w:r>
      <w:r>
        <w:rPr>
          <w:spacing w:val="39"/>
        </w:rPr>
        <w:t> </w:t>
      </w:r>
      <w:r>
        <w:rPr/>
        <w:t>US</w:t>
      </w:r>
      <w:r>
        <w:rPr>
          <w:spacing w:val="39"/>
        </w:rPr>
        <w:t> </w:t>
      </w:r>
      <w:r>
        <w:rPr/>
        <w:t>$23</w:t>
      </w:r>
      <w:r>
        <w:rPr>
          <w:spacing w:val="39"/>
        </w:rPr>
        <w:t> </w:t>
      </w:r>
      <w:r>
        <w:rPr/>
        <w:t>000</w:t>
      </w:r>
      <w:r>
        <w:rPr>
          <w:spacing w:val="41"/>
        </w:rPr>
        <w:t> </w:t>
      </w:r>
      <w:r>
        <w:rPr/>
        <w:t>millones,</w:t>
      </w:r>
      <w:r>
        <w:rPr>
          <w:spacing w:val="39"/>
        </w:rPr>
        <w:t> </w:t>
      </w:r>
      <w:r>
        <w:rPr/>
        <w:t>seguido</w:t>
      </w:r>
      <w:r>
        <w:rPr>
          <w:spacing w:val="39"/>
        </w:rPr>
        <w:t> </w:t>
      </w:r>
      <w:r>
        <w:rPr/>
        <w:t>por</w:t>
      </w:r>
      <w:r>
        <w:rPr>
          <w:spacing w:val="38"/>
        </w:rPr>
        <w:t> </w:t>
      </w:r>
      <w:r>
        <w:rPr/>
        <w:t>China</w:t>
      </w:r>
      <w:r>
        <w:rPr>
          <w:spacing w:val="39"/>
        </w:rPr>
        <w:t> </w:t>
      </w:r>
      <w:r>
        <w:rPr/>
        <w:t>con</w:t>
      </w:r>
      <w:r>
        <w:rPr>
          <w:spacing w:val="36"/>
        </w:rPr>
        <w:t> </w:t>
      </w:r>
      <w:r>
        <w:rPr/>
        <w:t>US</w:t>
      </w:r>
    </w:p>
    <w:p>
      <w:pPr>
        <w:pStyle w:val="BodyText"/>
        <w:spacing w:line="364" w:lineRule="auto"/>
        <w:ind w:left="115" w:right="100"/>
      </w:pPr>
      <w:r>
        <w:rPr/>
        <w:t>$21 300 millones, México con US $16 613 millones y Filipinas con US $8 961 millones (ver figura 2).</w:t>
      </w:r>
    </w:p>
    <w:p>
      <w:pPr>
        <w:spacing w:after="0" w:line="364" w:lineRule="auto"/>
        <w:sectPr>
          <w:pgSz w:w="11900" w:h="16840"/>
          <w:pgMar w:header="0" w:footer="1619" w:top="1600" w:bottom="1860" w:left="154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2"/>
        </w:rPr>
      </w:pPr>
    </w:p>
    <w:p>
      <w:pPr>
        <w:pStyle w:val="Heading4"/>
        <w:ind w:left="922" w:right="2493"/>
        <w:jc w:val="center"/>
      </w:pPr>
      <w:r>
        <w:rPr/>
        <w:pict>
          <v:group style="position:absolute;margin-left:85.485001pt;margin-top:32.551174pt;width:429.65pt;height:273.55pt;mso-position-horizontal-relative:page;mso-position-vertical-relative:paragraph;z-index:2848" coordorigin="1710,651" coordsize="8593,5471">
            <v:rect style="position:absolute;left:1711;top:653;width:8590;height:5467" filled="false" stroked="true" strokeweight=".12pt" strokecolor="#000000"/>
            <v:shape style="position:absolute;left:2669;top:1178;width:7531;height:3509" type="#_x0000_t75" stroked="false">
              <v:imagedata r:id="rId50" o:title=""/>
            </v:shape>
            <v:shape style="position:absolute;left:21561;top:101223;width:60899;height:30183" coordorigin="21561,101223" coordsize="60899,30183" path="m2666,1176l10198,1176m10198,1176l10198,4687m10198,4687l2666,4687m2666,4687l2666,1176e" filled="false" stroked="true" strokeweight=".5517pt" strokecolor="#7f7f7f">
              <v:path arrowok="t"/>
            </v:shape>
            <v:line style="position:absolute" from="2890,1466" to="2890,4687" stroked="true" strokeweight="1.68pt" strokecolor="#000000"/>
            <v:line style="position:absolute" from="3197,1711" to="3197,4687" stroked="true" strokeweight="1.68pt" strokecolor="#000000"/>
            <v:line style="position:absolute" from="3492,2364" to="3492,4687" stroked="true" strokeweight="1.68pt" strokecolor="#000000"/>
            <v:line style="position:absolute" from="3799,3434" to="3799,4687" stroked="true" strokeweight="1.68pt" strokecolor="#000000"/>
            <v:line style="position:absolute" from="4094,3905" to="4094,4687" stroked="true" strokeweight="1.68pt" strokecolor="#000000"/>
            <v:line style="position:absolute" from="4402,3969" to="4402,4687" stroked="true" strokeweight="1.68pt" strokecolor="#000000"/>
            <v:line style="position:absolute" from="4698,4109" to="4698,4687" stroked="true" strokeweight="1.8pt" strokecolor="#000000"/>
            <v:line style="position:absolute" from="5005,4140" to="5005,4687" stroked="true" strokeweight="1.8pt" strokecolor="#000000"/>
            <v:line style="position:absolute" from="5302,4217" to="5302,4687" stroked="true" strokeweight="1.68pt" strokecolor="#000000"/>
            <v:line style="position:absolute" from="5609,4226" to="5609,4687" stroked="true" strokeweight="1.68pt" strokecolor="#000000"/>
            <v:line style="position:absolute" from="5904,4152" to="5904,4687" stroked="true" strokeweight="1.68pt" strokecolor="#000000"/>
            <v:line style="position:absolute" from="6211,4269" to="6211,4687" stroked="true" strokeweight="1.68pt" strokecolor="#000000"/>
            <v:line style="position:absolute" from="6506,4322" to="6506,4687" stroked="true" strokeweight="1.68pt" strokecolor="#000000"/>
            <v:line style="position:absolute" from="6814,4344" to="6814,4687" stroked="true" strokeweight="1.68pt" strokecolor="#000000"/>
            <v:line style="position:absolute" from="7110,4356" to="7110,4687" stroked="true" strokeweight="1.8pt" strokecolor="#000000"/>
            <v:line style="position:absolute" from="7417,4397" to="7417,4687" stroked="true" strokeweight="1.8pt" strokecolor="#000000"/>
            <v:line style="position:absolute" from="7714,4473" to="7714,4687" stroked="true" strokeweight="1.68pt" strokecolor="#000000"/>
            <v:line style="position:absolute" from="8021,4514" to="8021,4687" stroked="true" strokeweight="1.68pt" strokecolor="#000000"/>
            <v:line style="position:absolute" from="8316,4536" to="8316,4687" stroked="true" strokeweight="1.68pt" strokecolor="#000000"/>
            <v:line style="position:absolute" from="8623,4536" to="8623,4687" stroked="true" strokeweight="1.68pt" strokecolor="#000000"/>
            <v:line style="position:absolute" from="8918,4548" to="8918,4687" stroked="true" strokeweight="1.68pt" strokecolor="#000000"/>
            <v:line style="position:absolute" from="9226,4579" to="9226,4687" stroked="true" strokeweight="1.68pt" strokecolor="#000000"/>
            <v:line style="position:absolute" from="9521,4579" to="9521,4687" stroked="true" strokeweight="1.68pt" strokecolor="#000000"/>
            <v:line style="position:absolute" from="9811,4655" to="9845,4655" stroked="true" strokeweight="3.24pt" strokecolor="#000000"/>
            <v:line style="position:absolute" from="10109,4670" to="10142,4670" stroked="true" strokeweight="1.68pt" strokecolor="#000000"/>
            <v:rect style="position:absolute;left:2758;top:1454;width:115;height:3233" filled="true" fillcolor="#993265" stroked="false">
              <v:fill type="solid"/>
            </v:rect>
            <v:rect style="position:absolute;left:2758;top:1454;width:115;height:3233" filled="false" stroked="true" strokeweight="1.137034pt" strokecolor="#000000"/>
            <v:rect style="position:absolute;left:3055;top:1701;width:125;height:2986" filled="true" fillcolor="#993265" stroked="false">
              <v:fill type="solid"/>
            </v:rect>
            <v:rect style="position:absolute;left:3055;top:1701;width:125;height:2986" filled="false" stroked="true" strokeweight="1.137002pt" strokecolor="#000000"/>
            <v:rect style="position:absolute;left:3362;top:2354;width:113;height:2333" filled="true" fillcolor="#993265" stroked="false">
              <v:fill type="solid"/>
            </v:rect>
            <v:rect style="position:absolute;left:3362;top:2354;width:113;height:2333" filled="false" stroked="true" strokeweight="1.136963pt" strokecolor="#000000"/>
            <v:rect style="position:absolute;left:3658;top:3425;width:125;height:1262" filled="true" fillcolor="#993265" stroked="false">
              <v:fill type="solid"/>
            </v:rect>
            <v:rect style="position:absolute;left:3658;top:3425;width:125;height:1262" filled="false" stroked="true" strokeweight="1.136467pt" strokecolor="#000000"/>
            <v:rect style="position:absolute;left:3965;top:3895;width:113;height:792" filled="true" fillcolor="#993265" stroked="false">
              <v:fill type="solid"/>
            </v:rect>
            <v:rect style="position:absolute;left:3965;top:3895;width:113;height:792" filled="false" stroked="true" strokeweight="1.135779pt" strokecolor="#000000"/>
            <v:rect style="position:absolute;left:4260;top:3960;width:125;height:727" filled="true" fillcolor="#993265" stroked="false">
              <v:fill type="solid"/>
            </v:rect>
            <v:rect style="position:absolute;left:4260;top:3960;width:125;height:727" filled="false" stroked="true" strokeweight="1.135190pt" strokecolor="#000000"/>
            <v:rect style="position:absolute;left:4567;top:4099;width:113;height:588" filled="true" fillcolor="#993265" stroked="false">
              <v:fill type="solid"/>
            </v:rect>
            <v:rect style="position:absolute;left:4567;top:4099;width:113;height:588" filled="false" stroked="true" strokeweight="1.134727pt" strokecolor="#000000"/>
            <v:rect style="position:absolute;left:4862;top:4130;width:125;height:557" filled="true" fillcolor="#993265" stroked="false">
              <v:fill type="solid"/>
            </v:rect>
            <v:rect style="position:absolute;left:4862;top:4130;width:125;height:557" filled="false" stroked="true" strokeweight="1.133894pt" strokecolor="#000000"/>
            <v:rect style="position:absolute;left:5170;top:4205;width:115;height:482" filled="true" fillcolor="#993265" stroked="false">
              <v:fill type="solid"/>
            </v:rect>
            <v:rect style="position:absolute;left:5170;top:4205;width:115;height:482" filled="false" stroked="true" strokeweight="1.133483pt" strokecolor="#000000"/>
            <v:rect style="position:absolute;left:5467;top:4217;width:125;height:470" filled="true" fillcolor="#993265" stroked="false">
              <v:fill type="solid"/>
            </v:rect>
            <v:rect style="position:absolute;left:5467;top:4217;width:125;height:470" filled="false" stroked="true" strokeweight="1.132685pt" strokecolor="#000000"/>
            <v:rect style="position:absolute;left:5772;top:4140;width:115;height:547" filled="true" fillcolor="#993265" stroked="false">
              <v:fill type="solid"/>
            </v:rect>
            <v:rect style="position:absolute;left:5772;top:4140;width:115;height:547" filled="false" stroked="true" strokeweight="1.134257pt" strokecolor="#000000"/>
            <v:rect style="position:absolute;left:6070;top:4257;width:125;height:430" filled="true" fillcolor="#993265" stroked="false">
              <v:fill type="solid"/>
            </v:rect>
            <v:rect style="position:absolute;left:6070;top:4257;width:125;height:430" filled="false" stroked="true" strokeweight="1.131873pt" strokecolor="#000000"/>
            <v:rect style="position:absolute;left:6377;top:4313;width:113;height:374" filled="true" fillcolor="#993265" stroked="false">
              <v:fill type="solid"/>
            </v:rect>
            <v:rect style="position:absolute;left:6377;top:4313;width:113;height:374" filled="false" stroked="true" strokeweight="1.131507pt" strokecolor="#000000"/>
            <v:rect style="position:absolute;left:6672;top:4334;width:125;height:353" filled="true" fillcolor="#993265" stroked="false">
              <v:fill type="solid"/>
            </v:rect>
            <v:rect style="position:absolute;left:6672;top:4334;width:125;height:353" filled="false" stroked="true" strokeweight="1.12962pt" strokecolor="#000000"/>
            <v:rect style="position:absolute;left:6979;top:4344;width:113;height:343" filled="true" fillcolor="#993265" stroked="false">
              <v:fill type="solid"/>
            </v:rect>
            <v:rect style="position:absolute;left:6979;top:4344;width:113;height:343" filled="false" stroked="true" strokeweight="1.130547pt" strokecolor="#000000"/>
            <v:rect style="position:absolute;left:7274;top:4387;width:125;height:300" filled="true" fillcolor="#993265" stroked="false">
              <v:fill type="solid"/>
            </v:rect>
            <v:rect style="position:absolute;left:7274;top:4387;width:125;height:300" filled="false" stroked="true" strokeweight="1.12717pt" strokecolor="#000000"/>
            <v:rect style="position:absolute;left:7582;top:4461;width:115;height:226" filled="true" fillcolor="#993265" stroked="false">
              <v:fill type="solid"/>
            </v:rect>
            <v:rect style="position:absolute;left:7582;top:4461;width:115;height:226" filled="false" stroked="true" strokeweight="1.123172pt" strokecolor="#000000"/>
            <v:rect style="position:absolute;left:7877;top:4505;width:127;height:182" filled="true" fillcolor="#993265" stroked="false">
              <v:fill type="solid"/>
            </v:rect>
            <v:rect style="position:absolute;left:7877;top:4505;width:127;height:182" filled="false" stroked="true" strokeweight="1.11506pt" strokecolor="#000000"/>
            <v:rect style="position:absolute;left:8184;top:4526;width:115;height:161" filled="true" fillcolor="#993265" stroked="false">
              <v:fill type="solid"/>
            </v:rect>
            <v:rect style="position:absolute;left:8184;top:4526;width:115;height:161" filled="false" stroked="true" strokeweight="1.114247pt" strokecolor="#000000"/>
            <v:rect style="position:absolute;left:8482;top:4526;width:125;height:161" filled="true" fillcolor="#993265" stroked="false">
              <v:fill type="solid"/>
            </v:rect>
            <v:rect style="position:absolute;left:8482;top:4526;width:125;height:161" filled="false" stroked="true" strokeweight="1.111770pt" strokecolor="#000000"/>
            <v:rect style="position:absolute;left:8789;top:4536;width:113;height:151" filled="true" fillcolor="#993265" stroked="false">
              <v:fill type="solid"/>
            </v:rect>
            <v:rect style="position:absolute;left:8789;top:4536;width:113;height:151" filled="false" stroked="true" strokeweight="1.113012pt" strokecolor="#000000"/>
            <v:rect style="position:absolute;left:9084;top:4569;width:125;height:118" filled="true" fillcolor="#993265" stroked="false">
              <v:fill type="solid"/>
            </v:rect>
            <v:rect style="position:absolute;left:9084;top:4569;width:125;height:118" filled="false" stroked="true" strokeweight="1.101401pt" strokecolor="#000000"/>
            <v:rect style="position:absolute;left:9391;top:4569;width:113;height:118" filled="true" fillcolor="#993265" stroked="false">
              <v:fill type="solid"/>
            </v:rect>
            <v:rect style="position:absolute;left:9391;top:4569;width:113;height:118" filled="false" stroked="true" strokeweight="1.104805pt" strokecolor="#000000"/>
            <v:line style="position:absolute" from="9686,4650" to="9811,4650" stroked="true" strokeweight="3.72pt" strokecolor="#993265"/>
            <v:rect style="position:absolute;left:9686;top:4613;width:125;height:74" filled="false" stroked="true" strokeweight="1.08737pt" strokecolor="#000000"/>
            <v:line style="position:absolute" from="9994,4665" to="10109,4665" stroked="true" strokeweight="2.16pt" strokecolor="#993265"/>
            <v:rect style="position:absolute;left:9994;top:4644;width:115;height:43" filled="false" stroked="true" strokeweight="1.077996pt" strokecolor="#000000"/>
            <v:shape style="position:absolute;left:21840;top:-102446;width:63140;height:33720" coordorigin="21840,-102446" coordsize="63140,33720" path="m2666,1176l2666,4687m2621,4687l2712,4687m2621,3979l2712,3979m2621,3285l2712,3285m2621,2577l2712,2577m2621,1884l2712,1884m2621,1176l2712,1176m2666,4687l10198,4687m2666,4730l2666,4644m2964,4730l2964,4644m3271,4730l3271,4644m3566,4730l3566,4644m3874,4730l3874,4644m4169,4730l4169,4644m4476,4730l4476,4644m4771,4730l4771,4644m5078,4730l5078,4644m5376,4730l5376,4644m5683,4730l5683,4644m5978,4730l5978,4644m6286,4730l6286,4644m6581,4730l6581,4644m6888,4730l6888,4644m7183,4730l7183,4644m7490,4730l7490,4644m7788,4730l7788,4644m8093,4730l8093,4644m8390,4730l8390,4644m8698,4730l8698,4644m8993,4730l8993,4644m9300,4730l9300,4644m9595,4730l9595,4644m9902,4730l9902,4644m10198,4730l10198,4644m6024,931l6830,931,6830,684,6024,684,6024,931xe" filled="false" stroked="true" strokeweight=".12pt" strokecolor="#000000">
              <v:path arrowok="t"/>
            </v:shape>
            <v:line style="position:absolute" from="6079,807" to="6161,807" stroked="true" strokeweight="3.72pt" strokecolor="#993265"/>
            <v:rect style="position:absolute;left:6079;top:770;width:82;height:74" filled="false" stroked="true" strokeweight="1.100299pt" strokecolor="#000000"/>
            <v:rect style="position:absolute;left:1711;top:653;width:8590;height:5467" filled="false" stroked="true" strokeweight=".12pt" strokecolor="#000000"/>
            <v:shape style="position:absolute;left:6024;top:653;width:807;height:279" type="#_x0000_t202" filled="false" stroked="false">
              <v:textbox inset="0,0,0,0">
                <w:txbxContent>
                  <w:p>
                    <w:pPr>
                      <w:spacing w:before="60"/>
                      <w:ind w:left="182" w:right="0" w:firstLine="0"/>
                      <w:jc w:val="left"/>
                      <w:rPr>
                        <w:sz w:val="14"/>
                      </w:rPr>
                    </w:pPr>
                    <w:r>
                      <w:rPr>
                        <w:sz w:val="14"/>
                      </w:rPr>
                      <w:t>remesas</w:t>
                    </w:r>
                  </w:p>
                </w:txbxContent>
              </v:textbox>
              <w10:wrap type="none"/>
            </v:shape>
            <v:shape style="position:absolute;left:2112;top:1106;width:440;height:140" type="#_x0000_t202" filled="false" stroked="false">
              <v:textbox inset="0,0,0,0">
                <w:txbxContent>
                  <w:p>
                    <w:pPr>
                      <w:spacing w:line="139" w:lineRule="exact" w:before="0"/>
                      <w:ind w:left="0" w:right="0" w:firstLine="0"/>
                      <w:jc w:val="left"/>
                      <w:rPr>
                        <w:sz w:val="14"/>
                      </w:rPr>
                    </w:pPr>
                    <w:r>
                      <w:rPr>
                        <w:w w:val="95"/>
                        <w:sz w:val="14"/>
                      </w:rPr>
                      <w:t>25,000</w:t>
                    </w:r>
                  </w:p>
                </w:txbxContent>
              </v:textbox>
              <w10:wrap type="none"/>
            </v:shape>
            <v:shape style="position:absolute;left:2112;top:1812;width:440;height:140" type="#_x0000_t202" filled="false" stroked="false">
              <v:textbox inset="0,0,0,0">
                <w:txbxContent>
                  <w:p>
                    <w:pPr>
                      <w:spacing w:line="139" w:lineRule="exact" w:before="0"/>
                      <w:ind w:left="0" w:right="0" w:firstLine="0"/>
                      <w:jc w:val="left"/>
                      <w:rPr>
                        <w:sz w:val="14"/>
                      </w:rPr>
                    </w:pPr>
                    <w:r>
                      <w:rPr>
                        <w:w w:val="95"/>
                        <w:sz w:val="14"/>
                      </w:rPr>
                      <w:t>20,000</w:t>
                    </w:r>
                  </w:p>
                </w:txbxContent>
              </v:textbox>
              <w10:wrap type="none"/>
            </v:shape>
            <v:shape style="position:absolute;left:2112;top:2508;width:440;height:140" type="#_x0000_t202" filled="false" stroked="false">
              <v:textbox inset="0,0,0,0">
                <w:txbxContent>
                  <w:p>
                    <w:pPr>
                      <w:spacing w:line="139" w:lineRule="exact" w:before="0"/>
                      <w:ind w:left="0" w:right="0" w:firstLine="0"/>
                      <w:jc w:val="left"/>
                      <w:rPr>
                        <w:sz w:val="14"/>
                      </w:rPr>
                    </w:pPr>
                    <w:r>
                      <w:rPr>
                        <w:w w:val="95"/>
                        <w:sz w:val="14"/>
                      </w:rPr>
                      <w:t>15,000</w:t>
                    </w:r>
                  </w:p>
                </w:txbxContent>
              </v:textbox>
              <w10:wrap type="none"/>
            </v:shape>
            <v:shape style="position:absolute;left:2112;top:3213;width:440;height:140" type="#_x0000_t202" filled="false" stroked="false">
              <v:textbox inset="0,0,0,0">
                <w:txbxContent>
                  <w:p>
                    <w:pPr>
                      <w:spacing w:line="139" w:lineRule="exact" w:before="0"/>
                      <w:ind w:left="0" w:right="0" w:firstLine="0"/>
                      <w:jc w:val="left"/>
                      <w:rPr>
                        <w:sz w:val="14"/>
                      </w:rPr>
                    </w:pPr>
                    <w:r>
                      <w:rPr>
                        <w:w w:val="95"/>
                        <w:sz w:val="14"/>
                      </w:rPr>
                      <w:t>10,000</w:t>
                    </w:r>
                  </w:p>
                </w:txbxContent>
              </v:textbox>
              <w10:wrap type="none"/>
            </v:shape>
            <v:shape style="position:absolute;left:2191;top:3909;width:361;height:140" type="#_x0000_t202" filled="false" stroked="false">
              <v:textbox inset="0,0,0,0">
                <w:txbxContent>
                  <w:p>
                    <w:pPr>
                      <w:spacing w:line="139" w:lineRule="exact" w:before="0"/>
                      <w:ind w:left="0" w:right="-10" w:firstLine="0"/>
                      <w:jc w:val="left"/>
                      <w:rPr>
                        <w:sz w:val="14"/>
                      </w:rPr>
                    </w:pPr>
                    <w:r>
                      <w:rPr>
                        <w:sz w:val="14"/>
                      </w:rPr>
                      <w:t>5,000</w:t>
                    </w:r>
                  </w:p>
                </w:txbxContent>
              </v:textbox>
              <w10:wrap type="none"/>
            </v:shape>
            <v:shape style="position:absolute;left:2474;top:4617;width:78;height:140" type="#_x0000_t202" filled="false" stroked="false">
              <v:textbox inset="0,0,0,0">
                <w:txbxContent>
                  <w:p>
                    <w:pPr>
                      <w:spacing w:line="139" w:lineRule="exact" w:before="0"/>
                      <w:ind w:left="0" w:right="0" w:firstLine="0"/>
                      <w:jc w:val="left"/>
                      <w:rPr>
                        <w:sz w:val="14"/>
                      </w:rPr>
                    </w:pPr>
                    <w:r>
                      <w:rPr>
                        <w:w w:val="99"/>
                        <w:sz w:val="14"/>
                      </w:rPr>
                      <w:t>0</w:t>
                    </w:r>
                  </w:p>
                </w:txbxContent>
              </v:textbox>
              <w10:wrap type="none"/>
            </v:shape>
            <v:shape style="position:absolute;left:6286;top:5805;width:318;height:140" type="#_x0000_t202" filled="false" stroked="false">
              <v:textbox inset="0,0,0,0">
                <w:txbxContent>
                  <w:p>
                    <w:pPr>
                      <w:spacing w:line="139" w:lineRule="exact" w:before="0"/>
                      <w:ind w:left="0" w:right="0" w:firstLine="0"/>
                      <w:jc w:val="left"/>
                      <w:rPr>
                        <w:b/>
                        <w:sz w:val="14"/>
                      </w:rPr>
                    </w:pPr>
                    <w:r>
                      <w:rPr>
                        <w:b/>
                        <w:sz w:val="14"/>
                      </w:rPr>
                      <w:t>Pais</w:t>
                    </w:r>
                  </w:p>
                </w:txbxContent>
              </v:textbox>
              <w10:wrap type="none"/>
            </v:shape>
            <w10:wrap type="none"/>
          </v:group>
        </w:pict>
      </w:r>
      <w:r>
        <w:rPr/>
        <w:pict>
          <v:shape style="position:absolute;margin-left:93.443962pt;margin-top:115.617371pt;width:9pt;height:67.3pt;mso-position-horizontal-relative:page;mso-position-vertical-relative:paragraph;z-index:2872" type="#_x0000_t202" filled="false" stroked="false">
            <v:textbox inset="0,0,0,0" style="layout-flow:vertical;mso-layout-flow-alt:bottom-to-top">
              <w:txbxContent>
                <w:p>
                  <w:pPr>
                    <w:spacing w:before="1"/>
                    <w:ind w:left="20" w:right="-426" w:firstLine="0"/>
                    <w:jc w:val="left"/>
                    <w:rPr>
                      <w:b/>
                      <w:sz w:val="14"/>
                    </w:rPr>
                  </w:pPr>
                  <w:r>
                    <w:rPr>
                      <w:b/>
                      <w:spacing w:val="2"/>
                      <w:w w:val="99"/>
                      <w:sz w:val="14"/>
                    </w:rPr>
                    <w:t>M</w:t>
                  </w:r>
                  <w:r>
                    <w:rPr>
                      <w:b/>
                      <w:spacing w:val="4"/>
                      <w:w w:val="99"/>
                      <w:sz w:val="14"/>
                    </w:rPr>
                    <w:t>i</w:t>
                  </w:r>
                  <w:r>
                    <w:rPr>
                      <w:b/>
                      <w:spacing w:val="2"/>
                      <w:w w:val="99"/>
                      <w:sz w:val="14"/>
                    </w:rPr>
                    <w:t>l</w:t>
                  </w:r>
                  <w:r>
                    <w:rPr>
                      <w:b/>
                      <w:spacing w:val="4"/>
                      <w:w w:val="99"/>
                      <w:sz w:val="14"/>
                    </w:rPr>
                    <w:t>l</w:t>
                  </w:r>
                  <w:r>
                    <w:rPr>
                      <w:b/>
                      <w:spacing w:val="1"/>
                      <w:w w:val="99"/>
                      <w:sz w:val="14"/>
                    </w:rPr>
                    <w:t>on</w:t>
                  </w:r>
                  <w:r>
                    <w:rPr>
                      <w:b/>
                      <w:spacing w:val="-3"/>
                      <w:w w:val="99"/>
                      <w:sz w:val="14"/>
                    </w:rPr>
                    <w:t>e</w:t>
                  </w:r>
                  <w:r>
                    <w:rPr>
                      <w:b/>
                      <w:w w:val="99"/>
                      <w:sz w:val="14"/>
                    </w:rPr>
                    <w:t>s</w:t>
                  </w:r>
                  <w:r>
                    <w:rPr>
                      <w:b/>
                      <w:spacing w:val="1"/>
                      <w:sz w:val="14"/>
                    </w:rPr>
                    <w:t> </w:t>
                  </w:r>
                  <w:r>
                    <w:rPr>
                      <w:b/>
                      <w:spacing w:val="1"/>
                      <w:w w:val="99"/>
                      <w:sz w:val="14"/>
                    </w:rPr>
                    <w:t>d</w:t>
                  </w:r>
                  <w:r>
                    <w:rPr>
                      <w:b/>
                      <w:w w:val="99"/>
                      <w:sz w:val="14"/>
                    </w:rPr>
                    <w:t>e</w:t>
                  </w:r>
                  <w:r>
                    <w:rPr>
                      <w:b/>
                      <w:spacing w:val="1"/>
                      <w:sz w:val="14"/>
                    </w:rPr>
                    <w:t> </w:t>
                  </w:r>
                  <w:r>
                    <w:rPr>
                      <w:b/>
                      <w:spacing w:val="-1"/>
                      <w:w w:val="99"/>
                      <w:sz w:val="14"/>
                    </w:rPr>
                    <w:t>d</w:t>
                  </w:r>
                  <w:r>
                    <w:rPr>
                      <w:b/>
                      <w:spacing w:val="1"/>
                      <w:w w:val="99"/>
                      <w:sz w:val="14"/>
                    </w:rPr>
                    <w:t>ó</w:t>
                  </w:r>
                  <w:r>
                    <w:rPr>
                      <w:b/>
                      <w:spacing w:val="4"/>
                      <w:w w:val="99"/>
                      <w:sz w:val="14"/>
                    </w:rPr>
                    <w:t>l</w:t>
                  </w:r>
                  <w:r>
                    <w:rPr>
                      <w:b/>
                      <w:spacing w:val="-3"/>
                      <w:w w:val="99"/>
                      <w:sz w:val="14"/>
                    </w:rPr>
                    <w:t>a</w:t>
                  </w:r>
                  <w:r>
                    <w:rPr>
                      <w:b/>
                      <w:spacing w:val="-2"/>
                      <w:w w:val="99"/>
                      <w:sz w:val="14"/>
                    </w:rPr>
                    <w:t>r</w:t>
                  </w:r>
                  <w:r>
                    <w:rPr>
                      <w:b/>
                      <w:spacing w:val="-3"/>
                      <w:w w:val="99"/>
                      <w:sz w:val="14"/>
                    </w:rPr>
                    <w:t>e</w:t>
                  </w:r>
                  <w:r>
                    <w:rPr>
                      <w:b/>
                      <w:w w:val="99"/>
                      <w:sz w:val="14"/>
                    </w:rPr>
                    <w:t>s</w:t>
                  </w:r>
                </w:p>
              </w:txbxContent>
            </v:textbox>
            <w10:wrap type="none"/>
          </v:shape>
        </w:pict>
      </w:r>
      <w:r>
        <w:rPr/>
        <w:t>Figura 2. Principales países receptores de remesas (Año  2004)</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spacing w:line="283" w:lineRule="auto" w:before="174"/>
        <w:ind w:left="115" w:right="1685" w:firstLine="0"/>
        <w:jc w:val="both"/>
        <w:rPr>
          <w:sz w:val="19"/>
        </w:rPr>
      </w:pPr>
      <w:r>
        <w:rPr/>
        <w:pict>
          <v:shape style="position:absolute;margin-left:123.929199pt;margin-top:-70.685974pt;width:15.4pt;height:7pt;mso-position-horizontal-relative:page;mso-position-vertical-relative:paragraph;z-index:2896;rotation:315" type="#_x0000_t136" fillcolor="#000000" stroked="f">
            <o:extrusion v:ext="view" autorotationcenter="t"/>
            <v:textpath style="font-family:&amp;quot;Arial&amp;quot;;font-size:7pt;v-text-kern:t;mso-text-shadow:auto" string="India"/>
            <w10:wrap type="none"/>
          </v:shape>
        </w:pict>
      </w:r>
      <w:r>
        <w:rPr/>
        <w:pict>
          <v:shape style="position:absolute;margin-left:135.984589pt;margin-top:-69.155914pt;width:18.75pt;height:7pt;mso-position-horizontal-relative:page;mso-position-vertical-relative:paragraph;z-index:2920;rotation:315" type="#_x0000_t136" fillcolor="#000000" stroked="f">
            <o:extrusion v:ext="view" autorotationcenter="t"/>
            <v:textpath style="font-family:&amp;quot;Arial&amp;quot;;font-size:7pt;v-text-kern:t;mso-text-shadow:auto" string="China"/>
            <w10:wrap type="none"/>
          </v:shape>
        </w:pict>
      </w:r>
      <w:r>
        <w:rPr/>
        <w:pict>
          <v:shape style="position:absolute;margin-left:146.752655pt;margin-top:-67.356697pt;width:22.65pt;height:7pt;mso-position-horizontal-relative:page;mso-position-vertical-relative:paragraph;z-index:2944;rotation:315" type="#_x0000_t136" fillcolor="#000000" stroked="f">
            <o:extrusion v:ext="view" autorotationcenter="t"/>
            <v:textpath style="font-family:&amp;quot;Arial&amp;quot;;font-size:7pt;v-text-kern:t;mso-text-shadow:auto" string="México"/>
            <w10:wrap type="none"/>
          </v:shape>
        </w:pict>
      </w:r>
      <w:r>
        <w:rPr/>
        <w:pict>
          <v:shape style="position:absolute;margin-left:159.318359pt;margin-top:-65.838303pt;width:26.15pt;height:7pt;mso-position-horizontal-relative:page;mso-position-vertical-relative:paragraph;z-index:2968;rotation:315" type="#_x0000_t136" fillcolor="#000000" stroked="f">
            <o:extrusion v:ext="view" autorotationcenter="t"/>
            <v:textpath style="font-family:&amp;quot;Arial&amp;quot;;font-size:7pt;v-text-kern:t;mso-text-shadow:auto" string="Filipinas"/>
            <w10:wrap type="none"/>
          </v:shape>
        </w:pict>
      </w:r>
      <w:r>
        <w:rPr/>
        <w:pict>
          <v:shape style="position:absolute;margin-left:180.955109pt;margin-top:-68.937355pt;width:18.1pt;height:7pt;mso-position-horizontal-relative:page;mso-position-vertical-relative:paragraph;z-index:2992;rotation:315" type="#_x0000_t136" fillcolor="#000000" stroked="f">
            <o:extrusion v:ext="view" autorotationcenter="t"/>
            <v:textpath style="font-family:&amp;quot;Arial&amp;quot;;font-size:7pt;v-text-kern:t;mso-text-shadow:auto" string="Brasil"/>
            <w10:wrap type="none"/>
          </v:shape>
        </w:pict>
      </w:r>
      <w:r>
        <w:rPr/>
        <w:pict>
          <v:shape style="position:absolute;margin-left:191.51651pt;margin-top:-66.846642pt;width:24.25pt;height:7pt;mso-position-horizontal-relative:page;mso-position-vertical-relative:paragraph;z-index:3016;rotation:315" type="#_x0000_t136" fillcolor="#000000" stroked="f">
            <o:extrusion v:ext="view" autorotationcenter="t"/>
            <v:textpath style="font-family:&amp;quot;Arial&amp;quot;;font-size:7pt;v-text-kern:t;mso-text-shadow:auto" string="España"/>
            <w10:wrap type="none"/>
          </v:shape>
        </w:pict>
      </w:r>
      <w:r>
        <w:rPr/>
        <w:pict>
          <v:shape style="position:absolute;margin-left:198.039932pt;margin-top:-63.258339pt;width:33.8pt;height:7pt;mso-position-horizontal-relative:page;mso-position-vertical-relative:paragraph;z-index:3040;rotation:315" type="#_x0000_t136" fillcolor="#000000" stroked="f">
            <o:extrusion v:ext="view" autorotationcenter="t"/>
            <v:textpath style="font-family:&amp;quot;Arial&amp;quot;;font-size:7pt;v-text-kern:t;mso-text-shadow:auto" string="Marruecos"/>
            <w10:wrap type="none"/>
          </v:shape>
        </w:pict>
      </w:r>
      <w:r>
        <w:rPr/>
        <w:pict>
          <v:shape style="position:absolute;margin-left:218.229446pt;margin-top:-65.316689pt;width:27.65pt;height:7pt;mso-position-horizontal-relative:page;mso-position-vertical-relative:paragraph;z-index:3064;rotation:315" type="#_x0000_t136" fillcolor="#000000" stroked="f">
            <o:extrusion v:ext="view" autorotationcenter="t"/>
            <v:textpath style="font-family:&amp;quot;Arial&amp;quot;;font-size:7pt;v-text-kern:t;mso-text-shadow:auto" string="Pakistán"/>
            <w10:wrap type="none"/>
          </v:shape>
        </w:pict>
      </w:r>
      <w:r>
        <w:rPr/>
        <w:pict>
          <v:shape style="position:absolute;margin-left:224.711288pt;margin-top:-62.075951pt;width:38.050pt;height:7pt;mso-position-horizontal-relative:page;mso-position-vertical-relative:paragraph;z-index:3088;rotation:315" type="#_x0000_t136" fillcolor="#000000" stroked="f">
            <o:extrusion v:ext="view" autorotationcenter="t"/>
            <v:textpath style="font-family:&amp;quot;Arial&amp;quot;;font-size:7pt;v-text-kern:t;mso-text-shadow:auto" string="Bangladesh"/>
            <w10:wrap type="none"/>
          </v:shape>
        </w:pict>
      </w:r>
      <w:r>
        <w:rPr/>
        <w:pict>
          <v:shape style="position:absolute;margin-left:254.596161pt;margin-top:-68.135551pt;width:20.4pt;height:7pt;mso-position-horizontal-relative:page;mso-position-vertical-relative:paragraph;z-index:3112;rotation:315" type="#_x0000_t136" fillcolor="#000000" stroked="f">
            <o:extrusion v:ext="view" autorotationcenter="t"/>
            <v:textpath style="font-family:&amp;quot;Arial&amp;quot;;font-size:7pt;v-text-kern:t;mso-text-shadow:auto" string="Egipto"/>
            <w10:wrap type="none"/>
          </v:shape>
        </w:pict>
      </w:r>
      <w:r>
        <w:rPr/>
        <w:pict>
          <v:shape style="position:absolute;margin-left:261.122131pt;margin-top:-65.22599pt;width:30.35pt;height:7pt;mso-position-horizontal-relative:page;mso-position-vertical-relative:paragraph;z-index:3136;rotation:315" type="#_x0000_t136" fillcolor="#000000" stroked="f">
            <o:extrusion v:ext="view" autorotationcenter="t"/>
            <v:textpath style="font-family:&amp;quot;Arial&amp;quot;;font-size:7pt;v-text-kern:t;mso-text-shadow:auto" string="Colombia"/>
            <w10:wrap type="none"/>
          </v:shape>
        </w:pict>
      </w:r>
      <w:r>
        <w:rPr/>
        <w:pict>
          <v:shape style="position:absolute;margin-left:279.789886pt;margin-top:-66.14814pt;width:27pt;height:7pt;mso-position-horizontal-relative:page;mso-position-vertical-relative:paragraph;z-index:3160;rotation:315" type="#_x0000_t136" fillcolor="#000000" stroked="f">
            <o:extrusion v:ext="view" autorotationcenter="t"/>
            <v:textpath style="font-family:&amp;quot;Arial&amp;quot;;font-size:7pt;v-text-kern:t;mso-text-shadow:auto" string="Portugal"/>
            <w10:wrap type="none"/>
          </v:shape>
        </w:pict>
      </w:r>
      <w:r>
        <w:rPr/>
        <w:pict>
          <v:shape style="position:absolute;margin-left:287.175323pt;margin-top:-63.007153pt;width:34.75pt;height:7pt;mso-position-horizontal-relative:page;mso-position-vertical-relative:paragraph;z-index:3184;rotation:315" type="#_x0000_t136" fillcolor="#000000" stroked="f">
            <o:extrusion v:ext="view" autorotationcenter="t"/>
            <v:textpath style="font-family:&amp;quot;Arial&amp;quot;;font-size:7pt;v-text-kern:t;mso-text-shadow:auto" string="Guatemala"/>
            <w10:wrap type="none"/>
          </v:shape>
        </w:pict>
      </w:r>
      <w:r>
        <w:rPr/>
        <w:pict>
          <v:shape style="position:absolute;margin-left:301.137756pt;margin-top:-62.609062pt;width:36.550pt;height:7pt;mso-position-horizontal-relative:page;mso-position-vertical-relative:paragraph;z-index:3208;rotation:315" type="#_x0000_t136" fillcolor="#000000" stroked="f">
            <o:extrusion v:ext="view" autorotationcenter="t"/>
            <v:textpath style="font-family:&amp;quot;Arial&amp;quot;;font-size:7pt;v-text-kern:t;mso-text-shadow:auto" string="El Salvador"/>
            <w10:wrap type="none"/>
          </v:shape>
        </w:pict>
      </w:r>
      <w:r>
        <w:rPr/>
        <w:pict>
          <v:shape style="position:absolute;margin-left:300.152924pt;margin-top:-55.807423pt;width:55.15pt;height:7pt;mso-position-horizontal-relative:page;mso-position-vertical-relative:paragraph;z-index:3232;rotation:315" type="#_x0000_t136" fillcolor="#000000" stroked="f">
            <o:extrusion v:ext="view" autorotationcenter="t"/>
            <v:textpath style="font-family:&amp;quot;Arial&amp;quot;;font-size:7pt;v-text-kern:t;mso-text-shadow:auto" string="Rep. Dominicana"/>
            <w10:wrap type="none"/>
          </v:shape>
        </w:pict>
      </w:r>
      <w:r>
        <w:rPr/>
        <w:pict>
          <v:shape style="position:absolute;margin-left:344.388702pt;margin-top:-68.346298pt;width:21pt;height:7pt;mso-position-horizontal-relative:page;mso-position-vertical-relative:paragraph;z-index:3256;rotation:315" type="#_x0000_t136" fillcolor="#000000" stroked="f">
            <o:extrusion v:ext="view" autorotationcenter="t"/>
            <v:textpath style="font-family:&amp;quot;Arial&amp;quot;;font-size:7pt;v-text-kern:t;mso-text-shadow:auto" string="Grecia"/>
            <w10:wrap type="none"/>
          </v:shape>
        </w:pict>
      </w:r>
      <w:r>
        <w:rPr/>
        <w:pict>
          <v:shape style="position:absolute;margin-left:354.911438pt;margin-top:-66.059441pt;width:26.6pt;height:7pt;mso-position-horizontal-relative:page;mso-position-vertical-relative:paragraph;z-index:3280;rotation:315" type="#_x0000_t136" fillcolor="#000000" stroked="f">
            <o:extrusion v:ext="view" autorotationcenter="t"/>
            <v:textpath style="font-family:&amp;quot;Arial&amp;quot;;font-size:7pt;v-text-kern:t;mso-text-shadow:auto" string="Ecuador"/>
            <w10:wrap type="none"/>
          </v:shape>
        </w:pict>
      </w:r>
      <w:r>
        <w:rPr/>
        <w:pict>
          <v:shape style="position:absolute;margin-left:366.286804pt;margin-top:-64.927551pt;width:30.85pt;height:7pt;mso-position-horizontal-relative:page;mso-position-vertical-relative:paragraph;z-index:3304;rotation:315" type="#_x0000_t136" fillcolor="#000000" stroked="f">
            <o:extrusion v:ext="view" autorotationcenter="t"/>
            <v:textpath style="font-family:&amp;quot;Arial&amp;quot;;font-size:7pt;v-text-kern:t;mso-text-shadow:auto" string="Indonesia"/>
            <w10:wrap type="none"/>
          </v:shape>
        </w:pict>
      </w:r>
      <w:r>
        <w:rPr/>
        <w:pict>
          <v:shape style="position:absolute;margin-left:381.629913pt;margin-top:-64.968376pt;width:31pt;height:7pt;mso-position-horizontal-relative:page;mso-position-vertical-relative:paragraph;z-index:3328;rotation:315" type="#_x0000_t136" fillcolor="#000000" stroked="f">
            <o:extrusion v:ext="view" autorotationcenter="t"/>
            <v:textpath style="font-family:&amp;quot;Arial&amp;quot;;font-size:7pt;v-text-kern:t;mso-text-shadow:auto" string="Honduras"/>
            <w10:wrap type="none"/>
          </v:shape>
        </w:pict>
      </w:r>
      <w:r>
        <w:rPr/>
        <w:pict>
          <v:shape style="position:absolute;margin-left:410.173431pt;margin-top:-70.536423pt;width:14.9pt;height:7pt;mso-position-horizontal-relative:page;mso-position-vertical-relative:paragraph;z-index:3352;rotation:315" type="#_x0000_t136" fillcolor="#000000" stroked="f">
            <o:extrusion v:ext="view" autorotationcenter="t"/>
            <v:textpath style="font-family:&amp;quot;Arial&amp;quot;;font-size:7pt;v-text-kern:t;mso-text-shadow:auto" string="Perú"/>
            <w10:wrap type="none"/>
          </v:shape>
        </w:pict>
      </w:r>
      <w:r>
        <w:rPr/>
        <w:pict>
          <v:shape style="position:absolute;margin-left:421.332764pt;margin-top:-69.078758pt;width:20.05pt;height:7pt;mso-position-horizontal-relative:page;mso-position-vertical-relative:paragraph;z-index:3376;rotation:315" type="#_x0000_t136" fillcolor="#000000" stroked="f">
            <o:extrusion v:ext="view" autorotationcenter="t"/>
            <v:textpath style="font-family:&amp;quot;Arial&amp;quot;;font-size:7pt;v-text-kern:t;mso-text-shadow:auto" string="Túnez"/>
            <w10:wrap type="none"/>
          </v:shape>
        </w:pict>
      </w:r>
      <w:r>
        <w:rPr/>
        <w:pict>
          <v:shape style="position:absolute;margin-left:432.042206pt;margin-top:-67.026024pt;width:24.75pt;height:7pt;mso-position-horizontal-relative:page;mso-position-vertical-relative:paragraph;z-index:3400;rotation:315" type="#_x0000_t136" fillcolor="#000000" stroked="f">
            <o:extrusion v:ext="view" autorotationcenter="t"/>
            <v:textpath style="font-family:&amp;quot;Arial&amp;quot;;font-size:7pt;v-text-kern:t;mso-text-shadow:auto" string="Croacia"/>
            <w10:wrap type="none"/>
          </v:shape>
        </w:pict>
      </w:r>
      <w:r>
        <w:rPr/>
        <w:pict>
          <v:shape style="position:absolute;margin-left:447.972046pt;margin-top:-68.136314pt;width:24.75pt;height:7pt;mso-position-horizontal-relative:page;mso-position-vertical-relative:paragraph;z-index:3424;rotation:315" type="#_x0000_t136" fillcolor="#000000" stroked="f">
            <o:extrusion v:ext="view" autorotationcenter="t"/>
            <v:textpath style="font-family:&amp;quot;Arial&amp;quot;;font-size:7pt;v-text-kern:t;mso-text-shadow:auto" string="Turquía"/>
            <w10:wrap type="none"/>
          </v:shape>
        </w:pict>
      </w:r>
      <w:r>
        <w:rPr/>
        <w:pict>
          <v:shape style="position:absolute;margin-left:455.318787pt;margin-top:-64.446312pt;width:32.5500pt;height:7pt;mso-position-horizontal-relative:page;mso-position-vertical-relative:paragraph;z-index:3448;rotation:315" type="#_x0000_t136" fillcolor="#000000" stroked="f">
            <o:extrusion v:ext="view" autorotationcenter="t"/>
            <v:textpath style="font-family:&amp;quot;Arial&amp;quot;;font-size:7pt;v-text-kern:t;mso-text-shadow:auto" string="Nicaragua"/>
            <w10:wrap type="none"/>
          </v:shape>
        </w:pict>
      </w:r>
      <w:r>
        <w:rPr/>
        <w:pict>
          <v:shape style="position:absolute;margin-left:467.535889pt;margin-top:-62.525944pt;width:34.75pt;height:7pt;mso-position-horizontal-relative:page;mso-position-vertical-relative:paragraph;z-index:3472;rotation:315" type="#_x0000_t136" fillcolor="#000000" stroked="f">
            <o:extrusion v:ext="view" autorotationcenter="t"/>
            <v:textpath style="font-family:&amp;quot;Arial&amp;quot;;font-size:7pt;v-text-kern:t;mso-text-shadow:auto" string="Costa Rica"/>
            <w10:wrap type="none"/>
          </v:shape>
        </w:pict>
      </w:r>
      <w:r>
        <w:rPr>
          <w:sz w:val="19"/>
        </w:rPr>
        <w:t>Fuente: Elaboración propia con datos del Banco de México, Banco Mundial, Fondo monetario internacional y Banco Interamericano de Desarrollo,  2004.</w:t>
      </w:r>
    </w:p>
    <w:p>
      <w:pPr>
        <w:pStyle w:val="BodyText"/>
        <w:rPr>
          <w:sz w:val="18"/>
        </w:rPr>
      </w:pPr>
    </w:p>
    <w:p>
      <w:pPr>
        <w:pStyle w:val="BodyText"/>
        <w:rPr>
          <w:sz w:val="18"/>
        </w:rPr>
      </w:pPr>
    </w:p>
    <w:p>
      <w:pPr>
        <w:pStyle w:val="BodyText"/>
        <w:rPr>
          <w:sz w:val="20"/>
        </w:rPr>
      </w:pPr>
    </w:p>
    <w:p>
      <w:pPr>
        <w:pStyle w:val="BodyText"/>
        <w:spacing w:line="364" w:lineRule="auto"/>
        <w:ind w:left="115" w:right="1683"/>
        <w:jc w:val="both"/>
      </w:pPr>
      <w:r>
        <w:rPr/>
        <w:t>Las remesas desempeñan un papel importante en la vida  de las personas de  bajos ingresos y en la salud de las economías nacionales. Estos flujos son una fuente de divisas e influyen en la balanza de pagos de un país, particularmente en los países receptores. Las remesas tienen un efecto dramático en el nivel de vida de los individuos y las familias y generan efectos multiplicadores económicos benéficos para toda la población. Las remesas también pueden influir  en la tasa  de inflación y afectar a la distribución del ingreso en los países </w:t>
      </w:r>
      <w:r>
        <w:rPr>
          <w:spacing w:val="18"/>
        </w:rPr>
        <w:t> </w:t>
      </w:r>
      <w:r>
        <w:rPr/>
        <w:t>receptores.</w:t>
      </w:r>
    </w:p>
    <w:p>
      <w:pPr>
        <w:pStyle w:val="BodyText"/>
        <w:rPr>
          <w:sz w:val="22"/>
        </w:rPr>
      </w:pPr>
    </w:p>
    <w:p>
      <w:pPr>
        <w:pStyle w:val="BodyText"/>
        <w:rPr>
          <w:sz w:val="22"/>
        </w:rPr>
      </w:pPr>
    </w:p>
    <w:p>
      <w:pPr>
        <w:pStyle w:val="BodyText"/>
        <w:spacing w:before="10"/>
        <w:rPr>
          <w:sz w:val="24"/>
        </w:rPr>
      </w:pPr>
    </w:p>
    <w:p>
      <w:pPr>
        <w:pStyle w:val="Heading4"/>
        <w:numPr>
          <w:ilvl w:val="1"/>
          <w:numId w:val="6"/>
        </w:numPr>
        <w:tabs>
          <w:tab w:pos="505" w:val="left" w:leader="none"/>
        </w:tabs>
        <w:spacing w:line="240" w:lineRule="auto" w:before="0" w:after="0"/>
        <w:ind w:left="1582" w:right="0" w:hanging="1466"/>
        <w:jc w:val="both"/>
      </w:pPr>
      <w:r>
        <w:rPr/>
        <w:t>Remesas en</w:t>
      </w:r>
      <w:r>
        <w:rPr>
          <w:spacing w:val="26"/>
        </w:rPr>
        <w:t> </w:t>
      </w:r>
      <w:r>
        <w:rPr/>
        <w:t>Europa</w:t>
      </w:r>
    </w:p>
    <w:p>
      <w:pPr>
        <w:pStyle w:val="BodyText"/>
        <w:spacing w:before="2"/>
        <w:rPr>
          <w:b/>
          <w:sz w:val="29"/>
        </w:rPr>
      </w:pPr>
    </w:p>
    <w:p>
      <w:pPr>
        <w:pStyle w:val="BodyText"/>
        <w:spacing w:line="367" w:lineRule="auto"/>
        <w:ind w:left="115" w:right="1686"/>
        <w:jc w:val="both"/>
      </w:pPr>
      <w:r>
        <w:rPr/>
        <w:t>El continente europeo no es ajeno a los grandes flujos migratorios hacia fuera y hacia  adentro.  Las  investigaciones  de  remesas  en  Europa  revelan  que       las</w:t>
      </w:r>
    </w:p>
    <w:p>
      <w:pPr>
        <w:spacing w:after="0" w:line="367" w:lineRule="auto"/>
        <w:jc w:val="both"/>
        <w:sectPr>
          <w:pgSz w:w="11900" w:h="16840"/>
          <w:pgMar w:header="0" w:footer="1619" w:top="0" w:bottom="1860" w:left="1540" w:right="0"/>
        </w:sectPr>
      </w:pPr>
    </w:p>
    <w:p>
      <w:pPr>
        <w:pStyle w:val="BodyText"/>
        <w:rPr>
          <w:sz w:val="20"/>
        </w:rPr>
      </w:pPr>
    </w:p>
    <w:p>
      <w:pPr>
        <w:pStyle w:val="BodyText"/>
        <w:spacing w:before="7"/>
        <w:rPr>
          <w:sz w:val="16"/>
        </w:rPr>
      </w:pPr>
    </w:p>
    <w:p>
      <w:pPr>
        <w:pStyle w:val="BodyText"/>
        <w:spacing w:line="364" w:lineRule="auto" w:before="74"/>
        <w:ind w:left="115" w:right="104"/>
        <w:jc w:val="both"/>
      </w:pPr>
      <w:r>
        <w:rPr/>
        <w:t>decisiones de los emigrantes de enviar dinero para mantener a la familia o para invertir en su lugar de origen son influenciadas en gran medida por  las  expectativas de una repatriación eventual, la capacidad financiera de  los remitentes, las necesidades de los receptores y factores económicos, particularmente la tasa de cambio, la tasa de interés en el país de origen y en el país anfitrión, y la tasa de inflación en el país de</w:t>
      </w:r>
      <w:r>
        <w:rPr>
          <w:spacing w:val="61"/>
        </w:rPr>
        <w:t> </w:t>
      </w:r>
      <w:r>
        <w:rPr/>
        <w:t>origen.</w:t>
      </w:r>
    </w:p>
    <w:p>
      <w:pPr>
        <w:pStyle w:val="BodyText"/>
        <w:rPr>
          <w:sz w:val="22"/>
        </w:rPr>
      </w:pPr>
    </w:p>
    <w:p>
      <w:pPr>
        <w:pStyle w:val="BodyText"/>
        <w:spacing w:line="364" w:lineRule="auto" w:before="155"/>
        <w:ind w:left="115" w:right="105"/>
        <w:jc w:val="both"/>
      </w:pPr>
      <w:r>
        <w:rPr/>
        <w:t>Por otro lado los migrantes que se encuentran en Europa tienen un “contrato implícito” el cual consiste en el compromiso de que el emigrante mantenga a su familia y proporcione una especie de seguro contra fracasos en una finca y otros problemas financieros. A su vez, y de manera cultural, la familia del migrante financia el viaje inicial y sus gastos básicos, lo ayuda durante los períodos en los que no tiene trabajo en el país anfitrión y lo incluye en futuras  herencias.</w:t>
      </w:r>
    </w:p>
    <w:p>
      <w:pPr>
        <w:pStyle w:val="BodyText"/>
        <w:rPr>
          <w:sz w:val="22"/>
        </w:rPr>
      </w:pPr>
    </w:p>
    <w:p>
      <w:pPr>
        <w:pStyle w:val="BodyText"/>
        <w:spacing w:line="364" w:lineRule="auto" w:before="153"/>
        <w:ind w:left="115" w:right="106"/>
        <w:jc w:val="both"/>
      </w:pPr>
      <w:r>
        <w:rPr/>
        <w:t>En la figura 3, se seleccionaron los diez principales países receptores de remesas del continente Europeo en el periodo de 2000 al 2005; se observa que Francia, España, Bélgica y Alemania son los principales  países  receptores  de remesas, tan solo en 2005 los envíos de remesas de estos países sumaron US $20,797 millones que representó el 32.28% del total de remesas que ingresan a </w:t>
      </w:r>
      <w:r>
        <w:rPr>
          <w:spacing w:val="27"/>
        </w:rPr>
        <w:t> </w:t>
      </w:r>
      <w:r>
        <w:rPr/>
        <w:t>Europa.</w:t>
      </w:r>
    </w:p>
    <w:p>
      <w:pPr>
        <w:pStyle w:val="BodyText"/>
        <w:rPr>
          <w:sz w:val="22"/>
        </w:rPr>
      </w:pPr>
    </w:p>
    <w:p>
      <w:pPr>
        <w:pStyle w:val="BodyText"/>
        <w:rPr>
          <w:sz w:val="22"/>
        </w:rPr>
      </w:pPr>
    </w:p>
    <w:p>
      <w:pPr>
        <w:pStyle w:val="BodyText"/>
        <w:spacing w:before="3"/>
        <w:rPr>
          <w:sz w:val="25"/>
        </w:rPr>
      </w:pPr>
    </w:p>
    <w:p>
      <w:pPr>
        <w:pStyle w:val="BodyText"/>
        <w:spacing w:line="364" w:lineRule="auto"/>
        <w:ind w:left="115" w:right="105"/>
        <w:jc w:val="both"/>
      </w:pPr>
      <w:r>
        <w:rPr/>
        <w:t>Un caso particular es España, ya que en los últimos años ha tomado mayor relevancia dentro de la Unión Europea, es el país que se ha convertido en una fuente sustancial de envío de remesas, tiene 1,1 millones de inmigrantes, mayoritariamente de América Latina y Marruecos, y un mercado de US $300 millones anuales de remesas.</w:t>
      </w:r>
    </w:p>
    <w:p>
      <w:pPr>
        <w:spacing w:after="0" w:line="364" w:lineRule="auto"/>
        <w:jc w:val="both"/>
        <w:sectPr>
          <w:pgSz w:w="11900" w:h="16840"/>
          <w:pgMar w:header="0" w:footer="1619" w:top="1600" w:bottom="1860" w:left="1540" w:right="1580"/>
        </w:sectPr>
      </w:pPr>
    </w:p>
    <w:p>
      <w:pPr>
        <w:pStyle w:val="BodyText"/>
        <w:rPr>
          <w:sz w:val="20"/>
        </w:rPr>
      </w:pPr>
    </w:p>
    <w:p>
      <w:pPr>
        <w:pStyle w:val="BodyText"/>
        <w:spacing w:before="5"/>
        <w:rPr>
          <w:sz w:val="16"/>
        </w:rPr>
      </w:pPr>
    </w:p>
    <w:p>
      <w:pPr>
        <w:pStyle w:val="Heading4"/>
        <w:spacing w:before="74"/>
        <w:ind w:left="497"/>
      </w:pPr>
      <w:r>
        <w:rPr/>
        <w:pict>
          <v:group style="position:absolute;margin-left:86.324997pt;margin-top:35.531174pt;width:443.2pt;height:424.6pt;mso-position-horizontal-relative:page;mso-position-vertical-relative:paragraph;z-index:-710656" coordorigin="1726,711" coordsize="8864,8492">
            <v:rect style="position:absolute;left:1728;top:712;width:8861;height:8489" filled="false" stroked="true" strokeweight=".12pt" strokecolor="#000000"/>
            <v:shape style="position:absolute;left:3799;top:1123;width:5508;height:7550" type="#_x0000_t75" stroked="false">
              <v:imagedata r:id="rId51" o:title=""/>
            </v:shape>
            <v:shape style="position:absolute;left:24647;top:86374;width:35772;height:87841" coordorigin="24647,86374" coordsize="35772,87841" path="m3797,1120l9307,1120m9307,1120l9307,8671m9307,8671l3797,8671m3797,8671l3797,1120e" filled="false" stroked="true" strokeweight=".567421pt" strokecolor="#7f7f7f">
              <v:path arrowok="t"/>
            </v:shape>
            <v:rect style="position:absolute;left:3797;top:8493;width:1428;height:106" filled="true" fillcolor="#9999ff" stroked="false">
              <v:fill type="solid"/>
            </v:rect>
            <v:rect style="position:absolute;left:3797;top:8493;width:1428;height:106" filled="false" stroked="true" strokeweight=".408191pt" strokecolor="#000000"/>
            <v:rect style="position:absolute;left:3797;top:7735;width:569;height:106" filled="true" fillcolor="#9999ff" stroked="false">
              <v:fill type="solid"/>
            </v:rect>
            <v:rect style="position:absolute;left:3797;top:7735;width:569;height:106" filled="false" stroked="true" strokeweight=".417169pt" strokecolor="#000000"/>
            <v:rect style="position:absolute;left:3797;top:5474;width:3396;height:106" filled="true" fillcolor="#9999ff" stroked="false">
              <v:fill type="solid"/>
            </v:rect>
            <v:rect style="position:absolute;left:3797;top:5474;width:3396;height:106" filled="false" stroked="true" strokeweight=".406751pt" strokecolor="#000000"/>
            <v:rect style="position:absolute;left:3797;top:4715;width:758;height:108" filled="true" fillcolor="#9999ff" stroked="false">
              <v:fill type="solid"/>
            </v:rect>
            <v:rect style="position:absolute;left:3797;top:4715;width:758;height:108" filled="false" stroked="true" strokeweight=".412839pt" strokecolor="#000000"/>
            <v:rect style="position:absolute;left:3797;top:3959;width:451;height:106" filled="true" fillcolor="#9999ff" stroked="false">
              <v:fill type="solid"/>
            </v:rect>
            <v:rect style="position:absolute;left:3797;top:3959;width:451;height:106" filled="false" stroked="true" strokeweight=".423156pt" strokecolor="#000000"/>
            <v:rect style="position:absolute;left:3797;top:2455;width:1342;height:106" filled="true" fillcolor="#9999ff" stroked="false">
              <v:fill type="solid"/>
            </v:rect>
            <v:rect style="position:absolute;left:3797;top:2455;width:1342;height:106" filled="false" stroked="true" strokeweight=".408423pt" strokecolor="#000000"/>
            <v:rect style="position:absolute;left:3797;top:1699;width:497;height:106" filled="true" fillcolor="#9999ff" stroked="false">
              <v:fill type="solid"/>
            </v:rect>
            <v:rect style="position:absolute;left:3797;top:1699;width:497;height:106" filled="false" stroked="true" strokeweight=".420355pt" strokecolor="#000000"/>
            <v:rect style="position:absolute;left:3797;top:8395;width:1546;height:98" filled="true" fillcolor="#993265" stroked="false">
              <v:fill type="solid"/>
            </v:rect>
            <v:rect style="position:absolute;left:3797;top:8395;width:1546;height:98" filled="false" stroked="true" strokeweight=".40774pt" strokecolor="#000000"/>
            <v:rect style="position:absolute;left:3797;top:7639;width:598;height:96" filled="true" fillcolor="#993265" stroked="false">
              <v:fill type="solid"/>
            </v:rect>
            <v:rect style="position:absolute;left:3797;top:7639;width:598;height:96" filled="false" stroked="true" strokeweight=".414539pt" strokecolor="#000000"/>
            <v:rect style="position:absolute;left:3797;top:5375;width:3614;height:98" filled="true" fillcolor="#993265" stroked="false">
              <v:fill type="solid"/>
            </v:rect>
            <v:rect style="position:absolute;left:3797;top:5375;width:3614;height:98" filled="false" stroked="true" strokeweight=".406679pt" strokecolor="#000000"/>
            <v:rect style="position:absolute;left:3797;top:4619;width:890;height:96" filled="true" fillcolor="#993265" stroked="false">
              <v:fill type="solid"/>
            </v:rect>
            <v:rect style="position:absolute;left:3797;top:4619;width:890;height:96" filled="false" stroked="true" strokeweight=".410139pt" strokecolor="#000000"/>
            <v:rect style="position:absolute;left:3797;top:3863;width:540;height:96" filled="true" fillcolor="#993265" stroked="false">
              <v:fill type="solid"/>
            </v:rect>
            <v:rect style="position:absolute;left:3797;top:3863;width:540;height:96" filled="false" stroked="true" strokeweight=".416307pt" strokecolor="#000000"/>
            <v:rect style="position:absolute;left:3797;top:2356;width:1399;height:98" filled="true" fillcolor="#993265" stroked="false">
              <v:fill type="solid"/>
            </v:rect>
            <v:rect style="position:absolute;left:3797;top:2356;width:1399;height:98" filled="false" stroked="true" strokeweight=".408025pt" strokecolor="#000000"/>
            <v:rect style="position:absolute;left:3797;top:1600;width:554;height:98" filled="true" fillcolor="#993265" stroked="false">
              <v:fill type="solid"/>
            </v:rect>
            <v:rect style="position:absolute;left:3797;top:1600;width:554;height:98" filled="false" stroked="true" strokeweight=".416273pt" strokecolor="#000000"/>
            <v:rect style="position:absolute;left:3797;top:8289;width:1836;height:106" filled="true" fillcolor="#ffffcc" stroked="false">
              <v:fill type="solid"/>
            </v:rect>
            <v:rect style="position:absolute;left:3797;top:8289;width:1836;height:106" filled="false" stroked="true" strokeweight=".407502pt" strokecolor="#000000"/>
            <v:rect style="position:absolute;left:3797;top:7533;width:672;height:106" filled="true" fillcolor="#ffffcc" stroked="false">
              <v:fill type="solid"/>
            </v:rect>
            <v:rect style="position:absolute;left:3797;top:7533;width:672;height:106" filled="false" stroked="true" strokeweight=".4142pt" strokecolor="#000000"/>
            <v:rect style="position:absolute;left:3797;top:5270;width:4082;height:106" filled="true" fillcolor="#ffffcc" stroked="false">
              <v:fill type="solid"/>
            </v:rect>
            <v:rect style="position:absolute;left:3797;top:5270;width:4082;height:106" filled="false" stroked="true" strokeweight=".406655pt" strokecolor="#000000"/>
            <v:rect style="position:absolute;left:3797;top:4514;width:890;height:106" filled="true" fillcolor="#ffffcc" stroked="false">
              <v:fill type="solid"/>
            </v:rect>
            <v:rect style="position:absolute;left:3797;top:4514;width:890;height:106" filled="false" stroked="true" strokeweight=".410906pt" strokecolor="#000000"/>
            <v:rect style="position:absolute;left:3797;top:3755;width:482;height:108" filled="true" fillcolor="#ffffcc" stroked="false">
              <v:fill type="solid"/>
            </v:rect>
            <v:rect style="position:absolute;left:3797;top:3755;width:482;height:108" filled="false" stroked="true" strokeweight=".421805pt" strokecolor="#000000"/>
            <v:rect style="position:absolute;left:3797;top:2251;width:1123;height:106" filled="true" fillcolor="#ffffcc" stroked="false">
              <v:fill type="solid"/>
            </v:rect>
            <v:rect style="position:absolute;left:3797;top:2251;width:1123;height:106" filled="false" stroked="true" strokeweight=".409261pt" strokecolor="#000000"/>
            <v:rect style="position:absolute;left:3797;top:1495;width:540;height:106" filled="true" fillcolor="#ffffcc" stroked="false">
              <v:fill type="solid"/>
            </v:rect>
            <v:rect style="position:absolute;left:3797;top:1495;width:540;height:106" filled="false" stroked="true" strokeweight=".418301pt" strokecolor="#000000"/>
            <v:rect style="position:absolute;left:3797;top:8191;width:2244;height:98" filled="true" fillcolor="#ccffff" stroked="false">
              <v:fill type="solid"/>
            </v:rect>
            <v:rect style="position:absolute;left:3797;top:8191;width:2244;height:98" filled="false" stroked="true" strokeweight=".407058pt" strokecolor="#000000"/>
            <v:rect style="position:absolute;left:3797;top:7435;width:905;height:98" filled="true" fillcolor="#ccffff" stroked="false">
              <v:fill type="solid"/>
            </v:rect>
            <v:rect style="position:absolute;left:3797;top:7435;width:905;height:98" filled="false" stroked="true" strokeweight=".410204pt" strokecolor="#000000"/>
            <v:rect style="position:absolute;left:3797;top:5171;width:4445;height:98" filled="true" fillcolor="#ccffff" stroked="false">
              <v:fill type="solid"/>
            </v:rect>
            <v:rect style="position:absolute;left:3797;top:5171;width:4445;height:98" filled="false" stroked="true" strokeweight=".406598pt" strokecolor="#000000"/>
            <v:rect style="position:absolute;left:3797;top:4415;width:845;height:98" filled="true" fillcolor="#ccffff" stroked="false">
              <v:fill type="solid"/>
            </v:rect>
            <v:rect style="position:absolute;left:3797;top:4415;width:845;height:98" filled="false" stroked="true" strokeweight=".41075pt" strokecolor="#000000"/>
            <v:rect style="position:absolute;left:3797;top:3659;width:802;height:96" filled="true" fillcolor="#ccffff" stroked="false">
              <v:fill type="solid"/>
            </v:rect>
            <v:rect style="position:absolute;left:3797;top:3659;width:802;height:96" filled="false" stroked="true" strokeweight=".410992pt" strokecolor="#000000"/>
            <v:rect style="position:absolute;left:3797;top:2155;width:1166;height:96" filled="true" fillcolor="#ccffff" stroked="false">
              <v:fill type="solid"/>
            </v:rect>
            <v:rect style="position:absolute;left:3797;top:2155;width:1166;height:96" filled="false" stroked="true" strokeweight=".408606pt" strokecolor="#000000"/>
            <v:rect style="position:absolute;left:3797;top:1396;width:569;height:98" filled="true" fillcolor="#ccffff" stroked="false">
              <v:fill type="solid"/>
            </v:rect>
            <v:rect style="position:absolute;left:3797;top:1396;width:569;height:98" filled="false" stroked="true" strokeweight=".415796pt" strokecolor="#000000"/>
            <v:rect style="position:absolute;left:3797;top:8085;width:2580;height:106" filled="true" fillcolor="#650065" stroked="false">
              <v:fill type="solid"/>
            </v:rect>
            <v:rect style="position:absolute;left:3797;top:8085;width:2580;height:106" filled="false" stroked="true" strokeweight=".406978pt" strokecolor="#000000"/>
            <v:rect style="position:absolute;left:3797;top:7329;width:977;height:106" filled="true" fillcolor="#650065" stroked="false">
              <v:fill type="solid"/>
            </v:rect>
            <v:rect style="position:absolute;left:3797;top:7329;width:977;height:106" filled="false" stroked="true" strokeweight=".41016pt" strokecolor="#000000"/>
            <v:rect style="position:absolute;left:3797;top:5066;width:4985;height:106" filled="true" fillcolor="#650065" stroked="false">
              <v:fill type="solid"/>
            </v:rect>
            <v:rect style="position:absolute;left:3797;top:5066;width:4985;height:106" filled="false" stroked="true" strokeweight=".406584pt" strokecolor="#000000"/>
            <v:rect style="position:absolute;left:3797;top:4310;width:862;height:106" filled="true" fillcolor="#650065" stroked="false">
              <v:fill type="solid"/>
            </v:rect>
            <v:rect style="position:absolute;left:3797;top:4310;width:862;height:106" filled="false" stroked="true" strokeweight=".411205pt" strokecolor="#000000"/>
            <v:rect style="position:absolute;left:3797;top:3554;width:845;height:106" filled="true" fillcolor="#650065" stroked="false">
              <v:fill type="solid"/>
            </v:rect>
            <v:rect style="position:absolute;left:3797;top:3554;width:845;height:106" filled="false" stroked="true" strokeweight=".411394pt" strokecolor="#000000"/>
            <v:rect style="position:absolute;left:3797;top:2047;width:1270;height:108" filled="true" fillcolor="#650065" stroked="false">
              <v:fill type="solid"/>
            </v:rect>
            <v:rect style="position:absolute;left:3797;top:2047;width:1270;height:108" filled="false" stroked="true" strokeweight=".408753pt" strokecolor="#000000"/>
            <v:rect style="position:absolute;left:3797;top:1291;width:1049;height:106" filled="true" fillcolor="#650065" stroked="false">
              <v:fill type="solid"/>
            </v:rect>
            <v:rect style="position:absolute;left:3797;top:1291;width:1049;height:106" filled="false" stroked="true" strokeweight=".409672pt" strokecolor="#000000"/>
            <v:rect style="position:absolute;left:3797;top:7987;width:2580;height:98" filled="true" fillcolor="#ff7f7f" stroked="false">
              <v:fill type="solid"/>
            </v:rect>
            <v:rect style="position:absolute;left:3797;top:7987;width:2580;height:98" filled="false" stroked="true" strokeweight=".406908pt" strokecolor="#000000"/>
            <v:rect style="position:absolute;left:3797;top:7231;width:1152;height:98" filled="true" fillcolor="#ff7f7f" stroked="false">
              <v:fill type="solid"/>
            </v:rect>
            <v:rect style="position:absolute;left:3797;top:7231;width:1152;height:98" filled="false" stroked="true" strokeweight=".408772pt" strokecolor="#000000"/>
            <v:rect style="position:absolute;left:3797;top:4970;width:5042;height:96" filled="true" fillcolor="#ff7f7f" stroked="false">
              <v:fill type="solid"/>
            </v:rect>
            <v:rect style="position:absolute;left:3797;top:4970;width:5042;height:96" filled="false" stroked="true" strokeweight=".406557pt" strokecolor="#000000"/>
            <v:rect style="position:absolute;left:3797;top:4211;width:948;height:98" filled="true" fillcolor="#ff7f7f" stroked="false">
              <v:fill type="solid"/>
            </v:rect>
            <v:rect style="position:absolute;left:3797;top:4211;width:948;height:98" filled="false" stroked="true" strokeweight=".409872pt" strokecolor="#000000"/>
            <v:rect style="position:absolute;left:3797;top:3455;width:876;height:98" filled="true" fillcolor="#ff7f7f" stroked="false">
              <v:fill type="solid"/>
            </v:rect>
            <v:rect style="position:absolute;left:3797;top:3455;width:876;height:98" filled="false" stroked="true" strokeweight=".410452pt" strokecolor="#000000"/>
            <v:rect style="position:absolute;left:3797;top:1951;width:1181;height:96" filled="true" fillcolor="#ff7f7f" stroked="false">
              <v:fill type="solid"/>
            </v:rect>
            <v:rect style="position:absolute;left:3797;top:1951;width:1181;height:96" filled="false" stroked="true" strokeweight=".408555pt" strokecolor="#000000"/>
            <v:rect style="position:absolute;left:3797;top:1195;width:1224;height:96" filled="true" fillcolor="#ff7f7f" stroked="false">
              <v:fill type="solid"/>
            </v:rect>
            <v:rect style="position:absolute;left:3797;top:1195;width:1224;height:96" filled="false" stroked="true" strokeweight=".408408pt" strokecolor="#000000"/>
            <v:shape style="position:absolute;left:31160;top:-99352;width:56600;height:63200" coordorigin="31160,-99352" coordsize="56600,63200" path="m3797,8671l9307,8671m3797,8704l3797,8671m4584,8704l4584,8671m5371,8704l5371,8671m6158,8704l6158,8671m6946,8704l6946,8671m7733,8704l7733,8671m8520,8704l8520,8671m9307,8704l9307,8671m3797,1120l3797,8671m3739,8671l3797,8671m3739,7915l3797,7915m3739,7159l3797,7159m3739,6410l3797,6410m3739,5651l3797,5651m3739,4895l3797,4895m3739,4139l3797,4139m3739,3381l3797,3381m3739,2635l3797,2635m3739,1876l3797,1876m3739,1120l3797,1120m9845,5678l10531,5678,10531,4651,9845,4651,9845,5678xe" filled="false" stroked="true" strokeweight=".12pt" strokecolor="#000000">
              <v:path arrowok="t"/>
            </v:shape>
            <v:line style="position:absolute" from="9919,4744" to="10020,4744" stroked="true" strokeweight="2.88pt" strokecolor="#ff7f7f"/>
            <v:rect style="position:absolute;left:9919;top:4715;width:101;height:58" filled="false" stroked="true" strokeweight=".485736pt" strokecolor="#000000"/>
            <v:line style="position:absolute" from="9919,4916" to="10020,4916" stroked="true" strokeweight="2.76pt" strokecolor="#650065"/>
            <v:rect style="position:absolute;left:9919;top:4888;width:101;height:55" filled="false" stroked="true" strokeweight=".480746pt" strokecolor="#000000"/>
            <v:line style="position:absolute" from="9919,5087" to="10020,5087" stroked="true" strokeweight="2.88pt" strokecolor="#ccffff"/>
            <v:rect style="position:absolute;left:9919;top:5059;width:101;height:58" filled="false" stroked="true" strokeweight=".4857pt" strokecolor="#000000"/>
            <v:line style="position:absolute" from="9919,5258" to="10020,5258" stroked="true" strokeweight="2.88pt" strokecolor="#ffffcc"/>
            <v:rect style="position:absolute;left:9919;top:5229;width:101;height:58" filled="false" stroked="true" strokeweight=".4857pt" strokecolor="#000000"/>
            <v:line style="position:absolute" from="9919,5428" to="10020,5428" stroked="true" strokeweight="2.88pt" strokecolor="#993265"/>
            <v:rect style="position:absolute;left:9919;top:5399;width:101;height:58" filled="false" stroked="true" strokeweight=".485736pt" strokecolor="#000000"/>
            <v:line style="position:absolute" from="9919,5599" to="10020,5599" stroked="true" strokeweight="2.88pt" strokecolor="#9999ff"/>
            <v:rect style="position:absolute;left:9919;top:5570;width:101;height:58" filled="false" stroked="true" strokeweight=".485736pt" strokecolor="#000000"/>
            <v:rect style="position:absolute;left:1728;top:712;width:8861;height:8489" filled="false" stroked="true" strokeweight=".12pt" strokecolor="#000000"/>
            <v:shape style="position:absolute;left:2239;top:1440;width:1352;height:106" type="#_x0000_t202" filled="false" stroked="false">
              <v:textbox inset="0,0,0,0">
                <w:txbxContent>
                  <w:p>
                    <w:pPr>
                      <w:spacing w:line="106" w:lineRule="exact" w:before="0"/>
                      <w:ind w:left="0" w:right="0" w:firstLine="0"/>
                      <w:jc w:val="left"/>
                      <w:rPr>
                        <w:sz w:val="10"/>
                      </w:rPr>
                    </w:pPr>
                    <w:r>
                      <w:rPr>
                        <w:w w:val="180"/>
                        <w:sz w:val="10"/>
                      </w:rPr>
                      <w:t>Federación rusa</w:t>
                    </w:r>
                  </w:p>
                </w:txbxContent>
              </v:textbox>
              <w10:wrap type="none"/>
            </v:shape>
            <v:shape style="position:absolute;left:2894;top:2198;width:695;height:106" type="#_x0000_t202" filled="false" stroked="false">
              <v:textbox inset="0,0,0,0">
                <w:txbxContent>
                  <w:p>
                    <w:pPr>
                      <w:spacing w:line="106" w:lineRule="exact" w:before="0"/>
                      <w:ind w:left="0" w:right="-10" w:firstLine="0"/>
                      <w:jc w:val="left"/>
                      <w:rPr>
                        <w:sz w:val="10"/>
                      </w:rPr>
                    </w:pPr>
                    <w:r>
                      <w:rPr>
                        <w:w w:val="175"/>
                        <w:sz w:val="10"/>
                      </w:rPr>
                      <w:t>Portugal</w:t>
                    </w:r>
                  </w:p>
                </w:txbxContent>
              </v:textbox>
              <w10:wrap type="none"/>
            </v:shape>
            <v:shape style="position:absolute;left:2969;top:2954;width:623;height:106" type="#_x0000_t202" filled="false" stroked="false">
              <v:textbox inset="0,0,0,0">
                <w:txbxContent>
                  <w:p>
                    <w:pPr>
                      <w:spacing w:line="106" w:lineRule="exact" w:before="0"/>
                      <w:ind w:left="0" w:right="0" w:firstLine="0"/>
                      <w:jc w:val="left"/>
                      <w:rPr>
                        <w:sz w:val="10"/>
                      </w:rPr>
                    </w:pPr>
                    <w:r>
                      <w:rPr>
                        <w:w w:val="180"/>
                        <w:sz w:val="10"/>
                      </w:rPr>
                      <w:t>Polonia</w:t>
                    </w:r>
                  </w:p>
                </w:txbxContent>
              </v:textbox>
              <w10:wrap type="none"/>
            </v:shape>
            <v:shape style="position:absolute;left:2530;top:3710;width:1109;height:106" type="#_x0000_t202" filled="false" stroked="false">
              <v:textbox inset="0,0,0,0">
                <w:txbxContent>
                  <w:p>
                    <w:pPr>
                      <w:spacing w:line="106" w:lineRule="exact" w:before="0"/>
                      <w:ind w:left="0" w:right="0" w:firstLine="0"/>
                      <w:jc w:val="left"/>
                      <w:rPr>
                        <w:sz w:val="10"/>
                      </w:rPr>
                    </w:pPr>
                    <w:r>
                      <w:rPr>
                        <w:w w:val="180"/>
                        <w:sz w:val="10"/>
                      </w:rPr>
                      <w:t>Países Bajos</w:t>
                    </w:r>
                  </w:p>
                </w:txbxContent>
              </v:textbox>
              <w10:wrap type="none"/>
            </v:shape>
            <v:shape style="position:absolute;left:3202;top:4469;width:390;height:106" type="#_x0000_t202" filled="false" stroked="false">
              <v:textbox inset="0,0,0,0">
                <w:txbxContent>
                  <w:p>
                    <w:pPr>
                      <w:spacing w:line="106" w:lineRule="exact" w:before="0"/>
                      <w:ind w:left="0" w:right="-11" w:firstLine="0"/>
                      <w:jc w:val="left"/>
                      <w:rPr>
                        <w:sz w:val="10"/>
                      </w:rPr>
                    </w:pPr>
                    <w:r>
                      <w:rPr>
                        <w:w w:val="180"/>
                        <w:sz w:val="10"/>
                      </w:rPr>
                      <w:t>Italia</w:t>
                    </w:r>
                  </w:p>
                </w:txbxContent>
              </v:textbox>
              <w10:wrap type="none"/>
            </v:shape>
            <v:shape style="position:absolute;left:2969;top:5215;width:623;height:106" type="#_x0000_t202" filled="false" stroked="false">
              <v:textbox inset="0,0,0,0">
                <w:txbxContent>
                  <w:p>
                    <w:pPr>
                      <w:spacing w:line="106" w:lineRule="exact" w:before="0"/>
                      <w:ind w:left="0" w:right="0" w:firstLine="0"/>
                      <w:jc w:val="left"/>
                      <w:rPr>
                        <w:sz w:val="10"/>
                      </w:rPr>
                    </w:pPr>
                    <w:r>
                      <w:rPr>
                        <w:w w:val="180"/>
                        <w:sz w:val="10"/>
                      </w:rPr>
                      <w:t>Francia</w:t>
                    </w:r>
                  </w:p>
                </w:txbxContent>
              </v:textbox>
              <w10:wrap type="none"/>
            </v:shape>
            <v:shape style="position:absolute;left:10080;top:4687;width:407;height:961" type="#_x0000_t202" filled="false" stroked="false">
              <v:textbox inset="0,0,0,0">
                <w:txbxContent>
                  <w:p>
                    <w:pPr>
                      <w:spacing w:line="107" w:lineRule="exact" w:before="0"/>
                      <w:ind w:left="0" w:right="-3" w:firstLine="0"/>
                      <w:jc w:val="left"/>
                      <w:rPr>
                        <w:sz w:val="10"/>
                      </w:rPr>
                    </w:pPr>
                    <w:r>
                      <w:rPr>
                        <w:w w:val="175"/>
                        <w:sz w:val="10"/>
                      </w:rPr>
                      <w:t>2005</w:t>
                    </w:r>
                  </w:p>
                  <w:p>
                    <w:pPr>
                      <w:spacing w:before="55"/>
                      <w:ind w:left="0" w:right="-3" w:firstLine="0"/>
                      <w:jc w:val="left"/>
                      <w:rPr>
                        <w:sz w:val="10"/>
                      </w:rPr>
                    </w:pPr>
                    <w:r>
                      <w:rPr>
                        <w:w w:val="175"/>
                        <w:sz w:val="10"/>
                      </w:rPr>
                      <w:t>2004</w:t>
                    </w:r>
                  </w:p>
                  <w:p>
                    <w:pPr>
                      <w:spacing w:before="55"/>
                      <w:ind w:left="0" w:right="-3" w:firstLine="0"/>
                      <w:jc w:val="left"/>
                      <w:rPr>
                        <w:sz w:val="10"/>
                      </w:rPr>
                    </w:pPr>
                    <w:r>
                      <w:rPr>
                        <w:w w:val="175"/>
                        <w:sz w:val="10"/>
                      </w:rPr>
                      <w:t>2003</w:t>
                    </w:r>
                  </w:p>
                  <w:p>
                    <w:pPr>
                      <w:spacing w:before="58"/>
                      <w:ind w:left="0" w:right="-3" w:firstLine="0"/>
                      <w:jc w:val="left"/>
                      <w:rPr>
                        <w:sz w:val="10"/>
                      </w:rPr>
                    </w:pPr>
                    <w:r>
                      <w:rPr>
                        <w:w w:val="175"/>
                        <w:sz w:val="10"/>
                      </w:rPr>
                      <w:t>2002</w:t>
                    </w:r>
                  </w:p>
                  <w:p>
                    <w:pPr>
                      <w:spacing w:before="55"/>
                      <w:ind w:left="0" w:right="-3" w:firstLine="0"/>
                      <w:jc w:val="left"/>
                      <w:rPr>
                        <w:sz w:val="10"/>
                      </w:rPr>
                    </w:pPr>
                    <w:r>
                      <w:rPr>
                        <w:w w:val="175"/>
                        <w:sz w:val="10"/>
                      </w:rPr>
                      <w:t>2001</w:t>
                    </w:r>
                  </w:p>
                  <w:p>
                    <w:pPr>
                      <w:spacing w:line="114" w:lineRule="exact" w:before="55"/>
                      <w:ind w:left="0" w:right="-3" w:firstLine="0"/>
                      <w:jc w:val="left"/>
                      <w:rPr>
                        <w:sz w:val="10"/>
                      </w:rPr>
                    </w:pPr>
                    <w:r>
                      <w:rPr>
                        <w:w w:val="175"/>
                        <w:sz w:val="10"/>
                      </w:rPr>
                      <w:t>2000</w:t>
                    </w:r>
                  </w:p>
                </w:txbxContent>
              </v:textbox>
              <w10:wrap type="none"/>
            </v:shape>
            <v:shape style="position:absolute;left:2954;top:5974;width:637;height:106" type="#_x0000_t202" filled="false" stroked="false">
              <v:textbox inset="0,0,0,0">
                <w:txbxContent>
                  <w:p>
                    <w:pPr>
                      <w:spacing w:line="106" w:lineRule="exact" w:before="0"/>
                      <w:ind w:left="0" w:right="0" w:firstLine="0"/>
                      <w:jc w:val="left"/>
                      <w:rPr>
                        <w:sz w:val="10"/>
                      </w:rPr>
                    </w:pPr>
                    <w:r>
                      <w:rPr>
                        <w:w w:val="175"/>
                        <w:sz w:val="10"/>
                      </w:rPr>
                      <w:t>España</w:t>
                    </w:r>
                  </w:p>
                </w:txbxContent>
              </v:textbox>
              <w10:wrap type="none"/>
            </v:shape>
            <v:shape style="position:absolute;left:2969;top:6730;width:623;height:106" type="#_x0000_t202" filled="false" stroked="false">
              <v:textbox inset="0,0,0,0">
                <w:txbxContent>
                  <w:p>
                    <w:pPr>
                      <w:spacing w:line="106" w:lineRule="exact" w:before="0"/>
                      <w:ind w:left="0" w:right="0" w:firstLine="0"/>
                      <w:jc w:val="left"/>
                      <w:rPr>
                        <w:sz w:val="10"/>
                      </w:rPr>
                    </w:pPr>
                    <w:r>
                      <w:rPr>
                        <w:w w:val="175"/>
                        <w:sz w:val="10"/>
                      </w:rPr>
                      <w:t>Bélgica</w:t>
                    </w:r>
                  </w:p>
                </w:txbxContent>
              </v:textbox>
              <w10:wrap type="none"/>
            </v:shape>
            <v:shape style="position:absolute;left:2998;top:7486;width:594;height:106" type="#_x0000_t202" filled="false" stroked="false">
              <v:textbox inset="0,0,0,0">
                <w:txbxContent>
                  <w:p>
                    <w:pPr>
                      <w:spacing w:line="106" w:lineRule="exact" w:before="0"/>
                      <w:ind w:left="0" w:right="0" w:firstLine="0"/>
                      <w:jc w:val="left"/>
                      <w:rPr>
                        <w:sz w:val="10"/>
                      </w:rPr>
                    </w:pPr>
                    <w:r>
                      <w:rPr>
                        <w:w w:val="175"/>
                        <w:sz w:val="10"/>
                      </w:rPr>
                      <w:t>Austria</w:t>
                    </w:r>
                  </w:p>
                </w:txbxContent>
              </v:textbox>
              <w10:wrap type="none"/>
            </v:shape>
            <v:shape style="position:absolute;left:2808;top:8244;width:783;height:106" type="#_x0000_t202" filled="false" stroked="false">
              <v:textbox inset="0,0,0,0">
                <w:txbxContent>
                  <w:p>
                    <w:pPr>
                      <w:spacing w:line="106" w:lineRule="exact" w:before="0"/>
                      <w:ind w:left="0" w:right="0" w:firstLine="0"/>
                      <w:jc w:val="left"/>
                      <w:rPr>
                        <w:sz w:val="10"/>
                      </w:rPr>
                    </w:pPr>
                    <w:r>
                      <w:rPr>
                        <w:w w:val="175"/>
                        <w:sz w:val="10"/>
                      </w:rPr>
                      <w:t>Alemania</w:t>
                    </w:r>
                  </w:p>
                </w:txbxContent>
              </v:textbox>
              <w10:wrap type="none"/>
            </v:shape>
            <v:shape style="position:absolute;left:3754;top:8772;width:99;height:106" type="#_x0000_t202" filled="false" stroked="false">
              <v:textbox inset="0,0,0,0">
                <w:txbxContent>
                  <w:p>
                    <w:pPr>
                      <w:spacing w:line="106" w:lineRule="exact" w:before="0"/>
                      <w:ind w:left="0" w:right="0" w:firstLine="0"/>
                      <w:jc w:val="left"/>
                      <w:rPr>
                        <w:sz w:val="10"/>
                      </w:rPr>
                    </w:pPr>
                    <w:r>
                      <w:rPr>
                        <w:w w:val="177"/>
                        <w:sz w:val="10"/>
                      </w:rPr>
                      <w:t>0</w:t>
                    </w:r>
                  </w:p>
                </w:txbxContent>
              </v:textbox>
              <w10:wrap type="none"/>
            </v:shape>
            <v:shape style="position:absolute;left:4308;top:8772;width:5363;height:293" type="#_x0000_t202" filled="false" stroked="false">
              <v:textbox inset="0,0,0,0">
                <w:txbxContent>
                  <w:p>
                    <w:pPr>
                      <w:tabs>
                        <w:tab w:pos="787" w:val="left" w:leader="none"/>
                        <w:tab w:pos="1574" w:val="left" w:leader="none"/>
                        <w:tab w:pos="2361" w:val="left" w:leader="none"/>
                        <w:tab w:pos="3149" w:val="left" w:leader="none"/>
                      </w:tabs>
                      <w:spacing w:line="107" w:lineRule="exact" w:before="0"/>
                      <w:ind w:left="0" w:right="0" w:firstLine="0"/>
                      <w:jc w:val="left"/>
                      <w:rPr>
                        <w:sz w:val="10"/>
                      </w:rPr>
                    </w:pPr>
                    <w:r>
                      <w:rPr>
                        <w:spacing w:val="5"/>
                        <w:w w:val="180"/>
                        <w:sz w:val="10"/>
                      </w:rPr>
                      <w:t>2E+</w:t>
                    </w:r>
                    <w:r>
                      <w:rPr>
                        <w:spacing w:val="-37"/>
                        <w:w w:val="180"/>
                        <w:sz w:val="10"/>
                      </w:rPr>
                      <w:t> </w:t>
                    </w:r>
                    <w:r>
                      <w:rPr>
                        <w:w w:val="180"/>
                        <w:sz w:val="10"/>
                      </w:rPr>
                      <w:t>09</w:t>
                      <w:tab/>
                    </w:r>
                    <w:r>
                      <w:rPr>
                        <w:spacing w:val="5"/>
                        <w:w w:val="180"/>
                        <w:sz w:val="10"/>
                      </w:rPr>
                      <w:t>4E+</w:t>
                    </w:r>
                    <w:r>
                      <w:rPr>
                        <w:spacing w:val="-38"/>
                        <w:w w:val="180"/>
                        <w:sz w:val="10"/>
                      </w:rPr>
                      <w:t> </w:t>
                    </w:r>
                    <w:r>
                      <w:rPr>
                        <w:w w:val="180"/>
                        <w:sz w:val="10"/>
                      </w:rPr>
                      <w:t>09</w:t>
                      <w:tab/>
                    </w:r>
                    <w:r>
                      <w:rPr>
                        <w:spacing w:val="5"/>
                        <w:w w:val="180"/>
                        <w:sz w:val="10"/>
                      </w:rPr>
                      <w:t>6E+</w:t>
                    </w:r>
                    <w:r>
                      <w:rPr>
                        <w:spacing w:val="-38"/>
                        <w:w w:val="180"/>
                        <w:sz w:val="10"/>
                      </w:rPr>
                      <w:t> </w:t>
                    </w:r>
                    <w:r>
                      <w:rPr>
                        <w:w w:val="180"/>
                        <w:sz w:val="10"/>
                      </w:rPr>
                      <w:t>09</w:t>
                      <w:tab/>
                    </w:r>
                    <w:r>
                      <w:rPr>
                        <w:spacing w:val="5"/>
                        <w:w w:val="180"/>
                        <w:sz w:val="10"/>
                      </w:rPr>
                      <w:t>8E+</w:t>
                    </w:r>
                    <w:r>
                      <w:rPr>
                        <w:spacing w:val="-38"/>
                        <w:w w:val="180"/>
                        <w:sz w:val="10"/>
                      </w:rPr>
                      <w:t> </w:t>
                    </w:r>
                    <w:r>
                      <w:rPr>
                        <w:w w:val="180"/>
                        <w:sz w:val="10"/>
                      </w:rPr>
                      <w:t>09</w:t>
                      <w:tab/>
                    </w:r>
                    <w:r>
                      <w:rPr>
                        <w:spacing w:val="5"/>
                        <w:w w:val="180"/>
                        <w:sz w:val="10"/>
                      </w:rPr>
                      <w:t>1E+</w:t>
                    </w:r>
                    <w:r>
                      <w:rPr>
                        <w:spacing w:val="-37"/>
                        <w:w w:val="180"/>
                        <w:sz w:val="10"/>
                      </w:rPr>
                      <w:t> </w:t>
                    </w:r>
                    <w:r>
                      <w:rPr>
                        <w:w w:val="180"/>
                        <w:sz w:val="10"/>
                      </w:rPr>
                      <w:t>10  </w:t>
                    </w:r>
                    <w:r>
                      <w:rPr>
                        <w:spacing w:val="7"/>
                        <w:w w:val="180"/>
                        <w:sz w:val="10"/>
                      </w:rPr>
                      <w:t> </w:t>
                    </w:r>
                    <w:r>
                      <w:rPr>
                        <w:spacing w:val="5"/>
                        <w:w w:val="180"/>
                        <w:sz w:val="10"/>
                      </w:rPr>
                      <w:t>1.2E+</w:t>
                    </w:r>
                    <w:r>
                      <w:rPr>
                        <w:spacing w:val="-37"/>
                        <w:w w:val="180"/>
                        <w:sz w:val="10"/>
                      </w:rPr>
                      <w:t> </w:t>
                    </w:r>
                    <w:r>
                      <w:rPr>
                        <w:w w:val="180"/>
                        <w:sz w:val="10"/>
                      </w:rPr>
                      <w:t>10</w:t>
                    </w:r>
                    <w:r>
                      <w:rPr>
                        <w:spacing w:val="19"/>
                        <w:w w:val="180"/>
                        <w:sz w:val="10"/>
                      </w:rPr>
                      <w:t> </w:t>
                    </w:r>
                    <w:r>
                      <w:rPr>
                        <w:spacing w:val="5"/>
                        <w:w w:val="180"/>
                        <w:sz w:val="10"/>
                      </w:rPr>
                      <w:t>1.4E+</w:t>
                    </w:r>
                    <w:r>
                      <w:rPr>
                        <w:spacing w:val="-37"/>
                        <w:w w:val="180"/>
                        <w:sz w:val="10"/>
                      </w:rPr>
                      <w:t> </w:t>
                    </w:r>
                    <w:r>
                      <w:rPr>
                        <w:w w:val="180"/>
                        <w:sz w:val="10"/>
                      </w:rPr>
                      <w:t>10</w:t>
                    </w:r>
                  </w:p>
                  <w:p>
                    <w:pPr>
                      <w:spacing w:line="114" w:lineRule="exact" w:before="72"/>
                      <w:ind w:left="1852" w:right="2709" w:firstLine="0"/>
                      <w:jc w:val="center"/>
                      <w:rPr>
                        <w:b/>
                        <w:sz w:val="10"/>
                      </w:rPr>
                    </w:pPr>
                    <w:r>
                      <w:rPr>
                        <w:b/>
                        <w:w w:val="180"/>
                        <w:sz w:val="10"/>
                      </w:rPr>
                      <w:t>Dóla re s</w:t>
                    </w:r>
                  </w:p>
                </w:txbxContent>
              </v:textbox>
              <w10:wrap type="none"/>
            </v:shape>
            <w10:wrap type="none"/>
          </v:group>
        </w:pict>
      </w:r>
      <w:r>
        <w:rPr/>
        <w:pict>
          <v:shape style="position:absolute;margin-left:96.234695pt;margin-top:236.907776pt;width:7.3pt;height:15pt;mso-position-horizontal-relative:page;mso-position-vertical-relative:paragraph;z-index:3832" type="#_x0000_t202" filled="false" stroked="false">
            <v:textbox inset="0,0,0,0" style="layout-flow:vertical;mso-layout-flow-alt:bottom-to-top">
              <w:txbxContent>
                <w:p>
                  <w:pPr>
                    <w:spacing w:before="12"/>
                    <w:ind w:left="20" w:right="-152" w:firstLine="0"/>
                    <w:jc w:val="left"/>
                    <w:rPr>
                      <w:b/>
                      <w:sz w:val="10"/>
                    </w:rPr>
                  </w:pPr>
                  <w:r>
                    <w:rPr>
                      <w:b/>
                      <w:spacing w:val="-47"/>
                      <w:w w:val="177"/>
                      <w:sz w:val="10"/>
                    </w:rPr>
                    <w:t>P</w:t>
                  </w:r>
                  <w:r>
                    <w:rPr>
                      <w:b/>
                      <w:spacing w:val="-42"/>
                      <w:w w:val="177"/>
                      <w:sz w:val="10"/>
                    </w:rPr>
                    <w:t>a</w:t>
                  </w:r>
                  <w:r>
                    <w:rPr>
                      <w:b/>
                      <w:spacing w:val="-19"/>
                      <w:w w:val="177"/>
                      <w:sz w:val="10"/>
                    </w:rPr>
                    <w:t>í</w:t>
                  </w:r>
                  <w:r>
                    <w:rPr>
                      <w:b/>
                      <w:w w:val="177"/>
                      <w:sz w:val="10"/>
                    </w:rPr>
                    <w:t>s</w:t>
                  </w:r>
                </w:p>
              </w:txbxContent>
            </v:textbox>
            <w10:wrap type="none"/>
          </v:shape>
        </w:pict>
      </w:r>
      <w:r>
        <w:rPr/>
        <w:t>Figura 3. Comportamiento de las remesas en Europa: 2000-2005  (US$)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after="1"/>
        <w:rPr>
          <w:b/>
          <w:sz w:val="25"/>
        </w:rPr>
      </w:pPr>
    </w:p>
    <w:tbl>
      <w:tblPr>
        <w:tblW w:w="0" w:type="auto"/>
        <w:jc w:val="left"/>
        <w:tblInd w:w="225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787"/>
        <w:gridCol w:w="270"/>
        <w:gridCol w:w="342"/>
      </w:tblGrid>
      <w:tr>
        <w:trPr>
          <w:trHeight w:val="207" w:hRule="exact"/>
        </w:trPr>
        <w:tc>
          <w:tcPr>
            <w:tcW w:w="1057" w:type="dxa"/>
            <w:gridSpan w:val="2"/>
            <w:tcBorders>
              <w:bottom w:val="single" w:sz="2" w:space="0" w:color="FFFFFF"/>
              <w:right w:val="nil"/>
            </w:tcBorders>
            <w:shd w:val="clear" w:color="auto" w:fill="FF7F7F"/>
          </w:tcPr>
          <w:p>
            <w:pPr/>
          </w:p>
        </w:tc>
        <w:tc>
          <w:tcPr>
            <w:tcW w:w="342" w:type="dxa"/>
            <w:tcBorders>
              <w:left w:val="nil"/>
              <w:bottom w:val="single" w:sz="2" w:space="0" w:color="FFFFFF"/>
            </w:tcBorders>
            <w:shd w:val="clear" w:color="auto" w:fill="FF7F7F"/>
          </w:tcPr>
          <w:p>
            <w:pPr/>
          </w:p>
        </w:tc>
      </w:tr>
      <w:tr>
        <w:trPr>
          <w:trHeight w:val="194" w:hRule="exact"/>
        </w:trPr>
        <w:tc>
          <w:tcPr>
            <w:tcW w:w="787" w:type="dxa"/>
            <w:tcBorders>
              <w:top w:val="single" w:sz="2" w:space="0" w:color="FFFFFF"/>
              <w:bottom w:val="single" w:sz="2" w:space="0" w:color="FFFFFF"/>
              <w:right w:val="nil"/>
            </w:tcBorders>
            <w:shd w:val="clear" w:color="auto" w:fill="CCFFFF"/>
          </w:tcPr>
          <w:p>
            <w:pPr/>
          </w:p>
        </w:tc>
        <w:tc>
          <w:tcPr>
            <w:tcW w:w="270" w:type="dxa"/>
            <w:tcBorders>
              <w:top w:val="single" w:sz="2" w:space="0" w:color="FFFFFF"/>
              <w:left w:val="nil"/>
              <w:bottom w:val="single" w:sz="2" w:space="0" w:color="FFFFFF"/>
            </w:tcBorders>
            <w:shd w:val="clear" w:color="auto" w:fill="CCFFFF"/>
          </w:tcPr>
          <w:p>
            <w:pPr/>
          </w:p>
        </w:tc>
        <w:tc>
          <w:tcPr>
            <w:tcW w:w="342" w:type="dxa"/>
            <w:tcBorders>
              <w:top w:val="single" w:sz="2" w:space="0" w:color="FFFFFF"/>
              <w:bottom w:val="single" w:sz="2" w:space="0" w:color="FFFFFF"/>
              <w:right w:val="nil"/>
            </w:tcBorders>
          </w:tcPr>
          <w:p>
            <w:pPr/>
          </w:p>
        </w:tc>
      </w:tr>
      <w:tr>
        <w:trPr>
          <w:trHeight w:val="207" w:hRule="exact"/>
        </w:trPr>
        <w:tc>
          <w:tcPr>
            <w:tcW w:w="787" w:type="dxa"/>
            <w:tcBorders>
              <w:top w:val="single" w:sz="2" w:space="0" w:color="FFFFFF"/>
              <w:left w:val="single" w:sz="3" w:space="0" w:color="000000"/>
              <w:bottom w:val="single" w:sz="39" w:space="0" w:color="9999FF"/>
              <w:right w:val="single" w:sz="3" w:space="0" w:color="000000"/>
            </w:tcBorders>
            <w:shd w:val="clear" w:color="auto" w:fill="993265"/>
          </w:tcPr>
          <w:p>
            <w:pPr/>
          </w:p>
        </w:tc>
        <w:tc>
          <w:tcPr>
            <w:tcW w:w="612" w:type="dxa"/>
            <w:gridSpan w:val="2"/>
            <w:tcBorders>
              <w:top w:val="single" w:sz="2" w:space="0" w:color="FFFFFF"/>
              <w:left w:val="single" w:sz="3" w:space="0" w:color="000000"/>
              <w:bottom w:val="nil"/>
              <w:right w:val="nil"/>
            </w:tcBorders>
          </w:tcPr>
          <w:p>
            <w:pP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5"/>
        </w:rPr>
      </w:pPr>
    </w:p>
    <w:tbl>
      <w:tblPr>
        <w:tblW w:w="0" w:type="auto"/>
        <w:jc w:val="left"/>
        <w:tblInd w:w="225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850"/>
        <w:gridCol w:w="190"/>
        <w:gridCol w:w="350"/>
        <w:gridCol w:w="569"/>
        <w:gridCol w:w="161"/>
      </w:tblGrid>
      <w:tr>
        <w:trPr>
          <w:trHeight w:val="207" w:hRule="exact"/>
        </w:trPr>
        <w:tc>
          <w:tcPr>
            <w:tcW w:w="3120" w:type="dxa"/>
            <w:gridSpan w:val="5"/>
            <w:tcBorders>
              <w:bottom w:val="single" w:sz="2" w:space="0" w:color="auto"/>
            </w:tcBorders>
            <w:shd w:val="clear" w:color="auto" w:fill="FF7F7F"/>
          </w:tcPr>
          <w:p>
            <w:pPr/>
          </w:p>
        </w:tc>
      </w:tr>
      <w:tr>
        <w:trPr>
          <w:trHeight w:val="202" w:hRule="exact"/>
        </w:trPr>
        <w:tc>
          <w:tcPr>
            <w:tcW w:w="2390" w:type="dxa"/>
            <w:gridSpan w:val="3"/>
            <w:tcBorders>
              <w:top w:val="single" w:sz="2" w:space="0" w:color="FFFFFF"/>
              <w:bottom w:val="single" w:sz="2" w:space="0" w:color="FFFFFF"/>
            </w:tcBorders>
            <w:shd w:val="clear" w:color="auto" w:fill="CCFFFF"/>
          </w:tcPr>
          <w:p>
            <w:pPr/>
          </w:p>
        </w:tc>
        <w:tc>
          <w:tcPr>
            <w:tcW w:w="569" w:type="dxa"/>
            <w:tcBorders>
              <w:top w:val="single" w:sz="2" w:space="0" w:color="FFFFFF"/>
              <w:bottom w:val="single" w:sz="2" w:space="0" w:color="FFFFFF"/>
              <w:right w:val="nil"/>
            </w:tcBorders>
          </w:tcPr>
          <w:p>
            <w:pPr/>
          </w:p>
        </w:tc>
        <w:tc>
          <w:tcPr>
            <w:tcW w:w="161" w:type="dxa"/>
            <w:tcBorders>
              <w:top w:val="single" w:sz="2" w:space="0" w:color="FFFFFF"/>
              <w:left w:val="nil"/>
              <w:bottom w:val="single" w:sz="2" w:space="0" w:color="FFFFFF"/>
              <w:right w:val="nil"/>
            </w:tcBorders>
          </w:tcPr>
          <w:p>
            <w:pPr/>
          </w:p>
        </w:tc>
      </w:tr>
      <w:tr>
        <w:trPr>
          <w:trHeight w:val="207" w:hRule="exact"/>
        </w:trPr>
        <w:tc>
          <w:tcPr>
            <w:tcW w:w="1850" w:type="dxa"/>
            <w:tcBorders>
              <w:top w:val="single" w:sz="2" w:space="0" w:color="FFFFFF"/>
              <w:bottom w:val="single" w:sz="42" w:space="0" w:color="9999FF"/>
            </w:tcBorders>
            <w:shd w:val="clear" w:color="auto" w:fill="993265"/>
          </w:tcPr>
          <w:p>
            <w:pPr/>
          </w:p>
        </w:tc>
        <w:tc>
          <w:tcPr>
            <w:tcW w:w="190" w:type="dxa"/>
            <w:tcBorders>
              <w:top w:val="single" w:sz="2" w:space="0" w:color="FFFFFF"/>
              <w:bottom w:val="nil"/>
              <w:right w:val="nil"/>
            </w:tcBorders>
          </w:tcPr>
          <w:p>
            <w:pPr/>
          </w:p>
        </w:tc>
        <w:tc>
          <w:tcPr>
            <w:tcW w:w="1080" w:type="dxa"/>
            <w:gridSpan w:val="3"/>
            <w:tcBorders>
              <w:top w:val="single" w:sz="2" w:space="0" w:color="FFFFFF"/>
              <w:left w:val="nil"/>
              <w:bottom w:val="nil"/>
              <w:right w:val="nil"/>
            </w:tcBorders>
          </w:tcPr>
          <w:p>
            <w:pPr/>
          </w:p>
        </w:tc>
      </w:tr>
    </w:tbl>
    <w:p>
      <w:pPr>
        <w:pStyle w:val="BodyText"/>
        <w:spacing w:before="3"/>
        <w:rPr>
          <w:b/>
          <w:sz w:val="7"/>
        </w:rPr>
      </w:pPr>
    </w:p>
    <w:tbl>
      <w:tblPr>
        <w:tblW w:w="0" w:type="auto"/>
        <w:jc w:val="left"/>
        <w:tblInd w:w="225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02"/>
        <w:gridCol w:w="334"/>
        <w:gridCol w:w="482"/>
        <w:gridCol w:w="379"/>
        <w:gridCol w:w="115"/>
      </w:tblGrid>
      <w:tr>
        <w:trPr>
          <w:trHeight w:val="207" w:hRule="exact"/>
        </w:trPr>
        <w:tc>
          <w:tcPr>
            <w:tcW w:w="2813" w:type="dxa"/>
            <w:gridSpan w:val="5"/>
            <w:tcBorders>
              <w:bottom w:val="single" w:sz="2" w:space="0" w:color="auto"/>
            </w:tcBorders>
            <w:shd w:val="clear" w:color="auto" w:fill="FF7F7F"/>
          </w:tcPr>
          <w:p>
            <w:pPr/>
          </w:p>
        </w:tc>
      </w:tr>
      <w:tr>
        <w:trPr>
          <w:trHeight w:val="194" w:hRule="exact"/>
        </w:trPr>
        <w:tc>
          <w:tcPr>
            <w:tcW w:w="2318" w:type="dxa"/>
            <w:gridSpan w:val="3"/>
            <w:tcBorders>
              <w:top w:val="single" w:sz="2" w:space="0" w:color="FFFFFF"/>
              <w:bottom w:val="single" w:sz="2" w:space="0" w:color="FFFFFF"/>
            </w:tcBorders>
            <w:shd w:val="clear" w:color="auto" w:fill="CCFFFF"/>
          </w:tcPr>
          <w:p>
            <w:pPr/>
          </w:p>
        </w:tc>
        <w:tc>
          <w:tcPr>
            <w:tcW w:w="379" w:type="dxa"/>
            <w:tcBorders>
              <w:top w:val="single" w:sz="2" w:space="0" w:color="FFFFFF"/>
              <w:bottom w:val="single" w:sz="2" w:space="0" w:color="FFFFFF"/>
              <w:right w:val="nil"/>
            </w:tcBorders>
          </w:tcPr>
          <w:p>
            <w:pPr/>
          </w:p>
        </w:tc>
        <w:tc>
          <w:tcPr>
            <w:tcW w:w="115" w:type="dxa"/>
            <w:tcBorders>
              <w:top w:val="single" w:sz="2" w:space="0" w:color="FFFFFF"/>
              <w:left w:val="nil"/>
              <w:bottom w:val="single" w:sz="2" w:space="0" w:color="FFFFFF"/>
              <w:right w:val="nil"/>
            </w:tcBorders>
          </w:tcPr>
          <w:p>
            <w:pPr/>
          </w:p>
        </w:tc>
      </w:tr>
      <w:tr>
        <w:trPr>
          <w:trHeight w:val="207" w:hRule="exact"/>
        </w:trPr>
        <w:tc>
          <w:tcPr>
            <w:tcW w:w="1502" w:type="dxa"/>
            <w:tcBorders>
              <w:top w:val="single" w:sz="2" w:space="0" w:color="FFFFFF"/>
              <w:bottom w:val="single" w:sz="39" w:space="0" w:color="9999FF"/>
            </w:tcBorders>
            <w:shd w:val="clear" w:color="auto" w:fill="993265"/>
          </w:tcPr>
          <w:p>
            <w:pPr/>
          </w:p>
        </w:tc>
        <w:tc>
          <w:tcPr>
            <w:tcW w:w="334" w:type="dxa"/>
            <w:tcBorders>
              <w:top w:val="single" w:sz="2" w:space="0" w:color="FFFFFF"/>
              <w:bottom w:val="single" w:sz="39" w:space="0" w:color="9999FF"/>
              <w:right w:val="nil"/>
            </w:tcBorders>
          </w:tcPr>
          <w:p>
            <w:pPr/>
          </w:p>
        </w:tc>
        <w:tc>
          <w:tcPr>
            <w:tcW w:w="977" w:type="dxa"/>
            <w:gridSpan w:val="3"/>
            <w:tcBorders>
              <w:top w:val="single" w:sz="2" w:space="0" w:color="FFFFFF"/>
              <w:left w:val="nil"/>
              <w:bottom w:val="nil"/>
              <w:right w:val="nil"/>
            </w:tcBorders>
          </w:tcPr>
          <w:p>
            <w:pPr/>
          </w:p>
        </w:tc>
      </w:tr>
    </w:tbl>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spacing w:before="167"/>
        <w:ind w:left="115" w:right="0" w:firstLine="0"/>
        <w:jc w:val="both"/>
        <w:rPr>
          <w:sz w:val="19"/>
        </w:rPr>
      </w:pPr>
      <w:r>
        <w:rPr>
          <w:sz w:val="19"/>
        </w:rPr>
        <w:t>Fuente: Elaboración propia con datos del Banco  Mundial.</w:t>
      </w:r>
    </w:p>
    <w:p>
      <w:pPr>
        <w:pStyle w:val="BodyText"/>
        <w:rPr>
          <w:sz w:val="18"/>
        </w:rPr>
      </w:pPr>
    </w:p>
    <w:p>
      <w:pPr>
        <w:pStyle w:val="BodyText"/>
        <w:rPr>
          <w:sz w:val="18"/>
        </w:rPr>
      </w:pPr>
    </w:p>
    <w:p>
      <w:pPr>
        <w:pStyle w:val="BodyText"/>
        <w:rPr>
          <w:sz w:val="18"/>
        </w:rPr>
      </w:pPr>
    </w:p>
    <w:p>
      <w:pPr>
        <w:pStyle w:val="BodyText"/>
        <w:spacing w:before="10"/>
        <w:rPr>
          <w:sz w:val="18"/>
        </w:rPr>
      </w:pPr>
    </w:p>
    <w:p>
      <w:pPr>
        <w:pStyle w:val="BodyText"/>
        <w:spacing w:line="364" w:lineRule="auto"/>
        <w:ind w:left="115" w:right="487"/>
        <w:jc w:val="both"/>
      </w:pPr>
      <w:r>
        <w:rPr/>
        <w:t>La mayoría de las remesas enviadas a los países europeos pasa por sistemas oficialmente registrados de transferencias y bancos. En cambio, las remesas enviadas a muchos lugares fuera de Europa a menudo pasan por canales no oficiales.</w:t>
      </w:r>
    </w:p>
    <w:p>
      <w:pPr>
        <w:spacing w:after="0" w:line="364" w:lineRule="auto"/>
        <w:jc w:val="both"/>
        <w:sectPr>
          <w:pgSz w:w="11900" w:h="16840"/>
          <w:pgMar w:header="0" w:footer="1619" w:top="1600" w:bottom="1860" w:left="1540" w:right="1200"/>
        </w:sectPr>
      </w:pPr>
    </w:p>
    <w:p>
      <w:pPr>
        <w:pStyle w:val="BodyText"/>
        <w:rPr>
          <w:sz w:val="20"/>
        </w:rPr>
      </w:pPr>
    </w:p>
    <w:p>
      <w:pPr>
        <w:pStyle w:val="BodyText"/>
        <w:spacing w:before="5"/>
        <w:rPr>
          <w:sz w:val="16"/>
        </w:rPr>
      </w:pPr>
    </w:p>
    <w:p>
      <w:pPr>
        <w:pStyle w:val="Heading4"/>
        <w:numPr>
          <w:ilvl w:val="1"/>
          <w:numId w:val="6"/>
        </w:numPr>
        <w:tabs>
          <w:tab w:pos="505" w:val="left" w:leader="none"/>
        </w:tabs>
        <w:spacing w:line="240" w:lineRule="auto" w:before="74" w:after="0"/>
        <w:ind w:left="504" w:right="0" w:hanging="388"/>
        <w:jc w:val="both"/>
      </w:pPr>
      <w:r>
        <w:rPr/>
        <w:t>Comportamiento de las remesas en</w:t>
      </w:r>
      <w:r>
        <w:rPr>
          <w:spacing w:val="54"/>
        </w:rPr>
        <w:t> </w:t>
      </w:r>
      <w:r>
        <w:rPr/>
        <w:t>Asia</w:t>
      </w:r>
    </w:p>
    <w:p>
      <w:pPr>
        <w:pStyle w:val="BodyText"/>
        <w:spacing w:before="2"/>
        <w:rPr>
          <w:b/>
          <w:sz w:val="29"/>
        </w:rPr>
      </w:pPr>
    </w:p>
    <w:p>
      <w:pPr>
        <w:pStyle w:val="BodyText"/>
        <w:spacing w:line="364" w:lineRule="auto"/>
        <w:ind w:left="115" w:right="104"/>
        <w:jc w:val="both"/>
      </w:pPr>
      <w:r>
        <w:rPr/>
        <w:t>Más de la mitad de los 175 millones de migrantes internacionales provienen de  Asia (Naciones Unidas, 2002), y aunque está muy alejado de  México,  tienen ciertas semejanzas, una de ellas con respecto a los sistemas informales que se realiza por medio de el sistema hundi/hawala, que consiste en una transferencia o remesa de un trabajador expatriado en un país, a una persona designada en su país de origen, sin una transferencia formal de dinero o el uso de instituciones financieras formales, usualmente involucra intermediarios (hawaladars); con esto los volúmenes de remesas escapan de la detección de las estadísticas oficiales    de remesas. En Asia existen dos clases de emigrantes que envían dinero a sus familiares y amigos, uno de ellos son los residentes permanentes de origen  asiático, de los cuales la mayoría viven en los países de la Organización para la Cooperación y el Desarrollo Económico (OCDE). Es importante hacer notar que esta organización fue fundada el 30 de septiembre de </w:t>
      </w:r>
      <w:r>
        <w:rPr>
          <w:spacing w:val="4"/>
        </w:rPr>
        <w:t> </w:t>
      </w:r>
      <w:r>
        <w:rPr/>
        <w:t>1961.</w:t>
      </w:r>
    </w:p>
    <w:p>
      <w:pPr>
        <w:pStyle w:val="BodyText"/>
        <w:rPr>
          <w:sz w:val="22"/>
        </w:rPr>
      </w:pPr>
    </w:p>
    <w:p>
      <w:pPr>
        <w:pStyle w:val="BodyText"/>
        <w:spacing w:line="364" w:lineRule="auto" w:before="155"/>
        <w:ind w:left="115" w:right="105"/>
        <w:jc w:val="both"/>
      </w:pPr>
      <w:r>
        <w:rPr/>
        <w:t>Existe una corriente de trabajadores migratorios indocumentados de Indonesia a Malasia que es probablemente la segunda mayor del mundo después del flujo de trabajadores indocumentados de México a Estados Unidos, Indonesia es un país que cuando sufre depreciación de su moneda, los migrantes tienden a enviar grandes flujos de remesas a fin de sacar provecho de la ventaja percibida en la tasa de</w:t>
      </w:r>
      <w:r>
        <w:rPr>
          <w:spacing w:val="16"/>
        </w:rPr>
        <w:t> </w:t>
      </w:r>
      <w:r>
        <w:rPr/>
        <w:t>cambio.</w:t>
      </w:r>
    </w:p>
    <w:p>
      <w:pPr>
        <w:pStyle w:val="BodyText"/>
        <w:rPr>
          <w:sz w:val="22"/>
        </w:rPr>
      </w:pPr>
    </w:p>
    <w:p>
      <w:pPr>
        <w:pStyle w:val="BodyText"/>
        <w:spacing w:line="367" w:lineRule="auto" w:before="153"/>
        <w:ind w:left="115" w:right="105"/>
        <w:jc w:val="both"/>
      </w:pPr>
      <w:r>
        <w:rPr/>
        <w:t>Asía es sin duda un continente que expulsa una gran cantidad  de migrantes,  como se aprecia en la figura 4, pero no es un problema al que estos países le dan énfasis, puesto que se centran principalmente en sus balanzas de pagos, ya que son exportadores netos de bienes y</w:t>
      </w:r>
      <w:r>
        <w:rPr>
          <w:spacing w:val="54"/>
        </w:rPr>
        <w:t> </w:t>
      </w:r>
      <w:r>
        <w:rPr/>
        <w:t>servicios.</w:t>
      </w:r>
    </w:p>
    <w:p>
      <w:pPr>
        <w:spacing w:after="0" w:line="367" w:lineRule="auto"/>
        <w:jc w:val="both"/>
        <w:sectPr>
          <w:pgSz w:w="11900" w:h="16840"/>
          <w:pgMar w:header="0" w:footer="1619" w:top="1600" w:bottom="1860" w:left="1540" w:right="1580"/>
        </w:sectPr>
      </w:pPr>
    </w:p>
    <w:p>
      <w:pPr>
        <w:pStyle w:val="BodyText"/>
        <w:rPr>
          <w:sz w:val="20"/>
        </w:rPr>
      </w:pPr>
    </w:p>
    <w:p>
      <w:pPr>
        <w:pStyle w:val="BodyText"/>
        <w:spacing w:before="5"/>
        <w:rPr>
          <w:sz w:val="16"/>
        </w:rPr>
      </w:pPr>
    </w:p>
    <w:p>
      <w:pPr>
        <w:pStyle w:val="Heading4"/>
        <w:spacing w:line="364" w:lineRule="auto" w:before="74"/>
        <w:ind w:left="3226" w:right="100" w:hanging="2768"/>
      </w:pPr>
      <w:r>
        <w:rPr/>
        <w:pict>
          <v:group style="position:absolute;margin-left:86.084999pt;margin-top:52.811172pt;width:419.55pt;height:424.15pt;mso-position-horizontal-relative:page;mso-position-vertical-relative:paragraph;z-index:3952" coordorigin="1722,1056" coordsize="8391,8483">
            <v:rect style="position:absolute;left:1723;top:1058;width:8388;height:8479" filled="false" stroked="true" strokeweight=".12pt" strokecolor="#000000"/>
            <v:shape style="position:absolute;left:3698;top:1178;width:5738;height:7258" type="#_x0000_t75" stroked="false">
              <v:imagedata r:id="rId53" o:title=""/>
            </v:shape>
            <v:shape style="position:absolute;left:40340;top:-98872;width:38280;height:60460" coordorigin="40340,-98872" coordsize="38280,60460" path="m4841,1178l4841,3916m4841,4046l4841,5884m4841,6026l4841,6549m4841,6691l4841,7545m4841,7675l4841,8433m5986,1178l5986,5884m5986,6026l5986,6549m5986,6691l5986,7545m5986,7675l5986,8433m7145,1178l7145,5884m7145,6026l7145,7545m7145,7675l7145,8433m8290,1178l8290,8433m9434,1178l9434,8433e" filled="false" stroked="true" strokeweight=".12pt" strokecolor="#000000">
              <v:path arrowok="t"/>
            </v:shape>
            <v:shape style="position:absolute;left:28634;top:72410;width:44458;height:65407" coordorigin="28634,72410" coordsize="44458,65407" path="m3696,1178l9434,1178m9434,1178l9434,8433m9434,8433l3696,8433m3696,8433l3696,1178e" filled="false" stroked="true" strokeweight=".641041pt" strokecolor="#7f7f7f">
              <v:path arrowok="t"/>
            </v:shape>
            <v:line style="position:absolute" from="3738,8198" to="3738,8339" stroked="true" strokeweight="4.2pt" strokecolor="#993200"/>
            <v:rect style="position:absolute;left:3696;top:8198;width:84;height:142" filled="false" stroked="true" strokeweight=".664283pt" strokecolor="#000000"/>
            <v:rect style="position:absolute;left:3696;top:7864;width:828;height:144" filled="true" fillcolor="#993200" stroked="false">
              <v:fill type="solid"/>
            </v:rect>
            <v:rect style="position:absolute;left:3696;top:7864;width:828;height:144" filled="false" stroked="true" strokeweight=".595407pt" strokecolor="#000000"/>
            <v:rect style="position:absolute;left:3696;top:7545;width:4361;height:130" filled="true" fillcolor="#993200" stroked="false">
              <v:fill type="solid"/>
            </v:rect>
            <v:rect style="position:absolute;left:3696;top:7545;width:4361;height:130" filled="false" stroked="true" strokeweight=".592646pt" strokecolor="#000000"/>
            <v:line style="position:absolute" from="3724,7211" to="3724,7355" stroked="true" strokeweight="2.76pt" strokecolor="#993200"/>
            <v:rect style="position:absolute;left:3696;top:7211;width:55;height:144" filled="false" stroked="true" strokeweight=".677089pt" strokecolor="#000000"/>
            <v:rect style="position:absolute;left:3696;top:6880;width:194;height:142" filled="true" fillcolor="#993200" stroked="false">
              <v:fill type="solid"/>
            </v:rect>
            <v:rect style="position:absolute;left:3696;top:6880;width:194;height:142" filled="false" stroked="true" strokeweight=".626163pt" strokecolor="#000000"/>
            <v:rect style="position:absolute;left:3696;top:6549;width:2676;height:142" filled="true" fillcolor="#993200" stroked="false">
              <v:fill type="solid"/>
            </v:rect>
            <v:rect style="position:absolute;left:3696;top:6549;width:2676;height:142" filled="false" stroked="true" strokeweight=".592831pt" strokecolor="#000000"/>
            <v:line style="position:absolute" from="3731,6215" to="3731,6359" stroked="true" strokeweight="3.48pt" strokecolor="#993200"/>
            <v:rect style="position:absolute;left:3696;top:6215;width:70;height:144" filled="false" stroked="true" strokeweight=".671162pt" strokecolor="#000000"/>
            <v:rect style="position:absolute;left:3696;top:5884;width:4553;height:142" filled="true" fillcolor="#993200" stroked="false">
              <v:fill type="solid"/>
            </v:rect>
            <v:rect style="position:absolute;left:3696;top:5884;width:4553;height:142" filled="false" stroked="true" strokeweight=".592654pt" strokecolor="#000000"/>
            <v:rect style="position:absolute;left:3696;top:5565;width:427;height:130" filled="true" fillcolor="#993200" stroked="false">
              <v:fill type="solid"/>
            </v:rect>
            <v:rect style="position:absolute;left:3696;top:5565;width:427;height:130" filled="false" stroked="true" strokeweight=".600732pt" strokecolor="#000000"/>
            <v:rect style="position:absolute;left:3696;top:5231;width:235;height:144" filled="true" fillcolor="#993200" stroked="false">
              <v:fill type="solid"/>
            </v:rect>
            <v:rect style="position:absolute;left:3696;top:5231;width:235;height:144" filled="false" stroked="true" strokeweight=".618997pt" strokecolor="#000000"/>
            <v:line style="position:absolute" from="3744,4900" to="3744,5042" stroked="true" strokeweight="4.8pt" strokecolor="#993200"/>
            <v:rect style="position:absolute;left:3696;top:4900;width:96;height:142" filled="false" stroked="true" strokeweight=".658988pt" strokecolor="#000000"/>
            <v:rect style="position:absolute;left:3696;top:4569;width:206;height:142" filled="true" fillcolor="#993200" stroked="false">
              <v:fill type="solid"/>
            </v:rect>
            <v:rect style="position:absolute;left:3696;top:4569;width:206;height:142" filled="false" stroked="true" strokeweight=".623583pt" strokecolor="#000000"/>
            <v:rect style="position:absolute;left:3696;top:4235;width:526;height:144" filled="true" fillcolor="#993200" stroked="false">
              <v:fill type="solid"/>
            </v:rect>
            <v:rect style="position:absolute;left:3696;top:4235;width:526;height:144" filled="false" stroked="true" strokeweight=".599328pt" strokecolor="#000000"/>
            <v:rect style="position:absolute;left:3696;top:3916;width:1310;height:130" filled="true" fillcolor="#993200" stroked="false">
              <v:fill type="solid"/>
            </v:rect>
            <v:rect style="position:absolute;left:3696;top:3916;width:1310;height:130" filled="false" stroked="true" strokeweight=".593499pt" strokecolor="#000000"/>
            <v:rect style="position:absolute;left:3696;top:3585;width:221;height:142" filled="true" fillcolor="#993200" stroked="false">
              <v:fill type="solid"/>
            </v:rect>
            <v:rect style="position:absolute;left:3696;top:3585;width:221;height:142" filled="false" stroked="true" strokeweight=".620819pt" strokecolor="#000000"/>
            <v:rect style="position:absolute;left:3696;top:3251;width:194;height:144" filled="true" fillcolor="#993200" stroked="false">
              <v:fill type="solid"/>
            </v:rect>
            <v:rect style="position:absolute;left:3696;top:3251;width:194;height:144" filled="false" stroked="true" strokeweight=".626911pt" strokecolor="#000000"/>
            <v:rect style="position:absolute;left:3696;top:2920;width:912;height:142" filled="true" fillcolor="#993200" stroked="false">
              <v:fill type="solid"/>
            </v:rect>
            <v:rect style="position:absolute;left:3696;top:2920;width:912;height:142" filled="false" stroked="true" strokeweight=".594843pt" strokecolor="#000000"/>
            <v:rect style="position:absolute;left:3696;top:2589;width:607;height:142" filled="true" fillcolor="#993200" stroked="false">
              <v:fill type="solid"/>
            </v:rect>
            <v:rect style="position:absolute;left:3696;top:2589;width:607;height:142" filled="false" stroked="true" strokeweight=".597562pt" strokecolor="#000000"/>
            <v:rect style="position:absolute;left:3696;top:2255;width:360;height:144" filled="true" fillcolor="#993200" stroked="false">
              <v:fill type="solid"/>
            </v:rect>
            <v:rect style="position:absolute;left:3696;top:2255;width:360;height:144" filled="false" stroked="true" strokeweight=".605933pt" strokecolor="#000000"/>
            <v:rect style="position:absolute;left:3696;top:1936;width:372;height:130" filled="true" fillcolor="#993200" stroked="false">
              <v:fill type="solid"/>
            </v:rect>
            <v:rect style="position:absolute;left:3696;top:1936;width:372;height:130" filled="false" stroked="true" strokeweight=".603056pt" strokecolor="#000000"/>
            <v:rect style="position:absolute;left:3696;top:1605;width:732;height:142" filled="true" fillcolor="#993200" stroked="false">
              <v:fill type="solid"/>
            </v:rect>
            <v:rect style="position:absolute;left:3696;top:1605;width:732;height:142" filled="false" stroked="true" strokeweight=".596057pt" strokecolor="#000000"/>
            <v:rect style="position:absolute;left:3696;top:1271;width:290;height:142" filled="true" fillcolor="#993200" stroked="false">
              <v:fill type="solid"/>
            </v:rect>
            <v:rect style="position:absolute;left:3696;top:1271;width:290;height:142" filled="false" stroked="true" strokeweight=".611184pt" strokecolor="#000000"/>
            <v:shape style="position:absolute;left:30340;top:-98872;width:48280;height:69260" coordorigin="30340,-98872" coordsize="48280,69260" path="m3696,8433l9434,8433m3696,8481l3696,8433m4841,8481l4841,8433m5986,8481l5986,8433m7145,8481l7145,8433m8290,8481l8290,8433m9434,8481l9434,8433m3696,1178l3696,8433m3641,8433l3696,8433m3641,8102l3696,8102m3641,7771l3696,7771m3641,7449l3696,7449m3641,7118l3696,7118m3641,6787l3696,6787m3641,6453l3696,6453m3641,6122l3696,6122m3641,5791l3696,5791m3641,5469l3696,5469m3641,5138l3696,5138m3641,4807l3696,4807m3641,4473l3696,4473m3641,4142l3696,4142m3641,3820l3696,3820m3641,3489l3696,3489m3641,3158l3696,3158m3641,2824l3696,2824m3641,2493l3696,2493m3641,2162l3696,2162m3641,1840l3696,1840m3641,1509l3696,1509m3641,1178l3696,1178m6070,9489l7049,9489,7049,9215,6070,9215,6070,9489xe" filled="false" stroked="true" strokeweight=".12pt" strokecolor="#000000">
              <v:path arrowok="t"/>
            </v:shape>
            <v:line style="position:absolute" from="6139,9353" to="6235,9353" stroked="true" strokeweight="4.2pt" strokecolor="#993200"/>
            <v:rect style="position:absolute;left:6139;top:9311;width:96;height:84" filled="false" stroked="true" strokeweight=".63461pt" strokecolor="#000000"/>
            <v:rect style="position:absolute;left:1723;top:1058;width:8388;height:8479" filled="false" stroked="true" strokeweight=".12pt" strokecolor="#000000"/>
            <v:shape style="position:absolute;left:6070;top:9215;width:980;height:322" type="#_x0000_t202" filled="false" stroked="false">
              <v:textbox inset="0,0,0,0">
                <w:txbxContent>
                  <w:p>
                    <w:pPr>
                      <w:spacing w:before="37"/>
                      <w:ind w:left="220" w:right="0" w:firstLine="0"/>
                      <w:jc w:val="left"/>
                      <w:rPr>
                        <w:sz w:val="15"/>
                      </w:rPr>
                    </w:pPr>
                    <w:r>
                      <w:rPr>
                        <w:w w:val="110"/>
                        <w:sz w:val="15"/>
                      </w:rPr>
                      <w:t>remesas</w:t>
                    </w:r>
                  </w:p>
                </w:txbxContent>
              </v:textbox>
              <w10:wrap type="none"/>
            </v:shape>
            <v:shape style="position:absolute;left:2208;top:1264;width:1349;height:7079" type="#_x0000_t202" filled="false" stroked="false">
              <v:textbox inset="0,0,0,0">
                <w:txbxContent>
                  <w:p>
                    <w:pPr>
                      <w:spacing w:line="157" w:lineRule="exact" w:before="0"/>
                      <w:ind w:left="0" w:right="0" w:firstLine="0"/>
                      <w:jc w:val="right"/>
                      <w:rPr>
                        <w:sz w:val="15"/>
                      </w:rPr>
                    </w:pPr>
                    <w:r>
                      <w:rPr>
                        <w:w w:val="110"/>
                        <w:sz w:val="15"/>
                      </w:rPr>
                      <w:t>yemen</w:t>
                    </w:r>
                  </w:p>
                  <w:p>
                    <w:pPr>
                      <w:spacing w:line="240" w:lineRule="auto" w:before="9"/>
                      <w:rPr>
                        <w:sz w:val="13"/>
                      </w:rPr>
                    </w:pPr>
                  </w:p>
                  <w:p>
                    <w:pPr>
                      <w:spacing w:line="453" w:lineRule="auto" w:before="0"/>
                      <w:ind w:left="592" w:right="0" w:firstLine="96"/>
                      <w:jc w:val="left"/>
                      <w:rPr>
                        <w:sz w:val="15"/>
                      </w:rPr>
                    </w:pPr>
                    <w:r>
                      <w:rPr>
                        <w:w w:val="110"/>
                        <w:sz w:val="15"/>
                      </w:rPr>
                      <w:t>Vietnam Tailandia Sri Lanka</w:t>
                    </w:r>
                  </w:p>
                  <w:p>
                    <w:pPr>
                      <w:spacing w:before="9"/>
                      <w:ind w:left="0" w:right="0" w:firstLine="0"/>
                      <w:jc w:val="right"/>
                      <w:rPr>
                        <w:sz w:val="15"/>
                      </w:rPr>
                    </w:pPr>
                    <w:r>
                      <w:rPr>
                        <w:w w:val="110"/>
                        <w:sz w:val="15"/>
                      </w:rPr>
                      <w:t>Federación Rusa</w:t>
                    </w:r>
                  </w:p>
                  <w:p>
                    <w:pPr>
                      <w:spacing w:line="240" w:lineRule="auto" w:before="0"/>
                      <w:rPr>
                        <w:sz w:val="14"/>
                      </w:rPr>
                    </w:pPr>
                  </w:p>
                  <w:p>
                    <w:pPr>
                      <w:spacing w:before="0"/>
                      <w:ind w:left="0" w:right="0" w:firstLine="0"/>
                      <w:jc w:val="right"/>
                      <w:rPr>
                        <w:sz w:val="15"/>
                      </w:rPr>
                    </w:pPr>
                    <w:r>
                      <w:rPr>
                        <w:w w:val="110"/>
                        <w:sz w:val="15"/>
                      </w:rPr>
                      <w:t>Paquistán</w:t>
                    </w:r>
                  </w:p>
                  <w:p>
                    <w:pPr>
                      <w:spacing w:line="240" w:lineRule="auto" w:before="9"/>
                      <w:rPr>
                        <w:sz w:val="13"/>
                      </w:rPr>
                    </w:pPr>
                  </w:p>
                  <w:p>
                    <w:pPr>
                      <w:spacing w:line="458" w:lineRule="auto" w:before="0"/>
                      <w:ind w:left="688" w:right="0" w:firstLine="208"/>
                      <w:jc w:val="right"/>
                      <w:rPr>
                        <w:sz w:val="15"/>
                      </w:rPr>
                    </w:pPr>
                    <w:r>
                      <w:rPr>
                        <w:w w:val="110"/>
                        <w:sz w:val="15"/>
                      </w:rPr>
                      <w:t>Nepal Malasia Líbano Jordania Japón</w:t>
                    </w:r>
                  </w:p>
                  <w:p>
                    <w:pPr>
                      <w:spacing w:line="460" w:lineRule="auto" w:before="8"/>
                      <w:ind w:left="592" w:right="0" w:firstLine="331"/>
                      <w:jc w:val="right"/>
                      <w:rPr>
                        <w:sz w:val="15"/>
                      </w:rPr>
                    </w:pPr>
                    <w:r>
                      <w:rPr>
                        <w:w w:val="110"/>
                        <w:sz w:val="15"/>
                      </w:rPr>
                      <w:t>Israel Irán Indonesia</w:t>
                    </w:r>
                  </w:p>
                  <w:p>
                    <w:pPr>
                      <w:spacing w:line="460" w:lineRule="auto" w:before="0"/>
                      <w:ind w:left="455" w:right="0" w:firstLine="523"/>
                      <w:jc w:val="right"/>
                      <w:rPr>
                        <w:sz w:val="15"/>
                      </w:rPr>
                    </w:pPr>
                    <w:r>
                      <w:rPr>
                        <w:w w:val="110"/>
                        <w:sz w:val="15"/>
                      </w:rPr>
                      <w:t>India Georgia Filipinas Rep. Corea</w:t>
                    </w:r>
                  </w:p>
                  <w:p>
                    <w:pPr>
                      <w:spacing w:line="444" w:lineRule="auto" w:before="4"/>
                      <w:ind w:left="897" w:right="0" w:hanging="56"/>
                      <w:jc w:val="right"/>
                      <w:rPr>
                        <w:sz w:val="15"/>
                      </w:rPr>
                    </w:pPr>
                    <w:r>
                      <w:rPr>
                        <w:w w:val="110"/>
                        <w:sz w:val="15"/>
                      </w:rPr>
                      <w:t>Chipre China</w:t>
                    </w:r>
                  </w:p>
                  <w:p>
                    <w:pPr>
                      <w:spacing w:before="18"/>
                      <w:ind w:left="0" w:right="0" w:firstLine="0"/>
                      <w:jc w:val="right"/>
                      <w:rPr>
                        <w:sz w:val="15"/>
                      </w:rPr>
                    </w:pPr>
                    <w:r>
                      <w:rPr>
                        <w:w w:val="110"/>
                        <w:sz w:val="15"/>
                      </w:rPr>
                      <w:t>Bangladesh</w:t>
                    </w:r>
                  </w:p>
                  <w:p>
                    <w:pPr>
                      <w:spacing w:line="240" w:lineRule="auto" w:before="9"/>
                      <w:rPr>
                        <w:sz w:val="13"/>
                      </w:rPr>
                    </w:pPr>
                  </w:p>
                  <w:p>
                    <w:pPr>
                      <w:spacing w:line="170" w:lineRule="exact" w:before="0"/>
                      <w:ind w:left="0" w:right="0" w:firstLine="0"/>
                      <w:jc w:val="right"/>
                      <w:rPr>
                        <w:sz w:val="15"/>
                      </w:rPr>
                    </w:pPr>
                    <w:r>
                      <w:rPr>
                        <w:w w:val="110"/>
                        <w:sz w:val="15"/>
                      </w:rPr>
                      <w:t>Armenia</w:t>
                    </w:r>
                  </w:p>
                </w:txbxContent>
              </v:textbox>
              <w10:wrap type="none"/>
            </v:shape>
            <v:shape style="position:absolute;left:3655;top:8579;width:94;height:155" type="#_x0000_t202" filled="false" stroked="false">
              <v:textbox inset="0,0,0,0">
                <w:txbxContent>
                  <w:p>
                    <w:pPr>
                      <w:spacing w:line="154" w:lineRule="exact" w:before="0"/>
                      <w:ind w:left="0" w:right="0" w:firstLine="0"/>
                      <w:jc w:val="left"/>
                      <w:rPr>
                        <w:sz w:val="15"/>
                      </w:rPr>
                    </w:pPr>
                    <w:r>
                      <w:rPr>
                        <w:w w:val="112"/>
                        <w:sz w:val="15"/>
                      </w:rPr>
                      <w:t>0</w:t>
                    </w:r>
                  </w:p>
                </w:txbxContent>
              </v:textbox>
              <w10:wrap type="none"/>
            </v:shape>
            <v:shape style="position:absolute;left:4361;top:8579;width:5612;height:433" type="#_x0000_t202" filled="false" stroked="false">
              <v:textbox inset="0,0,0,0">
                <w:txbxContent>
                  <w:p>
                    <w:pPr>
                      <w:spacing w:line="157" w:lineRule="exact" w:before="0"/>
                      <w:ind w:left="0" w:right="0" w:firstLine="0"/>
                      <w:jc w:val="left"/>
                      <w:rPr>
                        <w:sz w:val="15"/>
                      </w:rPr>
                    </w:pPr>
                    <w:r>
                      <w:rPr>
                        <w:w w:val="110"/>
                        <w:sz w:val="15"/>
                      </w:rPr>
                      <w:t>5000000000    10000000000   15000000000  20000000000 25000000000</w:t>
                    </w:r>
                  </w:p>
                  <w:p>
                    <w:pPr>
                      <w:spacing w:line="170" w:lineRule="exact" w:before="106"/>
                      <w:ind w:left="1890" w:right="3076" w:firstLine="0"/>
                      <w:jc w:val="center"/>
                      <w:rPr>
                        <w:b/>
                        <w:sz w:val="15"/>
                      </w:rPr>
                    </w:pPr>
                    <w:r>
                      <w:rPr>
                        <w:b/>
                        <w:w w:val="110"/>
                        <w:sz w:val="15"/>
                      </w:rPr>
                      <w:t>Dólares</w:t>
                    </w:r>
                  </w:p>
                </w:txbxContent>
              </v:textbox>
              <w10:wrap type="none"/>
            </v:shape>
            <w10:wrap type="none"/>
          </v:group>
        </w:pict>
      </w:r>
      <w:r>
        <w:rPr/>
        <w:pict>
          <v:shape style="position:absolute;margin-left:95.834671pt;margin-top:231.65184pt;width:9.75pt;height:18.6pt;mso-position-horizontal-relative:page;mso-position-vertical-relative:paragraph;z-index:3976" type="#_x0000_t202" filled="false" stroked="false">
            <v:textbox inset="0,0,0,0" style="layout-flow:vertical;mso-layout-flow-alt:bottom-to-top">
              <w:txbxContent>
                <w:p>
                  <w:pPr>
                    <w:spacing w:before="4"/>
                    <w:ind w:left="20" w:right="-175" w:firstLine="0"/>
                    <w:jc w:val="left"/>
                    <w:rPr>
                      <w:b/>
                      <w:sz w:val="15"/>
                    </w:rPr>
                  </w:pPr>
                  <w:r>
                    <w:rPr>
                      <w:b/>
                      <w:spacing w:val="-7"/>
                      <w:w w:val="112"/>
                      <w:sz w:val="15"/>
                    </w:rPr>
                    <w:t>P</w:t>
                  </w:r>
                  <w:r>
                    <w:rPr>
                      <w:b/>
                      <w:spacing w:val="-10"/>
                      <w:w w:val="112"/>
                      <w:sz w:val="15"/>
                    </w:rPr>
                    <w:t>a</w:t>
                  </w:r>
                  <w:r>
                    <w:rPr>
                      <w:b/>
                      <w:spacing w:val="1"/>
                      <w:w w:val="112"/>
                      <w:sz w:val="15"/>
                    </w:rPr>
                    <w:t>í</w:t>
                  </w:r>
                  <w:r>
                    <w:rPr>
                      <w:b/>
                      <w:w w:val="112"/>
                      <w:sz w:val="15"/>
                    </w:rPr>
                    <w:t>s</w:t>
                  </w:r>
                </w:p>
              </w:txbxContent>
            </v:textbox>
            <w10:wrap type="none"/>
          </v:shape>
        </w:pict>
      </w:r>
      <w:r>
        <w:rPr/>
        <w:t>Figura 4. Comportamiento de las Remesas en Asia durante el año 2004 (millones de dólares)</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5"/>
        <w:rPr>
          <w:b/>
          <w:sz w:val="22"/>
        </w:rPr>
      </w:pPr>
    </w:p>
    <w:p>
      <w:pPr>
        <w:spacing w:before="1"/>
        <w:ind w:left="115" w:right="0" w:firstLine="0"/>
        <w:jc w:val="both"/>
        <w:rPr>
          <w:sz w:val="19"/>
        </w:rPr>
      </w:pPr>
      <w:r>
        <w:rPr>
          <w:sz w:val="19"/>
        </w:rPr>
        <w:t>Fuente: Elaboración propia con datos del  WorldBank.</w:t>
      </w:r>
    </w:p>
    <w:p>
      <w:pPr>
        <w:pStyle w:val="BodyText"/>
        <w:rPr>
          <w:sz w:val="18"/>
        </w:rPr>
      </w:pPr>
    </w:p>
    <w:p>
      <w:pPr>
        <w:pStyle w:val="BodyText"/>
        <w:rPr>
          <w:sz w:val="18"/>
        </w:rPr>
      </w:pPr>
    </w:p>
    <w:p>
      <w:pPr>
        <w:pStyle w:val="BodyText"/>
        <w:rPr>
          <w:sz w:val="18"/>
        </w:rPr>
      </w:pPr>
    </w:p>
    <w:p>
      <w:pPr>
        <w:pStyle w:val="BodyText"/>
        <w:spacing w:before="10"/>
        <w:rPr>
          <w:sz w:val="18"/>
        </w:rPr>
      </w:pPr>
    </w:p>
    <w:p>
      <w:pPr>
        <w:pStyle w:val="BodyText"/>
        <w:spacing w:line="364" w:lineRule="auto"/>
        <w:ind w:left="115" w:right="105"/>
        <w:jc w:val="both"/>
      </w:pPr>
      <w:r>
        <w:rPr/>
        <w:t>Con la ayuda de la figura 4, se puede observar que Asia es el continente que percibe la mayor cantidad de remesas en el Mundo, pues dentro de este se encuentran los principales países receptores de remesas, a excepción de México, pues la India en el 2004 tuvo ingresos por este rubro de US $19,843 millones,  China US $ 19,014 millones y Filipinas con US $ 11,633 </w:t>
      </w:r>
      <w:r>
        <w:rPr>
          <w:spacing w:val="10"/>
        </w:rPr>
        <w:t> </w:t>
      </w:r>
      <w:r>
        <w:rPr/>
        <w:t>millones.</w:t>
      </w:r>
    </w:p>
    <w:p>
      <w:pPr>
        <w:spacing w:after="0" w:line="364" w:lineRule="auto"/>
        <w:jc w:val="both"/>
        <w:sectPr>
          <w:footerReference w:type="default" r:id="rId52"/>
          <w:pgSz w:w="11900" w:h="16840"/>
          <w:pgMar w:footer="1676" w:header="0" w:top="1600" w:bottom="1860" w:left="1540" w:right="1580"/>
          <w:pgNumType w:start="110"/>
        </w:sectPr>
      </w:pPr>
    </w:p>
    <w:p>
      <w:pPr>
        <w:pStyle w:val="BodyText"/>
        <w:rPr>
          <w:sz w:val="20"/>
        </w:rPr>
      </w:pPr>
    </w:p>
    <w:p>
      <w:pPr>
        <w:pStyle w:val="BodyText"/>
        <w:spacing w:before="5"/>
        <w:rPr>
          <w:sz w:val="16"/>
        </w:rPr>
      </w:pPr>
    </w:p>
    <w:p>
      <w:pPr>
        <w:pStyle w:val="Heading4"/>
        <w:numPr>
          <w:ilvl w:val="1"/>
          <w:numId w:val="6"/>
        </w:numPr>
        <w:tabs>
          <w:tab w:pos="505" w:val="left" w:leader="none"/>
        </w:tabs>
        <w:spacing w:line="240" w:lineRule="auto" w:before="74" w:after="0"/>
        <w:ind w:left="504" w:right="0" w:hanging="388"/>
        <w:jc w:val="both"/>
      </w:pPr>
      <w:r>
        <w:rPr/>
        <w:t>Remesas en</w:t>
      </w:r>
      <w:r>
        <w:rPr>
          <w:spacing w:val="26"/>
        </w:rPr>
        <w:t> </w:t>
      </w:r>
      <w:r>
        <w:rPr/>
        <w:t>Japón</w:t>
      </w:r>
    </w:p>
    <w:p>
      <w:pPr>
        <w:pStyle w:val="BodyText"/>
        <w:spacing w:before="2"/>
        <w:rPr>
          <w:b/>
          <w:sz w:val="29"/>
        </w:rPr>
      </w:pPr>
    </w:p>
    <w:p>
      <w:pPr>
        <w:pStyle w:val="BodyText"/>
        <w:spacing w:line="364" w:lineRule="auto"/>
        <w:ind w:left="115" w:right="105"/>
        <w:jc w:val="both"/>
      </w:pPr>
      <w:r>
        <w:rPr/>
        <w:t>Se dice que a partir de que Japón fue devastado por la guerra, donde el trabajo   era escaso, muchos hombres y mujeres partieron en busca de una vida mejor. Muchos de ellos se refugiaron en países de América Latina, entre los  que  destacan Argentina, Brasil, Bolivia y Perú. En 1990 Japón presentó un progreso económico inusual, el cuál requería trabajadores manuales, que no había en su país, por lo que tuvo que modificar sus leyes de inmigración a fin de otorgar visas de trabajo a personas de ascendencia no japonesa, lo que llevó a que un gran número de latinoamericanos, de ascendencia japonesa, a que ingresaran  al  campo laboral de aquel país. Bendicen &amp; Asociaste, realizaron sondeos de los latinoamericanos que vivieron en el Japón durante febrero de 2005, obteniendo resultados significativos, pues más de 300 mil latinoamericanos migrantes,  enviaron aproximadamente US 2,650 millones al año a sus </w:t>
      </w:r>
      <w:r>
        <w:rPr>
          <w:spacing w:val="15"/>
        </w:rPr>
        <w:t> </w:t>
      </w:r>
      <w:r>
        <w:rPr/>
        <w:t>familiares.</w:t>
      </w:r>
    </w:p>
    <w:p>
      <w:pPr>
        <w:pStyle w:val="BodyText"/>
        <w:rPr>
          <w:sz w:val="22"/>
        </w:rPr>
      </w:pPr>
    </w:p>
    <w:p>
      <w:pPr>
        <w:pStyle w:val="BodyText"/>
        <w:spacing w:line="364" w:lineRule="auto" w:before="155"/>
        <w:ind w:left="115" w:right="105"/>
        <w:jc w:val="both"/>
      </w:pPr>
      <w:r>
        <w:rPr/>
        <w:t>Dentro de las encuestas realizadas, el país que tiene el mayor número de migrantes laborando en Japón, es Brasil, con el 80%, de ahí que la población que tiene mayor ascendencia nipona en toda América Latina es Brasil, al igual que en Estados Unidos la población migrante que existe en Japón, es joven pues su edad tiende a ser menor de 35 años, el 61% son de sexo masculino y el restante es femenino. Mientras que en Estados Unidos los latinoamericanos que envían remesas provienen de toda Centroamérica y de América del Sur, en Japón la mayoría de los inmigrantes latinoamericanos provienen de Brasil y Perú. La educación de los migrantes que se encuentran en Japón es diferente a la de otros países, pues el 56%, ha cursado niveles universitarios, el 30% terminó la secundaria y el 14% no tiene estudios secundarios completos, de esto se deriva que los salarios sean mayores que en Estados Unidos, pues tienen ingresos anuales de US $41,171 en promedio y remesas anuales de US $7,200 por  persona.</w:t>
      </w:r>
    </w:p>
    <w:p>
      <w:pPr>
        <w:spacing w:after="0" w:line="364" w:lineRule="auto"/>
        <w:jc w:val="both"/>
        <w:sectPr>
          <w:pgSz w:w="11900" w:h="16840"/>
          <w:pgMar w:header="0" w:footer="1676" w:top="1600" w:bottom="1860" w:left="1540" w:right="1580"/>
        </w:sectPr>
      </w:pPr>
    </w:p>
    <w:p>
      <w:pPr>
        <w:pStyle w:val="BodyText"/>
        <w:rPr>
          <w:sz w:val="20"/>
        </w:rPr>
      </w:pPr>
    </w:p>
    <w:p>
      <w:pPr>
        <w:pStyle w:val="BodyText"/>
        <w:spacing w:before="5"/>
        <w:rPr>
          <w:sz w:val="16"/>
        </w:rPr>
      </w:pPr>
    </w:p>
    <w:p>
      <w:pPr>
        <w:pStyle w:val="Heading4"/>
        <w:numPr>
          <w:ilvl w:val="1"/>
          <w:numId w:val="6"/>
        </w:numPr>
        <w:tabs>
          <w:tab w:pos="510" w:val="left" w:leader="none"/>
        </w:tabs>
        <w:spacing w:line="240" w:lineRule="auto" w:before="74" w:after="0"/>
        <w:ind w:left="509" w:right="0" w:hanging="393"/>
        <w:jc w:val="both"/>
      </w:pPr>
      <w:r>
        <w:rPr/>
        <w:t>América Latina y el</w:t>
      </w:r>
      <w:r>
        <w:rPr>
          <w:spacing w:val="31"/>
        </w:rPr>
        <w:t> </w:t>
      </w:r>
      <w:r>
        <w:rPr/>
        <w:t>Caribe</w:t>
      </w:r>
    </w:p>
    <w:p>
      <w:pPr>
        <w:pStyle w:val="BodyText"/>
        <w:spacing w:before="2"/>
        <w:rPr>
          <w:b/>
          <w:sz w:val="29"/>
        </w:rPr>
      </w:pPr>
    </w:p>
    <w:p>
      <w:pPr>
        <w:pStyle w:val="BodyText"/>
        <w:ind w:left="115"/>
        <w:jc w:val="both"/>
      </w:pPr>
      <w:r>
        <w:rPr/>
        <w:t>En  el  año  2004,  se  destinaron  para  América  Latina  y  el  Caribe  más  de   US</w:t>
      </w:r>
    </w:p>
    <w:p>
      <w:pPr>
        <w:pStyle w:val="BodyText"/>
        <w:spacing w:line="364" w:lineRule="auto" w:before="138"/>
        <w:ind w:left="115" w:right="106"/>
        <w:jc w:val="both"/>
      </w:pPr>
      <w:r>
        <w:rPr/>
        <w:t>$45,000 millones de remesas por parte del resto del mundo (véase figura 5), estas cifras subestiman los totales debido a problemas de contabilización. Existen sistemas formales que son los que se pueden contabilizar, y los sistemas  informales que se manejan clandestinamente y que no se tiene control de </w:t>
      </w:r>
      <w:r>
        <w:rPr>
          <w:spacing w:val="28"/>
        </w:rPr>
        <w:t> </w:t>
      </w:r>
      <w:r>
        <w:rPr/>
        <w:t>éstos.</w:t>
      </w:r>
    </w:p>
    <w:p>
      <w:pPr>
        <w:pStyle w:val="BodyText"/>
        <w:rPr>
          <w:sz w:val="22"/>
        </w:rPr>
      </w:pPr>
    </w:p>
    <w:p>
      <w:pPr>
        <w:pStyle w:val="BodyText"/>
        <w:rPr>
          <w:sz w:val="22"/>
        </w:rPr>
      </w:pPr>
    </w:p>
    <w:p>
      <w:pPr>
        <w:pStyle w:val="BodyText"/>
        <w:spacing w:before="1"/>
        <w:rPr>
          <w:sz w:val="25"/>
        </w:rPr>
      </w:pPr>
    </w:p>
    <w:p>
      <w:pPr>
        <w:pStyle w:val="Heading4"/>
        <w:ind w:left="1570" w:right="100"/>
      </w:pPr>
      <w:r>
        <w:rPr/>
        <w:t>Figura 5. Remesas recibidas en las Américas,  2004</w:t>
      </w:r>
    </w:p>
    <w:p>
      <w:pPr>
        <w:pStyle w:val="BodyText"/>
        <w:spacing w:before="7"/>
        <w:rPr>
          <w:b/>
          <w:sz w:val="21"/>
        </w:rPr>
      </w:pPr>
      <w:r>
        <w:rPr/>
        <w:pict>
          <v:group style="position:absolute;margin-left:85.860291pt;margin-top:14.422964pt;width:421.45pt;height:319.2pt;mso-position-horizontal-relative:page;mso-position-vertical-relative:paragraph;z-index:4072;mso-wrap-distance-left:0;mso-wrap-distance-right:0" coordorigin="1717,288" coordsize="8429,6384">
            <v:rect style="position:absolute;left:1723;top:294;width:8417;height:6372" filled="false" stroked="true" strokeweight=".500608pt" strokecolor="#000000"/>
            <v:shape style="position:absolute;left:3926;top:1103;width:5981;height:4582" type="#_x0000_t75" stroked="false">
              <v:imagedata r:id="rId54" o:title=""/>
            </v:shape>
            <v:shape style="position:absolute;left:4162;top:1101;width:5746;height:4498" type="#_x0000_t75" stroked="false">
              <v:imagedata r:id="rId55" o:title=""/>
            </v:shape>
            <v:shape style="position:absolute;left:3924;top:1098;width:236;height:4584" coordorigin="3924,1098" coordsize="236,4584" path="m3924,5682l4159,5596,4159,1098e" filled="false" stroked="true" strokeweight=".12pt" strokecolor="#000000">
              <v:path arrowok="t"/>
            </v:shape>
            <v:shape style="position:absolute;left:4507;top:1098;width:236;height:4584" coordorigin="4507,1098" coordsize="236,4584" path="m4507,5682l4742,5596,4742,1098e" filled="false" stroked="true" strokeweight=".12pt" strokecolor="#000000">
              <v:path arrowok="t"/>
            </v:shape>
            <v:shape style="position:absolute;left:5074;top:1098;width:236;height:4584" coordorigin="5074,1098" coordsize="236,4584" path="m5074,5682l5309,5596,5309,1098e" filled="false" stroked="true" strokeweight=".12pt" strokecolor="#000000">
              <v:path arrowok="t"/>
            </v:shape>
            <v:shape style="position:absolute;left:5654;top:1098;width:224;height:4584" coordorigin="5654,1098" coordsize="224,4584" path="m5654,5682l5878,5596,5878,1098e" filled="false" stroked="true" strokeweight=".12pt" strokecolor="#000000">
              <v:path arrowok="t"/>
            </v:shape>
            <v:shape style="position:absolute;left:6223;top:1098;width:236;height:4584" coordorigin="6223,1098" coordsize="236,4584" path="m6223,5682l6458,5596,6458,1098e" filled="false" stroked="true" strokeweight=".12pt" strokecolor="#000000">
              <v:path arrowok="t"/>
            </v:shape>
            <v:shape style="position:absolute;left:6804;top:1098;width:221;height:4584" coordorigin="6804,1098" coordsize="221,4584" path="m6804,5682l7025,5596,7025,1098e" filled="false" stroked="true" strokeweight=".12pt" strokecolor="#000000">
              <v:path arrowok="t"/>
            </v:shape>
            <v:shape style="position:absolute;left:7370;top:1098;width:236;height:4584" coordorigin="7370,1098" coordsize="236,4584" path="m7370,5682l7606,5596,7606,1098e" filled="false" stroked="true" strokeweight=".12pt" strokecolor="#000000">
              <v:path arrowok="t"/>
            </v:shape>
            <v:shape style="position:absolute;left:7954;top:1098;width:221;height:4584" coordorigin="7954,1098" coordsize="221,4584" path="m7954,5682l8174,5596,8174,1098e" filled="false" stroked="true" strokeweight=".12pt" strokecolor="#000000">
              <v:path arrowok="t"/>
            </v:shape>
            <v:shape style="position:absolute;left:8520;top:1098;width:236;height:4584" coordorigin="8520,1098" coordsize="236,4584" path="m8520,5682l8755,5596,8755,1098e" filled="false" stroked="true" strokeweight=".12pt" strokecolor="#000000">
              <v:path arrowok="t"/>
            </v:shape>
            <v:shape style="position:absolute;left:9089;top:1098;width:236;height:4584" coordorigin="9089,1098" coordsize="236,4584" path="m9089,5682l9324,5596,9324,1098e" filled="false" stroked="true" strokeweight=".12pt" strokecolor="#000000">
              <v:path arrowok="t"/>
            </v:shape>
            <v:shape style="position:absolute;left:9670;top:1098;width:236;height:4584" coordorigin="9670,1098" coordsize="236,4584" path="m9670,5682l9905,5596,9905,1098e" filled="false" stroked="true" strokeweight=".12pt" strokecolor="#000000">
              <v:path arrowok="t"/>
            </v:shape>
            <v:shape style="position:absolute;left:3924;top:1098;width:236;height:4584" coordorigin="3924,1098" coordsize="236,4584" path="m4159,1098l3924,1185,3924,5682,4159,5596,4159,1098xe" filled="false" stroked="true" strokeweight=".12pt" strokecolor="#000000">
              <v:path arrowok="t"/>
            </v:shape>
            <v:shape style="position:absolute;left:3924;top:5596;width:5981;height:87" coordorigin="3924,5596" coordsize="5981,87" path="m3924,5682l9670,5682,9905,5596,4159,5596,3924,5682xe" filled="false" stroked="true" strokeweight=".391023pt" strokecolor="#7f7f7f">
              <v:path arrowok="t"/>
            </v:shape>
            <v:rect style="position:absolute;left:4159;top:1098;width:5746;height:4498" filled="false" stroked="true" strokeweight=".505308pt" strokecolor="#7f7f7f"/>
            <v:shape style="position:absolute;left:4006;top:5495;width:170;height:31" type="#_x0000_t75" stroked="false">
              <v:imagedata r:id="rId56" o:title=""/>
            </v:shape>
            <v:shape style="position:absolute;left:3989;top:5491;width:188;height:115" type="#_x0000_t75" stroked="false">
              <v:imagedata r:id="rId57" o:title=""/>
            </v:shape>
            <v:rect style="position:absolute;left:3994;top:5526;width:98;height:77" filled="false" stroked="true" strokeweight=".504916pt" strokecolor="#000000"/>
            <v:shape style="position:absolute;left:4092;top:5498;width:84;height:108" type="#_x0000_t75" stroked="false">
              <v:imagedata r:id="rId58" o:title=""/>
            </v:shape>
            <v:shape style="position:absolute;left:4092;top:5495;width:82;height:108" coordorigin="4092,5495" coordsize="82,108" path="m4174,5565l4092,5603,4092,5526,4174,5495,4174,5565xe" filled="false" stroked="true" strokeweight=".582526pt" strokecolor="#000000">
              <v:path arrowok="t"/>
            </v:shape>
            <v:shape style="position:absolute;left:4006;top:5308;width:101;height:31" type="#_x0000_t75" stroked="false">
              <v:imagedata r:id="rId59" o:title=""/>
            </v:shape>
            <v:shape style="position:absolute;left:3989;top:5301;width:119;height:117" type="#_x0000_t75" stroked="false">
              <v:imagedata r:id="rId60" o:title=""/>
            </v:shape>
            <v:shape style="position:absolute;left:3987;top:5310;width:120;height:124" type="#_x0000_t75" stroked="false">
              <v:imagedata r:id="rId61" o:title=""/>
            </v:shape>
            <v:shape style="position:absolute;left:4008;top:5306;width:96;height:111" coordorigin="4008,5306" coordsize="96,111" path="m4104,5378l4008,5416,4008,5337,4104,5306,4104,5378xe" filled="false" stroked="true" strokeweight=".562327pt" strokecolor="#000000">
              <v:path arrowok="t"/>
            </v:shape>
            <v:shape style="position:absolute;left:4006;top:5121;width:130;height:31" type="#_x0000_t75" stroked="false">
              <v:imagedata r:id="rId62" o:title=""/>
            </v:shape>
            <v:shape style="position:absolute;left:3989;top:5114;width:148;height:117" type="#_x0000_t75" stroked="false">
              <v:imagedata r:id="rId63" o:title=""/>
            </v:shape>
            <v:shape style="position:absolute;left:3987;top:5123;width:148;height:112" type="#_x0000_t75" stroked="false">
              <v:imagedata r:id="rId64" o:title=""/>
            </v:shape>
            <v:shape style="position:absolute;left:4049;top:5118;width:84;height:111" coordorigin="4049,5118" coordsize="84,111" path="m4133,5188l4049,5229,4049,5150,4133,5118,4133,5188xe" filled="false" stroked="true" strokeweight=".581551pt" strokecolor="#000000">
              <v:path arrowok="t"/>
            </v:shape>
            <v:shape style="position:absolute;left:4006;top:4934;width:1111;height:31" type="#_x0000_t75" stroked="false">
              <v:imagedata r:id="rId65" o:title=""/>
            </v:shape>
            <v:shape style="position:absolute;left:3990;top:4927;width:1129;height:114" type="#_x0000_t75" stroked="false">
              <v:imagedata r:id="rId66" o:title=""/>
            </v:shape>
            <v:rect style="position:absolute;left:3994;top:4962;width:1039;height:79" filled="false" stroked="true" strokeweight=".392698pt" strokecolor="#000000"/>
            <v:shape style="position:absolute;left:5035;top:4936;width:82;height:106" type="#_x0000_t75" stroked="false">
              <v:imagedata r:id="rId67" o:title=""/>
            </v:shape>
            <v:shape style="position:absolute;left:5033;top:4931;width:82;height:111" coordorigin="5033,4931" coordsize="82,111" path="m5114,5001l5033,5042,5033,4962,5114,4931,5114,5001xe" filled="false" stroked="true" strokeweight=".585579pt" strokecolor="#000000">
              <v:path arrowok="t"/>
            </v:shape>
            <v:shape style="position:absolute;left:4006;top:4763;width:43;height:14" type="#_x0000_t75" stroked="false">
              <v:imagedata r:id="rId68" o:title=""/>
            </v:shape>
            <v:shape style="position:absolute;left:3989;top:4739;width:108;height:115" type="#_x0000_t75" stroked="false">
              <v:imagedata r:id="rId69" o:title=""/>
            </v:shape>
            <v:shape style="position:absolute;left:3987;top:4757;width:77;height:113" type="#_x0000_t75" stroked="false">
              <v:imagedata r:id="rId70" o:title=""/>
            </v:shape>
            <v:shape style="position:absolute;left:3989;top:4709;width:138;height:148" type="#_x0000_t75" stroked="false">
              <v:imagedata r:id="rId71" o:title=""/>
            </v:shape>
            <v:shape style="position:absolute;left:4008;top:4744;width:84;height:108" coordorigin="4008,4744" coordsize="84,108" path="m4092,4814l4008,4852,4008,4775,4092,4744,4092,4814xe" filled="false" stroked="true" strokeweight=".578523pt" strokecolor="#000000">
              <v:path arrowok="t"/>
            </v:shape>
            <v:shape style="position:absolute;left:4006;top:4557;width:1001;height:31" type="#_x0000_t75" stroked="false">
              <v:imagedata r:id="rId72" o:title=""/>
            </v:shape>
            <v:shape style="position:absolute;left:3990;top:4553;width:1018;height:114" type="#_x0000_t75" stroked="false">
              <v:imagedata r:id="rId73" o:title=""/>
            </v:shape>
            <v:rect style="position:absolute;left:3994;top:4588;width:929;height:77" filled="false" stroked="true" strokeweight=".393004pt" strokecolor="#000000"/>
            <v:shape style="position:absolute;left:4925;top:4559;width:82;height:108" type="#_x0000_t75" stroked="false">
              <v:imagedata r:id="rId74" o:title=""/>
            </v:shape>
            <v:shape style="position:absolute;left:4922;top:4557;width:82;height:108" coordorigin="4922,4557" coordsize="82,108" path="m5004,4626l4922,4665,4922,4588,5004,4557,5004,4626xe" filled="false" stroked="true" strokeweight=".582526pt" strokecolor="#000000">
              <v:path arrowok="t"/>
            </v:shape>
            <v:shape style="position:absolute;left:4006;top:4370;width:185;height:31" type="#_x0000_t75" stroked="false">
              <v:imagedata r:id="rId75" o:title=""/>
            </v:shape>
            <v:shape style="position:absolute;left:3994;top:4367;width:195;height:32" coordorigin="3994,4367" coordsize="195,32" path="m3994,4398l4092,4398,4188,4367,4092,4367,3994,4398xe" filled="false" stroked="true" strokeweight=".398523pt" strokecolor="#000000">
              <v:path arrowok="t"/>
            </v:shape>
            <v:shape style="position:absolute;left:3996;top:4401;width:96;height:79" type="#_x0000_t75" stroked="false">
              <v:imagedata r:id="rId76" o:title=""/>
            </v:shape>
            <v:rect style="position:absolute;left:3994;top:4398;width:98;height:79" filled="false" stroked="true" strokeweight=".509289pt" strokecolor="#000000"/>
            <v:shape style="position:absolute;left:4092;top:4372;width:98;height:108" type="#_x0000_t75" stroked="false">
              <v:imagedata r:id="rId77" o:title=""/>
            </v:shape>
            <v:shape style="position:absolute;left:4092;top:4367;width:96;height:111" coordorigin="4092,4367" coordsize="96,111" path="m4188,4446l4092,4478,4092,4398,4188,4367,4188,4446xe" filled="false" stroked="true" strokeweight=".56235pt" strokecolor="#000000">
              <v:path arrowok="t"/>
            </v:shape>
            <v:shape style="position:absolute;left:4006;top:4182;width:559;height:31" type="#_x0000_t75" stroked="false">
              <v:imagedata r:id="rId78" o:title=""/>
            </v:shape>
            <v:shape style="position:absolute;left:3990;top:4176;width:577;height:117" type="#_x0000_t75" stroked="false">
              <v:imagedata r:id="rId79" o:title=""/>
            </v:shape>
            <v:rect style="position:absolute;left:3994;top:4211;width:470;height:79" filled="false" stroked="true" strokeweight=".399259pt" strokecolor="#000000"/>
            <v:shape style="position:absolute;left:4466;top:4185;width:98;height:108" type="#_x0000_t75" stroked="false">
              <v:imagedata r:id="rId80" o:title=""/>
            </v:shape>
            <v:shape style="position:absolute;left:4464;top:4180;width:99;height:111" coordorigin="4464,4180" coordsize="99,111" path="m4562,4259l4464,4290,4464,4211,4562,4180,4562,4259xe" filled="false" stroked="true" strokeweight=".558660pt" strokecolor="#000000">
              <v:path arrowok="t"/>
            </v:shape>
            <v:shape style="position:absolute;left:4006;top:3995;width:821;height:31" type="#_x0000_t75" stroked="false">
              <v:imagedata r:id="rId81" o:title=""/>
            </v:shape>
            <v:shape style="position:absolute;left:3990;top:3989;width:838;height:114" type="#_x0000_t75" stroked="false">
              <v:imagedata r:id="rId82" o:title=""/>
            </v:shape>
            <v:rect style="position:absolute;left:3994;top:4024;width:749;height:79" filled="false" stroked="true" strokeweight=".394289pt" strokecolor="#000000"/>
            <v:shape style="position:absolute;left:4745;top:3998;width:82;height:106" type="#_x0000_t75" stroked="false">
              <v:imagedata r:id="rId83" o:title=""/>
            </v:shape>
            <v:shape style="position:absolute;left:4742;top:3993;width:82;height:111" coordorigin="4742,3993" coordsize="82,111" path="m4824,4072l4742,4103,4742,4024,4824,3993,4824,4072xe" filled="false" stroked="true" strokeweight=".585609pt" strokecolor="#000000">
              <v:path arrowok="t"/>
            </v:shape>
            <v:shape style="position:absolute;left:4006;top:3808;width:960;height:31" type="#_x0000_t75" stroked="false">
              <v:imagedata r:id="rId84" o:title=""/>
            </v:shape>
            <v:shape style="position:absolute;left:3990;top:3802;width:977;height:114" type="#_x0000_t75" stroked="false">
              <v:imagedata r:id="rId85" o:title=""/>
            </v:shape>
            <v:rect style="position:absolute;left:3994;top:3837;width:874;height:77" filled="false" stroked="true" strokeweight=".393268pt" strokecolor="#000000"/>
            <v:shape style="position:absolute;left:4867;top:3810;width:98;height:106" type="#_x0000_t75" stroked="false">
              <v:imagedata r:id="rId86" o:title=""/>
            </v:shape>
            <v:shape style="position:absolute;left:4867;top:3806;width:96;height:108" coordorigin="4867,3806" coordsize="96,108" path="m4963,3882l4867,3914,4867,3837,4963,3806,4963,3882xe" filled="false" stroked="true" strokeweight=".559086pt" strokecolor="#000000">
              <v:path arrowok="t"/>
            </v:shape>
            <v:shape style="position:absolute;left:4006;top:3618;width:835;height:31" type="#_x0000_t75" stroked="false">
              <v:imagedata r:id="rId87" o:title=""/>
            </v:shape>
            <v:shape style="position:absolute;left:3990;top:3615;width:853;height:114" type="#_x0000_t75" stroked="false">
              <v:imagedata r:id="rId88" o:title=""/>
            </v:shape>
            <v:rect style="position:absolute;left:3994;top:3650;width:749;height:77" filled="false" stroked="true" strokeweight=".394092pt" strokecolor="#000000"/>
            <v:shape style="position:absolute;left:4745;top:3621;width:96;height:108" type="#_x0000_t75" stroked="false">
              <v:imagedata r:id="rId89" o:title=""/>
            </v:shape>
            <v:shape style="position:absolute;left:4742;top:3618;width:96;height:108" coordorigin="4742,3618" coordsize="96,108" path="m4838,3695l4742,3726,4742,3650,4838,3618,4838,3695xe" filled="false" stroked="true" strokeweight=".559086pt" strokecolor="#000000">
              <v:path arrowok="t"/>
            </v:shape>
            <v:shape style="position:absolute;left:4006;top:3431;width:115;height:31" type="#_x0000_t75" stroked="false">
              <v:imagedata r:id="rId90" o:title=""/>
            </v:shape>
            <v:shape style="position:absolute;left:3989;top:3424;width:134;height:117" type="#_x0000_t75" stroked="false">
              <v:imagedata r:id="rId91" o:title=""/>
            </v:shape>
            <v:shape style="position:absolute;left:3987;top:3434;width:134;height:112" type="#_x0000_t75" stroked="false">
              <v:imagedata r:id="rId92" o:title=""/>
            </v:shape>
            <v:shape style="position:absolute;left:4037;top:3429;width:82;height:111" coordorigin="4037,3429" coordsize="82,111" path="m4118,3508l4037,3539,4037,3460,4118,3429,4118,3508xe" filled="false" stroked="true" strokeweight=".585609pt" strokecolor="#000000">
              <v:path arrowok="t"/>
            </v:shape>
            <v:shape style="position:absolute;left:4006;top:3244;width:336;height:31" type="#_x0000_t75" stroked="false">
              <v:imagedata r:id="rId93" o:title=""/>
            </v:shape>
            <v:shape style="position:absolute;left:3990;top:3238;width:354;height:117" type="#_x0000_t75" stroked="false">
              <v:imagedata r:id="rId94" o:title=""/>
            </v:shape>
            <v:rect style="position:absolute;left:3994;top:3273;width:264;height:79" filled="false" stroked="true" strokeweight=".415806pt" strokecolor="#000000"/>
            <v:shape style="position:absolute;left:4260;top:3246;width:82;height:108" type="#_x0000_t75" stroked="false">
              <v:imagedata r:id="rId95" o:title=""/>
            </v:shape>
            <v:shape style="position:absolute;left:4258;top:3242;width:82;height:111" coordorigin="4258,3242" coordsize="82,111" path="m4339,3321l4258,3352,4258,3273,4339,3242,4339,3321xe" filled="false" stroked="true" strokeweight=".585609pt" strokecolor="#000000">
              <v:path arrowok="t"/>
            </v:shape>
            <v:shape style="position:absolute;left:4006;top:3057;width:420;height:31" type="#_x0000_t75" stroked="false">
              <v:imagedata r:id="rId96" o:title=""/>
            </v:shape>
            <v:shape style="position:absolute;left:3990;top:3050;width:438;height:114" type="#_x0000_t75" stroked="false">
              <v:imagedata r:id="rId97" o:title=""/>
            </v:shape>
            <v:rect style="position:absolute;left:3994;top:3086;width:334;height:79" filled="false" stroked="true" strokeweight=".407017pt" strokecolor="#000000"/>
            <v:shape style="position:absolute;left:4330;top:3059;width:96;height:106" type="#_x0000_t75" stroked="false">
              <v:imagedata r:id="rId98" o:title=""/>
            </v:shape>
            <v:shape style="position:absolute;left:4327;top:3054;width:96;height:111" coordorigin="4327,3054" coordsize="96,111" path="m4423,3134l4327,3165,4327,3086,4423,3054,4423,3134xe" filled="false" stroked="true" strokeweight=".56235pt" strokecolor="#000000">
              <v:path arrowok="t"/>
            </v:shape>
            <v:shape style="position:absolute;left:4006;top:2870;width:559;height:31" type="#_x0000_t75" stroked="false">
              <v:imagedata r:id="rId99" o:title=""/>
            </v:shape>
            <v:shape style="position:absolute;left:3990;top:2863;width:577;height:114" type="#_x0000_t75" stroked="false">
              <v:imagedata r:id="rId100" o:title=""/>
            </v:shape>
            <v:rect style="position:absolute;left:3994;top:2898;width:470;height:77" filled="false" stroked="true" strokeweight=".398775pt" strokecolor="#000000"/>
            <v:shape style="position:absolute;left:4466;top:2872;width:98;height:106" type="#_x0000_t75" stroked="false">
              <v:imagedata r:id="rId101" o:title=""/>
            </v:shape>
            <v:shape style="position:absolute;left:4464;top:2867;width:99;height:108" coordorigin="4464,2867" coordsize="99,108" path="m4562,2944l4464,2975,4464,2898,4562,2867,4562,2944xe" filled="false" stroked="true" strokeweight=".555376pt" strokecolor="#000000">
              <v:path arrowok="t"/>
            </v:shape>
            <v:shape style="position:absolute;left:4006;top:2680;width:5292;height:31" type="#_x0000_t75" stroked="false">
              <v:imagedata r:id="rId102" o:title=""/>
            </v:shape>
            <v:shape style="position:absolute;left:3990;top:2676;width:5309;height:114" type="#_x0000_t75" stroked="false">
              <v:imagedata r:id="rId103" o:title=""/>
            </v:shape>
            <v:rect style="position:absolute;left:3994;top:2711;width:5206;height:77" filled="false" stroked="true" strokeweight=".391025pt" strokecolor="#000000"/>
            <v:shape style="position:absolute;left:9202;top:2682;width:96;height:108" type="#_x0000_t75" stroked="false">
              <v:imagedata r:id="rId104" o:title=""/>
            </v:shape>
            <v:shape style="position:absolute;left:9199;top:2680;width:96;height:108" coordorigin="9199,2680" coordsize="96,108" path="m9295,2757l9199,2788,9199,2711,9295,2680,9295,2757xe" filled="false" stroked="true" strokeweight=".559086pt" strokecolor="#000000">
              <v:path arrowok="t"/>
            </v:shape>
            <v:shape style="position:absolute;left:4006;top:2493;width:240;height:31" type="#_x0000_t75" stroked="false">
              <v:imagedata r:id="rId105" o:title=""/>
            </v:shape>
            <v:shape style="position:absolute;left:3990;top:2486;width:258;height:117" type="#_x0000_t75" stroked="false">
              <v:imagedata r:id="rId106" o:title=""/>
            </v:shape>
            <v:rect style="position:absolute;left:3994;top:2522;width:154;height:79" filled="false" stroked="true" strokeweight=".454169pt" strokecolor="#000000"/>
            <v:shape style="position:absolute;left:4150;top:2495;width:96;height:108" type="#_x0000_t75" stroked="false">
              <v:imagedata r:id="rId107" o:title=""/>
            </v:shape>
            <v:shape style="position:absolute;left:4147;top:2490;width:96;height:111" coordorigin="4147,2490" coordsize="96,111" path="m4243,2570l4147,2601,4147,2522,4243,2490,4243,2570xe" filled="false" stroked="true" strokeweight=".56235pt" strokecolor="#000000">
              <v:path arrowok="t"/>
            </v:shape>
            <v:shape style="position:absolute;left:4006;top:2306;width:130;height:31" type="#_x0000_t75" stroked="false">
              <v:imagedata r:id="rId108" o:title=""/>
            </v:shape>
            <v:shape style="position:absolute;left:3994;top:2303;width:140;height:32" coordorigin="3994,2303" coordsize="140,32" path="m3994,2334l4037,2334,4133,2303,4092,2303,3994,2334xe" filled="false" stroked="true" strokeweight=".405348pt" strokecolor="#000000">
              <v:path arrowok="t"/>
            </v:shape>
            <v:shape style="position:absolute;left:3996;top:2337;width:41;height:79" type="#_x0000_t75" stroked="false">
              <v:imagedata r:id="rId109" o:title=""/>
            </v:shape>
            <v:shape style="position:absolute;left:3987;top:2308;width:148;height:112" type="#_x0000_t75" stroked="false">
              <v:imagedata r:id="rId110" o:title=""/>
            </v:shape>
            <v:shape style="position:absolute;left:4037;top:2303;width:96;height:111" coordorigin="4037,2303" coordsize="96,111" path="m4133,2382l4037,2414,4037,2334,4133,2303,4133,2382xe" filled="false" stroked="true" strokeweight=".56235pt" strokecolor="#000000">
              <v:path arrowok="t"/>
            </v:shape>
            <v:shape style="position:absolute;left:4003;top:2118;width:173;height:38" type="#_x0000_t75" stroked="false">
              <v:imagedata r:id="rId111" o:title=""/>
            </v:shape>
            <v:shape style="position:absolute;left:3989;top:2112;width:189;height:115" type="#_x0000_t75" stroked="false">
              <v:imagedata r:id="rId112" o:title=""/>
            </v:shape>
            <v:shape style="position:absolute;left:3988;top:2121;width:188;height:112" type="#_x0000_t75" stroked="false">
              <v:imagedata r:id="rId113" o:title=""/>
            </v:shape>
            <v:shape style="position:absolute;left:4078;top:2116;width:96;height:111" coordorigin="4078,2116" coordsize="96,111" path="m4174,2195l4078,2226,4078,2154,4174,2116,4174,2195xe" filled="false" stroked="true" strokeweight=".562327pt" strokecolor="#000000">
              <v:path arrowok="t"/>
            </v:shape>
            <v:shape style="position:absolute;left:4003;top:1931;width:408;height:38" type="#_x0000_t75" stroked="false">
              <v:imagedata r:id="rId114" o:title=""/>
            </v:shape>
            <v:shape style="position:absolute;left:3990;top:1925;width:423;height:114" type="#_x0000_t75" stroked="false">
              <v:imagedata r:id="rId115" o:title=""/>
            </v:shape>
            <v:rect style="position:absolute;left:3994;top:1967;width:334;height:70" filled="false" stroked="true" strokeweight=".403518pt" strokecolor="#000000"/>
            <v:shape style="position:absolute;left:4330;top:1934;width:82;height:106" type="#_x0000_t75" stroked="false">
              <v:imagedata r:id="rId116" o:title=""/>
            </v:shape>
            <v:shape style="position:absolute;left:4327;top:1929;width:82;height:108" coordorigin="4327,1929" coordsize="82,108" path="m4409,2006l4327,2037,4327,1967,4409,1929,4409,2006xe" filled="false" stroked="true" strokeweight=".582526pt" strokecolor="#000000">
              <v:path arrowok="t"/>
            </v:shape>
            <v:shape style="position:absolute;left:4003;top:1742;width:797;height:41" type="#_x0000_t75" stroked="false">
              <v:imagedata r:id="rId117" o:title=""/>
            </v:shape>
            <v:shape style="position:absolute;left:3990;top:1738;width:812;height:114" type="#_x0000_t75" stroked="false">
              <v:imagedata r:id="rId118" o:title=""/>
            </v:shape>
            <v:rect style="position:absolute;left:3994;top:1780;width:720;height:70" filled="false" stroked="true" strokeweight=".393746pt" strokecolor="#000000"/>
            <v:shape style="position:absolute;left:4716;top:1744;width:84;height:108" type="#_x0000_t75" stroked="false">
              <v:imagedata r:id="rId119" o:title=""/>
            </v:shape>
            <v:shape style="position:absolute;left:4714;top:1742;width:84;height:108" coordorigin="4714,1742" coordsize="84,108" path="m4798,1818l4714,1850,4714,1780,4798,1742,4798,1818xe" filled="false" stroked="true" strokeweight=".578523pt" strokecolor="#000000">
              <v:path arrowok="t"/>
            </v:shape>
            <v:shape style="position:absolute;left:4003;top:1576;width:46;height:19" type="#_x0000_t75" stroked="false">
              <v:imagedata r:id="rId120" o:title=""/>
            </v:shape>
            <v:shape style="position:absolute;left:3989;top:1547;width:108;height:118" type="#_x0000_t75" stroked="false">
              <v:imagedata r:id="rId121" o:title=""/>
            </v:shape>
            <v:shape style="position:absolute;left:3948;top:1589;width:106;height:77" type="#_x0000_t75" stroked="false">
              <v:imagedata r:id="rId122" o:title=""/>
            </v:shape>
            <v:shape style="position:absolute;left:3989;top:1512;width:143;height:158" type="#_x0000_t75" stroked="false">
              <v:imagedata r:id="rId123" o:title=""/>
            </v:shape>
            <v:shape style="position:absolute;left:4008;top:1552;width:84;height:111" coordorigin="4008,1552" coordsize="84,111" path="m4092,1631l4008,1662,4008,1593,4092,1552,4092,1631xe" filled="false" stroked="true" strokeweight=".581602pt" strokecolor="#000000">
              <v:path arrowok="t"/>
            </v:shape>
            <v:shape style="position:absolute;left:4003;top:1367;width:103;height:38" type="#_x0000_t75" stroked="false">
              <v:imagedata r:id="rId124" o:title=""/>
            </v:shape>
            <v:shape style="position:absolute;left:3989;top:1360;width:120;height:118" type="#_x0000_t75" stroked="false">
              <v:imagedata r:id="rId125" o:title=""/>
            </v:shape>
            <v:shape style="position:absolute;left:3947;top:1370;width:160;height:110" type="#_x0000_t75" stroked="false">
              <v:imagedata r:id="rId126" o:title=""/>
            </v:shape>
            <v:shape style="position:absolute;left:4022;top:1365;width:82;height:111" coordorigin="4022,1365" coordsize="82,111" path="m4104,1444l4022,1475,4022,1403,4104,1365,4104,1444xe" filled="false" stroked="true" strokeweight=".585579pt" strokecolor="#000000">
              <v:path arrowok="t"/>
            </v:shape>
            <v:shape style="position:absolute;left:4003;top:1180;width:103;height:38" type="#_x0000_t75" stroked="false">
              <v:imagedata r:id="rId127" o:title=""/>
            </v:shape>
            <v:shape style="position:absolute;left:3989;top:1173;width:120;height:115" type="#_x0000_t75" stroked="false">
              <v:imagedata r:id="rId128" o:title=""/>
            </v:shape>
            <v:shape style="position:absolute;left:3947;top:1182;width:160;height:110" type="#_x0000_t75" stroked="false">
              <v:imagedata r:id="rId129" o:title=""/>
            </v:shape>
            <v:shape style="position:absolute;left:4008;top:1178;width:96;height:111" coordorigin="4008,1178" coordsize="96,111" path="m4104,1257l4008,1288,4008,1216,4104,1178,4104,1257xe" filled="false" stroked="true" strokeweight=".56235pt" strokecolor="#000000">
              <v:path arrowok="t"/>
            </v:shape>
            <v:line style="position:absolute" from="3924,5682" to="9670,5682" stroked="true" strokeweight=".12pt" strokecolor="#000000"/>
            <v:line style="position:absolute" from="3924,5682" to="3924,5745" stroked="true" strokeweight=".12pt" strokecolor="#000000"/>
            <v:line style="position:absolute" from="4507,5682" to="4507,5745" stroked="true" strokeweight=".12pt" strokecolor="#000000"/>
            <v:line style="position:absolute" from="5074,5682" to="5074,5745" stroked="true" strokeweight=".12pt" strokecolor="#000000"/>
            <v:line style="position:absolute" from="5654,5682" to="5654,5745" stroked="true" strokeweight=".12pt" strokecolor="#000000"/>
            <v:line style="position:absolute" from="6223,5682" to="6223,5745" stroked="true" strokeweight=".12pt" strokecolor="#000000"/>
            <v:line style="position:absolute" from="6804,5682" to="6804,5745" stroked="true" strokeweight=".12pt" strokecolor="#000000"/>
            <v:line style="position:absolute" from="7370,5682" to="7370,5745" stroked="true" strokeweight=".12pt" strokecolor="#000000"/>
            <v:line style="position:absolute" from="7954,5682" to="7954,5745" stroked="true" strokeweight=".12pt" strokecolor="#000000"/>
            <v:line style="position:absolute" from="8520,5682" to="8520,5745" stroked="true" strokeweight=".12pt" strokecolor="#000000"/>
            <v:line style="position:absolute" from="9089,5682" to="9089,5745" stroked="true" strokeweight=".12pt" strokecolor="#000000"/>
            <v:line style="position:absolute" from="9670,5682" to="9670,5745" stroked="true" strokeweight=".12pt" strokecolor="#000000"/>
            <v:line style="position:absolute" from="3924,5682" to="3924,1185" stroked="true" strokeweight=".12pt" strokecolor="#000000"/>
            <v:line style="position:absolute" from="3924,5682" to="3814,5682" stroked="true" strokeweight=".12pt" strokecolor="#000000"/>
            <v:line style="position:absolute" from="3924,5495" to="3814,5495" stroked="true" strokeweight=".12pt" strokecolor="#000000"/>
            <v:line style="position:absolute" from="3924,5306" to="3814,5306" stroked="true" strokeweight=".12pt" strokecolor="#000000"/>
            <v:line style="position:absolute" from="3924,5118" to="3814,5118" stroked="true" strokeweight=".12pt" strokecolor="#000000"/>
            <v:line style="position:absolute" from="3924,4931" to="3814,4931" stroked="true" strokeweight=".12pt" strokecolor="#000000"/>
            <v:line style="position:absolute" from="3924,4744" to="3814,4744" stroked="true" strokeweight=".12pt" strokecolor="#000000"/>
            <v:line style="position:absolute" from="3924,4557" to="3814,4557" stroked="true" strokeweight=".12pt" strokecolor="#000000"/>
            <v:line style="position:absolute" from="3924,4367" to="3814,4367" stroked="true" strokeweight=".12pt" strokecolor="#000000"/>
            <v:line style="position:absolute" from="3924,4180" to="3814,4180" stroked="true" strokeweight=".12pt" strokecolor="#000000"/>
            <v:line style="position:absolute" from="3924,3993" to="3814,3993" stroked="true" strokeweight=".12pt" strokecolor="#000000"/>
            <v:line style="position:absolute" from="3924,3806" to="3814,3806" stroked="true" strokeweight=".12pt" strokecolor="#000000"/>
            <v:line style="position:absolute" from="3924,3618" to="3814,3618" stroked="true" strokeweight=".12pt" strokecolor="#000000"/>
            <v:line style="position:absolute" from="3924,3429" to="3814,3429" stroked="true" strokeweight=".12pt" strokecolor="#000000"/>
            <v:line style="position:absolute" from="3924,3242" to="3814,3242" stroked="true" strokeweight=".12pt" strokecolor="#000000"/>
            <v:line style="position:absolute" from="3924,3054" to="3814,3054" stroked="true" strokeweight=".12pt" strokecolor="#000000"/>
            <v:line style="position:absolute" from="3924,2874" to="3814,2874" stroked="true" strokeweight=".12pt" strokecolor="#000000"/>
            <v:line style="position:absolute" from="3924,2687" to="3814,2687" stroked="true" strokeweight=".12pt" strokecolor="#000000"/>
            <v:line style="position:absolute" from="3924,2500" to="3814,2500" stroked="true" strokeweight=".12pt" strokecolor="#000000"/>
            <v:line style="position:absolute" from="3924,2310" to="3814,2310" stroked="true" strokeweight=".12pt" strokecolor="#000000"/>
            <v:line style="position:absolute" from="3924,2123" to="3814,2123" stroked="true" strokeweight=".12pt" strokecolor="#000000"/>
            <v:line style="position:absolute" from="3924,1936" to="3814,1936" stroked="true" strokeweight=".12pt" strokecolor="#000000"/>
            <v:line style="position:absolute" from="3924,1749" to="3814,1749" stroked="true" strokeweight=".12pt" strokecolor="#000000"/>
            <v:line style="position:absolute" from="3924,1562" to="3814,1562" stroked="true" strokeweight=".12pt" strokecolor="#000000"/>
            <v:line style="position:absolute" from="3924,1372" to="3814,1372" stroked="true" strokeweight=".12pt" strokecolor="#000000"/>
            <v:line style="position:absolute" from="3924,1185" to="3814,1185" stroked="true" strokeweight=".12pt" strokecolor="#000000"/>
            <v:rect style="position:absolute;left:5004;top:6455;width:1841;height:180" filled="false" stroked="true" strokeweight=".12pt" strokecolor="#000000"/>
            <v:shape style="position:absolute;left:5076;top:6520;width:96;height:55" type="#_x0000_t75" stroked="false">
              <v:imagedata r:id="rId130" o:title=""/>
            </v:shape>
            <v:rect style="position:absolute;left:5074;top:6518;width:96;height:55" filled="false" stroked="true" strokeweight=".465734pt" strokecolor="#000000"/>
            <v:rect style="position:absolute;left:1723;top:294;width:8417;height:6372" filled="false" stroked="true" strokeweight=".500608pt" strokecolor="#000000"/>
            <v:shape style="position:absolute;left:5004;top:6455;width:1841;height:212" type="#_x0000_t202" filled="false" stroked="false">
              <v:textbox inset="0,0,0,0">
                <w:txbxContent>
                  <w:p>
                    <w:pPr>
                      <w:spacing w:before="24"/>
                      <w:ind w:left="223" w:right="0" w:firstLine="0"/>
                      <w:jc w:val="left"/>
                      <w:rPr>
                        <w:sz w:val="10"/>
                      </w:rPr>
                    </w:pPr>
                    <w:r>
                      <w:rPr>
                        <w:w w:val="170"/>
                        <w:sz w:val="10"/>
                      </w:rPr>
                      <w:t>millones de dólares</w:t>
                    </w:r>
                  </w:p>
                </w:txbxContent>
              </v:textbox>
              <w10:wrap type="none"/>
            </v:shape>
            <v:shape style="position:absolute;left:1946;top:1227;width:1792;height:4410" type="#_x0000_t202" filled="false" stroked="false">
              <v:textbox inset="0,0,0,0">
                <w:txbxContent>
                  <w:p>
                    <w:pPr>
                      <w:spacing w:line="104" w:lineRule="exact" w:before="0"/>
                      <w:ind w:left="0" w:right="12" w:firstLine="0"/>
                      <w:jc w:val="right"/>
                      <w:rPr>
                        <w:sz w:val="10"/>
                      </w:rPr>
                    </w:pPr>
                    <w:r>
                      <w:rPr>
                        <w:w w:val="170"/>
                        <w:sz w:val="10"/>
                      </w:rPr>
                      <w:t>Venezuela, RB.</w:t>
                    </w:r>
                  </w:p>
                  <w:p>
                    <w:pPr>
                      <w:spacing w:line="391" w:lineRule="auto" w:before="72"/>
                      <w:ind w:left="1024" w:right="6" w:firstLine="96"/>
                      <w:jc w:val="right"/>
                      <w:rPr>
                        <w:sz w:val="10"/>
                      </w:rPr>
                    </w:pPr>
                    <w:r>
                      <w:rPr>
                        <w:w w:val="170"/>
                        <w:sz w:val="10"/>
                      </w:rPr>
                      <w:t>Uruguay </w:t>
                    </w:r>
                    <w:r>
                      <w:rPr>
                        <w:w w:val="165"/>
                        <w:sz w:val="10"/>
                      </w:rPr>
                      <w:t>Suriname</w:t>
                    </w:r>
                  </w:p>
                  <w:p>
                    <w:pPr>
                      <w:spacing w:before="2"/>
                      <w:ind w:left="0" w:right="5" w:firstLine="0"/>
                      <w:jc w:val="right"/>
                      <w:rPr>
                        <w:sz w:val="10"/>
                      </w:rPr>
                    </w:pPr>
                    <w:r>
                      <w:rPr>
                        <w:w w:val="170"/>
                        <w:sz w:val="10"/>
                      </w:rPr>
                      <w:t>República Dominicana</w:t>
                    </w:r>
                  </w:p>
                  <w:p>
                    <w:pPr>
                      <w:spacing w:line="388" w:lineRule="auto" w:before="74"/>
                      <w:ind w:left="983" w:right="6" w:firstLine="427"/>
                      <w:jc w:val="right"/>
                      <w:rPr>
                        <w:sz w:val="10"/>
                      </w:rPr>
                    </w:pPr>
                    <w:r>
                      <w:rPr>
                        <w:w w:val="170"/>
                        <w:sz w:val="10"/>
                      </w:rPr>
                      <w:t>Perú</w:t>
                    </w:r>
                    <w:r>
                      <w:rPr>
                        <w:w w:val="168"/>
                        <w:sz w:val="10"/>
                      </w:rPr>
                      <w:t> </w:t>
                    </w:r>
                    <w:r>
                      <w:rPr>
                        <w:w w:val="165"/>
                        <w:sz w:val="10"/>
                      </w:rPr>
                      <w:t>Paraguay Panamá Nicaragua </w:t>
                    </w:r>
                    <w:r>
                      <w:rPr>
                        <w:w w:val="170"/>
                        <w:sz w:val="10"/>
                      </w:rPr>
                      <w:t>Mèxico</w:t>
                    </w:r>
                    <w:r>
                      <w:rPr>
                        <w:w w:val="168"/>
                        <w:sz w:val="10"/>
                      </w:rPr>
                      <w:t> </w:t>
                    </w:r>
                    <w:r>
                      <w:rPr>
                        <w:w w:val="170"/>
                        <w:sz w:val="10"/>
                      </w:rPr>
                      <w:t>Jamaica</w:t>
                    </w:r>
                    <w:r>
                      <w:rPr>
                        <w:w w:val="168"/>
                        <w:sz w:val="10"/>
                      </w:rPr>
                      <w:t> </w:t>
                    </w:r>
                    <w:r>
                      <w:rPr>
                        <w:w w:val="170"/>
                        <w:sz w:val="10"/>
                      </w:rPr>
                      <w:t>Honduras</w:t>
                    </w:r>
                  </w:p>
                  <w:p>
                    <w:pPr>
                      <w:spacing w:line="391" w:lineRule="auto" w:before="5"/>
                      <w:ind w:left="914" w:right="0" w:firstLine="511"/>
                      <w:jc w:val="right"/>
                      <w:rPr>
                        <w:sz w:val="10"/>
                      </w:rPr>
                    </w:pPr>
                    <w:r>
                      <w:rPr>
                        <w:w w:val="170"/>
                        <w:sz w:val="10"/>
                      </w:rPr>
                      <w:t>Haití</w:t>
                    </w:r>
                    <w:r>
                      <w:rPr>
                        <w:w w:val="168"/>
                        <w:sz w:val="10"/>
                      </w:rPr>
                      <w:t> </w:t>
                    </w:r>
                    <w:r>
                      <w:rPr>
                        <w:w w:val="165"/>
                        <w:sz w:val="10"/>
                      </w:rPr>
                      <w:t>Guyana Guatemala</w:t>
                    </w:r>
                  </w:p>
                  <w:p>
                    <w:pPr>
                      <w:spacing w:line="391" w:lineRule="auto" w:before="2"/>
                      <w:ind w:left="885" w:right="3" w:hanging="372"/>
                      <w:jc w:val="right"/>
                      <w:rPr>
                        <w:sz w:val="10"/>
                      </w:rPr>
                    </w:pPr>
                    <w:r>
                      <w:rPr>
                        <w:w w:val="170"/>
                        <w:sz w:val="10"/>
                      </w:rPr>
                      <w:t>Estados Unidos</w:t>
                    </w:r>
                    <w:r>
                      <w:rPr>
                        <w:w w:val="168"/>
                        <w:sz w:val="10"/>
                      </w:rPr>
                      <w:t> </w:t>
                    </w:r>
                    <w:r>
                      <w:rPr>
                        <w:w w:val="170"/>
                        <w:sz w:val="10"/>
                      </w:rPr>
                      <w:t>El Salvador</w:t>
                    </w:r>
                    <w:r>
                      <w:rPr>
                        <w:w w:val="168"/>
                        <w:sz w:val="10"/>
                      </w:rPr>
                      <w:t> </w:t>
                    </w:r>
                    <w:r>
                      <w:rPr>
                        <w:w w:val="165"/>
                        <w:sz w:val="10"/>
                      </w:rPr>
                      <w:t>Ecuador </w:t>
                    </w:r>
                    <w:r>
                      <w:rPr>
                        <w:w w:val="170"/>
                        <w:sz w:val="10"/>
                      </w:rPr>
                      <w:t>Costa Rica</w:t>
                    </w:r>
                    <w:r>
                      <w:rPr>
                        <w:w w:val="168"/>
                        <w:sz w:val="10"/>
                      </w:rPr>
                      <w:t> </w:t>
                    </w:r>
                    <w:r>
                      <w:rPr>
                        <w:w w:val="165"/>
                        <w:sz w:val="10"/>
                      </w:rPr>
                      <w:t>Colombia</w:t>
                    </w:r>
                  </w:p>
                  <w:p>
                    <w:pPr>
                      <w:spacing w:line="391" w:lineRule="auto" w:before="2"/>
                      <w:ind w:left="1274" w:right="6" w:firstLine="110"/>
                      <w:jc w:val="both"/>
                      <w:rPr>
                        <w:sz w:val="10"/>
                      </w:rPr>
                    </w:pPr>
                    <w:r>
                      <w:rPr>
                        <w:w w:val="170"/>
                        <w:sz w:val="10"/>
                      </w:rPr>
                      <w:t>Chile Brasil Bolivia Belice</w:t>
                    </w:r>
                  </w:p>
                  <w:p>
                    <w:pPr>
                      <w:spacing w:line="113" w:lineRule="exact" w:before="2"/>
                      <w:ind w:left="0" w:right="6" w:firstLine="0"/>
                      <w:jc w:val="right"/>
                      <w:rPr>
                        <w:sz w:val="10"/>
                      </w:rPr>
                    </w:pPr>
                    <w:r>
                      <w:rPr>
                        <w:w w:val="170"/>
                        <w:sz w:val="10"/>
                      </w:rPr>
                      <w:t>Argentina</w:t>
                    </w:r>
                  </w:p>
                </w:txbxContent>
              </v:textbox>
              <w10:wrap type="none"/>
            </v:shape>
            <v:shape style="position:absolute;left:3886;top:5778;width:6033;height:102" type="#_x0000_t202" filled="false" stroked="false">
              <v:textbox inset="0,0,0,0">
                <w:txbxContent>
                  <w:p>
                    <w:pPr>
                      <w:tabs>
                        <w:tab w:pos="427" w:val="left" w:leader="none"/>
                      </w:tabs>
                      <w:spacing w:line="102" w:lineRule="exact" w:before="0"/>
                      <w:ind w:left="0" w:right="0" w:firstLine="0"/>
                      <w:jc w:val="left"/>
                      <w:rPr>
                        <w:sz w:val="10"/>
                      </w:rPr>
                    </w:pPr>
                    <w:r>
                      <w:rPr>
                        <w:w w:val="170"/>
                        <w:sz w:val="10"/>
                      </w:rPr>
                      <w:t>0</w:t>
                      <w:tab/>
                      <w:t>2000    4000    6000    8000   </w:t>
                    </w:r>
                    <w:r>
                      <w:rPr>
                        <w:spacing w:val="2"/>
                        <w:w w:val="170"/>
                        <w:sz w:val="10"/>
                      </w:rPr>
                      <w:t>10000  </w:t>
                    </w:r>
                    <w:r>
                      <w:rPr>
                        <w:w w:val="170"/>
                        <w:sz w:val="10"/>
                      </w:rPr>
                      <w:t>12000  </w:t>
                    </w:r>
                    <w:r>
                      <w:rPr>
                        <w:spacing w:val="2"/>
                        <w:w w:val="170"/>
                        <w:sz w:val="10"/>
                      </w:rPr>
                      <w:t>14000  </w:t>
                    </w:r>
                    <w:r>
                      <w:rPr>
                        <w:w w:val="170"/>
                        <w:sz w:val="10"/>
                      </w:rPr>
                      <w:t>16000  </w:t>
                    </w:r>
                    <w:r>
                      <w:rPr>
                        <w:spacing w:val="2"/>
                        <w:w w:val="170"/>
                        <w:sz w:val="10"/>
                      </w:rPr>
                      <w:t>18000 </w:t>
                    </w:r>
                    <w:r>
                      <w:rPr>
                        <w:spacing w:val="7"/>
                        <w:w w:val="170"/>
                        <w:sz w:val="10"/>
                      </w:rPr>
                      <w:t> </w:t>
                    </w:r>
                    <w:r>
                      <w:rPr>
                        <w:spacing w:val="2"/>
                        <w:w w:val="170"/>
                        <w:sz w:val="10"/>
                      </w:rPr>
                      <w:t>20000</w:t>
                    </w:r>
                  </w:p>
                </w:txbxContent>
              </v:textbox>
              <w10:wrap type="none"/>
            </v:shape>
            <w10:wrap type="topAndBottom"/>
          </v:group>
        </w:pict>
      </w:r>
    </w:p>
    <w:p>
      <w:pPr>
        <w:spacing w:before="8"/>
        <w:ind w:left="247" w:right="100" w:firstLine="0"/>
        <w:jc w:val="left"/>
        <w:rPr>
          <w:sz w:val="23"/>
        </w:rPr>
      </w:pPr>
      <w:r>
        <w:rPr>
          <w:sz w:val="21"/>
        </w:rPr>
        <w:t>Fuente: Elaboración propia con datos de  WorldBank</w:t>
      </w:r>
      <w:r>
        <w:rPr>
          <w:sz w:val="23"/>
        </w:rPr>
        <w:t>.</w:t>
      </w:r>
    </w:p>
    <w:p>
      <w:pPr>
        <w:pStyle w:val="BodyText"/>
        <w:rPr>
          <w:sz w:val="22"/>
        </w:rPr>
      </w:pPr>
    </w:p>
    <w:p>
      <w:pPr>
        <w:pStyle w:val="BodyText"/>
        <w:rPr>
          <w:sz w:val="22"/>
        </w:rPr>
      </w:pPr>
    </w:p>
    <w:p>
      <w:pPr>
        <w:pStyle w:val="BodyText"/>
        <w:rPr>
          <w:sz w:val="20"/>
        </w:rPr>
      </w:pPr>
    </w:p>
    <w:p>
      <w:pPr>
        <w:pStyle w:val="BodyText"/>
        <w:spacing w:line="364" w:lineRule="auto"/>
        <w:ind w:left="116" w:right="107"/>
        <w:jc w:val="both"/>
      </w:pPr>
      <w:r>
        <w:rPr/>
        <w:t>Las personas envían remesas a América Latina y el Caribe por  montos  que oscilan</w:t>
      </w:r>
      <w:r>
        <w:rPr>
          <w:spacing w:val="17"/>
        </w:rPr>
        <w:t> </w:t>
      </w:r>
      <w:r>
        <w:rPr/>
        <w:t>entre</w:t>
      </w:r>
      <w:r>
        <w:rPr>
          <w:spacing w:val="17"/>
        </w:rPr>
        <w:t> </w:t>
      </w:r>
      <w:r>
        <w:rPr/>
        <w:t>los</w:t>
      </w:r>
      <w:r>
        <w:rPr>
          <w:spacing w:val="18"/>
        </w:rPr>
        <w:t> </w:t>
      </w:r>
      <w:r>
        <w:rPr/>
        <w:t>US</w:t>
      </w:r>
      <w:r>
        <w:rPr>
          <w:spacing w:val="18"/>
        </w:rPr>
        <w:t> </w:t>
      </w:r>
      <w:r>
        <w:rPr/>
        <w:t>$200</w:t>
      </w:r>
      <w:r>
        <w:rPr>
          <w:spacing w:val="15"/>
        </w:rPr>
        <w:t> </w:t>
      </w:r>
      <w:r>
        <w:rPr/>
        <w:t>a</w:t>
      </w:r>
      <w:r>
        <w:rPr>
          <w:spacing w:val="21"/>
        </w:rPr>
        <w:t> </w:t>
      </w:r>
      <w:r>
        <w:rPr/>
        <w:t>US</w:t>
      </w:r>
      <w:r>
        <w:rPr>
          <w:spacing w:val="18"/>
        </w:rPr>
        <w:t> </w:t>
      </w:r>
      <w:r>
        <w:rPr/>
        <w:t>$300</w:t>
      </w:r>
      <w:r>
        <w:rPr>
          <w:spacing w:val="17"/>
        </w:rPr>
        <w:t> </w:t>
      </w:r>
      <w:r>
        <w:rPr/>
        <w:t>en</w:t>
      </w:r>
      <w:r>
        <w:rPr>
          <w:spacing w:val="17"/>
        </w:rPr>
        <w:t> </w:t>
      </w:r>
      <w:r>
        <w:rPr/>
        <w:t>promedio</w:t>
      </w:r>
      <w:r>
        <w:rPr>
          <w:spacing w:val="17"/>
        </w:rPr>
        <w:t> </w:t>
      </w:r>
      <w:r>
        <w:rPr/>
        <w:t>por</w:t>
      </w:r>
      <w:r>
        <w:rPr>
          <w:spacing w:val="16"/>
        </w:rPr>
        <w:t> </w:t>
      </w:r>
      <w:r>
        <w:rPr/>
        <w:t>mes,</w:t>
      </w:r>
      <w:r>
        <w:rPr>
          <w:spacing w:val="17"/>
        </w:rPr>
        <w:t> </w:t>
      </w:r>
      <w:r>
        <w:rPr/>
        <w:t>lo</w:t>
      </w:r>
      <w:r>
        <w:rPr>
          <w:spacing w:val="15"/>
        </w:rPr>
        <w:t> </w:t>
      </w:r>
      <w:r>
        <w:rPr/>
        <w:t>que</w:t>
      </w:r>
      <w:r>
        <w:rPr>
          <w:spacing w:val="21"/>
        </w:rPr>
        <w:t> </w:t>
      </w:r>
      <w:r>
        <w:rPr/>
        <w:t>no</w:t>
      </w:r>
      <w:r>
        <w:rPr>
          <w:spacing w:val="17"/>
        </w:rPr>
        <w:t> </w:t>
      </w:r>
      <w:r>
        <w:rPr/>
        <w:t>ocurre</w:t>
      </w:r>
      <w:r>
        <w:rPr>
          <w:spacing w:val="17"/>
        </w:rPr>
        <w:t> </w:t>
      </w:r>
      <w:r>
        <w:rPr/>
        <w:t>con</w:t>
      </w:r>
    </w:p>
    <w:p>
      <w:pPr>
        <w:spacing w:after="0" w:line="364" w:lineRule="auto"/>
        <w:jc w:val="both"/>
        <w:sectPr>
          <w:pgSz w:w="11900" w:h="16840"/>
          <w:pgMar w:header="0" w:footer="1676"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otros países del mundo pues los montos fluctúan apenas en US $50 a US $100 mensuales en promedio.</w:t>
      </w:r>
    </w:p>
    <w:p>
      <w:pPr>
        <w:pStyle w:val="BodyText"/>
        <w:rPr>
          <w:sz w:val="22"/>
        </w:rPr>
      </w:pPr>
    </w:p>
    <w:p>
      <w:pPr>
        <w:pStyle w:val="BodyText"/>
        <w:spacing w:line="364" w:lineRule="auto" w:before="155"/>
        <w:ind w:left="115" w:right="105"/>
        <w:jc w:val="both"/>
      </w:pPr>
      <w:r>
        <w:rPr/>
        <w:t>Los migrantes de América Latina y el Caribe son personas que trabajan en empleos no calificados que no llaman la atención en sus países de origen; sin embargo, esta clase de empleos se demandan con mayor frecuencia  en  los  países a donde van. Además, ahorran un porcentaje mucho más alto de sus ingresos que el que ahorra una familia media de los países ricos, y estos ahorros se traducen en flujos de remesas cada vez mayores (Donald, </w:t>
      </w:r>
      <w:r>
        <w:rPr>
          <w:spacing w:val="14"/>
        </w:rPr>
        <w:t> </w:t>
      </w:r>
      <w:r>
        <w:rPr/>
        <w:t>2005).</w:t>
      </w:r>
    </w:p>
    <w:p>
      <w:pPr>
        <w:pStyle w:val="BodyText"/>
        <w:rPr>
          <w:sz w:val="22"/>
        </w:rPr>
      </w:pPr>
    </w:p>
    <w:p>
      <w:pPr>
        <w:pStyle w:val="BodyText"/>
        <w:spacing w:line="364" w:lineRule="auto" w:before="155"/>
        <w:ind w:left="115" w:right="105"/>
        <w:jc w:val="both"/>
      </w:pPr>
      <w:r>
        <w:rPr/>
        <w:t>En el 2000, el costo promedio de enviar remesas a América Latina y el Caribe era de más del 15% del valor de cada operación pues si se quería enviar un monto de US$400, se tenía que pagar una tarifa de US$60, por lo que el envío se hacía por un monto total de US$460, este tema fue de gran impacto pues estuvo presente   en el año 2004 en los principales foros internacionales: la Cumbre  de  las  Américas (enero), la Cumbre de la Unión Europea/ América Latina y el Caribe (mayo) y la Cumbre del G-7 (junio). Así fue que para el de 2005 estas tarifas se redujeron a la mitad que en consecuencia se inyectan en las familias remitentes y receptoras un monto de US$3.000 millones más por año para usos y fines propios (Donald, 2005). Las encuestas realizadas por el BID 2004, demuestran que el porcentaje con mayor participación en recibir las remesas son las mujeres, pues  tan solo en México, Ecuador y República Dominicana, recaban el 60% de las remesas enviadas, esto se debe principalmente a que el sexo masculino se aventura con mayor frecuencia hacia la frontera en busca de un mejor nivel de   vida.</w:t>
      </w:r>
    </w:p>
    <w:p>
      <w:pPr>
        <w:pStyle w:val="BodyText"/>
        <w:rPr>
          <w:sz w:val="22"/>
        </w:rPr>
      </w:pPr>
    </w:p>
    <w:p>
      <w:pPr>
        <w:pStyle w:val="BodyText"/>
        <w:spacing w:line="364" w:lineRule="auto" w:before="155"/>
        <w:ind w:left="115" w:right="102"/>
        <w:jc w:val="both"/>
      </w:pPr>
      <w:r>
        <w:rPr/>
        <w:t>Por otro lado, la educación promedio de los migrantes es inferior a los estudios universitarios; en países como Brasil que el 79% de su educación es igual  o  inferior al de secundaria y en Ecuador el 81% tienen ese mismo nivel  de  educación. De los encuestados se encontró que en países como México y República   Dominicana,   el   48%   y   el   40%   respectivamente   tienen</w:t>
      </w:r>
      <w:r>
        <w:rPr>
          <w:spacing w:val="53"/>
        </w:rPr>
        <w:t> </w:t>
      </w:r>
      <w:r>
        <w:rPr/>
        <w:t>estudios</w:t>
      </w:r>
    </w:p>
    <w:p>
      <w:pPr>
        <w:spacing w:after="0" w:line="364" w:lineRule="auto"/>
        <w:jc w:val="both"/>
        <w:sectPr>
          <w:pgSz w:w="11900" w:h="16840"/>
          <w:pgMar w:header="0" w:footer="1676"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4"/>
        <w:jc w:val="both"/>
      </w:pPr>
      <w:r>
        <w:rPr/>
        <w:t>universitario o que truncaron la carrera universitaria (Donald, 2005). Alrededor de US$36,000 millones de remesas que se destinaron a América Latina en el 2004, provenían de los Estados Unidos, de ahí el 66% se consignan a México y el resto   a los demás países de América Latina, lo que indica que México es el principal  país receptor de Remesas en el Continente Americano. Más de la mitad de individuos que envían sus remesas a su país de origen son menores de 35 años, por lo que estos empleos en los que se encuentran inmersos son principalmente  los que no quieren realizar los norteamericanos promedios y estos son:  los  campos de la construcción, la jardinería y otros trabajos manuales, que en su mayoría los desempeñan el sexo</w:t>
      </w:r>
      <w:r>
        <w:rPr>
          <w:spacing w:val="48"/>
        </w:rPr>
        <w:t> </w:t>
      </w:r>
      <w:r>
        <w:rPr/>
        <w:t>masculino.</w:t>
      </w:r>
    </w:p>
    <w:p>
      <w:pPr>
        <w:pStyle w:val="BodyText"/>
        <w:rPr>
          <w:sz w:val="22"/>
        </w:rPr>
      </w:pPr>
    </w:p>
    <w:p>
      <w:pPr>
        <w:pStyle w:val="BodyText"/>
        <w:spacing w:line="364" w:lineRule="auto" w:before="155"/>
        <w:ind w:left="115" w:right="105"/>
        <w:jc w:val="both"/>
      </w:pPr>
      <w:r>
        <w:rPr/>
        <w:t>Los hispanoamericanos tienen empleos de porteros, guardacoches, personal de limpieza, obreros de construcción y lavaplatos, por lo que se deduce que estos remitentes tengan niveles bajos de educación e ingresos. Como esta clase de trabajadores envían cantidades fuertes de su ingreso a sus familiares  en  los países de América Latina; pues un sondeo importante es que en 2004 se enviaron alrededor de US$2,880 por persona, cuando sus ingresos anuales son en  promedio US$24,000 antes de deducir sus impuestos, lo que nos  da  un  porcentaje de 12% de su ingreso que envían a América Latina, este porcentaje el estadounidense medio no lo ahorra, ya que destina el 1.2% de sus  ingresos anuales (Departamento de Comercio de Estados </w:t>
      </w:r>
      <w:r>
        <w:rPr>
          <w:spacing w:val="5"/>
        </w:rPr>
        <w:t> </w:t>
      </w:r>
      <w:r>
        <w:rPr/>
        <w:t>Unidos).</w:t>
      </w:r>
    </w:p>
    <w:p>
      <w:pPr>
        <w:pStyle w:val="BodyText"/>
        <w:rPr>
          <w:sz w:val="22"/>
        </w:rPr>
      </w:pPr>
    </w:p>
    <w:p>
      <w:pPr>
        <w:pStyle w:val="BodyText"/>
        <w:spacing w:line="364" w:lineRule="auto" w:before="155"/>
        <w:ind w:left="115" w:right="105"/>
        <w:jc w:val="both"/>
      </w:pPr>
      <w:r>
        <w:rPr/>
        <w:t>Es frecuente que los migrantes que tienen viviendo en Estados Unidos diez años    o menos, envían con mayor frecuencia sus remesas al país de  origen,  y con  forme pasan los años el monto que se envía tiende a </w:t>
      </w:r>
      <w:r>
        <w:rPr>
          <w:spacing w:val="13"/>
        </w:rPr>
        <w:t> </w:t>
      </w:r>
      <w:r>
        <w:rPr/>
        <w:t>disminuir.</w:t>
      </w:r>
    </w:p>
    <w:p>
      <w:pPr>
        <w:pStyle w:val="BodyText"/>
        <w:rPr>
          <w:sz w:val="22"/>
        </w:rPr>
      </w:pPr>
    </w:p>
    <w:p>
      <w:pPr>
        <w:pStyle w:val="BodyText"/>
        <w:spacing w:before="2"/>
        <w:rPr>
          <w:sz w:val="30"/>
        </w:rPr>
      </w:pPr>
    </w:p>
    <w:p>
      <w:pPr>
        <w:pStyle w:val="Heading4"/>
        <w:numPr>
          <w:ilvl w:val="1"/>
          <w:numId w:val="6"/>
        </w:numPr>
        <w:tabs>
          <w:tab w:pos="505" w:val="left" w:leader="none"/>
        </w:tabs>
        <w:spacing w:line="240" w:lineRule="auto" w:before="0" w:after="0"/>
        <w:ind w:left="504" w:right="0" w:hanging="388"/>
        <w:jc w:val="both"/>
      </w:pPr>
      <w:r>
        <w:rPr/>
        <w:t>Comportamiento de las remesas en</w:t>
      </w:r>
      <w:r>
        <w:rPr>
          <w:spacing w:val="54"/>
        </w:rPr>
        <w:t> </w:t>
      </w:r>
      <w:r>
        <w:rPr/>
        <w:t>África</w:t>
      </w:r>
    </w:p>
    <w:p>
      <w:pPr>
        <w:pStyle w:val="BodyText"/>
        <w:spacing w:before="2"/>
        <w:rPr>
          <w:b/>
          <w:sz w:val="29"/>
        </w:rPr>
      </w:pPr>
    </w:p>
    <w:p>
      <w:pPr>
        <w:pStyle w:val="BodyText"/>
        <w:spacing w:line="364" w:lineRule="auto"/>
        <w:ind w:left="115" w:right="104"/>
        <w:jc w:val="both"/>
      </w:pPr>
      <w:r>
        <w:rPr/>
        <w:t>Las economías de los países exportadores de mano de obra de Medio Oriente y    el norte de África, incluidos Argelia, Egipto, Jordania, Marruecos, Siria, Sudán, Túnez</w:t>
      </w:r>
      <w:r>
        <w:rPr>
          <w:spacing w:val="36"/>
        </w:rPr>
        <w:t> </w:t>
      </w:r>
      <w:r>
        <w:rPr/>
        <w:t>y</w:t>
      </w:r>
      <w:r>
        <w:rPr>
          <w:spacing w:val="31"/>
        </w:rPr>
        <w:t> </w:t>
      </w:r>
      <w:r>
        <w:rPr/>
        <w:t>la</w:t>
      </w:r>
      <w:r>
        <w:rPr>
          <w:spacing w:val="32"/>
        </w:rPr>
        <w:t> </w:t>
      </w:r>
      <w:r>
        <w:rPr/>
        <w:t>República</w:t>
      </w:r>
      <w:r>
        <w:rPr>
          <w:spacing w:val="32"/>
        </w:rPr>
        <w:t> </w:t>
      </w:r>
      <w:r>
        <w:rPr/>
        <w:t>del</w:t>
      </w:r>
      <w:r>
        <w:rPr>
          <w:spacing w:val="42"/>
        </w:rPr>
        <w:t> </w:t>
      </w:r>
      <w:r>
        <w:rPr/>
        <w:t>Yemen</w:t>
      </w:r>
      <w:r>
        <w:rPr>
          <w:spacing w:val="32"/>
        </w:rPr>
        <w:t> </w:t>
      </w:r>
      <w:r>
        <w:rPr/>
        <w:t>se</w:t>
      </w:r>
      <w:r>
        <w:rPr>
          <w:spacing w:val="32"/>
        </w:rPr>
        <w:t> </w:t>
      </w:r>
      <w:r>
        <w:rPr/>
        <w:t>han</w:t>
      </w:r>
      <w:r>
        <w:rPr>
          <w:spacing w:val="35"/>
        </w:rPr>
        <w:t> </w:t>
      </w:r>
      <w:r>
        <w:rPr/>
        <w:t>vuelto</w:t>
      </w:r>
      <w:r>
        <w:rPr>
          <w:spacing w:val="35"/>
        </w:rPr>
        <w:t> </w:t>
      </w:r>
      <w:r>
        <w:rPr/>
        <w:t>crecientemente</w:t>
      </w:r>
      <w:r>
        <w:rPr>
          <w:spacing w:val="32"/>
        </w:rPr>
        <w:t> </w:t>
      </w:r>
      <w:r>
        <w:rPr/>
        <w:t>dependientes</w:t>
      </w:r>
      <w:r>
        <w:rPr>
          <w:spacing w:val="33"/>
        </w:rPr>
        <w:t> </w:t>
      </w:r>
      <w:r>
        <w:rPr/>
        <w:t>de</w:t>
      </w:r>
    </w:p>
    <w:p>
      <w:pPr>
        <w:spacing w:after="0" w:line="364" w:lineRule="auto"/>
        <w:jc w:val="both"/>
        <w:sectPr>
          <w:pgSz w:w="11900" w:h="16840"/>
          <w:pgMar w:header="0" w:footer="1676"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las entradas de remesas (El-Sakka, 2005:341). En África, los países tienden a migrar hacia los países petroleros del Golfo Árabe y Libia, de ahí que las remesas dependan de las tendencias de los precios mundiales del petróleo y de la inestabilidad política en los países que importan mano de</w:t>
      </w:r>
      <w:r>
        <w:rPr>
          <w:spacing w:val="61"/>
        </w:rPr>
        <w:t> </w:t>
      </w:r>
      <w:r>
        <w:rPr/>
        <w:t>obra.</w:t>
      </w:r>
    </w:p>
    <w:p>
      <w:pPr>
        <w:pStyle w:val="BodyText"/>
        <w:rPr>
          <w:sz w:val="22"/>
        </w:rPr>
      </w:pPr>
    </w:p>
    <w:p>
      <w:pPr>
        <w:pStyle w:val="BodyText"/>
        <w:spacing w:line="364" w:lineRule="auto" w:before="155"/>
        <w:ind w:left="115" w:right="105"/>
        <w:jc w:val="both"/>
      </w:pPr>
      <w:r>
        <w:rPr/>
        <w:t>Estudios de El-Sakka demuestran que al aumentar los ingresos petroleros en los países anfitriones se refuerzan los programas de inversión, conjuntamente con la demanda de trabajadores extranjeros, por otro lado la inestabilidad política, obstaculiza el flujo de remesas a los países exportadores de mano de  obra.</w:t>
      </w:r>
    </w:p>
    <w:p>
      <w:pPr>
        <w:pStyle w:val="BodyText"/>
        <w:rPr>
          <w:sz w:val="22"/>
        </w:rPr>
      </w:pPr>
    </w:p>
    <w:p>
      <w:pPr>
        <w:pStyle w:val="BodyText"/>
        <w:spacing w:line="364" w:lineRule="auto" w:before="155"/>
        <w:ind w:left="115" w:right="105"/>
        <w:jc w:val="both"/>
      </w:pPr>
      <w:r>
        <w:rPr/>
        <w:t>Marruecos es el país que percibe mayores flujos monetarios por concepto de remesas, pues tan solo en 2004 recibió US$4,220 millones que represento el 22.97% del total de remesas que ingreso en el continente Africano, estos  provienen en su mayor parte de Europa, por parte de Egipto las remesas  provienen de los países petroleros, de ahí que en el mismo año  recibiera  US$3,340 millones. Las remesas pueden tener un impacto inflacionario cuando  una creciente cantidad de dinero persigue a una cantidad limitada de bienes nacionales, especialmente en Egipto, Jordania, Sudan y Yemen. Esto, a su vez, genera una demanda de mayores importaciones y agrava el déficit de la balanza comercial (El-Sakka, 2005:351). Entre los usos más comunes de las remesas en Medio Oriente está la adquisición de tierra y</w:t>
      </w:r>
      <w:r>
        <w:rPr>
          <w:spacing w:val="56"/>
        </w:rPr>
        <w:t> </w:t>
      </w:r>
      <w:r>
        <w:rPr/>
        <w:t>vivienda.</w:t>
      </w:r>
    </w:p>
    <w:p>
      <w:pPr>
        <w:spacing w:after="0" w:line="364" w:lineRule="auto"/>
        <w:jc w:val="both"/>
        <w:sectPr>
          <w:pgSz w:w="11900" w:h="16840"/>
          <w:pgMar w:header="0" w:footer="1676" w:top="1600" w:bottom="1860" w:left="1540" w:right="1580"/>
        </w:sectPr>
      </w:pPr>
    </w:p>
    <w:p>
      <w:pPr>
        <w:pStyle w:val="BodyText"/>
        <w:rPr>
          <w:sz w:val="20"/>
        </w:rPr>
      </w:pPr>
    </w:p>
    <w:p>
      <w:pPr>
        <w:pStyle w:val="BodyText"/>
        <w:spacing w:before="5"/>
        <w:rPr>
          <w:sz w:val="16"/>
        </w:rPr>
      </w:pPr>
    </w:p>
    <w:p>
      <w:pPr>
        <w:pStyle w:val="Heading4"/>
        <w:spacing w:before="74"/>
        <w:ind w:left="343" w:right="100"/>
      </w:pPr>
      <w:r>
        <w:rPr/>
        <w:pict>
          <v:group style="position:absolute;margin-left:85.724998pt;margin-top:19.451174pt;width:422.45pt;height:362.2pt;mso-position-horizontal-relative:page;mso-position-vertical-relative:paragraph;z-index:4432;mso-wrap-distance-left:0;mso-wrap-distance-right:0" coordorigin="1714,389" coordsize="8449,7244">
            <v:shape style="position:absolute;left:4500;top:1034;width:4606;height:5914" type="#_x0000_t75" stroked="false">
              <v:imagedata r:id="rId131" o:title=""/>
            </v:shape>
            <v:line style="position:absolute" from="9100,1030" to="9100,6992" stroked="true" strokeweight=".6pt" strokecolor="#000000"/>
            <v:line style="position:absolute" from="6034,1031" to="6034,6991" stroked="true" strokeweight=".12pt" strokecolor="#000000"/>
            <v:line style="position:absolute" from="7570,1031" to="7570,6991" stroked="true" strokeweight=".12pt" strokecolor="#000000"/>
            <v:shape style="position:absolute;left:4498;top:1022;width:4608;height:5936" coordorigin="4498,1022" coordsize="4608,5936" path="m4510,1031l4498,1043,4498,6957,9106,6957,9106,6947,4510,6947,4510,1031xm9094,1031l9094,6947,9106,6947,9106,1043,9094,1031xm9106,1022l4498,1022,4498,1043,4510,1031,9106,1031,9106,1022xm9094,1031l4510,1031,4510,1043,9094,1043,9094,1031xm9106,1031l9094,1031,9106,1043,9106,1031xe" filled="true" fillcolor="#7f7f7f" stroked="false">
              <v:path arrowok="t"/>
              <v:fill type="solid"/>
            </v:shape>
            <v:shape style="position:absolute;left:4498;top:1022;width:4608;height:5936" coordorigin="4498,1022" coordsize="4608,5936" path="m4498,1031l4498,1022,9106,1022,9106,6957,4498,6957,4498,1031xe" filled="false" stroked="true" strokeweight=".12pt" strokecolor="#7f7f7f">
              <v:path arrowok="t"/>
            </v:shape>
            <v:shape style="position:absolute;left:4498;top:1031;width:4608;height:5916" coordorigin="4498,1031" coordsize="4608,5916" path="m4510,6947l4498,6947,9106,6947,9094,6947,9094,1031,9106,1043,4498,1043,4510,1031,4510,6947xe" filled="false" stroked="true" strokeweight=".12pt" strokecolor="#7f7f7f">
              <v:path arrowok="t"/>
            </v:shape>
            <v:line style="position:absolute" from="4512,6895" to="5110,6895" stroked="true" strokeweight="2.159976pt" strokecolor="#ffff00"/>
            <v:shape style="position:absolute;left:4512;top:6873;width:610;height:53" coordorigin="4512,6873" coordsize="610,53" path="m5098,6873l5098,6916,4512,6916,4512,6926,5110,6926,5122,6916,5122,6883,5110,6883,5098,6873xm5098,6873l4512,6873,4512,6883,5098,6883,5098,6873xm5122,6873l5098,6873,5110,6883,5122,6883,5122,6873xe" filled="true" fillcolor="#000000" stroked="false">
              <v:path arrowok="t"/>
              <v:fill type="solid"/>
            </v:shape>
            <v:shape style="position:absolute;left:4512;top:6873;width:610;height:53" coordorigin="4512,6873" coordsize="610,53" path="m5122,6873l5122,6916,5110,6926,4512,6926e" filled="false" stroked="true" strokeweight=".12pt" strokecolor="#000000">
              <v:path arrowok="t"/>
            </v:shape>
            <v:shape style="position:absolute;left:4512;top:6873;width:598;height:44" coordorigin="4512,6873" coordsize="598,44" path="m4512,6916l5110,6916,5098,6916,5098,6873e" filled="false" stroked="true" strokeweight=".12pt" strokecolor="#000000">
              <v:path arrowok="t"/>
            </v:shape>
            <v:shape style="position:absolute;left:4512;top:6873;width:598;height:10" coordorigin="4512,6873" coordsize="598,10" path="m5098,6873l5110,6883,4512,6883e" filled="false" stroked="true" strokeweight=".12pt" strokecolor="#000000">
              <v:path arrowok="t"/>
            </v:shape>
            <v:rect style="position:absolute;left:4512;top:6595;width:58;height:43" filled="true" fillcolor="#ffff00" stroked="false">
              <v:fill type="solid"/>
            </v:rect>
            <v:shape style="position:absolute;left:4512;top:6583;width:70;height:65" coordorigin="4512,6583" coordsize="70,65" path="m4558,6626l4512,6626,4512,6647,4570,6647,4570,6638,4558,6638,4558,6626xm4558,6595l4558,6638,4570,6626,4582,6626,4582,6604,4570,6604,4558,6595xm4582,6626l4570,6626,4558,6638,4582,6638,4582,6626xm4570,6583l4512,6583,4512,6604,4558,6604,4558,6595,4582,6595,4570,6583xm4582,6595l4558,6595,4570,6604,4582,6604,4582,6595xe" filled="true" fillcolor="#000000" stroked="false">
              <v:path arrowok="t"/>
              <v:fill type="solid"/>
            </v:shape>
            <v:shape style="position:absolute;left:4512;top:6583;width:70;height:65" coordorigin="4512,6583" coordsize="70,65" path="m4570,6583l4582,6595,4582,6638,4570,6638,4570,6647,4512,6647e" filled="false" stroked="true" strokeweight=".12pt" strokecolor="#000000">
              <v:path arrowok="t"/>
            </v:shape>
            <v:shape style="position:absolute;left:4512;top:6595;width:58;height:44" coordorigin="4512,6595" coordsize="58,44" path="m4512,6626l4570,6626,4558,6638,4558,6595,4570,6604,4512,6604e" filled="false" stroked="true" strokeweight=".12pt" strokecolor="#000000">
              <v:path arrowok="t"/>
            </v:shape>
            <v:line style="position:absolute" from="4512,6338" to="4522,6338" stroked="true" strokeweight="2.159974pt" strokecolor="#ffff00"/>
            <v:shape style="position:absolute;left:4512;top:6307;width:22;height:53" coordorigin="4512,6307" coordsize="22,53" path="m4534,6347l4522,6347,4512,6357,4512,6359,4534,6359,4534,6347xm4534,6307l4512,6307,4512,6357,4522,6347,4534,6347,4534,6307xe" filled="true" fillcolor="#000000" stroked="false">
              <v:path arrowok="t"/>
              <v:fill type="solid"/>
            </v:shape>
            <v:shape style="position:absolute;left:4512;top:6307;width:22;height:53" coordorigin="4512,6307" coordsize="22,53" path="m4534,6307l4534,6359,4522,6359,4512,6359e" filled="false" stroked="true" strokeweight=".12pt" strokecolor="#000000">
              <v:path arrowok="t"/>
            </v:shape>
            <v:shape style="position:absolute;left:4512;top:6347;width:10;height:10" coordorigin="4512,6347" coordsize="10,10" path="m4512,6347l4522,6347,4512,6357e" filled="false" stroked="true" strokeweight=".12pt" strokecolor="#000000">
              <v:path arrowok="t"/>
            </v:shape>
            <v:shape style="position:absolute;left:4512;top:6316;width:10;height:2" coordorigin="4512,6316" coordsize="10,0" path="m4512,6316l4522,6316,4512,6316e" filled="false" stroked="true" strokeweight=".12pt" strokecolor="#000000">
              <v:path arrowok="t"/>
            </v:shape>
            <v:rect style="position:absolute;left:4512;top:6028;width:46;height:43" filled="true" fillcolor="#ffff00" stroked="false">
              <v:fill type="solid"/>
            </v:rect>
            <v:shape style="position:absolute;left:4512;top:6028;width:46;height:53" coordorigin="4512,6028" coordsize="46,53" path="m4546,6028l4546,6071,4512,6071,4512,6081,4558,6081,4558,6038,4546,6028xm4546,6028l4512,6028,4512,6038,4546,6038,4546,6028xm4558,6028l4546,6028,4558,6038,4558,6028xe" filled="true" fillcolor="#000000" stroked="false">
              <v:path arrowok="t"/>
              <v:fill type="solid"/>
            </v:shape>
            <v:shape style="position:absolute;left:4512;top:6028;width:46;height:53" coordorigin="4512,6028" coordsize="46,53" path="m4558,6028l4558,6081,4512,6081e" filled="false" stroked="true" strokeweight=".12pt" strokecolor="#000000">
              <v:path arrowok="t"/>
            </v:shape>
            <v:shape style="position:absolute;left:4512;top:6028;width:46;height:44" coordorigin="4512,6028" coordsize="46,44" path="m4512,6071l4558,6071,4546,6071,4546,6028e" filled="false" stroked="true" strokeweight=".12pt" strokecolor="#000000">
              <v:path arrowok="t"/>
            </v:shape>
            <v:shape style="position:absolute;left:4512;top:6028;width:46;height:10" coordorigin="4512,6028" coordsize="46,10" path="m4546,6028l4558,6038,4512,6038e" filled="false" stroked="true" strokeweight=".12pt" strokecolor="#000000">
              <v:path arrowok="t"/>
            </v:shape>
            <v:rect style="position:absolute;left:4512;top:5750;width:58;height:43" filled="true" fillcolor="#ffff00" stroked="false">
              <v:fill type="solid"/>
            </v:rect>
            <v:shape style="position:absolute;left:4512;top:5738;width:70;height:65" coordorigin="4512,5738" coordsize="70,65" path="m4558,5781l4512,5781,4512,5803,4570,5803,4570,5793,4558,5793,4558,5781xm4558,5750l4558,5793,4570,5781,4582,5781,4582,5759,4570,5759,4558,5750xm4582,5781l4570,5781,4558,5793,4582,5793,4582,5781xm4570,5738l4512,5738,4512,5759,4558,5759,4558,5750,4582,5750,4570,5738xm4582,5750l4558,5750,4570,5759,4582,5759,4582,5750xe" filled="true" fillcolor="#000000" stroked="false">
              <v:path arrowok="t"/>
              <v:fill type="solid"/>
            </v:shape>
            <v:shape style="position:absolute;left:4512;top:5738;width:70;height:65" coordorigin="4512,5738" coordsize="70,65" path="m4570,5738l4582,5750,4582,5793,4570,5793,4570,5803,4512,5803e" filled="false" stroked="true" strokeweight=".12pt" strokecolor="#000000">
              <v:path arrowok="t"/>
            </v:shape>
            <v:shape style="position:absolute;left:4512;top:5750;width:58;height:44" coordorigin="4512,5750" coordsize="58,44" path="m4512,5781l4570,5781,4558,5793,4558,5750,4570,5759,4512,5759e" filled="false" stroked="true" strokeweight=".12pt" strokecolor="#000000">
              <v:path arrowok="t"/>
            </v:shape>
            <v:rect style="position:absolute;left:4512;top:5471;width:82;height:43" filled="true" fillcolor="#ffff00" stroked="false">
              <v:fill type="solid"/>
            </v:rect>
            <v:shape style="position:absolute;left:4512;top:5459;width:94;height:56" coordorigin="4512,5459" coordsize="94,56" path="m4582,5503l4512,5503,4512,5515,4582,5515,4582,5503xm4606,5459l4512,5459,4512,5471,4582,5471,4582,5515,4594,5503,4606,5503,4606,5459xm4606,5503l4594,5503,4582,5515,4606,5515,4606,5503xe" filled="true" fillcolor="#000000" stroked="false">
              <v:path arrowok="t"/>
              <v:fill type="solid"/>
            </v:shape>
            <v:shape style="position:absolute;left:4512;top:5459;width:94;height:56" coordorigin="4512,5459" coordsize="94,56" path="m4606,5459l4606,5515,4594,5515,4512,5515e" filled="false" stroked="true" strokeweight=".12pt" strokecolor="#000000">
              <v:path arrowok="t"/>
            </v:shape>
            <v:shape style="position:absolute;left:4512;top:5471;width:82;height:44" coordorigin="4512,5471" coordsize="82,44" path="m4512,5503l4594,5503,4582,5515,4582,5471,4594,5471,4512,5471e" filled="false" stroked="true" strokeweight=".12pt" strokecolor="#000000">
              <v:path arrowok="t"/>
            </v:shape>
            <v:line style="position:absolute" from="4512,5204" to="6682,5204" stroked="true" strokeweight="2.039971pt" strokecolor="#ffff00"/>
            <v:line style="position:absolute" from="4512,5231" to="6694,5231" stroked="true" strokeweight=".6pt" strokecolor="#000000"/>
            <v:line style="position:absolute" from="6682,5204" to="6694,5204" stroked="true" strokeweight="2.1pt" strokecolor="#000000"/>
            <v:line style="position:absolute" from="4512,5188" to="6682,5188" stroked="true" strokeweight=".479971pt" strokecolor="#000000"/>
            <v:shape style="position:absolute;left:4512;top:5183;width:2182;height:53" coordorigin="4512,5183" coordsize="2182,53" path="m6694,5183l6694,5236,4512,5236e" filled="false" stroked="true" strokeweight=".12pt" strokecolor="#000000">
              <v:path arrowok="t"/>
            </v:shape>
            <v:shape style="position:absolute;left:4512;top:5183;width:2170;height:41" coordorigin="4512,5183" coordsize="2170,41" path="m4512,5224l6682,5224,6682,5183e" filled="false" stroked="true" strokeweight=".12pt" strokecolor="#000000">
              <v:path arrowok="t"/>
            </v:shape>
            <v:shape style="position:absolute;left:4512;top:5183;width:2170;height:10" coordorigin="4512,5183" coordsize="2170,10" path="m6682,5183l6682,5193,4512,5193e" filled="false" stroked="true" strokeweight=".12pt" strokecolor="#000000">
              <v:path arrowok="t"/>
            </v:shape>
            <v:line style="position:absolute" from="4512,4927" to="4546,4927" stroked="true" strokeweight="2.15997pt" strokecolor="#ffff00"/>
            <v:shape style="position:absolute;left:4512;top:4893;width:34;height:65" coordorigin="4512,4893" coordsize="34,65" path="m4534,4936l4512,4936,4512,4958,4546,4958,4546,4948,4534,4948,4534,4936xm4534,4905l4534,4948,4546,4936,4546,4915,4534,4905xm4546,4936l4534,4948,4546,4948,4546,4936xm4546,4893l4512,4893,4512,4915,4534,4915,4534,4905,4546,4905,4546,4893xm4546,4905l4534,4905,4546,4915,4546,4905xe" filled="true" fillcolor="#000000" stroked="false">
              <v:path arrowok="t"/>
              <v:fill type="solid"/>
            </v:shape>
            <v:shape style="position:absolute;left:4512;top:4893;width:34;height:65" coordorigin="4512,4893" coordsize="34,65" path="m4546,4893l4546,4958,4512,4958e" filled="false" stroked="true" strokeweight=".12pt" strokecolor="#000000">
              <v:path arrowok="t"/>
            </v:shape>
            <v:shape style="position:absolute;left:4512;top:4905;width:34;height:44" coordorigin="4512,4905" coordsize="34,44" path="m4512,4936l4546,4936,4534,4948,4534,4905,4546,4915,4512,4915e" filled="false" stroked="true" strokeweight=".12pt" strokecolor="#000000">
              <v:path arrowok="t"/>
            </v:shape>
            <v:line style="position:absolute" from="4512,4648" to="4522,4648" stroked="true" strokeweight="2.159969pt" strokecolor="#ffff00"/>
            <v:shape style="position:absolute;left:4512;top:4615;width:22;height:56" coordorigin="4512,4615" coordsize="22,56" path="m4522,4658l4512,4658,4512,4670,4522,4670,4522,4658xm4534,4615l4512,4615,4512,4627,4522,4627,4522,4670,4534,4670,4534,4615xe" filled="true" fillcolor="#000000" stroked="false">
              <v:path arrowok="t"/>
              <v:fill type="solid"/>
            </v:shape>
            <v:shape style="position:absolute;left:4512;top:4615;width:22;height:56" coordorigin="4512,4615" coordsize="22,56" path="m4534,4615l4534,4670,4512,4670e" filled="false" stroked="true" strokeweight=".12pt" strokecolor="#000000">
              <v:path arrowok="t"/>
            </v:shape>
            <v:shape style="position:absolute;left:4512;top:4627;width:10;height:44" coordorigin="4512,4627" coordsize="10,44" path="m4512,4658l4522,4658,4522,4670,4522,4627,4512,4627e" filled="false" stroked="true" strokeweight=".12pt" strokecolor="#000000">
              <v:path arrowok="t"/>
            </v:shape>
            <v:line style="position:absolute" from="4512,4358" to="4918,4358" stroked="true" strokeweight="2.159968pt" strokecolor="#ffff00"/>
            <v:shape style="position:absolute;left:4512;top:4336;width:406;height:56" coordorigin="4512,4336" coordsize="406,56" path="m4906,4336l4906,4379,4512,4379,4512,4391,4918,4391,4918,4348,4906,4336xm4906,4336l4512,4336,4512,4348,4906,4348,4906,4336xm4918,4336l4906,4336,4918,4348,4918,4336xe" filled="true" fillcolor="#000000" stroked="false">
              <v:path arrowok="t"/>
              <v:fill type="solid"/>
            </v:shape>
            <v:shape style="position:absolute;left:4512;top:4336;width:406;height:56" coordorigin="4512,4336" coordsize="406,56" path="m4918,4336l4918,4391,4512,4391e" filled="false" stroked="true" strokeweight=".12pt" strokecolor="#000000">
              <v:path arrowok="t"/>
            </v:shape>
            <v:shape style="position:absolute;left:4512;top:4336;width:406;height:44" coordorigin="4512,4336" coordsize="406,44" path="m4512,4379l4918,4379,4906,4379,4906,4336e" filled="false" stroked="true" strokeweight=".12pt" strokecolor="#000000">
              <v:path arrowok="t"/>
            </v:shape>
            <v:shape style="position:absolute;left:4512;top:4336;width:406;height:12" coordorigin="4512,4336" coordsize="406,12" path="m4906,4336l4918,4348,4512,4348e" filled="false" stroked="true" strokeweight=".12pt" strokecolor="#000000">
              <v:path arrowok="t"/>
            </v:shape>
            <v:line style="position:absolute" from="4512,4081" to="4702,4081" stroked="true" strokeweight="2.039967pt" strokecolor="#ffff00"/>
            <v:shape style="position:absolute;left:4512;top:4048;width:190;height:65" coordorigin="4512,4048" coordsize="190,65" path="m4690,4091l4512,4091,4512,4113,4702,4113,4702,4101,4690,4101,4690,4091xm4702,4048l4512,4048,4512,4060,4690,4060,4690,4101,4702,4091,4702,4048xm4702,4091l4690,4101,4702,4101,4702,4091xe" filled="true" fillcolor="#000000" stroked="false">
              <v:path arrowok="t"/>
              <v:fill type="solid"/>
            </v:shape>
            <v:shape style="position:absolute;left:4512;top:4048;width:190;height:65" coordorigin="4512,4048" coordsize="190,65" path="m4702,4048l4702,4113,4512,4113e" filled="false" stroked="true" strokeweight=".12pt" strokecolor="#000000">
              <v:path arrowok="t"/>
            </v:shape>
            <v:shape style="position:absolute;left:4512;top:4060;width:190;height:41" coordorigin="4512,4060" coordsize="190,41" path="m4512,4091l4702,4091,4690,4101,4690,4060,4702,4060,4512,4060e" filled="false" stroked="true" strokeweight=".12pt" strokecolor="#000000">
              <v:path arrowok="t"/>
            </v:shape>
            <v:rect style="position:absolute;left:4512;top:3770;width:46;height:55" filled="true" fillcolor="#ffff00" stroked="false">
              <v:fill type="solid"/>
            </v:rect>
            <v:shape style="position:absolute;left:4512;top:3770;width:58;height:56" coordorigin="4512,3770" coordsize="58,56" path="m4546,3813l4512,3813,4512,3825,4546,3825,4546,3813xm4546,3770l4546,3825,4558,3813,4570,3813,4570,3782,4558,3782,4546,3770xm4570,3813l4558,3813,4546,3825,4570,3825,4570,3813xm4546,3770l4512,3770,4512,3782,4546,3782,4546,3770xm4570,3770l4546,3770,4558,3782,4570,3782,4570,3770xe" filled="true" fillcolor="#000000" stroked="false">
              <v:path arrowok="t"/>
              <v:fill type="solid"/>
            </v:shape>
            <v:shape style="position:absolute;left:4512;top:3770;width:58;height:56" coordorigin="4512,3770" coordsize="58,56" path="m4570,3770l4570,3825,4558,3825,4512,3825e" filled="false" stroked="true" strokeweight=".12pt" strokecolor="#000000">
              <v:path arrowok="t"/>
            </v:shape>
            <v:shape style="position:absolute;left:4512;top:3770;width:46;height:56" coordorigin="4512,3770" coordsize="46,56" path="m4512,3813l4558,3813,4546,3825,4546,3770e" filled="false" stroked="true" strokeweight=".12pt" strokecolor="#000000">
              <v:path arrowok="t"/>
            </v:shape>
            <v:shape style="position:absolute;left:4512;top:3770;width:46;height:12" coordorigin="4512,3770" coordsize="46,12" path="m4546,3770l4558,3782,4512,3782e" filled="false" stroked="true" strokeweight=".12pt" strokecolor="#000000">
              <v:path arrowok="t"/>
            </v:shape>
            <v:line style="position:absolute" from="4512,3513" to="4642,3513" stroked="true" strokeweight="2.159966pt" strokecolor="#ffff00"/>
            <v:shape style="position:absolute;left:4512;top:3482;width:130;height:65" coordorigin="4512,3482" coordsize="130,65" path="m4630,3491l4630,3535,4512,3535,4512,3547,4642,3547,4642,3503,4630,3491xm4642,3482l4512,3482,4512,3503,4630,3503,4630,3491,4642,3491,4642,3482xm4642,3491l4630,3491,4642,3503,4642,3491xe" filled="true" fillcolor="#000000" stroked="false">
              <v:path arrowok="t"/>
              <v:fill type="solid"/>
            </v:shape>
            <v:shape style="position:absolute;left:4512;top:3482;width:130;height:65" coordorigin="4512,3482" coordsize="130,65" path="m4642,3482l4642,3547,4512,3547e" filled="false" stroked="true" strokeweight=".12pt" strokecolor="#000000">
              <v:path arrowok="t"/>
            </v:shape>
            <v:shape style="position:absolute;left:4512;top:3491;width:130;height:44" coordorigin="4512,3491" coordsize="130,44" path="m4512,3535l4642,3535,4630,3535,4630,3491,4642,3503,4512,3503e" filled="false" stroked="true" strokeweight=".12pt" strokecolor="#000000">
              <v:path arrowok="t"/>
            </v:shape>
            <v:line style="position:absolute" from="4512,3235" to="6154,3235" stroked="true" strokeweight="2.159965pt" strokecolor="#ffff00"/>
            <v:shape style="position:absolute;left:4512;top:3203;width:1654;height:65" coordorigin="4512,3203" coordsize="1654,65" path="m6154,3247l4512,3247,4512,3268,6154,3268,6166,3256,6154,3256,6154,3247xm6166,3203l4512,3203,4512,3213,6154,3213,6154,3256,6166,3256,6166,3203xe" filled="true" fillcolor="#000000" stroked="false">
              <v:path arrowok="t"/>
              <v:fill type="solid"/>
            </v:shape>
            <v:shape style="position:absolute;left:4512;top:3203;width:1654;height:65" coordorigin="4512,3203" coordsize="1654,65" path="m6166,3203l6166,3256,6154,3268,4512,3268e" filled="false" stroked="true" strokeweight=".12pt" strokecolor="#000000">
              <v:path arrowok="t"/>
            </v:shape>
            <v:shape style="position:absolute;left:4512;top:3213;width:1642;height:44" coordorigin="4512,3213" coordsize="1642,44" path="m4512,3247l6154,3247,6154,3256,6154,3213,4512,3213e" filled="false" stroked="true" strokeweight=".12pt" strokecolor="#000000">
              <v:path arrowok="t"/>
            </v:shape>
            <v:line style="position:absolute" from="4512,2951" to="5566,2951" stroked="true" strokeweight="2.639964pt" strokecolor="#ffff00"/>
            <v:line style="position:absolute" from="4512,2973" to="5566,2973" stroked="true" strokeweight=".48pt" strokecolor="#000000"/>
            <v:line style="position:absolute" from="5566,2951" to="5578,2951" stroked="true" strokeweight="2.639964pt" strokecolor="#000000"/>
            <v:line style="position:absolute" from="4512,2931" to="5566,2931" stroked="true" strokeweight=".599964pt" strokecolor="#000000"/>
            <v:shape style="position:absolute;left:4512;top:2925;width:1066;height:53" coordorigin="4512,2925" coordsize="1066,53" path="m5578,2925l5578,2978,4512,2978e" filled="false" stroked="true" strokeweight=".12pt" strokecolor="#000000">
              <v:path arrowok="t"/>
            </v:shape>
            <v:shape style="position:absolute;left:4512;top:2925;width:1054;height:53" coordorigin="4512,2925" coordsize="1054,53" path="m4512,2968l5566,2968,5566,2978,5566,2925e" filled="false" stroked="true" strokeweight=".12pt" strokecolor="#000000">
              <v:path arrowok="t"/>
            </v:shape>
            <v:shape style="position:absolute;left:4512;top:2925;width:1054;height:12" coordorigin="4512,2925" coordsize="1054,12" path="m5566,2925l5566,2937,4512,2937e" filled="false" stroked="true" strokeweight=".12pt" strokecolor="#000000">
              <v:path arrowok="t"/>
            </v:shape>
            <v:line style="position:absolute" from="4512,2668" to="4678,2668" stroked="true" strokeweight="2.159963pt" strokecolor="#ffff00"/>
            <v:line style="position:absolute" from="4512,2695" to="4690,2695" stroked="true" strokeweight=".6pt" strokecolor="#000000"/>
            <v:line style="position:absolute" from="4678,2668" to="4690,2668" stroked="true" strokeweight="2.1pt" strokecolor="#000000"/>
            <v:line style="position:absolute" from="4512,2653" to="4678,2653" stroked="true" strokeweight=".6pt" strokecolor="#000000"/>
            <v:line style="position:absolute" from="4512,2642" to="4690,2642" stroked="true" strokeweight=".5pt" strokecolor="#000000"/>
            <v:shape style="position:absolute;left:4512;top:2637;width:178;height:65" coordorigin="4512,2637" coordsize="178,65" path="m4690,2637l4690,2702,4512,2702e" filled="false" stroked="true" strokeweight=".12pt" strokecolor="#000000">
              <v:path arrowok="t"/>
            </v:shape>
            <v:shape style="position:absolute;left:4512;top:2647;width:166;height:44" coordorigin="4512,2647" coordsize="166,44" path="m4512,2690l4678,2690,4678,2647,4678,2659,4512,2659e" filled="false" stroked="true" strokeweight=".12pt" strokecolor="#000000">
              <v:path arrowok="t"/>
            </v:shape>
            <v:line style="position:absolute" from="4512,2390" to="4990,2390" stroked="true" strokeweight="2.159962pt" strokecolor="#ffff00"/>
            <v:line style="position:absolute" from="4512,2407" to="4990,2407" stroked="true" strokeweight=".48pt" strokecolor="#000000"/>
            <v:line style="position:absolute" from="4990,2390" to="5002,2390" stroked="true" strokeweight="2.1pt" strokecolor="#000000"/>
            <v:line style="position:absolute" from="4512,2364" to="5002,2364" stroked="true" strokeweight=".5pt" strokecolor="#000000"/>
            <v:shape style="position:absolute;left:4512;top:2359;width:490;height:53" coordorigin="4512,2359" coordsize="490,53" path="m5002,2359l5002,2411,4512,2411e" filled="false" stroked="true" strokeweight=".12pt" strokecolor="#000000">
              <v:path arrowok="t"/>
            </v:shape>
            <v:shape style="position:absolute;left:4512;top:2368;width:478;height:44" coordorigin="4512,2368" coordsize="478,44" path="m4512,2402l4990,2402,4990,2411,4990,2368,4512,2368e" filled="false" stroked="true" strokeweight=".12pt" strokecolor="#000000">
              <v:path arrowok="t"/>
            </v:shape>
            <v:rect style="position:absolute;left:4512;top:2080;width:46;height:43" filled="true" fillcolor="#ffff00" stroked="false">
              <v:fill type="solid"/>
            </v:rect>
            <v:shape style="position:absolute;left:4512;top:2080;width:58;height:53" coordorigin="4512,2080" coordsize="58,53" path="m4546,2080l4546,2123,4512,2123,4512,2133,4570,2133,4570,2090,4558,2090,4546,2080xm4546,2080l4512,2080,4512,2090,4546,2090,4546,2080xm4570,2080l4546,2080,4558,2090,4570,2090,4570,2080xe" filled="true" fillcolor="#000000" stroked="false">
              <v:path arrowok="t"/>
              <v:fill type="solid"/>
            </v:shape>
            <v:shape style="position:absolute;left:4512;top:2080;width:58;height:53" coordorigin="4512,2080" coordsize="58,53" path="m4570,2080l4570,2133,4558,2133,4512,2133e" filled="false" stroked="true" strokeweight=".12pt" strokecolor="#000000">
              <v:path arrowok="t"/>
            </v:shape>
            <v:shape style="position:absolute;left:4512;top:2080;width:46;height:44" coordorigin="4512,2080" coordsize="46,44" path="m4512,2123l4558,2123,4546,2123,4546,2080e" filled="false" stroked="true" strokeweight=".12pt" strokecolor="#000000">
              <v:path arrowok="t"/>
            </v:shape>
            <v:shape style="position:absolute;left:4512;top:2080;width:46;height:10" coordorigin="4512,2080" coordsize="46,10" path="m4546,2080l4558,2090,4512,2090e" filled="false" stroked="true" strokeweight=".12pt" strokecolor="#000000">
              <v:path arrowok="t"/>
            </v:shape>
            <v:line style="position:absolute" from="4512,1823" to="4534,1823" stroked="true" strokeweight="2.159961pt" strokecolor="#ffff00"/>
            <v:shape style="position:absolute;left:4512;top:1792;width:22;height:63" coordorigin="4512,1792" coordsize="22,63" path="m4522,1835l4512,1835,4512,1855,4534,1855,4534,1845,4522,1845,4522,1835xm4522,1802l4522,1845,4534,1835,4534,1814,4522,1802xm4534,1835l4522,1845,4534,1845,4534,1835xm4534,1792l4512,1792,4512,1814,4522,1814,4522,1802,4534,1802,4534,1792xm4534,1802l4522,1802,4534,1814,4534,1802xe" filled="true" fillcolor="#000000" stroked="false">
              <v:path arrowok="t"/>
              <v:fill type="solid"/>
            </v:shape>
            <v:shape style="position:absolute;left:4512;top:1792;width:22;height:63" coordorigin="4512,1792" coordsize="22,63" path="m4534,1792l4534,1855,4512,1855e" filled="false" stroked="true" strokeweight=".12pt" strokecolor="#000000">
              <v:path arrowok="t"/>
            </v:shape>
            <v:shape style="position:absolute;left:4512;top:1802;width:22;height:44" coordorigin="4512,1802" coordsize="22,44" path="m4512,1835l4534,1835,4522,1845,4522,1802,4534,1814,4512,1814e" filled="false" stroked="true" strokeweight=".12pt" strokecolor="#000000">
              <v:path arrowok="t"/>
            </v:shape>
            <v:line style="position:absolute" from="4512,1545" to="5110,1545" stroked="true" strokeweight="2.15996pt" strokecolor="#ffff00"/>
            <v:line style="position:absolute" from="4512,1562" to="5110,1562" stroked="true" strokeweight=".48pt" strokecolor="#000000"/>
            <v:line style="position:absolute" from="5110,1545" to="5122,1545" stroked="true" strokeweight="2.2pt" strokecolor="#000000"/>
            <v:line style="position:absolute" from="4512,1518" to="5122,1518" stroked="true" strokeweight=".5pt" strokecolor="#000000"/>
            <v:shape style="position:absolute;left:4512;top:1514;width:610;height:53" coordorigin="4512,1514" coordsize="610,53" path="m5122,1514l5122,1567,4512,1567e" filled="false" stroked="true" strokeweight=".12pt" strokecolor="#000000">
              <v:path arrowok="t"/>
            </v:shape>
            <v:shape style="position:absolute;left:4512;top:1523;width:598;height:44" coordorigin="4512,1523" coordsize="598,44" path="m4512,1557l5110,1557,5110,1567,5110,1523,4512,1523e" filled="false" stroked="true" strokeweight=".12pt" strokecolor="#000000">
              <v:path arrowok="t"/>
            </v:shape>
            <v:line style="position:absolute" from="4512,1257" to="4690,1257" stroked="true" strokeweight="2.159959pt" strokecolor="#ffff00"/>
            <v:shape style="position:absolute;left:4512;top:1235;width:178;height:53" coordorigin="4512,1235" coordsize="178,53" path="m4678,1235l4678,1279,4512,1279,4512,1288,4690,1288,4690,1245,4678,1235xm4678,1235l4512,1235,4512,1245,4678,1245,4678,1235xm4690,1235l4678,1235,4690,1245,4690,1235xe" filled="true" fillcolor="#000000" stroked="false">
              <v:path arrowok="t"/>
              <v:fill type="solid"/>
            </v:shape>
            <v:shape style="position:absolute;left:4512;top:1235;width:178;height:53" coordorigin="4512,1235" coordsize="178,53" path="m4690,1235l4690,1288,4512,1288e" filled="false" stroked="true" strokeweight=".12pt" strokecolor="#000000">
              <v:path arrowok="t"/>
            </v:shape>
            <v:shape style="position:absolute;left:4512;top:1235;width:178;height:44" coordorigin="4512,1235" coordsize="178,44" path="m4512,1279l4690,1279,4678,1279,4678,1235e" filled="false" stroked="true" strokeweight=".12pt" strokecolor="#000000">
              <v:path arrowok="t"/>
            </v:shape>
            <v:shape style="position:absolute;left:4512;top:1235;width:178;height:10" coordorigin="4512,1235" coordsize="178,10" path="m4678,1235l4690,1245,4512,1245e" filled="false" stroked="true" strokeweight=".12pt" strokecolor="#000000">
              <v:path arrowok="t"/>
            </v:shape>
            <v:line style="position:absolute" from="4512,6851" to="5014,6851" stroked="true" strokeweight="2.159976pt" strokecolor="#993265"/>
            <v:line style="position:absolute" from="4512,6878" to="5026,6878" stroked="true" strokeweight=".5pt" strokecolor="#000000"/>
            <v:line style="position:absolute" from="5014,6851" to="5026,6851" stroked="true" strokeweight="2.2pt" strokecolor="#000000"/>
            <v:line style="position:absolute" from="4512,6835" to="5014,6835" stroked="true" strokeweight=".479976pt" strokecolor="#000000"/>
            <v:shape style="position:absolute;left:4512;top:6830;width:514;height:53" coordorigin="4512,6830" coordsize="514,53" path="m5026,6830l5026,6883,5014,6883,4512,6883e" filled="false" stroked="true" strokeweight=".12pt" strokecolor="#000000">
              <v:path arrowok="t"/>
            </v:shape>
            <v:shape style="position:absolute;left:4512;top:6830;width:502;height:44" coordorigin="4512,6830" coordsize="502,44" path="m4512,6873l5014,6873,5014,6830e" filled="false" stroked="true" strokeweight=".12pt" strokecolor="#000000">
              <v:path arrowok="t"/>
            </v:shape>
            <v:shape style="position:absolute;left:4512;top:6830;width:502;height:10" coordorigin="4512,6830" coordsize="502,10" path="m5014,6830l5014,6839,4512,6839e" filled="false" stroked="true" strokeweight=".12pt" strokecolor="#000000">
              <v:path arrowok="t"/>
            </v:shape>
            <v:rect style="position:absolute;left:4512;top:6551;width:58;height:43" filled="true" fillcolor="#993265" stroked="false">
              <v:fill type="solid"/>
            </v:rect>
            <v:shape style="position:absolute;left:4512;top:6542;width:58;height:63" coordorigin="4512,6542" coordsize="58,63" path="m4558,6583l4512,6583,4512,6604,4570,6604,4570,6595,4558,6595,4558,6583xm4558,6551l4558,6595,4570,6583,4570,6563,4558,6551xm4570,6583l4558,6595,4570,6595,4570,6583xm4570,6542l4512,6542,4512,6563,4558,6563,4558,6551,4570,6551,4570,6542xm4570,6551l4558,6551,4570,6563,4570,6551xe" filled="true" fillcolor="#000000" stroked="false">
              <v:path arrowok="t"/>
              <v:fill type="solid"/>
            </v:shape>
            <v:shape style="position:absolute;left:4512;top:6542;width:58;height:63" coordorigin="4512,6542" coordsize="58,63" path="m4570,6542l4570,6604,4512,6604e" filled="false" stroked="true" strokeweight=".12pt" strokecolor="#000000">
              <v:path arrowok="t"/>
            </v:shape>
            <v:shape style="position:absolute;left:4512;top:6551;width:58;height:44" coordorigin="4512,6551" coordsize="58,44" path="m4512,6583l4570,6583,4558,6595,4558,6551,4570,6563,4512,6563e" filled="false" stroked="true" strokeweight=".12pt" strokecolor="#000000">
              <v:path arrowok="t"/>
            </v:shape>
            <v:shape style="position:absolute;left:4512;top:6263;width:22;height:53" coordorigin="4512,6263" coordsize="22,53" path="m4534,6307l4522,6307,4512,6314,4512,6316,4534,6316,4534,6307xm4534,6263l4512,6263,4512,6314,4522,6307,4534,6307,4534,6263xe" filled="true" fillcolor="#000000" stroked="false">
              <v:path arrowok="t"/>
              <v:fill type="solid"/>
            </v:shape>
            <v:shape style="position:absolute;left:4512;top:6263;width:22;height:53" coordorigin="4512,6263" coordsize="22,53" path="m4534,6263l4534,6316,4522,6316,4512,6316e" filled="false" stroked="true" strokeweight=".12pt" strokecolor="#000000">
              <v:path arrowok="t"/>
            </v:shape>
            <v:shape style="position:absolute;left:4512;top:6307;width:10;height:8" coordorigin="4512,6307" coordsize="10,8" path="m4512,6307l4522,6307,4512,6314e" filled="false" stroked="true" strokeweight=".12pt" strokecolor="#000000">
              <v:path arrowok="t"/>
            </v:shape>
            <v:shape style="position:absolute;left:4512;top:6273;width:10;height:2" coordorigin="4512,6273" coordsize="10,0" path="m4512,6273l4522,6273,4512,6273e" filled="false" stroked="true" strokeweight=".12pt" strokecolor="#000000">
              <v:path arrowok="t"/>
            </v:shape>
            <v:rect style="position:absolute;left:4512;top:5985;width:34;height:43" filled="true" fillcolor="#993265" stroked="false">
              <v:fill type="solid"/>
            </v:rect>
            <v:shape style="position:absolute;left:4512;top:5985;width:34;height:53" coordorigin="4512,5985" coordsize="34,53" path="m4534,5985l4534,6028,4512,6028,4512,6038,4546,6038,4546,5995,4534,5985xm4534,5985l4512,5985,4512,5995,4534,5995,4534,5985xm4546,5985l4534,5985,4546,5995,4546,5985xe" filled="true" fillcolor="#000000" stroked="false">
              <v:path arrowok="t"/>
              <v:fill type="solid"/>
            </v:shape>
            <v:shape style="position:absolute;left:4512;top:5985;width:34;height:53" coordorigin="4512,5985" coordsize="34,53" path="m4546,5985l4546,6038,4512,6038e" filled="false" stroked="true" strokeweight=".12pt" strokecolor="#000000">
              <v:path arrowok="t"/>
            </v:shape>
            <v:shape style="position:absolute;left:4512;top:5985;width:34;height:44" coordorigin="4512,5985" coordsize="34,44" path="m4512,6028l4546,6028,4534,6028,4534,5985e" filled="false" stroked="true" strokeweight=".12pt" strokecolor="#000000">
              <v:path arrowok="t"/>
            </v:shape>
            <v:shape style="position:absolute;left:4512;top:5985;width:34;height:10" coordorigin="4512,5985" coordsize="34,10" path="m4534,5985l4546,5995,4512,5995e" filled="false" stroked="true" strokeweight=".12pt" strokecolor="#000000">
              <v:path arrowok="t"/>
            </v:shape>
            <v:rect style="position:absolute;left:4512;top:5707;width:58;height:43" filled="true" fillcolor="#993265" stroked="false">
              <v:fill type="solid"/>
            </v:rect>
            <v:shape style="position:absolute;left:4512;top:5697;width:58;height:63" coordorigin="4512,5697" coordsize="58,63" path="m4558,5738l4512,5738,4512,5759,4570,5759,4570,5750,4558,5750,4558,5738xm4558,5707l4558,5750,4570,5738,4570,5716,4558,5707xm4570,5738l4558,5750,4570,5750,4570,5738xm4570,5697l4512,5697,4512,5716,4558,5716,4558,5707,4570,5707,4570,5697xm4570,5707l4558,5707,4570,5716,4570,5707xe" filled="true" fillcolor="#000000" stroked="false">
              <v:path arrowok="t"/>
              <v:fill type="solid"/>
            </v:shape>
            <v:shape style="position:absolute;left:4512;top:5697;width:58;height:63" coordorigin="4512,5697" coordsize="58,63" path="m4570,5697l4570,5759,4512,5759e" filled="false" stroked="true" strokeweight=".12pt" strokecolor="#000000">
              <v:path arrowok="t"/>
            </v:shape>
            <v:shape style="position:absolute;left:4512;top:5707;width:58;height:44" coordorigin="4512,5707" coordsize="58,44" path="m4512,5738l4570,5738,4558,5750,4558,5707,4570,5716,4512,5716e" filled="false" stroked="true" strokeweight=".12pt" strokecolor="#000000">
              <v:path arrowok="t"/>
            </v:shape>
            <v:rect style="position:absolute;left:4512;top:5419;width:82;height:53" filled="true" fillcolor="#993265" stroked="false">
              <v:fill type="solid"/>
            </v:rect>
            <v:shape style="position:absolute;left:4512;top:5419;width:82;height:53" coordorigin="4512,5419" coordsize="82,53" path="m4582,5459l4512,5459,4512,5471,4582,5471,4582,5459xm4582,5419l4582,5471,4594,5459,4594,5428,4582,5419xm4594,5459l4582,5471,4594,5471,4594,5459xm4582,5419l4512,5419,4512,5428,4582,5428,4582,5419xm4594,5419l4582,5419,4594,5428,4594,5419xe" filled="true" fillcolor="#000000" stroked="false">
              <v:path arrowok="t"/>
              <v:fill type="solid"/>
            </v:shape>
            <v:shape style="position:absolute;left:4512;top:5419;width:82;height:53" coordorigin="4512,5419" coordsize="82,53" path="m4594,5419l4594,5471,4512,5471e" filled="false" stroked="true" strokeweight=".12pt" strokecolor="#000000">
              <v:path arrowok="t"/>
            </v:shape>
            <v:shape style="position:absolute;left:4512;top:5419;width:82;height:53" coordorigin="4512,5419" coordsize="82,53" path="m4512,5459l4594,5459,4582,5471,4582,5419e" filled="false" stroked="true" strokeweight=".12pt" strokecolor="#000000">
              <v:path arrowok="t"/>
            </v:shape>
            <v:shape style="position:absolute;left:4512;top:5419;width:82;height:10" coordorigin="4512,5419" coordsize="82,10" path="m4582,5419l4594,5428,4512,5428e" filled="false" stroked="true" strokeweight=".12pt" strokecolor="#000000">
              <v:path arrowok="t"/>
            </v:shape>
            <v:line style="position:absolute" from="4512,5162" to="6730,5162" stroked="true" strokeweight="2.159971pt" strokecolor="#993265"/>
            <v:shape style="position:absolute;left:4512;top:5128;width:2230;height:65" coordorigin="4512,5128" coordsize="2230,65" path="m6742,5140l6730,5140,6730,5183,4512,5183,4512,5193,6742,5193,6742,5140xm6730,5128l4512,5128,4512,5150,6730,5150,6730,5140,6742,5140,6730,5128xe" filled="true" fillcolor="#000000" stroked="false">
              <v:path arrowok="t"/>
              <v:fill type="solid"/>
            </v:shape>
            <v:shape style="position:absolute;left:4512;top:5128;width:2230;height:65" coordorigin="4512,5128" coordsize="2230,65" path="m6730,5128l6742,5140,6742,5193,4512,5193e" filled="false" stroked="true" strokeweight=".12pt" strokecolor="#000000">
              <v:path arrowok="t"/>
            </v:shape>
            <v:shape style="position:absolute;left:4512;top:5140;width:2218;height:44" coordorigin="4512,5140" coordsize="2218,44" path="m4512,5183l6730,5183,6730,5140,6730,5150,4512,5150e" filled="false" stroked="true" strokeweight=".12pt" strokecolor="#000000">
              <v:path arrowok="t"/>
            </v:shape>
            <v:line style="position:absolute" from="4512,4883" to="4522,4883" stroked="true" strokeweight="2.15997pt" strokecolor="#993265"/>
            <v:shape style="position:absolute;left:4512;top:4850;width:10;height:65" coordorigin="4512,4850" coordsize="10,65" path="m4522,4893l4512,4903,4512,4915,4522,4915,4522,4893xm4522,4850l4512,4850,4512,4903,4522,4893,4522,4850xe" filled="true" fillcolor="#000000" stroked="false">
              <v:path arrowok="t"/>
              <v:fill type="solid"/>
            </v:shape>
            <v:shape style="position:absolute;left:4512;top:4850;width:10;height:65" coordorigin="4512,4850" coordsize="10,65" path="m4522,4850l4522,4915,4512,4915e" filled="false" stroked="true" strokeweight=".12pt" strokecolor="#000000">
              <v:path arrowok="t"/>
            </v:shape>
            <v:shape style="position:absolute;left:4512;top:4893;width:10;height:10" coordorigin="4512,4893" coordsize="10,10" path="m4512,4893l4522,4893,4512,4903e" filled="false" stroked="true" strokeweight=".12pt" strokecolor="#000000">
              <v:path arrowok="t"/>
            </v:shape>
            <v:shape style="position:absolute;left:4512;top:4862;width:10;height:2" coordorigin="4512,4862" coordsize="10,0" path="m4512,4862l4522,4862,4512,4862e" filled="false" stroked="true" strokeweight=".12pt" strokecolor="#000000">
              <v:path arrowok="t"/>
            </v:shape>
            <v:rect style="position:absolute;left:4512;top:4574;width:22;height:53" filled="true" fillcolor="#993265" stroked="false">
              <v:fill type="solid"/>
            </v:rect>
            <v:shape style="position:absolute;left:4512;top:4574;width:34;height:53" coordorigin="4512,4574" coordsize="34,53" path="m4534,4615l4512,4615,4512,4627,4534,4627,4534,4615xm4546,4574l4534,4574,4534,4627,4546,4627,4546,4574xm4534,4574l4512,4574,4512,4583,4534,4583,4534,4574xe" filled="true" fillcolor="#000000" stroked="false">
              <v:path arrowok="t"/>
              <v:fill type="solid"/>
            </v:shape>
            <v:shape style="position:absolute;left:4512;top:4574;width:34;height:53" coordorigin="4512,4574" coordsize="34,53" path="m4546,4574l4546,4627,4512,4627e" filled="false" stroked="true" strokeweight=".12pt" strokecolor="#000000">
              <v:path arrowok="t"/>
            </v:shape>
            <v:shape style="position:absolute;left:4512;top:4574;width:22;height:53" coordorigin="4512,4574" coordsize="22,53" path="m4512,4615l4534,4615,4534,4627,4534,4574e" filled="false" stroked="true" strokeweight=".12pt" strokecolor="#000000">
              <v:path arrowok="t"/>
            </v:shape>
            <v:shape style="position:absolute;left:4512;top:4574;width:22;height:10" coordorigin="4512,4574" coordsize="22,10" path="m4534,4574l4534,4583,4512,4583e" filled="false" stroked="true" strokeweight=".12pt" strokecolor="#000000">
              <v:path arrowok="t"/>
            </v:shape>
            <v:line style="position:absolute" from="4512,4316" to="4894,4316" stroked="true" strokeweight="2.039968pt" strokecolor="#993265"/>
            <v:shape style="position:absolute;left:4512;top:4283;width:394;height:65" coordorigin="4512,4283" coordsize="394,65" path="m4906,4295l4894,4295,4894,4336,4512,4336,4512,4348,4906,4348,4906,4295xm4894,4283l4512,4283,4512,4305,4894,4305,4894,4295,4906,4295,4894,4283xe" filled="true" fillcolor="#000000" stroked="false">
              <v:path arrowok="t"/>
              <v:fill type="solid"/>
            </v:shape>
            <v:shape style="position:absolute;left:4512;top:4283;width:394;height:65" coordorigin="4512,4283" coordsize="394,65" path="m4894,4283l4906,4295,4906,4348,4512,4348e" filled="false" stroked="true" strokeweight=".12pt" strokecolor="#000000">
              <v:path arrowok="t"/>
            </v:shape>
            <v:shape style="position:absolute;left:4512;top:4295;width:382;height:41" coordorigin="4512,4295" coordsize="382,41" path="m4512,4336l4894,4336,4894,4295,4894,4305,4512,4305e" filled="false" stroked="true" strokeweight=".12pt" strokecolor="#000000">
              <v:path arrowok="t"/>
            </v:shape>
            <v:line style="position:absolute" from="4512,4039" to="4666,4039" stroked="true" strokeweight="2.159967pt" strokecolor="#993265"/>
            <v:shape style="position:absolute;left:4512;top:4005;width:154;height:56" coordorigin="4512,4005" coordsize="154,56" path="m4654,4048l4512,4048,4512,4060,4654,4060,4654,4048xm4666,4005l4512,4005,4512,4017,4654,4017,4654,4060,4666,4048,4666,4005xm4666,4048l4654,4060,4666,4060,4666,4048xe" filled="true" fillcolor="#000000" stroked="false">
              <v:path arrowok="t"/>
              <v:fill type="solid"/>
            </v:shape>
            <v:shape style="position:absolute;left:4512;top:4005;width:154;height:56" coordorigin="4512,4005" coordsize="154,56" path="m4666,4005l4666,4060,4512,4060e" filled="false" stroked="true" strokeweight=".12pt" strokecolor="#000000">
              <v:path arrowok="t"/>
            </v:shape>
            <v:shape style="position:absolute;left:4512;top:4017;width:154;height:44" coordorigin="4512,4017" coordsize="154,44" path="m4512,4048l4666,4048,4654,4060,4654,4017,4666,4017,4512,4017e" filled="false" stroked="true" strokeweight=".12pt" strokecolor="#000000">
              <v:path arrowok="t"/>
            </v:shape>
            <v:rect style="position:absolute;left:4512;top:3727;width:58;height:43" filled="true" fillcolor="#993265" stroked="false">
              <v:fill type="solid"/>
            </v:rect>
            <v:shape style="position:absolute;left:4512;top:3727;width:70;height:56" coordorigin="4512,3727" coordsize="70,56" path="m4558,3727l4558,3770,4512,3770,4512,3782,4582,3782,4582,3739,4570,3739,4558,3727xm4558,3727l4512,3727,4512,3739,4558,3739,4558,3727xm4582,3727l4558,3727,4570,3739,4582,3739,4582,3727xe" filled="true" fillcolor="#000000" stroked="false">
              <v:path arrowok="t"/>
              <v:fill type="solid"/>
            </v:shape>
            <v:shape style="position:absolute;left:4512;top:3727;width:70;height:56" coordorigin="4512,3727" coordsize="70,56" path="m4582,3727l4582,3782,4570,3782,4512,3782e" filled="false" stroked="true" strokeweight=".12pt" strokecolor="#000000">
              <v:path arrowok="t"/>
            </v:shape>
            <v:shape style="position:absolute;left:4512;top:3727;width:58;height:44" coordorigin="4512,3727" coordsize="58,44" path="m4512,3770l4570,3770,4558,3770,4558,3727e" filled="false" stroked="true" strokeweight=".12pt" strokecolor="#000000">
              <v:path arrowok="t"/>
            </v:shape>
            <v:shape style="position:absolute;left:4512;top:3727;width:58;height:12" coordorigin="4512,3727" coordsize="58,12" path="m4558,3727l4570,3739,4512,3739e" filled="false" stroked="true" strokeweight=".12pt" strokecolor="#000000">
              <v:path arrowok="t"/>
            </v:shape>
            <v:line style="position:absolute" from="4512,3471" to="4666,3471" stroked="true" strokeweight="2.039966pt" strokecolor="#993265"/>
            <v:shape style="position:absolute;left:4512;top:3439;width:166;height:65" coordorigin="4512,3439" coordsize="166,65" path="m4654,3482l4512,3482,4512,3503,4678,3503,4678,3491,4654,3491,4654,3482xm4654,3451l4654,3491,4666,3482,4678,3482,4678,3460,4666,3460,4654,3451xm4678,3482l4666,3482,4654,3491,4678,3491,4678,3482xm4666,3439l4512,3439,4512,3460,4654,3460,4654,3451,4678,3451,4666,3439xm4678,3451l4654,3451,4666,3460,4678,3460,4678,3451xe" filled="true" fillcolor="#000000" stroked="false">
              <v:path arrowok="t"/>
              <v:fill type="solid"/>
            </v:shape>
            <v:shape style="position:absolute;left:4512;top:3439;width:166;height:65" coordorigin="4512,3439" coordsize="166,65" path="m4666,3439l4678,3451,4678,3503,4666,3503,4512,3503e" filled="false" stroked="true" strokeweight=".12pt" strokecolor="#000000">
              <v:path arrowok="t"/>
            </v:shape>
            <v:shape style="position:absolute;left:4512;top:3451;width:154;height:41" coordorigin="4512,3451" coordsize="154,41" path="m4512,3482l4666,3482,4654,3491,4654,3451,4666,3460,4512,3460e" filled="false" stroked="true" strokeweight=".12pt" strokecolor="#000000">
              <v:path arrowok="t"/>
            </v:shape>
            <v:line style="position:absolute" from="4512,3193" to="7006,3193" stroked="true" strokeweight="2.039965pt" strokecolor="#993265"/>
            <v:shape style="position:absolute;left:4512;top:3160;width:2494;height:53" coordorigin="4512,3160" coordsize="2494,53" path="m6994,3203l4512,3203,4512,3213,6994,3213,6994,3203xm7006,3160l4512,3160,4512,3172,6994,3172,6994,3213,7006,3203,7006,3160xm7006,3203l6994,3213,7006,3213,7006,3203xe" filled="true" fillcolor="#000000" stroked="false">
              <v:path arrowok="t"/>
              <v:fill type="solid"/>
            </v:shape>
            <v:shape style="position:absolute;left:4512;top:3160;width:2494;height:53" coordorigin="4512,3160" coordsize="2494,53" path="m7006,3160l7006,3213,4512,3213e" filled="false" stroked="true" strokeweight=".12pt" strokecolor="#000000">
              <v:path arrowok="t"/>
            </v:shape>
            <v:shape style="position:absolute;left:4512;top:3172;width:2494;height:41" coordorigin="4512,3172" coordsize="2494,41" path="m4512,3203l7006,3203,6994,3213,6994,3172,7006,3172,4512,3172e" filled="false" stroked="true" strokeweight=".12pt" strokecolor="#000000">
              <v:path arrowok="t"/>
            </v:shape>
            <v:line style="position:absolute" from="4512,2903" to="5398,2903" stroked="true" strokeweight="2.159964pt" strokecolor="#993265"/>
            <v:shape style="position:absolute;left:4512;top:2882;width:898;height:56" coordorigin="4512,2882" coordsize="898,56" path="m5386,2882l5386,2925,4512,2925,4512,2937,5410,2937,5410,2894,5398,2894,5386,2882xm5386,2882l4512,2882,4512,2894,5386,2894,5386,2882xm5410,2882l5386,2882,5398,2894,5410,2894,5410,2882xe" filled="true" fillcolor="#000000" stroked="false">
              <v:path arrowok="t"/>
              <v:fill type="solid"/>
            </v:shape>
            <v:shape style="position:absolute;left:4512;top:2882;width:898;height:56" coordorigin="4512,2882" coordsize="898,56" path="m5410,2882l5410,2937,5398,2937,4512,2937e" filled="false" stroked="true" strokeweight=".12pt" strokecolor="#000000">
              <v:path arrowok="t"/>
            </v:shape>
            <v:shape style="position:absolute;left:4512;top:2882;width:886;height:44" coordorigin="4512,2882" coordsize="886,44" path="m4512,2925l5398,2925,5386,2925,5386,2882e" filled="false" stroked="true" strokeweight=".12pt" strokecolor="#000000">
              <v:path arrowok="t"/>
            </v:shape>
            <v:shape style="position:absolute;left:4512;top:2882;width:886;height:12" coordorigin="4512,2882" coordsize="886,12" path="m5386,2882l5398,2894,4512,2894e" filled="false" stroked="true" strokeweight=".12pt" strokecolor="#000000">
              <v:path arrowok="t"/>
            </v:shape>
            <v:line style="position:absolute" from="4512,2625" to="4738,2625" stroked="true" strokeweight="2.159963pt" strokecolor="#993265"/>
            <v:shape style="position:absolute;left:4512;top:2594;width:238;height:65" coordorigin="4512,2594" coordsize="238,65" path="m4726,2637l4512,2637,4512,2659,4738,2659,4750,2647,4726,2647,4726,2637xm4726,2603l4726,2647,4738,2637,4750,2637,4750,2615,4738,2615,4726,2603xm4750,2637l4738,2637,4726,2647,4750,2647,4750,2637xm4738,2594l4512,2594,4512,2615,4726,2615,4726,2603,4738,2603,4738,2594xm4750,2603l4726,2603,4738,2615,4750,2615,4750,2603xe" filled="true" fillcolor="#000000" stroked="false">
              <v:path arrowok="t"/>
              <v:fill type="solid"/>
            </v:shape>
            <v:shape style="position:absolute;left:4512;top:2594;width:238;height:65" coordorigin="4512,2594" coordsize="238,65" path="m4738,2594l4738,2603,4750,2603,4750,2647,4738,2659,4512,2659e" filled="false" stroked="true" strokeweight=".12pt" strokecolor="#000000">
              <v:path arrowok="t"/>
            </v:shape>
            <v:shape style="position:absolute;left:4512;top:2603;width:226;height:44" coordorigin="4512,2603" coordsize="226,44" path="m4512,2637l4738,2637,4726,2647,4726,2603,4738,2615,4512,2615e" filled="false" stroked="true" strokeweight=".12pt" strokecolor="#000000">
              <v:path arrowok="t"/>
            </v:shape>
            <v:line style="position:absolute" from="4512,2348" to="5074,2348" stroked="true" strokeweight="2.039962pt" strokecolor="#993265"/>
            <v:shape style="position:absolute;left:4512;top:2315;width:562;height:53" coordorigin="4512,2315" coordsize="562,53" path="m5062,2359l4512,2359,4512,2368,5062,2368,5062,2359xm5074,2315l4512,2315,4512,2327,5062,2327,5062,2368,5074,2359,5074,2315xm5074,2359l5062,2368,5074,2368,5074,2359xe" filled="true" fillcolor="#000000" stroked="false">
              <v:path arrowok="t"/>
              <v:fill type="solid"/>
            </v:shape>
            <v:shape style="position:absolute;left:4512;top:2315;width:562;height:53" coordorigin="4512,2315" coordsize="562,53" path="m5074,2315l5074,2368,4512,2368e" filled="false" stroked="true" strokeweight=".12pt" strokecolor="#000000">
              <v:path arrowok="t"/>
            </v:shape>
            <v:shape style="position:absolute;left:4512;top:2327;width:562;height:41" coordorigin="4512,2327" coordsize="562,41" path="m4512,2359l5074,2359,5062,2368,5062,2327,5074,2327,4512,2327e" filled="false" stroked="true" strokeweight=".12pt" strokecolor="#000000">
              <v:path arrowok="t"/>
            </v:shape>
            <v:rect style="position:absolute;left:4512;top:2037;width:46;height:43" filled="true" fillcolor="#993265" stroked="false">
              <v:fill type="solid"/>
            </v:rect>
            <v:shape style="position:absolute;left:4512;top:2037;width:58;height:53" coordorigin="4512,2037" coordsize="58,53" path="m4546,2037l4546,2080,4512,2080,4512,2090,4570,2090,4570,2049,4558,2049,4546,2037xm4546,2037l4512,2037,4512,2049,4546,2049,4546,2037xm4570,2037l4546,2037,4558,2049,4570,2049,4570,2037xe" filled="true" fillcolor="#000000" stroked="false">
              <v:path arrowok="t"/>
              <v:fill type="solid"/>
            </v:shape>
            <v:shape style="position:absolute;left:4512;top:2037;width:58;height:53" coordorigin="4512,2037" coordsize="58,53" path="m4570,2037l4570,2090,4558,2090,4512,2090e" filled="false" stroked="true" strokeweight=".12pt" strokecolor="#000000">
              <v:path arrowok="t"/>
            </v:shape>
            <v:shape style="position:absolute;left:4512;top:2037;width:46;height:44" coordorigin="4512,2037" coordsize="46,44" path="m4512,2080l4558,2080,4546,2080,4546,2037e" filled="false" stroked="true" strokeweight=".12pt" strokecolor="#000000">
              <v:path arrowok="t"/>
            </v:shape>
            <v:shape style="position:absolute;left:4512;top:2037;width:46;height:12" coordorigin="4512,2037" coordsize="46,12" path="m4546,2037l4558,2049,4512,2049e" filled="false" stroked="true" strokeweight=".12pt" strokecolor="#000000">
              <v:path arrowok="t"/>
            </v:shape>
            <v:line style="position:absolute" from="4512,1780" to="4558,1780" stroked="true" strokeweight="2.15996pt" strokecolor="#993265"/>
            <v:shape style="position:absolute;left:4512;top:1749;width:58;height:65" coordorigin="4512,1749" coordsize="58,65" path="m4546,1792l4512,1792,4512,1814,4558,1814,4558,1802,4546,1802,4546,1792xm4546,1759l4546,1802,4558,1792,4570,1792,4570,1771,4558,1771,4546,1759xm4570,1792l4558,1792,4546,1802,4570,1802,4570,1792xm4558,1749l4512,1749,4512,1771,4546,1771,4546,1759,4558,1759,4558,1749xm4570,1759l4546,1759,4558,1771,4570,1771,4570,1759xe" filled="true" fillcolor="#000000" stroked="false">
              <v:path arrowok="t"/>
              <v:fill type="solid"/>
            </v:shape>
            <v:shape style="position:absolute;left:4512;top:1749;width:58;height:65" coordorigin="4512,1749" coordsize="58,65" path="m4558,1749l4558,1759,4570,1759,4570,1802,4558,1802,4558,1814,4512,1814e" filled="false" stroked="true" strokeweight=".12pt" strokecolor="#000000">
              <v:path arrowok="t"/>
            </v:shape>
            <v:shape style="position:absolute;left:4512;top:1759;width:46;height:44" coordorigin="4512,1759" coordsize="46,44" path="m4512,1792l4558,1792,4546,1802,4546,1759,4558,1771,4512,1771e" filled="false" stroked="true" strokeweight=".12pt" strokecolor="#000000">
              <v:path arrowok="t"/>
            </v:shape>
            <v:line style="position:absolute" from="4512,1502" to="5218,1502" stroked="true" strokeweight="2.15996pt" strokecolor="#993265"/>
            <v:shape style="position:absolute;left:4512;top:1471;width:706;height:53" coordorigin="4512,1471" coordsize="706,53" path="m5206,1514l4512,1514,4512,1523,5206,1523,5206,1514xm5218,1471l4512,1471,4512,1480,5206,1480,5206,1523,5218,1514,5218,1471xm5218,1514l5206,1523,5218,1523,5218,1514xe" filled="true" fillcolor="#000000" stroked="false">
              <v:path arrowok="t"/>
              <v:fill type="solid"/>
            </v:shape>
            <v:shape style="position:absolute;left:4512;top:1471;width:706;height:53" coordorigin="4512,1471" coordsize="706,53" path="m5218,1471l5218,1523,4512,1523e" filled="false" stroked="true" strokeweight=".12pt" strokecolor="#000000">
              <v:path arrowok="t"/>
            </v:shape>
            <v:shape style="position:absolute;left:4512;top:1480;width:706;height:44" coordorigin="4512,1480" coordsize="706,44" path="m4512,1514l5218,1514,5206,1523,5206,1480,5218,1480,4512,1480e" filled="false" stroked="true" strokeweight=".12pt" strokecolor="#000000">
              <v:path arrowok="t"/>
            </v:shape>
            <v:line style="position:absolute" from="4512,1214" to="4762,1214" stroked="true" strokeweight="2.159959pt" strokecolor="#993265"/>
            <v:shape style="position:absolute;left:4512;top:1192;width:262;height:53" coordorigin="4512,1192" coordsize="262,53" path="m4750,1192l4750,1235,4512,1235,4512,1245,4774,1245,4774,1204,4762,1204,4750,1192xm4750,1192l4512,1192,4512,1204,4750,1204,4750,1192xm4774,1192l4750,1192,4762,1204,4774,1204,4774,1192xe" filled="true" fillcolor="#000000" stroked="false">
              <v:path arrowok="t"/>
              <v:fill type="solid"/>
            </v:shape>
            <v:shape style="position:absolute;left:4512;top:1192;width:262;height:53" coordorigin="4512,1192" coordsize="262,53" path="m4774,1192l4774,1245,4762,1245,4512,1245e" filled="false" stroked="true" strokeweight=".12pt" strokecolor="#000000">
              <v:path arrowok="t"/>
            </v:shape>
            <v:shape style="position:absolute;left:4512;top:1192;width:250;height:44" coordorigin="4512,1192" coordsize="250,44" path="m4512,1235l4762,1235,4750,1235,4750,1192e" filled="false" stroked="true" strokeweight=".12pt" strokecolor="#000000">
              <v:path arrowok="t"/>
            </v:shape>
            <v:shape style="position:absolute;left:4512;top:1192;width:250;height:12" coordorigin="4512,1192" coordsize="250,12" path="m4750,1192l4762,1204,4512,1204e" filled="false" stroked="true" strokeweight=".12pt" strokecolor="#000000">
              <v:path arrowok="t"/>
            </v:shape>
            <v:line style="position:absolute" from="4512,6808" to="5326,6808" stroked="true" strokeweight="2.159976pt" strokecolor="#ffffcc"/>
            <v:shape style="position:absolute;left:4512;top:6777;width:814;height:63" coordorigin="4512,6777" coordsize="814,63" path="m5314,6787l5314,6830,4512,6830,4512,6839,5326,6839,5326,6799,5314,6787xm5326,6777l4512,6777,4512,6799,5314,6799,5314,6787,5326,6787,5326,6777xm5326,6787l5314,6787,5326,6799,5326,6787xe" filled="true" fillcolor="#000000" stroked="false">
              <v:path arrowok="t"/>
              <v:fill type="solid"/>
            </v:shape>
            <v:shape style="position:absolute;left:4512;top:6777;width:814;height:63" coordorigin="4512,6777" coordsize="814,63" path="m5326,6777l5326,6839,4512,6839e" filled="false" stroked="true" strokeweight=".12pt" strokecolor="#000000">
              <v:path arrowok="t"/>
            </v:shape>
            <v:shape style="position:absolute;left:4512;top:6787;width:814;height:44" coordorigin="4512,6787" coordsize="814,44" path="m4512,6830l5326,6830,5314,6830,5314,6787,5326,6799,4512,6799e" filled="false" stroked="true" strokeweight=".12pt" strokecolor="#000000">
              <v:path arrowok="t"/>
            </v:shape>
            <v:rect style="position:absolute;left:4512;top:6508;width:46;height:43" filled="true" fillcolor="#ffffcc" stroked="false">
              <v:fill type="solid"/>
            </v:rect>
            <v:shape style="position:absolute;left:4512;top:6499;width:58;height:65" coordorigin="4512,6499" coordsize="58,65" path="m4558,6542l4512,6542,4512,6563,4570,6563,4570,6551,4558,6551,4558,6542xm4570,6499l4512,6499,4512,6508,4558,6508,4558,6551,4570,6551,4570,6499xe" filled="true" fillcolor="#000000" stroked="false">
              <v:path arrowok="t"/>
              <v:fill type="solid"/>
            </v:shape>
            <v:shape style="position:absolute;left:4512;top:6499;width:58;height:65" coordorigin="4512,6499" coordsize="58,65" path="m4570,6499l4570,6563,4512,6563e" filled="false" stroked="true" strokeweight=".12pt" strokecolor="#000000">
              <v:path arrowok="t"/>
            </v:shape>
            <v:shape style="position:absolute;left:4512;top:6508;width:46;height:44" coordorigin="4512,6508" coordsize="46,44" path="m4512,6542l4558,6542,4558,6551,4558,6508,4512,6508e" filled="false" stroked="true" strokeweight=".12pt" strokecolor="#000000">
              <v:path arrowok="t"/>
            </v:shape>
            <v:line style="position:absolute" from="4517,6220" to="4517,6317" stroked="true" strokeweight=".480014pt" strokecolor="#ffffcc"/>
            <v:shape style="position:absolute;left:4512;top:6220;width:22;height:53" coordorigin="4512,6220" coordsize="22,53" path="m4534,6263l4522,6263,4512,6271,4512,6273,4534,6273,4534,6263xm4512,6222l4512,6271,4522,6263,4534,6263,4534,6230,4522,6230,4512,6222xm4534,6220l4512,6220,4512,6222,4522,6230,4534,6230,4534,6220xe" filled="true" fillcolor="#000000" stroked="false">
              <v:path arrowok="t"/>
              <v:fill type="solid"/>
            </v:shape>
            <v:shape style="position:absolute;left:4512;top:6220;width:22;height:53" coordorigin="4512,6220" coordsize="22,53" path="m4534,6220l4534,6273,4522,6273,4512,6273e" filled="false" stroked="true" strokeweight=".12pt" strokecolor="#000000">
              <v:path arrowok="t"/>
            </v:shape>
            <v:shape style="position:absolute;left:4512;top:6263;width:10;height:8" coordorigin="4512,6263" coordsize="10,8" path="m4512,6263l4522,6263,4512,6271e" filled="false" stroked="true" strokeweight=".12pt" strokecolor="#000000">
              <v:path arrowok="t"/>
            </v:shape>
            <v:shape style="position:absolute;left:4512;top:6222;width:10;height:8" coordorigin="4512,6222" coordsize="10,8" path="m4512,6222l4522,6230,4512,6230e" filled="false" stroked="true" strokeweight=".12pt" strokecolor="#000000">
              <v:path arrowok="t"/>
            </v:shape>
            <v:rect style="position:absolute;left:4512;top:5942;width:34;height:43" filled="true" fillcolor="#ffffcc" stroked="false">
              <v:fill type="solid"/>
            </v:rect>
            <v:shape style="position:absolute;left:4512;top:5932;width:34;height:63" coordorigin="4512,5932" coordsize="34,63" path="m4534,5942l4534,5985,4512,5985,4512,5995,4546,5995,4546,5951,4534,5942xm4546,5932l4512,5932,4512,5951,4534,5951,4534,5942,4546,5942,4546,5932xm4546,5942l4534,5942,4546,5951,4546,5942xe" filled="true" fillcolor="#000000" stroked="false">
              <v:path arrowok="t"/>
              <v:fill type="solid"/>
            </v:shape>
            <v:shape style="position:absolute;left:4512;top:5932;width:34;height:63" coordorigin="4512,5932" coordsize="34,63" path="m4546,5932l4546,5995,4512,5995e" filled="false" stroked="true" strokeweight=".12pt" strokecolor="#000000">
              <v:path arrowok="t"/>
            </v:shape>
            <v:shape style="position:absolute;left:4512;top:5942;width:34;height:44" coordorigin="4512,5942" coordsize="34,44" path="m4512,5985l4546,5985,4534,5985,4534,5942,4546,5951,4512,5951e" filled="false" stroked="true" strokeweight=".12pt" strokecolor="#000000">
              <v:path arrowok="t"/>
            </v:shape>
            <v:rect style="position:absolute;left:4512;top:5663;width:58;height:43" filled="true" fillcolor="#ffffcc" stroked="false">
              <v:fill type="solid"/>
            </v:rect>
            <v:shape style="position:absolute;left:4512;top:5654;width:70;height:63" coordorigin="4512,5654" coordsize="70,63" path="m4558,5697l4512,5697,4512,5716,4570,5716,4570,5707,4558,5707,4558,5697xm4570,5654l4512,5654,4512,5663,4558,5663,4558,5707,4570,5697,4582,5697,4582,5663,4570,5654xm4582,5697l4570,5697,4558,5707,4582,5707,4582,5697xe" filled="true" fillcolor="#000000" stroked="false">
              <v:path arrowok="t"/>
              <v:fill type="solid"/>
            </v:shape>
            <v:shape style="position:absolute;left:4512;top:5654;width:70;height:63" coordorigin="4512,5654" coordsize="70,63" path="m4570,5654l4582,5663,4582,5707,4570,5707,4570,5716,4512,5716e" filled="false" stroked="true" strokeweight=".12pt" strokecolor="#000000">
              <v:path arrowok="t"/>
            </v:shape>
            <v:shape style="position:absolute;left:4512;top:5663;width:58;height:44" coordorigin="4512,5663" coordsize="58,44" path="m4512,5697l4570,5697,4558,5707,4558,5663,4570,5663,4512,5663e" filled="false" stroked="true" strokeweight=".12pt" strokecolor="#000000">
              <v:path arrowok="t"/>
            </v:shape>
            <v:rect style="position:absolute;left:4512;top:5375;width:82;height:43" filled="true" fillcolor="#ffffcc" stroked="false">
              <v:fill type="solid"/>
            </v:rect>
            <v:shape style="position:absolute;left:4512;top:5375;width:94;height:53" coordorigin="4512,5375" coordsize="94,53" path="m4582,5375l4582,5419,4512,5419,4512,5428,4606,5428,4606,5385,4594,5385,4582,5375xm4582,5375l4512,5375,4512,5385,4582,5385,4582,5375xm4606,5375l4582,5375,4594,5385,4606,5385,4606,5375xe" filled="true" fillcolor="#000000" stroked="false">
              <v:path arrowok="t"/>
              <v:fill type="solid"/>
            </v:shape>
            <v:shape style="position:absolute;left:4512;top:5375;width:94;height:53" coordorigin="4512,5375" coordsize="94,53" path="m4606,5375l4606,5428,4594,5428,4512,5428e" filled="false" stroked="true" strokeweight=".12pt" strokecolor="#000000">
              <v:path arrowok="t"/>
            </v:shape>
            <v:shape style="position:absolute;left:4512;top:5375;width:82;height:44" coordorigin="4512,5375" coordsize="82,44" path="m4512,5419l4594,5419,4582,5419,4582,5375e" filled="false" stroked="true" strokeweight=".12pt" strokecolor="#000000">
              <v:path arrowok="t"/>
            </v:shape>
            <v:shape style="position:absolute;left:4512;top:5375;width:82;height:10" coordorigin="4512,5375" coordsize="82,10" path="m4582,5375l4594,5385,4512,5385e" filled="false" stroked="true" strokeweight=".12pt" strokecolor="#000000">
              <v:path arrowok="t"/>
            </v:shape>
            <v:line style="position:absolute" from="4512,5119" to="6718,5119" stroked="true" strokeweight="2.159971pt" strokecolor="#ffffcc"/>
            <v:shape style="position:absolute;left:4512;top:5085;width:2218;height:65" coordorigin="4512,5085" coordsize="2218,65" path="m6706,5128l4512,5128,4512,5150,6730,5150,6730,5140,6706,5140,6706,5128xm6706,5097l6706,5140,6718,5128,6730,5128,6730,5107,6718,5107,6706,5097xm6730,5128l6718,5128,6706,5140,6730,5140,6730,5128xm6718,5085l4512,5085,4512,5107,6706,5107,6706,5097,6730,5097,6718,5085xm6730,5097l6706,5097,6718,5107,6730,5107,6730,5097xe" filled="true" fillcolor="#000000" stroked="false">
              <v:path arrowok="t"/>
              <v:fill type="solid"/>
            </v:shape>
            <v:shape style="position:absolute;left:4512;top:5085;width:2218;height:65" coordorigin="4512,5085" coordsize="2218,65" path="m6718,5085l6730,5097,6730,5150,6718,5150,4512,5150e" filled="false" stroked="true" strokeweight=".12pt" strokecolor="#000000">
              <v:path arrowok="t"/>
            </v:shape>
            <v:shape style="position:absolute;left:4512;top:5097;width:2206;height:44" coordorigin="4512,5097" coordsize="2206,44" path="m4512,5128l6718,5128,6706,5140,6706,5097,6718,5107,4512,5107e" filled="false" stroked="true" strokeweight=".12pt" strokecolor="#000000">
              <v:path arrowok="t"/>
            </v:shape>
            <v:line style="position:absolute" from="4512,4840" to="4522,4840" stroked="true" strokeweight="2.15997pt" strokecolor="#ffffcc"/>
            <v:shape style="position:absolute;left:4512;top:4809;width:22;height:53" coordorigin="4512,4809" coordsize="22,53" path="m4522,4850l4512,4850,4512,4862,4522,4862,4522,4850xm4534,4809l4512,4809,4512,4819,4522,4819,4522,4862,4534,4862,4534,4809xe" filled="true" fillcolor="#000000" stroked="false">
              <v:path arrowok="t"/>
              <v:fill type="solid"/>
            </v:shape>
            <v:shape style="position:absolute;left:4512;top:4809;width:22;height:53" coordorigin="4512,4809" coordsize="22,53" path="m4534,4809l4534,4862,4512,4862e" filled="false" stroked="true" strokeweight=".12pt" strokecolor="#000000">
              <v:path arrowok="t"/>
            </v:shape>
            <v:shape style="position:absolute;left:4512;top:4819;width:10;height:44" coordorigin="4512,4819" coordsize="10,44" path="m4512,4850l4522,4850,4522,4862,4522,4819,4512,4819e" filled="false" stroked="true" strokeweight=".12pt" strokecolor="#000000">
              <v:path arrowok="t"/>
            </v:shape>
            <v:rect style="position:absolute;left:4512;top:4531;width:22;height:43" filled="true" fillcolor="#ffffcc" stroked="false">
              <v:fill type="solid"/>
            </v:rect>
            <v:shape style="position:absolute;left:4512;top:4531;width:34;height:53" coordorigin="4512,4531" coordsize="34,53" path="m4546,4531l4534,4531,4534,4574,4512,4574,4512,4583,4546,4583,4546,4531xm4534,4531l4512,4531,4512,4540,4534,4540,4534,4531xe" filled="true" fillcolor="#000000" stroked="false">
              <v:path arrowok="t"/>
              <v:fill type="solid"/>
            </v:shape>
            <v:shape style="position:absolute;left:4512;top:4531;width:34;height:53" coordorigin="4512,4531" coordsize="34,53" path="m4546,4531l4546,4583,4512,4583e" filled="false" stroked="true" strokeweight=".12pt" strokecolor="#000000">
              <v:path arrowok="t"/>
            </v:shape>
            <v:shape style="position:absolute;left:4512;top:4531;width:22;height:44" coordorigin="4512,4531" coordsize="22,44" path="m4512,4574l4534,4574,4534,4531e" filled="false" stroked="true" strokeweight=".12pt" strokecolor="#000000">
              <v:path arrowok="t"/>
            </v:shape>
            <v:shape style="position:absolute;left:4512;top:4531;width:22;height:10" coordorigin="4512,4531" coordsize="22,10" path="m4534,4531l4534,4540,4512,4540e" filled="false" stroked="true" strokeweight=".12pt" strokecolor="#000000">
              <v:path arrowok="t"/>
            </v:shape>
            <v:line style="position:absolute" from="4512,4274" to="4810,4274" stroked="true" strokeweight="2.159968pt" strokecolor="#ffffcc"/>
            <v:shape style="position:absolute;left:4512;top:4240;width:298;height:65" coordorigin="4512,4240" coordsize="298,65" path="m4798,4283l4512,4283,4512,4305,4810,4305,4810,4295,4798,4295,4798,4283xm4798,4252l4798,4295,4810,4283,4810,4262,4798,4252xm4810,4283l4798,4295,4810,4295,4810,4283xm4810,4240l4512,4240,4512,4262,4798,4262,4798,4252,4810,4252,4810,4240xm4810,4252l4798,4252,4810,4262,4810,4252xe" filled="true" fillcolor="#000000" stroked="false">
              <v:path arrowok="t"/>
              <v:fill type="solid"/>
            </v:shape>
            <v:shape style="position:absolute;left:4512;top:4240;width:298;height:65" coordorigin="4512,4240" coordsize="298,65" path="m4810,4240l4810,4305,4512,4305e" filled="false" stroked="true" strokeweight=".12pt" strokecolor="#000000">
              <v:path arrowok="t"/>
            </v:shape>
            <v:shape style="position:absolute;left:4512;top:4252;width:298;height:44" coordorigin="4512,4252" coordsize="298,44" path="m4512,4283l4810,4283,4798,4295,4798,4252,4810,4262,4512,4262e" filled="false" stroked="true" strokeweight=".12pt" strokecolor="#000000">
              <v:path arrowok="t"/>
            </v:shape>
            <v:line style="position:absolute" from="4512,3995" to="4654,3995" stroked="true" strokeweight="2.159967pt" strokecolor="#ffffcc"/>
            <v:shape style="position:absolute;left:4512;top:3962;width:142;height:56" coordorigin="4512,3962" coordsize="142,56" path="m4642,4005l4512,4005,4512,4017,4642,4017,4642,4005xm4654,3962l4512,3962,4512,3974,4642,3974,4642,4017,4654,4005,4654,3962xm4654,4005l4642,4017,4654,4017,4654,4005xe" filled="true" fillcolor="#000000" stroked="false">
              <v:path arrowok="t"/>
              <v:fill type="solid"/>
            </v:shape>
            <v:shape style="position:absolute;left:4512;top:3962;width:142;height:56" coordorigin="4512,3962" coordsize="142,56" path="m4654,3962l4654,4017,4512,4017e" filled="false" stroked="true" strokeweight=".12pt" strokecolor="#000000">
              <v:path arrowok="t"/>
            </v:shape>
            <v:shape style="position:absolute;left:4512;top:3974;width:142;height:44" coordorigin="4512,3974" coordsize="142,44" path="m4512,4005l4654,4005,4642,4017,4642,3974,4654,3974,4512,3974e" filled="false" stroked="true" strokeweight=".12pt" strokecolor="#000000">
              <v:path arrowok="t"/>
            </v:shape>
            <v:rect style="position:absolute;left:4512;top:3686;width:94;height:41" filled="true" fillcolor="#ffffcc" stroked="false">
              <v:fill type="solid"/>
            </v:rect>
            <v:shape style="position:absolute;left:4512;top:3686;width:106;height:53" coordorigin="4512,3686" coordsize="106,53" path="m4618,3686l4606,3686,4606,3727,4512,3727,4512,3739,4618,3739,4618,3686xm4606,3686l4512,3686,4512,3695,4606,3695,4606,3686xe" filled="true" fillcolor="#000000" stroked="false">
              <v:path arrowok="t"/>
              <v:fill type="solid"/>
            </v:shape>
            <v:shape style="position:absolute;left:4512;top:3686;width:106;height:53" coordorigin="4512,3686" coordsize="106,53" path="m4618,3686l4618,3739,4512,3739e" filled="false" stroked="true" strokeweight=".12pt" strokecolor="#000000">
              <v:path arrowok="t"/>
            </v:shape>
            <v:shape style="position:absolute;left:4512;top:3686;width:94;height:41" coordorigin="4512,3686" coordsize="94,41" path="m4512,3727l4606,3727,4606,3686e" filled="false" stroked="true" strokeweight=".12pt" strokecolor="#000000">
              <v:path arrowok="t"/>
            </v:shape>
            <v:shape style="position:absolute;left:4512;top:3686;width:94;height:10" coordorigin="4512,3686" coordsize="94,10" path="m4606,3686l4606,3695,4512,3695e" filled="false" stroked="true" strokeweight=".12pt" strokecolor="#000000">
              <v:path arrowok="t"/>
            </v:shape>
            <v:line style="position:absolute" from="4512,3429" to="4666,3429" stroked="true" strokeweight="2.159965pt" strokecolor="#ffffcc"/>
            <v:shape style="position:absolute;left:4512;top:3395;width:166;height:65" coordorigin="4512,3395" coordsize="166,65" path="m4654,3439l4512,3439,4512,3460,4678,3460,4678,3451,4654,3451,4654,3439xm4654,3407l4654,3451,4666,3439,4678,3439,4678,3417,4666,3417,4654,3407xm4678,3439l4666,3439,4654,3451,4678,3451,4678,3439xm4666,3395l4512,3395,4512,3417,4654,3417,4654,3407,4678,3407,4666,3395xm4678,3407l4654,3407,4666,3417,4678,3417,4678,3407xe" filled="true" fillcolor="#000000" stroked="false">
              <v:path arrowok="t"/>
              <v:fill type="solid"/>
            </v:shape>
            <v:shape style="position:absolute;left:4512;top:3395;width:166;height:65" coordorigin="4512,3395" coordsize="166,65" path="m4666,3395l4678,3407,4678,3460,4666,3460,4512,3460e" filled="false" stroked="true" strokeweight=".12pt" strokecolor="#000000">
              <v:path arrowok="t"/>
            </v:shape>
            <v:shape style="position:absolute;left:4512;top:3407;width:154;height:44" coordorigin="4512,3407" coordsize="154,44" path="m4512,3439l4666,3439,4654,3451,4654,3407,4666,3417,4512,3417e" filled="false" stroked="true" strokeweight=".12pt" strokecolor="#000000">
              <v:path arrowok="t"/>
            </v:shape>
            <v:line style="position:absolute" from="4512,3151" to="6706,3151" stroked="true" strokeweight="2.159965pt" strokecolor="#ffffcc"/>
            <v:shape style="position:absolute;left:4512;top:3117;width:2206;height:56" coordorigin="4512,3117" coordsize="2206,56" path="m6694,3160l4512,3160,4512,3172,6694,3172,6694,3160xm6718,3117l4512,3117,4512,3129,6694,3129,6694,3172,6706,3160,6718,3160,6718,3117xm6718,3160l6706,3160,6694,3172,6718,3172,6718,3160xe" filled="true" fillcolor="#000000" stroked="false">
              <v:path arrowok="t"/>
              <v:fill type="solid"/>
            </v:shape>
            <v:shape style="position:absolute;left:4512;top:3117;width:2206;height:56" coordorigin="4512,3117" coordsize="2206,56" path="m6718,3117l6718,3172,6706,3172,4512,3172e" filled="false" stroked="true" strokeweight=".12pt" strokecolor="#000000">
              <v:path arrowok="t"/>
            </v:shape>
            <v:shape style="position:absolute;left:4512;top:3129;width:2194;height:44" coordorigin="4512,3129" coordsize="2194,44" path="m4512,3160l6706,3160,6694,3172,6694,3129,6706,3129,4512,3129e" filled="false" stroked="true" strokeweight=".12pt" strokecolor="#000000">
              <v:path arrowok="t"/>
            </v:shape>
            <v:line style="position:absolute" from="4512,2860" to="5434,2860" stroked="true" strokeweight="2.159964pt" strokecolor="#ffffcc"/>
            <v:shape style="position:absolute;left:4512;top:2839;width:922;height:56" coordorigin="4512,2839" coordsize="922,56" path="m5422,2839l5422,2882,4512,2882,4512,2894,5434,2894,5434,2851,5422,2839xm5422,2839l4512,2839,4512,2851,5422,2851,5422,2839xm5434,2839l5422,2839,5434,2851,5434,2839xe" filled="true" fillcolor="#000000" stroked="false">
              <v:path arrowok="t"/>
              <v:fill type="solid"/>
            </v:shape>
            <v:shape style="position:absolute;left:4512;top:2839;width:922;height:56" coordorigin="4512,2839" coordsize="922,56" path="m5434,2839l5434,2894,4512,2894e" filled="false" stroked="true" strokeweight=".12pt" strokecolor="#000000">
              <v:path arrowok="t"/>
            </v:shape>
            <v:shape style="position:absolute;left:4512;top:2839;width:922;height:44" coordorigin="4512,2839" coordsize="922,44" path="m4512,2882l5434,2882,5422,2882,5422,2839e" filled="false" stroked="true" strokeweight=".12pt" strokecolor="#000000">
              <v:path arrowok="t"/>
            </v:shape>
            <v:shape style="position:absolute;left:4512;top:2839;width:922;height:12" coordorigin="4512,2839" coordsize="922,12" path="m5422,2839l5434,2851,4512,2851e" filled="false" stroked="true" strokeweight=".12pt" strokecolor="#000000">
              <v:path arrowok="t"/>
            </v:shape>
            <v:line style="position:absolute" from="4512,2583" to="4762,2583" stroked="true" strokeweight="2.039963pt" strokecolor="#ffffcc"/>
            <v:line style="position:absolute" from="4512,2609" to="4774,2609" stroked="true" strokeweight=".6pt" strokecolor="#000000"/>
            <v:line style="position:absolute" from="4512,2598" to="4762,2598" stroked="true" strokeweight=".5pt" strokecolor="#000000"/>
            <v:line style="position:absolute" from="4762,2583" to="4774,2583" stroked="true" strokeweight="2.04pt" strokecolor="#000000"/>
            <v:line style="position:absolute" from="4512,2568" to="4762,2568" stroked="true" strokeweight=".5pt" strokecolor="#000000"/>
            <v:line style="position:absolute" from="4512,2557" to="4774,2557" stroked="true" strokeweight=".6pt" strokecolor="#000000"/>
            <v:shape style="position:absolute;left:4512;top:2551;width:262;height:65" coordorigin="4512,2551" coordsize="262,65" path="m4774,2551l4774,2615,4512,2615e" filled="false" stroked="true" strokeweight=".12pt" strokecolor="#000000">
              <v:path arrowok="t"/>
            </v:shape>
            <v:shape style="position:absolute;left:4512;top:2563;width:250;height:41" coordorigin="4512,2563" coordsize="250,41" path="m4512,2594l4762,2594,4762,2603,4762,2563,4762,2572,4512,2572e" filled="false" stroked="true" strokeweight=".12pt" strokecolor="#000000">
              <v:path arrowok="t"/>
            </v:shape>
            <v:line style="position:absolute" from="4512,2306" to="5254,2306" stroked="true" strokeweight="2.159962pt" strokecolor="#ffffcc"/>
            <v:shape style="position:absolute;left:4512;top:2272;width:754;height:56" coordorigin="4512,2272" coordsize="754,56" path="m5242,2315l4512,2315,4512,2327,5242,2327,5242,2315xm5254,2272l4512,2272,4512,2284,5242,2284,5242,2327,5254,2315,5266,2315,5266,2284,5254,2272xm5266,2315l5254,2315,5242,2327,5266,2327,5266,2315xe" filled="true" fillcolor="#000000" stroked="false">
              <v:path arrowok="t"/>
              <v:fill type="solid"/>
            </v:shape>
            <v:shape style="position:absolute;left:4512;top:2272;width:754;height:56" coordorigin="4512,2272" coordsize="754,56" path="m5254,2272l5266,2284,5266,2327,5254,2327,4512,2327e" filled="false" stroked="true" strokeweight=".12pt" strokecolor="#000000">
              <v:path arrowok="t"/>
            </v:shape>
            <v:shape style="position:absolute;left:4512;top:2284;width:742;height:44" coordorigin="4512,2284" coordsize="742,44" path="m4512,2315l5254,2315,5242,2327,5242,2284,5254,2284,4512,2284e" filled="false" stroked="true" strokeweight=".12pt" strokecolor="#000000">
              <v:path arrowok="t"/>
            </v:shape>
            <v:rect style="position:absolute;left:4512;top:1994;width:34;height:43" filled="true" fillcolor="#ffffcc" stroked="false">
              <v:fill type="solid"/>
            </v:rect>
            <v:shape style="position:absolute;left:4512;top:1994;width:46;height:56" coordorigin="4512,1994" coordsize="46,56" path="m4558,1994l4546,1994,4546,2037,4512,2037,4512,2049,4558,2049,4558,1994xm4546,1994l4512,1994,4512,2006,4546,2006,4546,1994xe" filled="true" fillcolor="#000000" stroked="false">
              <v:path arrowok="t"/>
              <v:fill type="solid"/>
            </v:shape>
            <v:shape style="position:absolute;left:4512;top:1994;width:46;height:56" coordorigin="4512,1994" coordsize="46,56" path="m4558,1994l4558,2049,4512,2049e" filled="false" stroked="true" strokeweight=".12pt" strokecolor="#000000">
              <v:path arrowok="t"/>
            </v:shape>
            <v:shape style="position:absolute;left:4512;top:1994;width:34;height:44" coordorigin="4512,1994" coordsize="34,44" path="m4512,2037l4546,2037,4546,1994e" filled="false" stroked="true" strokeweight=".12pt" strokecolor="#000000">
              <v:path arrowok="t"/>
            </v:shape>
            <v:shape style="position:absolute;left:4512;top:1994;width:34;height:12" coordorigin="4512,1994" coordsize="34,12" path="m4546,1994l4546,2006,4512,2006e" filled="false" stroked="true" strokeweight=".12pt" strokecolor="#000000">
              <v:path arrowok="t"/>
            </v:shape>
            <v:line style="position:absolute" from="4512,1737" to="4582,1737" stroked="true" strokeweight="2.15996pt" strokecolor="#ffffcc"/>
            <v:shape style="position:absolute;left:4512;top:1706;width:82;height:65" coordorigin="4512,1706" coordsize="82,65" path="m4570,1749l4512,1749,4512,1771,4582,1771,4594,1759,4570,1759,4570,1749xm4570,1715l4570,1759,4582,1749,4594,1749,4594,1727,4582,1727,4570,1715xm4594,1749l4582,1749,4570,1759,4594,1759,4594,1749xm4594,1706l4512,1706,4512,1727,4570,1727,4570,1715,4594,1715,4594,1706xm4594,1715l4570,1715,4582,1727,4594,1727,4594,1715xe" filled="true" fillcolor="#000000" stroked="false">
              <v:path arrowok="t"/>
              <v:fill type="solid"/>
            </v:shape>
            <v:shape style="position:absolute;left:4512;top:1706;width:82;height:65" coordorigin="4512,1706" coordsize="82,65" path="m4594,1706l4594,1759,4582,1771,4512,1771e" filled="false" stroked="true" strokeweight=".12pt" strokecolor="#000000">
              <v:path arrowok="t"/>
            </v:shape>
            <v:shape style="position:absolute;left:4512;top:1715;width:70;height:44" coordorigin="4512,1715" coordsize="70,44" path="m4512,1749l4582,1749,4570,1759,4570,1715,4582,1727,4512,1727e" filled="false" stroked="true" strokeweight=".12pt" strokecolor="#000000">
              <v:path arrowok="t"/>
            </v:shape>
            <v:line style="position:absolute" from="4512,1460" to="5326,1460" stroked="true" strokeweight="2.039959pt" strokecolor="#ffffcc"/>
            <v:shape style="position:absolute;left:4512;top:1427;width:814;height:53" coordorigin="4512,1427" coordsize="814,53" path="m5314,1471l4512,1471,4512,1480,5314,1480,5314,1471xm5326,1427l4512,1427,4512,1439,5314,1439,5314,1480,5326,1471,5326,1427xm5326,1471l5314,1480,5326,1480,5326,1471xe" filled="true" fillcolor="#000000" stroked="false">
              <v:path arrowok="t"/>
              <v:fill type="solid"/>
            </v:shape>
            <v:shape style="position:absolute;left:4512;top:1427;width:814;height:53" coordorigin="4512,1427" coordsize="814,53" path="m5326,1427l5326,1480,4512,1480e" filled="false" stroked="true" strokeweight=".12pt" strokecolor="#000000">
              <v:path arrowok="t"/>
            </v:shape>
            <v:shape style="position:absolute;left:4512;top:1439;width:814;height:41" coordorigin="4512,1439" coordsize="814,41" path="m4512,1471l5326,1471,5314,1480,5314,1439,5326,1439,4512,1439e" filled="false" stroked="true" strokeweight=".12pt" strokecolor="#000000">
              <v:path arrowok="t"/>
            </v:shape>
            <v:line style="position:absolute" from="4512,1171" to="4822,1171" stroked="true" strokeweight="2.159959pt" strokecolor="#ffffcc"/>
            <v:shape style="position:absolute;left:4512;top:1149;width:322;height:56" coordorigin="4512,1149" coordsize="322,56" path="m4810,1149l4810,1192,4512,1192,4512,1204,4834,1204,4834,1161,4822,1161,4810,1149xm4810,1149l4512,1149,4512,1161,4810,1161,4810,1149xm4834,1149l4810,1149,4822,1161,4834,1161,4834,1149xe" filled="true" fillcolor="#000000" stroked="false">
              <v:path arrowok="t"/>
              <v:fill type="solid"/>
            </v:shape>
            <v:shape style="position:absolute;left:4512;top:1149;width:322;height:56" coordorigin="4512,1149" coordsize="322,56" path="m4834,1149l4834,1204,4822,1204,4512,1204e" filled="false" stroked="true" strokeweight=".12pt" strokecolor="#000000">
              <v:path arrowok="t"/>
            </v:shape>
            <v:shape style="position:absolute;left:4512;top:1149;width:310;height:44" coordorigin="4512,1149" coordsize="310,44" path="m4512,1192l4822,1192,4810,1192,4810,1149e" filled="false" stroked="true" strokeweight=".12pt" strokecolor="#000000">
              <v:path arrowok="t"/>
            </v:shape>
            <v:shape style="position:absolute;left:4512;top:1149;width:310;height:12" coordorigin="4512,1149" coordsize="310,12" path="m4810,1149l4822,1161,4512,1161e" filled="false" stroked="true" strokeweight=".12pt" strokecolor="#000000">
              <v:path arrowok="t"/>
            </v:shape>
            <v:line style="position:absolute" from="4512,6765" to="5842,6765" stroked="true" strokeweight="2.159976pt" strokecolor="#0000ff"/>
            <v:shape style="position:absolute;left:4512;top:6734;width:1342;height:65" coordorigin="4512,6734" coordsize="1342,65" path="m5830,6777l4512,6777,4512,6799,5854,6799,5854,6787,5830,6787,5830,6777xm5830,6743l5830,6787,5842,6777,5854,6777,5854,6755,5842,6755,5830,6743xm5854,6777l5842,6777,5830,6787,5854,6787,5854,6777xm5842,6734l4512,6734,4512,6755,5830,6755,5830,6743,5854,6743,5842,6734xm5854,6743l5830,6743,5842,6755,5854,6755,5854,6743xe" filled="true" fillcolor="#000000" stroked="false">
              <v:path arrowok="t"/>
              <v:fill type="solid"/>
            </v:shape>
            <v:shape style="position:absolute;left:4512;top:6734;width:1342;height:65" coordorigin="4512,6734" coordsize="1342,65" path="m5842,6734l5854,6743,5854,6799,5842,6799,4512,6799e" filled="false" stroked="true" strokeweight=".12pt" strokecolor="#000000">
              <v:path arrowok="t"/>
            </v:shape>
            <v:shape style="position:absolute;left:4512;top:6743;width:1330;height:44" coordorigin="4512,6743" coordsize="1330,44" path="m4512,6777l5842,6777,5830,6787,5830,6743,5842,6755,4512,6755e" filled="false" stroked="true" strokeweight=".12pt" strokecolor="#000000">
              <v:path arrowok="t"/>
            </v:shape>
            <v:rect style="position:absolute;left:4512;top:6465;width:34;height:43" filled="true" fillcolor="#0000ff" stroked="false">
              <v:fill type="solid"/>
            </v:rect>
            <v:shape style="position:absolute;left:4512;top:6455;width:46;height:53" coordorigin="4512,6455" coordsize="46,53" path="m4534,6499l4512,6499,4512,6508,4534,6508,4534,6499xm4558,6455l4512,6455,4512,6465,4534,6465,4534,6508,4546,6499,4558,6499,4558,6455xm4558,6499l4546,6499,4534,6508,4558,6508,4558,6499xe" filled="true" fillcolor="#000000" stroked="false">
              <v:path arrowok="t"/>
              <v:fill type="solid"/>
            </v:shape>
            <v:shape style="position:absolute;left:4512;top:6455;width:46;height:53" coordorigin="4512,6455" coordsize="46,53" path="m4558,6455l4558,6508,4546,6508,4512,6508e" filled="false" stroked="true" strokeweight=".12pt" strokecolor="#000000">
              <v:path arrowok="t"/>
            </v:shape>
            <v:shape style="position:absolute;left:4512;top:6465;width:34;height:44" coordorigin="4512,6465" coordsize="34,44" path="m4512,6499l4546,6499,4534,6508,4534,6465,4546,6465,4512,6465e" filled="false" stroked="true" strokeweight=".12pt" strokecolor="#000000">
              <v:path arrowok="t"/>
            </v:shape>
            <v:rect style="position:absolute;left:4512;top:6177;width:22;height:43" filled="true" fillcolor="#0000ff" stroked="false">
              <v:fill type="solid"/>
            </v:rect>
            <v:shape style="position:absolute;left:4512;top:6177;width:34;height:53" coordorigin="4512,6177" coordsize="34,53" path="m4522,6177l4522,6220,4512,6220,4512,6230,4546,6230,4546,6189,4534,6189,4522,6177xm4522,6177l4512,6177,4512,6189,4522,6189,4522,6177xm4546,6177l4522,6177,4534,6189,4546,6189,4546,6177xe" filled="true" fillcolor="#000000" stroked="false">
              <v:path arrowok="t"/>
              <v:fill type="solid"/>
            </v:shape>
            <v:shape style="position:absolute;left:4512;top:6177;width:34;height:53" coordorigin="4512,6177" coordsize="34,53" path="m4546,6177l4546,6230,4534,6230,4512,6230e" filled="false" stroked="true" strokeweight=".12pt" strokecolor="#000000">
              <v:path arrowok="t"/>
            </v:shape>
            <v:shape style="position:absolute;left:4512;top:6177;width:22;height:44" coordorigin="4512,6177" coordsize="22,44" path="m4512,6220l4534,6220,4522,6220,4522,6177e" filled="false" stroked="true" strokeweight=".12pt" strokecolor="#000000">
              <v:path arrowok="t"/>
            </v:shape>
            <v:shape style="position:absolute;left:4512;top:6177;width:22;height:12" coordorigin="4512,6177" coordsize="22,12" path="m4522,6177l4534,6189,4512,6189e" filled="false" stroked="true" strokeweight=".12pt" strokecolor="#000000">
              <v:path arrowok="t"/>
            </v:shape>
            <v:rect style="position:absolute;left:4512;top:5899;width:34;height:43" filled="true" fillcolor="#0000ff" stroked="false">
              <v:fill type="solid"/>
            </v:rect>
            <v:shape style="position:absolute;left:4512;top:5889;width:34;height:63" coordorigin="4512,5889" coordsize="34,63" path="m4534,5932l4512,5932,4512,5951,4546,5951,4546,5942,4534,5942,4534,5932xm4534,5899l4534,5942,4546,5932,4546,5911,4534,5899xm4546,5932l4534,5942,4546,5942,4546,5932xm4546,5889l4512,5889,4512,5911,4534,5911,4534,5899,4546,5899,4546,5889xm4546,5899l4534,5899,4546,5911,4546,5899xe" filled="true" fillcolor="#000000" stroked="false">
              <v:path arrowok="t"/>
              <v:fill type="solid"/>
            </v:shape>
            <v:shape style="position:absolute;left:4512;top:5889;width:34;height:63" coordorigin="4512,5889" coordsize="34,63" path="m4546,5889l4546,5951,4512,5951e" filled="false" stroked="true" strokeweight=".12pt" strokecolor="#000000">
              <v:path arrowok="t"/>
            </v:shape>
            <v:shape style="position:absolute;left:4512;top:5899;width:34;height:44" coordorigin="4512,5899" coordsize="34,44" path="m4512,5932l4546,5932,4534,5942,4534,5899,4546,5911,4512,5911e" filled="false" stroked="true" strokeweight=".12pt" strokecolor="#000000">
              <v:path arrowok="t"/>
            </v:shape>
            <v:rect style="position:absolute;left:4512;top:5620;width:58;height:43" filled="true" fillcolor="#0000ff" stroked="false">
              <v:fill type="solid"/>
            </v:rect>
            <v:shape style="position:absolute;left:4512;top:5611;width:70;height:53" coordorigin="4512,5611" coordsize="70,53" path="m4570,5654l4512,5654,4512,5663,4570,5663,4570,5654xm4582,5611l4512,5611,4512,5620,4570,5620,4570,5663,4582,5663,4582,5611xe" filled="true" fillcolor="#000000" stroked="false">
              <v:path arrowok="t"/>
              <v:fill type="solid"/>
            </v:shape>
            <v:shape style="position:absolute;left:4512;top:5611;width:70;height:53" coordorigin="4512,5611" coordsize="70,53" path="m4582,5611l4582,5663,4512,5663e" filled="false" stroked="true" strokeweight=".12pt" strokecolor="#000000">
              <v:path arrowok="t"/>
            </v:shape>
            <v:shape style="position:absolute;left:4512;top:5620;width:58;height:44" coordorigin="4512,5620" coordsize="58,44" path="m4512,5654l4570,5654,4570,5663,4570,5620,4512,5620e" filled="false" stroked="true" strokeweight=".12pt" strokecolor="#000000">
              <v:path arrowok="t"/>
            </v:shape>
            <v:rect style="position:absolute;left:4512;top:5332;width:106;height:43" filled="true" fillcolor="#0000ff" stroked="false">
              <v:fill type="solid"/>
            </v:rect>
            <v:shape style="position:absolute;left:4512;top:5332;width:106;height:53" coordorigin="4512,5332" coordsize="106,53" path="m4606,5332l4606,5375,4512,5375,4512,5385,4618,5385,4618,5342,4606,5332xm4606,5332l4512,5332,4512,5342,4606,5342,4606,5332xm4618,5332l4606,5332,4618,5342,4618,5332xe" filled="true" fillcolor="#000000" stroked="false">
              <v:path arrowok="t"/>
              <v:fill type="solid"/>
            </v:shape>
            <v:shape style="position:absolute;left:4512;top:5332;width:106;height:53" coordorigin="4512,5332" coordsize="106,53" path="m4618,5332l4618,5385,4512,5385e" filled="false" stroked="true" strokeweight=".12pt" strokecolor="#000000">
              <v:path arrowok="t"/>
            </v:shape>
            <v:shape style="position:absolute;left:4512;top:5332;width:106;height:44" coordorigin="4512,5332" coordsize="106,44" path="m4512,5375l4618,5375,4606,5375,4606,5332e" filled="false" stroked="true" strokeweight=".12pt" strokecolor="#000000">
              <v:path arrowok="t"/>
            </v:shape>
            <v:shape style="position:absolute;left:4512;top:5332;width:106;height:10" coordorigin="4512,5332" coordsize="106,10" path="m4606,5332l4618,5342,4512,5342e" filled="false" stroked="true" strokeweight=".12pt" strokecolor="#000000">
              <v:path arrowok="t"/>
            </v:shape>
            <v:line style="position:absolute" from="4512,5075" to="6778,5075" stroked="true" strokeweight="2.15997pt" strokecolor="#0000ff"/>
            <v:shape style="position:absolute;left:4512;top:5044;width:2266;height:63" coordorigin="4512,5044" coordsize="2266,63" path="m6766,5085l4512,5085,4512,5107,6778,5107,6778,5097,6766,5097,6766,5085xm6766,5054l6766,5097,6778,5085,6778,5066,6766,5054xm6778,5085l6766,5097,6778,5097,6778,5085xm6778,5044l4512,5044,4512,5066,6766,5066,6766,5054,6778,5054,6778,5044xm6778,5054l6766,5054,6778,5066,6778,5054xe" filled="true" fillcolor="#000000" stroked="false">
              <v:path arrowok="t"/>
              <v:fill type="solid"/>
            </v:shape>
            <v:shape style="position:absolute;left:4512;top:5044;width:2266;height:63" coordorigin="4512,5044" coordsize="2266,63" path="m6778,5044l6778,5107,4512,5107e" filled="false" stroked="true" strokeweight=".12pt" strokecolor="#000000">
              <v:path arrowok="t"/>
            </v:shape>
            <v:shape style="position:absolute;left:4512;top:5054;width:2266;height:44" coordorigin="4512,5054" coordsize="2266,44" path="m4512,5085l6778,5085,6766,5097,6766,5054,6778,5066,4512,5066e" filled="false" stroked="true" strokeweight=".12pt" strokecolor="#000000">
              <v:path arrowok="t"/>
            </v:shape>
            <v:line style="position:absolute" from="4512,4797" to="4534,4797" stroked="true" strokeweight="2.15997pt" strokecolor="#0000ff"/>
            <v:shape style="position:absolute;left:4512;top:4766;width:34;height:53" coordorigin="4512,4766" coordsize="34,53" path="m4534,4809l4512,4809,4512,4819,4534,4819,4534,4809xm4546,4766l4512,4766,4512,4775,4534,4775,4534,4819,4546,4819,4546,4766xe" filled="true" fillcolor="#000000" stroked="false">
              <v:path arrowok="t"/>
              <v:fill type="solid"/>
            </v:shape>
            <v:shape style="position:absolute;left:4512;top:4766;width:34;height:53" coordorigin="4512,4766" coordsize="34,53" path="m4546,4766l4546,4819,4512,4819e" filled="false" stroked="true" strokeweight=".12pt" strokecolor="#000000">
              <v:path arrowok="t"/>
            </v:shape>
            <v:shape style="position:absolute;left:4512;top:4775;width:22;height:44" coordorigin="4512,4775" coordsize="22,44" path="m4512,4809l4534,4809,4534,4819,4534,4775,4512,4775e" filled="false" stroked="true" strokeweight=".12pt" strokecolor="#000000">
              <v:path arrowok="t"/>
            </v:shape>
            <v:rect style="position:absolute;left:4512;top:4487;width:46;height:43" filled="true" fillcolor="#0000ff" stroked="false">
              <v:fill type="solid"/>
            </v:rect>
            <v:shape style="position:absolute;left:4512;top:4487;width:46;height:53" coordorigin="4512,4487" coordsize="46,53" path="m4546,4487l4546,4531,4512,4531,4512,4540,4558,4540,4558,4497,4546,4487xm4546,4487l4512,4487,4512,4497,4546,4497,4546,4487xm4558,4487l4546,4487,4558,4497,4558,4487xe" filled="true" fillcolor="#000000" stroked="false">
              <v:path arrowok="t"/>
              <v:fill type="solid"/>
            </v:shape>
            <v:shape style="position:absolute;left:4512;top:4487;width:46;height:53" coordorigin="4512,4487" coordsize="46,53" path="m4558,4487l4558,4540,4512,4540e" filled="false" stroked="true" strokeweight=".12pt" strokecolor="#000000">
              <v:path arrowok="t"/>
            </v:shape>
            <v:shape style="position:absolute;left:4512;top:4487;width:46;height:44" coordorigin="4512,4487" coordsize="46,44" path="m4512,4531l4558,4531,4546,4531,4546,4487e" filled="false" stroked="true" strokeweight=".12pt" strokecolor="#000000">
              <v:path arrowok="t"/>
            </v:shape>
            <v:shape style="position:absolute;left:4512;top:4487;width:46;height:10" coordorigin="4512,4487" coordsize="46,10" path="m4546,4487l4558,4497,4512,4497e" filled="false" stroked="true" strokeweight=".12pt" strokecolor="#000000">
              <v:path arrowok="t"/>
            </v:shape>
            <v:line style="position:absolute" from="4512,4231" to="4882,4231" stroked="true" strokeweight="2.159968pt" strokecolor="#0000ff"/>
            <v:shape style="position:absolute;left:4512;top:4199;width:382;height:63" coordorigin="4512,4199" coordsize="382,63" path="m4870,4240l4512,4240,4512,4262,4882,4262,4894,4252,4870,4252,4870,4240xm4870,4209l4870,4252,4882,4240,4894,4240,4894,4219,4882,4219,4870,4209xm4894,4240l4882,4240,4870,4252,4894,4252,4894,4240xm4882,4199l4512,4199,4512,4219,4870,4219,4870,4209,4882,4209,4882,4199xm4894,4209l4870,4209,4882,4219,4894,4219,4894,4209xe" filled="true" fillcolor="#000000" stroked="false">
              <v:path arrowok="t"/>
              <v:fill type="solid"/>
            </v:shape>
            <v:shape style="position:absolute;left:4512;top:4199;width:382;height:63" coordorigin="4512,4199" coordsize="382,63" path="m4882,4199l4882,4209,4894,4209,4894,4252,4882,4262,4512,4262e" filled="false" stroked="true" strokeweight=".12pt" strokecolor="#000000">
              <v:path arrowok="t"/>
            </v:shape>
            <v:shape style="position:absolute;left:4512;top:4209;width:370;height:44" coordorigin="4512,4209" coordsize="370,44" path="m4512,4240l4882,4240,4870,4252,4870,4209,4882,4219,4512,4219e" filled="false" stroked="true" strokeweight=".12pt" strokecolor="#000000">
              <v:path arrowok="t"/>
            </v:shape>
            <v:line style="position:absolute" from="4512,3952" to="4726,3952" stroked="true" strokeweight="2.159967pt" strokecolor="#0000ff"/>
            <v:shape style="position:absolute;left:4512;top:3921;width:226;height:53" coordorigin="4512,3921" coordsize="226,53" path="m4714,3962l4512,3962,4512,3974,4714,3974,4714,3962xm4726,3921l4512,3921,4512,3931,4714,3931,4714,3974,4726,3962,4738,3962,4738,3931,4726,3921xm4738,3962l4726,3962,4714,3974,4738,3974,4738,3962xe" filled="true" fillcolor="#000000" stroked="false">
              <v:path arrowok="t"/>
              <v:fill type="solid"/>
            </v:shape>
            <v:shape style="position:absolute;left:4512;top:3921;width:226;height:53" coordorigin="4512,3921" coordsize="226,53" path="m4726,3921l4738,3931,4738,3974,4726,3974,4512,3974e" filled="false" stroked="true" strokeweight=".12pt" strokecolor="#000000">
              <v:path arrowok="t"/>
            </v:shape>
            <v:shape style="position:absolute;left:4512;top:3931;width:214;height:44" coordorigin="4512,3931" coordsize="214,44" path="m4512,3962l4726,3962,4714,3974,4714,3931,4726,3931,4512,3931e" filled="false" stroked="true" strokeweight=".12pt" strokecolor="#000000">
              <v:path arrowok="t"/>
            </v:shape>
            <v:rect style="position:absolute;left:4512;top:3643;width:106;height:43" filled="true" fillcolor="#0000ff" stroked="false">
              <v:fill type="solid"/>
            </v:rect>
            <v:shape style="position:absolute;left:4512;top:3643;width:118;height:53" coordorigin="4512,3643" coordsize="118,53" path="m4630,3643l4618,3643,4618,3686,4512,3686,4512,3695,4630,3695,4630,3643xm4618,3643l4512,3643,4512,3652,4618,3652,4618,3643xe" filled="true" fillcolor="#000000" stroked="false">
              <v:path arrowok="t"/>
              <v:fill type="solid"/>
            </v:shape>
            <v:shape style="position:absolute;left:4512;top:3643;width:118;height:53" coordorigin="4512,3643" coordsize="118,53" path="m4630,3643l4630,3695,4512,3695e" filled="false" stroked="true" strokeweight=".12pt" strokecolor="#000000">
              <v:path arrowok="t"/>
            </v:shape>
            <v:shape style="position:absolute;left:4512;top:3643;width:106;height:44" coordorigin="4512,3643" coordsize="106,44" path="m4512,3686l4618,3686,4618,3643e" filled="false" stroked="true" strokeweight=".12pt" strokecolor="#000000">
              <v:path arrowok="t"/>
            </v:shape>
            <v:shape style="position:absolute;left:4512;top:3643;width:106;height:10" coordorigin="4512,3643" coordsize="106,10" path="m4618,3643l4618,3652,4512,3652e" filled="false" stroked="true" strokeweight=".12pt" strokecolor="#000000">
              <v:path arrowok="t"/>
            </v:shape>
            <v:line style="position:absolute" from="4512,3386" to="4666,3386" stroked="true" strokeweight="2.159965pt" strokecolor="#0000ff"/>
            <v:shape style="position:absolute;left:4512;top:3352;width:166;height:65" coordorigin="4512,3352" coordsize="166,65" path="m4654,3395l4512,3395,4512,3417,4666,3417,4678,3407,4654,3407,4654,3395xm4654,3364l4654,3407,4666,3395,4678,3395,4678,3374,4666,3374,4654,3364xm4678,3395l4666,3395,4654,3407,4678,3407,4678,3395xm4666,3352l4512,3352,4512,3374,4654,3374,4654,3364,4678,3364,4666,3352xm4678,3364l4654,3364,4666,3374,4678,3374,4678,3364xe" filled="true" fillcolor="#000000" stroked="false">
              <v:path arrowok="t"/>
              <v:fill type="solid"/>
            </v:shape>
            <v:shape style="position:absolute;left:4512;top:3352;width:166;height:65" coordorigin="4512,3352" coordsize="166,65" path="m4666,3352l4678,3364,4678,3407,4666,3417,4512,3417e" filled="false" stroked="true" strokeweight=".12pt" strokecolor="#000000">
              <v:path arrowok="t"/>
            </v:shape>
            <v:shape style="position:absolute;left:4512;top:3364;width:154;height:44" coordorigin="4512,3364" coordsize="154,44" path="m4512,3395l4666,3395,4654,3407,4654,3364,4666,3374,4512,3374e" filled="false" stroked="true" strokeweight=".12pt" strokecolor="#000000">
              <v:path arrowok="t"/>
            </v:shape>
            <v:line style="position:absolute" from="4512,3107" to="7270,3107" stroked="true" strokeweight="2.159964pt" strokecolor="#0000ff"/>
            <v:shape style="position:absolute;left:4512;top:3076;width:2770;height:53" coordorigin="4512,3076" coordsize="2770,53" path="m7258,3117l4512,3117,4512,3129,7258,3129,7258,3117xm7282,3076l4512,3076,4512,3086,7258,3086,7258,3129,7270,3117,7282,3117,7282,3076xm7282,3117l7270,3117,7258,3129,7282,3129,7282,3117xe" filled="true" fillcolor="#000000" stroked="false">
              <v:path arrowok="t"/>
              <v:fill type="solid"/>
            </v:shape>
            <v:shape style="position:absolute;left:4512;top:3076;width:2770;height:53" coordorigin="4512,3076" coordsize="2770,53" path="m7282,3076l7282,3129,7270,3129,4512,3129e" filled="false" stroked="true" strokeweight=".12pt" strokecolor="#000000">
              <v:path arrowok="t"/>
            </v:shape>
            <v:shape style="position:absolute;left:4512;top:3086;width:2758;height:44" coordorigin="4512,3086" coordsize="2758,44" path="m4512,3117l7270,3117,7258,3129,7258,3086,7270,3086,4512,3086e" filled="false" stroked="true" strokeweight=".12pt" strokecolor="#000000">
              <v:path arrowok="t"/>
            </v:shape>
            <v:line style="position:absolute" from="4512,2818" to="5314,2818" stroked="true" strokeweight="2.039964pt" strokecolor="#0000ff"/>
            <v:line style="position:absolute" from="4512,2845" to="5326,2845" stroked="true" strokeweight=".6pt" strokecolor="#000000"/>
            <v:line style="position:absolute" from="5314,2818" to="5326,2818" stroked="true" strokeweight="2.1pt" strokecolor="#000000"/>
            <v:line style="position:absolute" from="4512,2803" to="5314,2803" stroked="true" strokeweight=".479964pt" strokecolor="#000000"/>
            <v:shape style="position:absolute;left:4512;top:2798;width:814;height:53" coordorigin="4512,2798" coordsize="814,53" path="m5326,2798l5326,2851,4512,2851e" filled="false" stroked="true" strokeweight=".12pt" strokecolor="#000000">
              <v:path arrowok="t"/>
            </v:shape>
            <v:shape style="position:absolute;left:4512;top:2798;width:802;height:41" coordorigin="4512,2798" coordsize="802,41" path="m4512,2839l5314,2839,5314,2798e" filled="false" stroked="true" strokeweight=".12pt" strokecolor="#000000">
              <v:path arrowok="t"/>
            </v:shape>
            <v:shape style="position:absolute;left:4512;top:2798;width:802;height:10" coordorigin="4512,2798" coordsize="802,10" path="m5314,2798l5314,2807,4512,2807e" filled="false" stroked="true" strokeweight=".12pt" strokecolor="#000000">
              <v:path arrowok="t"/>
            </v:shape>
            <v:line style="position:absolute" from="4512,2541" to="4894,2541" stroked="true" strokeweight="2.159963pt" strokecolor="#0000ff"/>
            <v:shape style="position:absolute;left:4512;top:2507;width:394;height:65" coordorigin="4512,2507" coordsize="394,65" path="m4882,2551l4512,2551,4512,2572,4894,2572,4906,2563,4882,2563,4882,2551xm4882,2519l4882,2563,4894,2551,4906,2551,4906,2529,4894,2529,4882,2519xm4906,2551l4894,2551,4882,2563,4906,2563,4906,2551xm4906,2507l4512,2507,4512,2529,4882,2529,4882,2519,4906,2519,4906,2507xm4906,2519l4882,2519,4894,2529,4906,2529,4906,2519xe" filled="true" fillcolor="#000000" stroked="false">
              <v:path arrowok="t"/>
              <v:fill type="solid"/>
            </v:shape>
            <v:shape style="position:absolute;left:4512;top:2507;width:394;height:65" coordorigin="4512,2507" coordsize="394,65" path="m4906,2507l4906,2563,4894,2572,4512,2572e" filled="false" stroked="true" strokeweight=".12pt" strokecolor="#000000">
              <v:path arrowok="t"/>
            </v:shape>
            <v:shape style="position:absolute;left:4512;top:2519;width:382;height:44" coordorigin="4512,2519" coordsize="382,44" path="m4512,2551l4894,2551,4882,2563,4882,2519,4894,2529,4512,2529e" filled="false" stroked="true" strokeweight=".12pt" strokecolor="#000000">
              <v:path arrowok="t"/>
            </v:shape>
            <v:line style="position:absolute" from="4512,2263" to="5446,2263" stroked="true" strokeweight="2.159962pt" strokecolor="#0000ff"/>
            <v:shape style="position:absolute;left:4512;top:2229;width:934;height:56" coordorigin="4512,2229" coordsize="934,56" path="m5434,2272l4512,2272,4512,2284,5434,2284,5434,2272xm5446,2229l4512,2229,4512,2241,5434,2241,5434,2284,5446,2272,5446,2229xm5446,2272l5434,2284,5446,2284,5446,2272xe" filled="true" fillcolor="#000000" stroked="false">
              <v:path arrowok="t"/>
              <v:fill type="solid"/>
            </v:shape>
            <v:shape style="position:absolute;left:4512;top:2229;width:934;height:56" coordorigin="4512,2229" coordsize="934,56" path="m5446,2229l5446,2284,4512,2284e" filled="false" stroked="true" strokeweight=".12pt" strokecolor="#000000">
              <v:path arrowok="t"/>
            </v:shape>
            <v:shape style="position:absolute;left:4512;top:2241;width:934;height:44" coordorigin="4512,2241" coordsize="934,44" path="m4512,2272l5446,2272,5434,2284,5434,2241,5446,2241,4512,2241e" filled="false" stroked="true" strokeweight=".12pt" strokecolor="#000000">
              <v:path arrowok="t"/>
            </v:shape>
            <v:rect style="position:absolute;left:4512;top:1953;width:58;height:41" filled="true" fillcolor="#0000ff" stroked="false">
              <v:fill type="solid"/>
            </v:rect>
            <v:shape style="position:absolute;left:4512;top:1953;width:70;height:53" coordorigin="4512,1953" coordsize="70,53" path="m4558,1953l4558,1994,4512,1994,4512,2006,4582,2006,4582,1963,4570,1963,4558,1953xm4558,1953l4512,1953,4512,1963,4558,1963,4558,1953xm4582,1953l4558,1953,4570,1963,4582,1963,4582,1953xe" filled="true" fillcolor="#000000" stroked="false">
              <v:path arrowok="t"/>
              <v:fill type="solid"/>
            </v:shape>
            <v:shape style="position:absolute;left:4512;top:1953;width:70;height:53" coordorigin="4512,1953" coordsize="70,53" path="m4582,1953l4582,2006,4570,2006,4512,2006e" filled="false" stroked="true" strokeweight=".12pt" strokecolor="#000000">
              <v:path arrowok="t"/>
            </v:shape>
            <v:shape style="position:absolute;left:4512;top:1953;width:58;height:41" coordorigin="4512,1953" coordsize="58,41" path="m4512,1994l4570,1994,4558,1994,4558,1953e" filled="false" stroked="true" strokeweight=".12pt" strokecolor="#000000">
              <v:path arrowok="t"/>
            </v:shape>
            <v:shape style="position:absolute;left:4512;top:1953;width:58;height:10" coordorigin="4512,1953" coordsize="58,10" path="m4558,1953l4570,1963,4512,1963e" filled="false" stroked="true" strokeweight=".12pt" strokecolor="#000000">
              <v:path arrowok="t"/>
            </v:shape>
            <v:line style="position:absolute" from="4512,1695" to="4618,1695" stroked="true" strokeweight="2.039960pt" strokecolor="#0000ff"/>
            <v:shape style="position:absolute;left:4512;top:1663;width:118;height:65" coordorigin="4512,1663" coordsize="118,65" path="m4606,1706l4512,1706,4512,1727,4618,1727,4618,1715,4606,1715,4606,1706xm4606,1675l4606,1715,4618,1706,4630,1706,4630,1684,4618,1684,4606,1675xm4630,1706l4618,1706,4606,1715,4630,1715,4630,1706xm4618,1663l4512,1663,4512,1684,4606,1684,4606,1675,4618,1675,4618,1663xm4630,1675l4606,1675,4618,1684,4630,1684,4630,1675xe" filled="true" fillcolor="#000000" stroked="false">
              <v:path arrowok="t"/>
              <v:fill type="solid"/>
            </v:shape>
            <v:shape style="position:absolute;left:4512;top:1663;width:118;height:65" coordorigin="4512,1663" coordsize="118,65" path="m4618,1663l4618,1675,4630,1675,4630,1715,4618,1715,4618,1727,4512,1727e" filled="false" stroked="true" strokeweight=".12pt" strokecolor="#000000">
              <v:path arrowok="t"/>
            </v:shape>
            <v:shape style="position:absolute;left:4512;top:1675;width:106;height:41" coordorigin="4512,1675" coordsize="106,41" path="m4512,1706l4618,1706,4606,1715,4606,1675,4618,1684,4512,1684e" filled="false" stroked="true" strokeweight=".12pt" strokecolor="#000000">
              <v:path arrowok="t"/>
            </v:shape>
            <v:line style="position:absolute" from="4512,1418" to="5458,1418" stroked="true" strokeweight="2.159959pt" strokecolor="#0000ff"/>
            <v:line style="position:absolute" from="4512,1433" to="5458,1433" stroked="true" strokeweight=".6pt" strokecolor="#000000"/>
            <v:line style="position:absolute" from="5458,1418" to="5470,1418" stroked="true" strokeweight="2.1pt" strokecolor="#000000"/>
            <v:line style="position:absolute" from="4512,1391" to="5470,1391" stroked="true" strokeweight=".6pt" strokecolor="#000000"/>
            <v:shape style="position:absolute;left:4512;top:1384;width:958;height:56" coordorigin="4512,1384" coordsize="958,56" path="m5470,1384l5470,1439,5458,1439,4512,1439e" filled="false" stroked="true" strokeweight=".12pt" strokecolor="#000000">
              <v:path arrowok="t"/>
            </v:shape>
            <v:shape style="position:absolute;left:4512;top:1396;width:946;height:44" coordorigin="4512,1396" coordsize="946,44" path="m4512,1427l5458,1427,5458,1439,5458,1396,4512,1396e" filled="false" stroked="true" strokeweight=".12pt" strokecolor="#000000">
              <v:path arrowok="t"/>
            </v:shape>
            <v:line style="position:absolute" from="4512,1127" to="4726,1127" stroked="true" strokeweight="2.159958pt" strokecolor="#0000ff"/>
            <v:shape style="position:absolute;left:4512;top:1106;width:214;height:56" coordorigin="4512,1106" coordsize="214,56" path="m4714,1106l4714,1149,4512,1149,4512,1161,4726,1161,4726,1118,4714,1106xm4714,1106l4512,1106,4512,1118,4714,1118,4714,1106xm4726,1106l4714,1106,4726,1118,4726,1106xe" filled="true" fillcolor="#000000" stroked="false">
              <v:path arrowok="t"/>
              <v:fill type="solid"/>
            </v:shape>
            <v:shape style="position:absolute;left:4512;top:1106;width:214;height:56" coordorigin="4512,1106" coordsize="214,56" path="m4726,1106l4726,1161,4512,1161e" filled="false" stroked="true" strokeweight=".12pt" strokecolor="#000000">
              <v:path arrowok="t"/>
            </v:shape>
            <v:shape style="position:absolute;left:4512;top:1106;width:214;height:44" coordorigin="4512,1106" coordsize="214,44" path="m4512,1149l4726,1149,4714,1149,4714,1106e" filled="false" stroked="true" strokeweight=".12pt" strokecolor="#000000">
              <v:path arrowok="t"/>
            </v:shape>
            <v:shape style="position:absolute;left:4512;top:1106;width:214;height:12" coordorigin="4512,1106" coordsize="214,12" path="m4714,1106l4726,1118,4512,1118e" filled="false" stroked="true" strokeweight=".12pt" strokecolor="#000000">
              <v:path arrowok="t"/>
            </v:shape>
            <v:line style="position:absolute" from="4512,6722" to="6394,6722" stroked="true" strokeweight="2.159975pt" strokecolor="#00ff00"/>
            <v:shape style="position:absolute;left:4512;top:6691;width:1882;height:65" coordorigin="4512,6691" coordsize="1882,65" path="m6382,6734l4512,6734,4512,6755,6394,6755,6394,6743,6382,6743,6382,6734xm6382,6700l6382,6743,6394,6734,6394,6712,6382,6700xm6394,6734l6382,6743,6394,6743,6394,6734xm6394,6691l4512,6691,4512,6712,6382,6712,6382,6700,6394,6700,6394,6691xm6394,6700l6382,6700,6394,6712,6394,6700xe" filled="true" fillcolor="#000000" stroked="false">
              <v:path arrowok="t"/>
              <v:fill type="solid"/>
            </v:shape>
            <v:shape style="position:absolute;left:4512;top:6691;width:1882;height:65" coordorigin="4512,6691" coordsize="1882,65" path="m6394,6691l6394,6755,4512,6755e" filled="false" stroked="true" strokeweight=".12pt" strokecolor="#000000">
              <v:path arrowok="t"/>
            </v:shape>
            <v:shape style="position:absolute;left:4512;top:6700;width:1882;height:44" coordorigin="4512,6700" coordsize="1882,44" path="m4512,6734l6394,6734,6382,6743,6382,6700,6394,6712,4512,6712e" filled="false" stroked="true" strokeweight=".12pt" strokecolor="#000000">
              <v:path arrowok="t"/>
            </v:shape>
            <v:rect style="position:absolute;left:4512;top:6424;width:34;height:41" filled="true" fillcolor="#00ff00" stroked="false">
              <v:fill type="solid"/>
            </v:rect>
            <v:shape style="position:absolute;left:4512;top:6412;width:46;height:53" coordorigin="4512,6412" coordsize="46,53" path="m4534,6455l4512,6455,4512,6465,4534,6465,4534,6455xm4558,6412l4512,6412,4512,6424,4534,6424,4534,6465,4546,6455,4558,6455,4558,6412xm4558,6455l4546,6455,4534,6465,4558,6465,4558,6455xe" filled="true" fillcolor="#000000" stroked="false">
              <v:path arrowok="t"/>
              <v:fill type="solid"/>
            </v:shape>
            <v:shape style="position:absolute;left:4512;top:6412;width:46;height:53" coordorigin="4512,6412" coordsize="46,53" path="m4558,6412l4558,6465,4546,6465,4512,6465e" filled="false" stroked="true" strokeweight=".12pt" strokecolor="#000000">
              <v:path arrowok="t"/>
            </v:shape>
            <v:shape style="position:absolute;left:4512;top:6424;width:34;height:41" coordorigin="4512,6424" coordsize="34,41" path="m4512,6455l4546,6455,4534,6465,4534,6424,4546,6424,4512,6424e" filled="false" stroked="true" strokeweight=".12pt" strokecolor="#000000">
              <v:path arrowok="t"/>
            </v:shape>
            <v:rect style="position:absolute;left:4512;top:6134;width:22;height:43" filled="true" fillcolor="#00ff00" stroked="false">
              <v:fill type="solid"/>
            </v:rect>
            <v:shape style="position:absolute;left:4512;top:6134;width:34;height:56" coordorigin="4512,6134" coordsize="34,56" path="m4522,6134l4522,6177,4512,6177,4512,6189,4546,6189,4546,6146,4534,6146,4522,6134xm4522,6134l4512,6134,4512,6146,4522,6146,4522,6134xm4546,6134l4522,6134,4534,6146,4546,6146,4546,6134xe" filled="true" fillcolor="#000000" stroked="false">
              <v:path arrowok="t"/>
              <v:fill type="solid"/>
            </v:shape>
            <v:shape style="position:absolute;left:4512;top:6134;width:34;height:56" coordorigin="4512,6134" coordsize="34,56" path="m4546,6134l4546,6189,4534,6189,4512,6189e" filled="false" stroked="true" strokeweight=".12pt" strokecolor="#000000">
              <v:path arrowok="t"/>
            </v:shape>
            <v:shape style="position:absolute;left:4512;top:6134;width:22;height:44" coordorigin="4512,6134" coordsize="22,44" path="m4512,6177l4534,6177,4522,6177,4522,6134e" filled="false" stroked="true" strokeweight=".12pt" strokecolor="#000000">
              <v:path arrowok="t"/>
            </v:shape>
            <v:shape style="position:absolute;left:4512;top:6134;width:22;height:12" coordorigin="4512,6134" coordsize="22,12" path="m4522,6134l4534,6146,4512,6146e" filled="false" stroked="true" strokeweight=".12pt" strokecolor="#000000">
              <v:path arrowok="t"/>
            </v:shape>
            <v:rect style="position:absolute;left:4512;top:5855;width:34;height:43" filled="true" fillcolor="#00ff00" stroked="false">
              <v:fill type="solid"/>
            </v:rect>
            <v:shape style="position:absolute;left:4512;top:5846;width:34;height:65" coordorigin="4512,5846" coordsize="34,65" path="m4534,5889l4512,5889,4512,5911,4546,5911,4546,5899,4534,5899,4534,5889xm4534,5855l4534,5899,4546,5889,4546,5867,4534,5855xm4546,5889l4534,5899,4546,5899,4546,5889xm4546,5846l4512,5846,4512,5867,4534,5867,4534,5855,4546,5855,4546,5846xm4546,5855l4534,5855,4546,5867,4546,5855xe" filled="true" fillcolor="#000000" stroked="false">
              <v:path arrowok="t"/>
              <v:fill type="solid"/>
            </v:shape>
            <v:shape style="position:absolute;left:4512;top:5846;width:34;height:65" coordorigin="4512,5846" coordsize="34,65" path="m4546,5846l4546,5911,4512,5911e" filled="false" stroked="true" strokeweight=".12pt" strokecolor="#000000">
              <v:path arrowok="t"/>
            </v:shape>
            <v:shape style="position:absolute;left:4512;top:5855;width:34;height:44" coordorigin="4512,5855" coordsize="34,44" path="m4512,5889l4546,5889,4534,5899,4534,5855,4546,5867,4512,5867e" filled="false" stroked="true" strokeweight=".12pt" strokecolor="#000000">
              <v:path arrowok="t"/>
            </v:shape>
            <v:rect style="position:absolute;left:4512;top:5577;width:58;height:43" filled="true" fillcolor="#00ff00" stroked="false">
              <v:fill type="solid"/>
            </v:rect>
            <v:shape style="position:absolute;left:4512;top:5567;width:70;height:53" coordorigin="4512,5567" coordsize="70,53" path="m4570,5611l4512,5611,4512,5620,4570,5620,4570,5611xm4582,5567l4512,5567,4512,5577,4570,5577,4570,5620,4582,5620,4582,5567xe" filled="true" fillcolor="#000000" stroked="false">
              <v:path arrowok="t"/>
              <v:fill type="solid"/>
            </v:shape>
            <v:shape style="position:absolute;left:4512;top:5567;width:70;height:53" coordorigin="4512,5567" coordsize="70,53" path="m4582,5567l4582,5620,4512,5620e" filled="false" stroked="true" strokeweight=".12pt" strokecolor="#000000">
              <v:path arrowok="t"/>
            </v:shape>
            <v:shape style="position:absolute;left:4512;top:5577;width:58;height:44" coordorigin="4512,5577" coordsize="58,44" path="m4512,5611l4570,5611,4570,5620,4570,5577,4512,5577e" filled="false" stroked="true" strokeweight=".12pt" strokecolor="#000000">
              <v:path arrowok="t"/>
            </v:shape>
            <v:rect style="position:absolute;left:4512;top:5289;width:106;height:43" filled="true" fillcolor="#00ff00" stroked="false">
              <v:fill type="solid"/>
            </v:rect>
            <v:shape style="position:absolute;left:4512;top:5289;width:118;height:53" coordorigin="4512,5289" coordsize="118,53" path="m4606,5289l4606,5332,4512,5332,4512,5342,4618,5342,4630,5332,4630,5301,4618,5301,4606,5289xm4606,5289l4512,5289,4512,5301,4606,5301,4606,5289xm4630,5289l4606,5289,4618,5301,4630,5301,4630,5289xe" filled="true" fillcolor="#000000" stroked="false">
              <v:path arrowok="t"/>
              <v:fill type="solid"/>
            </v:shape>
            <v:shape style="position:absolute;left:4512;top:5289;width:118;height:53" coordorigin="4512,5289" coordsize="118,53" path="m4630,5289l4630,5332,4618,5342,4512,5342e" filled="false" stroked="true" strokeweight=".12pt" strokecolor="#000000">
              <v:path arrowok="t"/>
            </v:shape>
            <v:shape style="position:absolute;left:4512;top:5289;width:106;height:44" coordorigin="4512,5289" coordsize="106,44" path="m4512,5332l4618,5332,4606,5332,4606,5289e" filled="false" stroked="true" strokeweight=".12pt" strokecolor="#000000">
              <v:path arrowok="t"/>
            </v:shape>
            <v:shape style="position:absolute;left:4512;top:5289;width:106;height:12" coordorigin="4512,5289" coordsize="106,12" path="m4606,5289l4618,5301,4512,5301e" filled="false" stroked="true" strokeweight=".12pt" strokecolor="#000000">
              <v:path arrowok="t"/>
            </v:shape>
            <v:line style="position:absolute" from="4512,5032" to="7066,5032" stroked="true" strokeweight="2.15997pt" strokecolor="#00ff00"/>
            <v:shape style="position:absolute;left:4512;top:5001;width:2554;height:65" coordorigin="4512,5001" coordsize="2554,65" path="m7054,5044l4512,5044,4512,5066,7066,5066,7066,5054,7054,5054,7054,5044xm7054,5011l7054,5054,7066,5044,7066,5023,7054,5011xm7066,5044l7054,5054,7066,5054,7066,5044xm7066,5001l4512,5001,4512,5023,7054,5023,7054,5011,7066,5011,7066,5001xm7066,5011l7054,5011,7066,5023,7066,5011xe" filled="true" fillcolor="#000000" stroked="false">
              <v:path arrowok="t"/>
              <v:fill type="solid"/>
            </v:shape>
            <v:shape style="position:absolute;left:4512;top:5001;width:2554;height:65" coordorigin="4512,5001" coordsize="2554,65" path="m7066,5001l7066,5066,4512,5066e" filled="false" stroked="true" strokeweight=".12pt" strokecolor="#000000">
              <v:path arrowok="t"/>
            </v:shape>
            <v:shape style="position:absolute;left:4512;top:5011;width:2554;height:44" coordorigin="4512,5011" coordsize="2554,44" path="m4512,5044l7066,5044,7054,5054,7054,5011,7066,5023,4512,5023e" filled="false" stroked="true" strokeweight=".12pt" strokecolor="#000000">
              <v:path arrowok="t"/>
            </v:shape>
            <v:line style="position:absolute" from="4512,4754" to="4606,4754" stroked="true" strokeweight="2.159969pt" strokecolor="#00ff00"/>
            <v:shape style="position:absolute;left:4512;top:4723;width:106;height:53" coordorigin="4512,4723" coordsize="106,53" path="m4594,4766l4512,4766,4512,4775,4594,4775,4594,4766xm4618,4723l4512,4723,4512,4732,4594,4732,4594,4775,4606,4766,4618,4766,4618,4723xm4618,4766l4606,4766,4594,4775,4618,4775,4618,4766xe" filled="true" fillcolor="#000000" stroked="false">
              <v:path arrowok="t"/>
              <v:fill type="solid"/>
            </v:shape>
            <v:shape style="position:absolute;left:4512;top:4723;width:106;height:53" coordorigin="4512,4723" coordsize="106,53" path="m4618,4723l4618,4775,4606,4775,4512,4775e" filled="false" stroked="true" strokeweight=".12pt" strokecolor="#000000">
              <v:path arrowok="t"/>
            </v:shape>
            <v:shape style="position:absolute;left:4512;top:4732;width:94;height:44" coordorigin="4512,4732" coordsize="94,44" path="m4512,4766l4606,4766,4594,4775,4594,4732,4606,4732,4512,4732e" filled="false" stroked="true" strokeweight=".12pt" strokecolor="#000000">
              <v:path arrowok="t"/>
            </v:shape>
            <v:rect style="position:absolute;left:4512;top:4444;width:58;height:43" filled="true" fillcolor="#00ff00" stroked="false">
              <v:fill type="solid"/>
            </v:rect>
            <v:shape style="position:absolute;left:4512;top:4444;width:58;height:53" coordorigin="4512,4444" coordsize="58,53" path="m4558,4444l4558,4487,4512,4487,4512,4497,4570,4497,4570,4454,4558,4444xm4558,4444l4512,4444,4512,4454,4558,4454,4558,4444xm4570,4444l4558,4444,4570,4454,4570,4444xe" filled="true" fillcolor="#000000" stroked="false">
              <v:path arrowok="t"/>
              <v:fill type="solid"/>
            </v:shape>
            <v:shape style="position:absolute;left:4512;top:4444;width:58;height:53" coordorigin="4512,4444" coordsize="58,53" path="m4570,4444l4570,4497,4512,4497e" filled="false" stroked="true" strokeweight=".12pt" strokecolor="#000000">
              <v:path arrowok="t"/>
            </v:shape>
            <v:shape style="position:absolute;left:4512;top:4444;width:58;height:44" coordorigin="4512,4444" coordsize="58,44" path="m4512,4487l4570,4487,4558,4487,4558,4444e" filled="false" stroked="true" strokeweight=".12pt" strokecolor="#000000">
              <v:path arrowok="t"/>
            </v:shape>
            <v:shape style="position:absolute;left:4512;top:4444;width:58;height:10" coordorigin="4512,4444" coordsize="58,10" path="m4558,4444l4570,4454,4512,4454e" filled="false" stroked="true" strokeweight=".12pt" strokecolor="#000000">
              <v:path arrowok="t"/>
            </v:shape>
            <v:line style="position:absolute" from="4512,4187" to="4882,4187" stroked="true" strokeweight="2.159968pt" strokecolor="#00ff00"/>
            <v:shape style="position:absolute;left:4512;top:4156;width:382;height:63" coordorigin="4512,4156" coordsize="382,63" path="m4870,4199l4512,4199,4512,4219,4882,4219,4882,4209,4870,4209,4870,4199xm4870,4166l4870,4209,4882,4199,4894,4199,4894,4178,4882,4178,4870,4166xm4894,4199l4882,4199,4870,4209,4894,4209,4894,4199xm4882,4156l4512,4156,4512,4178,4870,4178,4870,4166,4894,4166,4882,4156xm4894,4166l4870,4166,4882,4178,4894,4178,4894,4166xe" filled="true" fillcolor="#000000" stroked="false">
              <v:path arrowok="t"/>
              <v:fill type="solid"/>
            </v:shape>
            <v:shape style="position:absolute;left:4512;top:4156;width:382;height:63" coordorigin="4512,4156" coordsize="382,63" path="m4882,4156l4894,4166,4894,4209,4882,4209,4882,4219,4512,4219e" filled="false" stroked="true" strokeweight=".12pt" strokecolor="#000000">
              <v:path arrowok="t"/>
            </v:shape>
            <v:shape style="position:absolute;left:4512;top:4166;width:370;height:44" coordorigin="4512,4166" coordsize="370,44" path="m4512,4199l4882,4199,4870,4209,4870,4166,4882,4178,4512,4178e" filled="false" stroked="true" strokeweight=".12pt" strokecolor="#000000">
              <v:path arrowok="t"/>
            </v:shape>
            <v:line style="position:absolute" from="4512,3909" to="4774,3909" stroked="true" strokeweight="2.159967pt" strokecolor="#00ff00"/>
            <v:shape style="position:absolute;left:4512;top:3878;width:274;height:53" coordorigin="4512,3878" coordsize="274,53" path="m4762,3921l4512,3921,4512,3931,4762,3931,4762,3921xm4786,3878l4512,3878,4512,3887,4762,3887,4762,3931,4774,3921,4786,3921,4786,3878xm4786,3921l4774,3921,4762,3931,4786,3931,4786,3921xe" filled="true" fillcolor="#000000" stroked="false">
              <v:path arrowok="t"/>
              <v:fill type="solid"/>
            </v:shape>
            <v:shape style="position:absolute;left:4512;top:3878;width:274;height:53" coordorigin="4512,3878" coordsize="274,53" path="m4786,3878l4786,3931,4774,3931,4512,3931e" filled="false" stroked="true" strokeweight=".12pt" strokecolor="#000000">
              <v:path arrowok="t"/>
            </v:shape>
            <v:shape style="position:absolute;left:4512;top:3887;width:262;height:44" coordorigin="4512,3887" coordsize="262,44" path="m4512,3921l4774,3921,4762,3931,4762,3887,4774,3887,4512,3887e" filled="false" stroked="true" strokeweight=".12pt" strokecolor="#000000">
              <v:path arrowok="t"/>
            </v:shape>
            <v:rect style="position:absolute;left:4512;top:3599;width:106;height:43" filled="true" fillcolor="#00ff00" stroked="false">
              <v:fill type="solid"/>
            </v:rect>
            <v:shape style="position:absolute;left:4512;top:3599;width:118;height:53" coordorigin="4512,3599" coordsize="118,53" path="m4630,3599l4618,3599,4618,3643,4512,3643,4512,3652,4630,3652,4630,3599xm4618,3599l4512,3599,4512,3609,4618,3609,4618,3599xe" filled="true" fillcolor="#000000" stroked="false">
              <v:path arrowok="t"/>
              <v:fill type="solid"/>
            </v:shape>
            <v:shape style="position:absolute;left:4512;top:3599;width:118;height:53" coordorigin="4512,3599" coordsize="118,53" path="m4630,3599l4630,3652,4512,3652e" filled="false" stroked="true" strokeweight=".12pt" strokecolor="#000000">
              <v:path arrowok="t"/>
            </v:shape>
            <v:shape style="position:absolute;left:4512;top:3599;width:106;height:44" coordorigin="4512,3599" coordsize="106,44" path="m4512,3643l4618,3643,4618,3599e" filled="false" stroked="true" strokeweight=".12pt" strokecolor="#000000">
              <v:path arrowok="t"/>
            </v:shape>
            <v:shape style="position:absolute;left:4512;top:3599;width:106;height:10" coordorigin="4512,3599" coordsize="106,10" path="m4618,3599l4618,3609,4512,3609e" filled="false" stroked="true" strokeweight=".12pt" strokecolor="#000000">
              <v:path arrowok="t"/>
            </v:shape>
            <v:line style="position:absolute" from="4512,3343" to="4666,3343" stroked="true" strokeweight="2.159965pt" strokecolor="#00ff00"/>
            <v:shape style="position:absolute;left:4512;top:3311;width:166;height:63" coordorigin="4512,3311" coordsize="166,63" path="m4654,3352l4512,3352,4512,3374,4666,3374,4678,3364,4654,3364,4654,3352xm4654,3321l4654,3364,4666,3352,4678,3352,4678,3333,4666,3333,4654,3321xm4678,3352l4666,3352,4654,3364,4678,3364,4678,3352xm4678,3311l4512,3311,4512,3333,4654,3333,4654,3321,4678,3321,4678,3311xm4678,3321l4654,3321,4666,3333,4678,3333,4678,3321xe" filled="true" fillcolor="#000000" stroked="false">
              <v:path arrowok="t"/>
              <v:fill type="solid"/>
            </v:shape>
            <v:shape style="position:absolute;left:4512;top:3311;width:166;height:63" coordorigin="4512,3311" coordsize="166,63" path="m4678,3311l4678,3364,4666,3374,4512,3374e" filled="false" stroked="true" strokeweight=".12pt" strokecolor="#000000">
              <v:path arrowok="t"/>
            </v:shape>
            <v:shape style="position:absolute;left:4512;top:3321;width:154;height:44" coordorigin="4512,3321" coordsize="154,44" path="m4512,3352l4666,3352,4654,3364,4654,3321,4666,3333,4512,3333e" filled="false" stroked="true" strokeweight=".12pt" strokecolor="#000000">
              <v:path arrowok="t"/>
            </v:shape>
            <v:line style="position:absolute" from="4512,3064" to="7738,3064" stroked="true" strokeweight="2.159964pt" strokecolor="#00ff00"/>
            <v:shape style="position:absolute;left:4512;top:3033;width:3238;height:53" coordorigin="4512,3033" coordsize="3238,53" path="m7726,3076l4512,3076,4512,3086,7726,3086,7726,3076xm7750,3033l4512,3033,4512,3043,7726,3043,7726,3086,7738,3076,7750,3076,7750,3033xm7750,3076l7738,3076,7726,3086,7750,3086,7750,3076xe" filled="true" fillcolor="#000000" stroked="false">
              <v:path arrowok="t"/>
              <v:fill type="solid"/>
            </v:shape>
            <v:shape style="position:absolute;left:4512;top:3033;width:3238;height:53" coordorigin="4512,3033" coordsize="3238,53" path="m7750,3033l7750,3086,7738,3086,4512,3086e" filled="false" stroked="true" strokeweight=".12pt" strokecolor="#000000">
              <v:path arrowok="t"/>
            </v:shape>
            <v:shape style="position:absolute;left:4512;top:3043;width:3226;height:44" coordorigin="4512,3043" coordsize="3226,44" path="m4512,3076l7738,3076,7726,3086,7726,3043,7738,3043,4512,3043e" filled="false" stroked="true" strokeweight=".12pt" strokecolor="#000000">
              <v:path arrowok="t"/>
            </v:shape>
            <v:line style="position:absolute" from="4512,2776" to="6238,2776" stroked="true" strokeweight="2.159963pt" strokecolor="#00ff00"/>
            <v:line style="position:absolute" from="4512,2802" to="6250,2802" stroked="true" strokeweight=".5pt" strokecolor="#000000"/>
            <v:line style="position:absolute" from="6238,2776" to="6250,2776" stroked="true" strokeweight="2.1pt" strokecolor="#000000"/>
            <v:line style="position:absolute" from="4512,2759" to="6238,2759" stroked="true" strokeweight=".479963pt" strokecolor="#000000"/>
            <v:shape style="position:absolute;left:4512;top:2755;width:1738;height:53" coordorigin="4512,2755" coordsize="1738,53" path="m6250,2755l6250,2807,4512,2807e" filled="false" stroked="true" strokeweight=".12pt" strokecolor="#000000">
              <v:path arrowok="t"/>
            </v:shape>
            <v:shape style="position:absolute;left:4512;top:2755;width:1726;height:44" coordorigin="4512,2755" coordsize="1726,44" path="m4512,2798l6238,2798,6238,2755e" filled="false" stroked="true" strokeweight=".12pt" strokecolor="#000000">
              <v:path arrowok="t"/>
            </v:shape>
            <v:shape style="position:absolute;left:4512;top:2755;width:1726;height:10" coordorigin="4512,2755" coordsize="1726,10" path="m6238,2755l6238,2764,4512,2764e" filled="false" stroked="true" strokeweight=".12pt" strokecolor="#000000">
              <v:path arrowok="t"/>
            </v:shape>
            <v:line style="position:absolute" from="4512,2498" to="4894,2498" stroked="true" strokeweight="2.159963pt" strokecolor="#00ff00"/>
            <v:shape style="position:absolute;left:4512;top:2464;width:394;height:65" coordorigin="4512,2464" coordsize="394,65" path="m4882,2507l4512,2507,4512,2529,4894,2529,4906,2519,4882,2519,4882,2507xm4882,2476l4882,2519,4894,2507,4906,2507,4906,2486,4894,2486,4882,2476xm4906,2507l4894,2507,4882,2519,4906,2519,4906,2507xm4906,2464l4512,2464,4512,2486,4882,2486,4882,2476,4906,2476,4906,2464xm4906,2476l4882,2476,4894,2486,4906,2486,4906,2476xe" filled="true" fillcolor="#000000" stroked="false">
              <v:path arrowok="t"/>
              <v:fill type="solid"/>
            </v:shape>
            <v:shape style="position:absolute;left:4512;top:2464;width:394;height:65" coordorigin="4512,2464" coordsize="394,65" path="m4906,2464l4906,2519,4894,2529,4512,2529e" filled="false" stroked="true" strokeweight=".12pt" strokecolor="#000000">
              <v:path arrowok="t"/>
            </v:shape>
            <v:shape style="position:absolute;left:4512;top:2476;width:382;height:44" coordorigin="4512,2476" coordsize="382,44" path="m4512,2507l4894,2507,4882,2519,4882,2476,4894,2486,4512,2486e" filled="false" stroked="true" strokeweight=".12pt" strokecolor="#000000">
              <v:path arrowok="t"/>
            </v:shape>
            <v:line style="position:absolute" from="4512,2219" to="5578,2219" stroked="true" strokeweight="2.159962pt" strokecolor="#00ff00"/>
            <v:shape style="position:absolute;left:4512;top:2188;width:1078;height:53" coordorigin="4512,2188" coordsize="1078,53" path="m5566,2229l4512,2229,4512,2241,5566,2241,5566,2229xm5590,2188l4512,2188,4512,2198,5566,2198,5566,2241,5578,2229,5590,2229,5590,2188xm5590,2229l5578,2229,5566,2241,5590,2241,5590,2229xe" filled="true" fillcolor="#000000" stroked="false">
              <v:path arrowok="t"/>
              <v:fill type="solid"/>
            </v:shape>
            <v:shape style="position:absolute;left:4512;top:2188;width:1078;height:53" coordorigin="4512,2188" coordsize="1078,53" path="m5590,2188l5590,2241,5578,2241,4512,2241e" filled="false" stroked="true" strokeweight=".12pt" strokecolor="#000000">
              <v:path arrowok="t"/>
            </v:shape>
            <v:shape style="position:absolute;left:4512;top:2198;width:1066;height:44" coordorigin="4512,2198" coordsize="1066,44" path="m4512,2229l5578,2229,5566,2241,5566,2198,5578,2198,4512,2198e" filled="false" stroked="true" strokeweight=".12pt" strokecolor="#000000">
              <v:path arrowok="t"/>
            </v:shape>
            <v:rect style="position:absolute;left:4512;top:1910;width:58;height:43" filled="true" fillcolor="#00ff00" stroked="false">
              <v:fill type="solid"/>
            </v:rect>
            <v:shape style="position:absolute;left:4512;top:1910;width:70;height:53" coordorigin="4512,1910" coordsize="70,53" path="m4558,1910l4558,1953,4512,1953,4512,1963,4582,1963,4582,1919,4570,1919,4558,1910xm4558,1910l4512,1910,4512,1919,4558,1919,4558,1910xm4582,1910l4558,1910,4570,1919,4582,1919,4582,1910xe" filled="true" fillcolor="#000000" stroked="false">
              <v:path arrowok="t"/>
              <v:fill type="solid"/>
            </v:shape>
            <v:shape style="position:absolute;left:4512;top:1910;width:70;height:53" coordorigin="4512,1910" coordsize="70,53" path="m4582,1910l4582,1963,4570,1963,4512,1963e" filled="false" stroked="true" strokeweight=".12pt" strokecolor="#000000">
              <v:path arrowok="t"/>
            </v:shape>
            <v:shape style="position:absolute;left:4512;top:1910;width:58;height:44" coordorigin="4512,1910" coordsize="58,44" path="m4512,1953l4570,1953,4558,1953,4558,1910e" filled="false" stroked="true" strokeweight=".12pt" strokecolor="#000000">
              <v:path arrowok="t"/>
            </v:shape>
            <v:shape style="position:absolute;left:4512;top:1910;width:58;height:10" coordorigin="4512,1910" coordsize="58,10" path="m4558,1910l4570,1919,4512,1919e" filled="false" stroked="true" strokeweight=".12pt" strokecolor="#000000">
              <v:path arrowok="t"/>
            </v:shape>
            <v:line style="position:absolute" from="4512,1653" to="4618,1653" stroked="true" strokeweight="2.15996pt" strokecolor="#00ff00"/>
            <v:shape style="position:absolute;left:4512;top:1619;width:118;height:65" coordorigin="4512,1619" coordsize="118,65" path="m4606,1663l4512,1663,4512,1684,4618,1684,4618,1675,4606,1675,4606,1663xm4606,1631l4606,1675,4618,1663,4630,1663,4630,1641,4618,1641,4606,1631xm4630,1663l4618,1663,4606,1675,4630,1675,4630,1663xm4618,1619l4512,1619,4512,1641,4606,1641,4606,1631,4618,1631,4618,1619xm4630,1631l4606,1631,4618,1641,4630,1641,4630,1631xe" filled="true" fillcolor="#000000" stroked="false">
              <v:path arrowok="t"/>
              <v:fill type="solid"/>
            </v:shape>
            <v:shape style="position:absolute;left:4512;top:1619;width:118;height:65" coordorigin="4512,1619" coordsize="118,65" path="m4618,1619l4618,1631,4630,1631,4630,1675,4618,1675,4618,1684,4512,1684e" filled="false" stroked="true" strokeweight=".12pt" strokecolor="#000000">
              <v:path arrowok="t"/>
            </v:shape>
            <v:shape style="position:absolute;left:4512;top:1631;width:106;height:44" coordorigin="4512,1631" coordsize="106,44" path="m4512,1663l4618,1663,4606,1675,4606,1631,4618,1641,4512,1641e" filled="false" stroked="true" strokeweight=".12pt" strokecolor="#000000">
              <v:path arrowok="t"/>
            </v:shape>
            <v:line style="position:absolute" from="4512,1375" to="5602,1375" stroked="true" strokeweight="2.159959pt" strokecolor="#00ff00"/>
            <v:shape style="position:absolute;left:4512;top:1341;width:1090;height:56" coordorigin="4512,1341" coordsize="1090,56" path="m5590,1384l4512,1384,4512,1396,5590,1396,5590,1384xm5602,1341l4512,1341,4512,1353,5590,1353,5590,1396,5602,1384,5602,1341xm5602,1384l5590,1396,5602,1396,5602,1384xe" filled="true" fillcolor="#000000" stroked="false">
              <v:path arrowok="t"/>
              <v:fill type="solid"/>
            </v:shape>
            <v:shape style="position:absolute;left:4512;top:1341;width:1090;height:56" coordorigin="4512,1341" coordsize="1090,56" path="m5602,1341l5602,1396,4512,1396e" filled="false" stroked="true" strokeweight=".12pt" strokecolor="#000000">
              <v:path arrowok="t"/>
            </v:shape>
            <v:shape style="position:absolute;left:4512;top:1353;width:1090;height:44" coordorigin="4512,1353" coordsize="1090,44" path="m4512,1384l5602,1384,5590,1396,5590,1353,5602,1353,4512,1353e" filled="false" stroked="true" strokeweight=".12pt" strokecolor="#000000">
              <v:path arrowok="t"/>
            </v:shape>
            <v:line style="position:absolute" from="4512,1085" to="4774,1085" stroked="true" strokeweight="2.039958pt" strokecolor="#00ff00"/>
            <v:shape style="position:absolute;left:4512;top:1053;width:262;height:65" coordorigin="4512,1053" coordsize="262,65" path="m4762,1065l4762,1106,4512,1106,4512,1118,4774,1118,4774,1075,4762,1065xm4774,1053l4512,1053,4512,1075,4762,1075,4762,1065,4774,1065,4774,1053xm4774,1065l4762,1065,4774,1075,4774,1065xe" filled="true" fillcolor="#000000" stroked="false">
              <v:path arrowok="t"/>
              <v:fill type="solid"/>
            </v:shape>
            <v:shape style="position:absolute;left:4512;top:1053;width:262;height:65" coordorigin="4512,1053" coordsize="262,65" path="m4774,1053l4774,1118,4512,1118e" filled="false" stroked="true" strokeweight=".12pt" strokecolor="#000000">
              <v:path arrowok="t"/>
            </v:shape>
            <v:shape style="position:absolute;left:4512;top:1065;width:262;height:41" coordorigin="4512,1065" coordsize="262,41" path="m4512,1106l4774,1106,4762,1106,4762,1065,4774,1075,4512,1075e" filled="false" stroked="true" strokeweight=".12pt" strokecolor="#000000">
              <v:path arrowok="t"/>
            </v:shape>
            <v:line style="position:absolute" from="4498,6952" to="9106,6952" stroked="true" strokeweight=".48pt" strokecolor="#000000"/>
            <v:line style="position:absolute" from="4496,6952" to="9107,6952" stroked="true" strokeweight=".6pt" strokecolor="#000000"/>
            <v:line style="position:absolute" from="4504,1030" to="4504,6992" stroked="true" strokeweight=".6pt" strokecolor="#000000"/>
            <v:line style="position:absolute" from="4462,6952" to="4498,6952" stroked="true" strokeweight=".48pt" strokecolor="#000000"/>
            <v:line style="position:absolute" from="4462,5541" to="4498,5541" stroked="true" strokeweight=".48pt" strokecolor="#000000"/>
            <v:line style="position:absolute" from="4462,4696" to="4498,4696" stroked="true" strokeweight=".48pt" strokecolor="#000000"/>
            <v:line style="position:absolute" from="4462,3850" to="4498,3850" stroked="true" strokeweight=".6pt" strokecolor="#000000"/>
            <v:line style="position:absolute" from="4462,3005" to="4498,3005" stroked="true" strokeweight=".6pt" strokecolor="#000000"/>
            <v:line style="position:absolute" from="4462,2161" to="4498,2161" stroked="true" strokeweight=".6pt" strokecolor="#000000"/>
            <v:line style="position:absolute" from="4462,1316" to="4498,1316" stroked="true" strokeweight=".6pt" strokecolor="#000000"/>
            <v:line style="position:absolute" from="4460,6952" to="4499,6952" stroked="true" strokeweight=".6pt" strokecolor="#000000"/>
            <v:shape style="position:absolute;left:4462;top:6669;width:36;height:2" coordorigin="4462,6669" coordsize="36,0" path="m4462,6669l4498,6669,4462,6669xe" filled="false" stroked="true" strokeweight=".12pt" strokecolor="#000000">
              <v:path arrowok="t"/>
            </v:shape>
            <v:shape style="position:absolute;left:4462;top:6391;width:36;height:2" coordorigin="4462,6391" coordsize="36,0" path="m4462,6391l4498,6391,4462,6391xe" filled="false" stroked="true" strokeweight=".12pt" strokecolor="#000000">
              <v:path arrowok="t"/>
            </v:shape>
            <v:shape style="position:absolute;left:4462;top:6103;width:36;height:2" coordorigin="4462,6103" coordsize="36,0" path="m4462,6103l4498,6103,4462,6103xe" filled="false" stroked="true" strokeweight=".12pt" strokecolor="#000000">
              <v:path arrowok="t"/>
            </v:shape>
            <v:shape style="position:absolute;left:4462;top:5824;width:36;height:2" coordorigin="4462,5824" coordsize="36,0" path="m4462,5824l4498,5824,4462,5824xe" filled="false" stroked="true" strokeweight=".12pt" strokecolor="#000000">
              <v:path arrowok="t"/>
            </v:shape>
            <v:line style="position:absolute" from="4460,5541" to="4499,5541" stroked="true" strokeweight=".6pt" strokecolor="#000000"/>
            <v:shape style="position:absolute;left:4462;top:5258;width:36;height:2" coordorigin="4462,5258" coordsize="36,0" path="m4462,5258l4498,5258,4462,5258xe" filled="false" stroked="true" strokeweight=".12pt" strokecolor="#000000">
              <v:path arrowok="t"/>
            </v:shape>
            <v:shape style="position:absolute;left:4462;top:4979;width:36;height:2" coordorigin="4462,4979" coordsize="36,0" path="m4462,4979l4498,4979,4462,4979xe" filled="false" stroked="true" strokeweight=".12pt" strokecolor="#000000">
              <v:path arrowok="t"/>
            </v:shape>
            <v:line style="position:absolute" from="4460,4696" to="4499,4696" stroked="true" strokeweight=".6pt" strokecolor="#000000"/>
            <v:shape style="position:absolute;left:4462;top:4413;width:36;height:2" coordorigin="4462,4413" coordsize="36,0" path="m4462,4413l4498,4413,4462,4413xe" filled="false" stroked="true" strokeweight=".12pt" strokecolor="#000000">
              <v:path arrowok="t"/>
            </v:shape>
            <v:shape style="position:absolute;left:4462;top:4135;width:36;height:2" coordorigin="4462,4135" coordsize="36,0" path="m4462,4135l4498,4135,4462,4135xe" filled="false" stroked="true" strokeweight=".12pt" strokecolor="#000000">
              <v:path arrowok="t"/>
            </v:shape>
            <v:line style="position:absolute" from="4460,3850" to="4499,3850" stroked="true" strokeweight=".72pt" strokecolor="#000000"/>
            <v:shape style="position:absolute;left:4462;top:3568;width:36;height:2" coordorigin="4462,3568" coordsize="36,0" path="m4462,3568l4498,3568,4462,3568xe" filled="false" stroked="true" strokeweight=".12pt" strokecolor="#000000">
              <v:path arrowok="t"/>
            </v:shape>
            <v:shape style="position:absolute;left:4462;top:3290;width:36;height:2" coordorigin="4462,3290" coordsize="36,0" path="m4462,3290l4498,3290,4462,3290xe" filled="false" stroked="true" strokeweight=".12pt" strokecolor="#000000">
              <v:path arrowok="t"/>
            </v:shape>
            <v:line style="position:absolute" from="4460,3005" to="4499,3005" stroked="true" strokeweight=".72pt" strokecolor="#000000"/>
            <v:shape style="position:absolute;left:4462;top:2721;width:36;height:2" coordorigin="4462,2721" coordsize="36,0" path="m4462,2721l4498,2721,4462,2721xe" filled="false" stroked="true" strokeweight=".12pt" strokecolor="#000000">
              <v:path arrowok="t"/>
            </v:shape>
            <v:shape style="position:absolute;left:4462;top:2445;width:36;height:2" coordorigin="4462,2445" coordsize="36,0" path="m4462,2445l4498,2445,4462,2445xe" filled="false" stroked="true" strokeweight=".12pt" strokecolor="#000000">
              <v:path arrowok="t"/>
            </v:shape>
            <v:line style="position:absolute" from="4460,2161" to="4499,2161" stroked="true" strokeweight=".72pt" strokecolor="#000000"/>
            <v:shape style="position:absolute;left:4462;top:1876;width:36;height:2" coordorigin="4462,1876" coordsize="36,0" path="m4462,1876l4498,1876,4462,1876xe" filled="false" stroked="true" strokeweight=".12pt" strokecolor="#000000">
              <v:path arrowok="t"/>
            </v:shape>
            <v:shape style="position:absolute;left:4462;top:1598;width:36;height:2" coordorigin="4462,1598" coordsize="36,0" path="m4462,1598l4498,1598,4462,1598xe" filled="false" stroked="true" strokeweight=".12pt" strokecolor="#000000">
              <v:path arrowok="t"/>
            </v:shape>
            <v:line style="position:absolute" from="4460,1316" to="4499,1316" stroked="true" strokeweight=".72pt" strokecolor="#000000"/>
            <v:shape style="position:absolute;left:4462;top:1031;width:36;height:2" coordorigin="4462,1031" coordsize="36,0" path="m4462,1031l4498,1031,4462,1031xe" filled="false" stroked="true" strokeweight=".12pt" strokecolor="#000000">
              <v:path arrowok="t"/>
            </v:shape>
            <v:line style="position:absolute" from="9430,4503" to="10126,4503" stroked="true" strokeweight=".6pt" strokecolor="#000000"/>
            <v:rect style="position:absolute;left:9430;top:3491;width:696;height:1018" filled="false" stroked="true" strokeweight=".12pt" strokecolor="#000000"/>
            <v:rect style="position:absolute;left:9430;top:3491;width:696;height:1006" filled="false" stroked="true" strokeweight=".12pt" strokecolor="#000000"/>
            <v:line style="position:absolute" from="9538,3593" to="9622,3593" stroked="true" strokeweight="3.72pt" strokecolor="#00ff00"/>
            <v:shape style="position:absolute;left:9526;top:3547;width:108;height:96" coordorigin="9526,3547" coordsize="108,96" path="m9622,3547l9526,3547,9526,3643,9622,3643,9622,3631,9538,3631,9538,3556,9622,3556,9622,3547xm9610,3621l9538,3621,9538,3631,9610,3631,9610,3621xm9634,3556l9610,3556,9610,3631,9622,3621,9634,3621,9634,3556xm9634,3621l9622,3621,9610,3631,9634,3631,9634,3621xe" filled="true" fillcolor="#000000" stroked="false">
              <v:path arrowok="t"/>
              <v:fill type="solid"/>
            </v:shape>
            <v:shape style="position:absolute;left:9526;top:3547;width:108;height:96" coordorigin="9526,3547" coordsize="108,96" path="m9526,3556l9526,3547,9622,3547,9622,3556,9634,3556,9634,3631,9622,3631,9622,3643,9526,3643,9526,3556xe" filled="false" stroked="true" strokeweight=".12pt" strokecolor="#000000">
              <v:path arrowok="t"/>
            </v:shape>
            <v:shape style="position:absolute;left:9538;top:3556;width:84;height:75" coordorigin="9538,3556" coordsize="84,75" path="m9538,3631l9538,3621,9622,3621,9610,3631,9610,3556,9622,3556,9538,3556,9538,3631xe" filled="false" stroked="true" strokeweight=".12pt" strokecolor="#000000">
              <v:path arrowok="t"/>
            </v:shape>
            <v:line style="position:absolute" from="9538,3797" to="9622,3797" stroked="true" strokeweight="3.72pt" strokecolor="#0000ff"/>
            <v:shape style="position:absolute;left:9526;top:3748;width:108;height:96" coordorigin="9526,3748" coordsize="108,96" path="m9622,3748l9526,3748,9526,3844,9622,3844,9622,3835,9538,3835,9538,3760,9634,3760,9622,3748xm9610,3825l9538,3825,9538,3835,9610,3835,9610,3825xm9634,3760l9610,3760,9610,3835,9622,3825,9634,3825,9634,3760xm9634,3825l9622,3825,9610,3835,9634,3835,9634,3825xe" filled="true" fillcolor="#000000" stroked="false">
              <v:path arrowok="t"/>
              <v:fill type="solid"/>
            </v:shape>
            <v:shape style="position:absolute;left:9526;top:3748;width:108;height:96" coordorigin="9526,3748" coordsize="108,96" path="m9526,3760l9526,3748,9622,3748,9634,3760,9634,3835,9622,3835,9622,3844,9526,3844,9526,3760xe" filled="false" stroked="true" strokeweight=".12pt" strokecolor="#000000">
              <v:path arrowok="t"/>
            </v:shape>
            <v:shape style="position:absolute;left:9538;top:3760;width:84;height:75" coordorigin="9538,3760" coordsize="84,75" path="m9538,3835l9538,3825,9622,3825,9610,3835,9610,3760,9622,3760,9538,3760,9538,3835xe" filled="false" stroked="true" strokeweight=".12pt" strokecolor="#000000">
              <v:path arrowok="t"/>
            </v:shape>
            <v:line style="position:absolute" from="9538,4000" to="9622,4000" stroked="true" strokeweight="3.84pt" strokecolor="#ffffcc"/>
            <v:shape style="position:absolute;left:9526;top:3952;width:108;height:87" coordorigin="9526,3952" coordsize="108,87" path="m9622,3952l9526,3952,9526,4039,9538,4039,9538,3962,9634,3962,9622,3952xm9610,4027l9538,4027,9538,4039,9610,4039,9610,4027xm9634,3962l9610,3962,9610,4039,9622,4027,9634,4027,9634,3962xm9634,4027l9622,4027,9610,4039,9634,4039,9634,4027xe" filled="true" fillcolor="#000000" stroked="false">
              <v:path arrowok="t"/>
              <v:fill type="solid"/>
            </v:shape>
            <v:shape style="position:absolute;left:9526;top:3952;width:108;height:87" coordorigin="9526,3952" coordsize="108,87" path="m9526,3962l9526,3952,9622,3952,9634,3962,9634,4039,9622,4039,9526,4039,9526,3962xe" filled="false" stroked="true" strokeweight=".12pt" strokecolor="#000000">
              <v:path arrowok="t"/>
            </v:shape>
            <v:shape style="position:absolute;left:9538;top:3962;width:84;height:77" coordorigin="9538,3962" coordsize="84,77" path="m9538,4039l9538,4027,9622,4027,9610,4039,9610,3962,9622,3962,9538,3962,9538,4039xe" filled="false" stroked="true" strokeweight=".12pt" strokecolor="#000000">
              <v:path arrowok="t"/>
            </v:shape>
            <v:line style="position:absolute" from="9538,4198" to="9622,4198" stroked="true" strokeweight="4.2pt" strokecolor="#993265"/>
            <v:shape style="position:absolute;left:9526;top:4156;width:108;height:84" coordorigin="9526,4156" coordsize="108,84" path="m9538,4156l9526,4156,9526,4240,9538,4240,9538,4156xm9610,4231l9538,4231,9538,4240,9610,4240,9610,4231xm9610,4156l9610,4240,9622,4231,9634,4231,9634,4166,9622,4166,9610,4156xm9634,4231l9622,4231,9610,4240,9634,4240,9634,4231xm9610,4156l9538,4156,9538,4166,9610,4166,9610,4156xm9634,4156l9610,4156,9622,4166,9634,4166,9634,4156xe" filled="true" fillcolor="#000000" stroked="false">
              <v:path arrowok="t"/>
              <v:fill type="solid"/>
            </v:shape>
            <v:shape style="position:absolute;left:9526;top:4156;width:108;height:84" coordorigin="9526,4156" coordsize="108,84" path="m9526,4156l9622,4156,9634,4156,9634,4240,9622,4240,9526,4240,9526,4156xe" filled="false" stroked="true" strokeweight=".12pt" strokecolor="#000000">
              <v:path arrowok="t"/>
            </v:shape>
            <v:shape style="position:absolute;left:9538;top:4156;width:84;height:84" coordorigin="9538,4156" coordsize="84,84" path="m9538,4240l9538,4231,9622,4231,9610,4240,9610,4156,9622,4166,9538,4166,9538,4156,9538,4240xe" filled="false" stroked="true" strokeweight=".12pt" strokecolor="#000000">
              <v:path arrowok="t"/>
            </v:shape>
            <v:line style="position:absolute" from="9538,4401" to="9622,4401" stroked="true" strokeweight="4.32pt" strokecolor="#ffff00"/>
            <v:shape style="position:absolute;left:9526;top:4358;width:108;height:87" coordorigin="9526,4358" coordsize="108,87" path="m9538,4358l9526,4358,9526,4444,9538,4444,9538,4358xm9610,4435l9538,4435,9538,4444,9610,4444,9610,4435xm9610,4358l9610,4444,9622,4435,9634,4435,9634,4370,9622,4370,9610,4358xm9634,4435l9622,4435,9610,4444,9634,4444,9634,4435xm9610,4358l9538,4358,9538,4370,9610,4370,9610,4358xm9634,4358l9610,4358,9622,4370,9634,4370,9634,4358xe" filled="true" fillcolor="#000000" stroked="false">
              <v:path arrowok="t"/>
              <v:fill type="solid"/>
            </v:shape>
            <v:shape style="position:absolute;left:9526;top:4358;width:108;height:87" coordorigin="9526,4358" coordsize="108,87" path="m9526,4358l9622,4358,9634,4358,9634,4444,9622,4444,9526,4444,9526,4358xe" filled="false" stroked="true" strokeweight=".12pt" strokecolor="#000000">
              <v:path arrowok="t"/>
            </v:shape>
            <v:shape style="position:absolute;left:9538;top:4358;width:84;height:87" coordorigin="9538,4358" coordsize="84,87" path="m9538,4444l9538,4435,9622,4435,9610,4444,9610,4358,9622,4370,9538,4370,9538,4358,9538,4444xe" filled="false" stroked="true" strokeweight=".12pt" strokecolor="#000000">
              <v:path arrowok="t"/>
            </v:shape>
            <v:shape style="position:absolute;left:1716;top:391;width:8446;height:7241" coordorigin="1716,391" coordsize="8446,7241" path="m1728,400l1716,400,1716,7631,1728,7631,1728,400xm10150,391l1728,391,1728,400,10150,400,10150,7631,10162,7631,10162,400,10150,391xe" filled="true" fillcolor="#000000" stroked="false">
              <v:path arrowok="t"/>
              <v:fill type="solid"/>
            </v:shape>
            <v:shape style="position:absolute;left:1716;top:391;width:8446;height:7241" coordorigin="1716,391" coordsize="8446,7241" path="m1716,400l1728,400,1728,391,10150,391,10162,400,10162,7631,1728,7631,1716,7631,1716,400xe" filled="false" stroked="true" strokeweight=".12pt" strokecolor="#000000">
              <v:path arrowok="t"/>
            </v:shape>
            <v:rect style="position:absolute;left:1728;top:400;width:8422;height:7231" filled="false" stroked="true" strokeweight=".12pt" strokecolor="#000000"/>
            <v:shape style="position:absolute;left:4872;top:596;width:2145;height:182" type="#_x0000_t202" filled="false" stroked="false">
              <v:textbox inset="0,0,0,0">
                <w:txbxContent>
                  <w:p>
                    <w:pPr>
                      <w:spacing w:line="182" w:lineRule="exact" w:before="0"/>
                      <w:ind w:left="0" w:right="0" w:firstLine="0"/>
                      <w:jc w:val="left"/>
                      <w:rPr>
                        <w:b/>
                        <w:sz w:val="18"/>
                      </w:rPr>
                    </w:pPr>
                    <w:r>
                      <w:rPr>
                        <w:b/>
                        <w:sz w:val="18"/>
                      </w:rPr>
                      <w:t>RE MESA S EN ÁFR ICA</w:t>
                    </w:r>
                  </w:p>
                </w:txbxContent>
              </v:textbox>
              <w10:wrap type="none"/>
            </v:shape>
            <v:shape style="position:absolute;left:3564;top:1121;width:791;height:2653" type="#_x0000_t202" filled="false" stroked="false">
              <v:textbox inset="0,0,0,0">
                <w:txbxContent>
                  <w:p>
                    <w:pPr>
                      <w:spacing w:line="119" w:lineRule="exact" w:before="0"/>
                      <w:ind w:left="287" w:right="-3" w:firstLine="0"/>
                      <w:jc w:val="left"/>
                      <w:rPr>
                        <w:sz w:val="11"/>
                      </w:rPr>
                    </w:pPr>
                    <w:r>
                      <w:rPr>
                        <w:w w:val="105"/>
                        <w:sz w:val="11"/>
                      </w:rPr>
                      <w:t>Uga nda</w:t>
                    </w:r>
                  </w:p>
                  <w:p>
                    <w:pPr>
                      <w:spacing w:line="240" w:lineRule="auto" w:before="0"/>
                      <w:rPr>
                        <w:b/>
                        <w:sz w:val="13"/>
                      </w:rPr>
                    </w:pPr>
                  </w:p>
                  <w:p>
                    <w:pPr>
                      <w:spacing w:line="552" w:lineRule="auto" w:before="0"/>
                      <w:ind w:left="456" w:right="-3" w:hanging="36"/>
                      <w:jc w:val="left"/>
                      <w:rPr>
                        <w:sz w:val="11"/>
                      </w:rPr>
                    </w:pPr>
                    <w:r>
                      <w:rPr>
                        <w:w w:val="105"/>
                        <w:sz w:val="11"/>
                      </w:rPr>
                      <w:t>Tun ez Togo</w:t>
                    </w:r>
                  </w:p>
                  <w:p>
                    <w:pPr>
                      <w:spacing w:line="119" w:lineRule="exact" w:before="0"/>
                      <w:ind w:left="0" w:right="39" w:firstLine="0"/>
                      <w:jc w:val="right"/>
                      <w:rPr>
                        <w:sz w:val="11"/>
                      </w:rPr>
                    </w:pPr>
                    <w:r>
                      <w:rPr>
                        <w:w w:val="105"/>
                        <w:sz w:val="11"/>
                      </w:rPr>
                      <w:t>S waziland ia</w:t>
                    </w:r>
                  </w:p>
                  <w:p>
                    <w:pPr>
                      <w:spacing w:line="240" w:lineRule="auto" w:before="2"/>
                      <w:rPr>
                        <w:b/>
                        <w:sz w:val="13"/>
                      </w:rPr>
                    </w:pPr>
                  </w:p>
                  <w:p>
                    <w:pPr>
                      <w:spacing w:line="537" w:lineRule="auto" w:before="0"/>
                      <w:ind w:left="263" w:right="30" w:firstLine="108"/>
                      <w:jc w:val="right"/>
                      <w:rPr>
                        <w:sz w:val="11"/>
                      </w:rPr>
                    </w:pPr>
                    <w:r>
                      <w:rPr>
                        <w:w w:val="105"/>
                        <w:sz w:val="11"/>
                      </w:rPr>
                      <w:t>Su dán</w:t>
                    </w:r>
                    <w:r>
                      <w:rPr>
                        <w:w w:val="106"/>
                        <w:sz w:val="11"/>
                      </w:rPr>
                      <w:t> </w:t>
                    </w:r>
                    <w:r>
                      <w:rPr>
                        <w:w w:val="105"/>
                        <w:sz w:val="11"/>
                      </w:rPr>
                      <w:t>S eneg al</w:t>
                    </w:r>
                    <w:r>
                      <w:rPr>
                        <w:w w:val="106"/>
                        <w:sz w:val="11"/>
                      </w:rPr>
                      <w:t> </w:t>
                    </w:r>
                    <w:r>
                      <w:rPr>
                        <w:w w:val="105"/>
                        <w:sz w:val="11"/>
                      </w:rPr>
                      <w:t>Nig eria</w:t>
                    </w:r>
                  </w:p>
                  <w:p>
                    <w:pPr>
                      <w:spacing w:line="528" w:lineRule="auto" w:before="9"/>
                      <w:ind w:left="0" w:right="33" w:firstLine="120"/>
                      <w:jc w:val="right"/>
                      <w:rPr>
                        <w:sz w:val="11"/>
                      </w:rPr>
                    </w:pPr>
                    <w:r>
                      <w:rPr>
                        <w:w w:val="105"/>
                        <w:sz w:val="11"/>
                      </w:rPr>
                      <w:t>M </w:t>
                    </w:r>
                    <w:r>
                      <w:rPr>
                        <w:spacing w:val="2"/>
                        <w:w w:val="105"/>
                        <w:sz w:val="11"/>
                      </w:rPr>
                      <w:t>arru</w:t>
                    </w:r>
                    <w:r>
                      <w:rPr>
                        <w:spacing w:val="-16"/>
                        <w:w w:val="105"/>
                        <w:sz w:val="11"/>
                      </w:rPr>
                      <w:t> </w:t>
                    </w:r>
                    <w:r>
                      <w:rPr>
                        <w:spacing w:val="2"/>
                        <w:w w:val="105"/>
                        <w:sz w:val="11"/>
                      </w:rPr>
                      <w:t>eco</w:t>
                    </w:r>
                    <w:r>
                      <w:rPr>
                        <w:spacing w:val="-10"/>
                        <w:w w:val="105"/>
                        <w:sz w:val="11"/>
                      </w:rPr>
                      <w:t> </w:t>
                    </w:r>
                    <w:r>
                      <w:rPr>
                        <w:w w:val="105"/>
                        <w:sz w:val="11"/>
                      </w:rPr>
                      <w:t>s</w:t>
                    </w:r>
                    <w:r>
                      <w:rPr>
                        <w:w w:val="106"/>
                        <w:sz w:val="11"/>
                      </w:rPr>
                      <w:t> </w:t>
                    </w:r>
                    <w:r>
                      <w:rPr>
                        <w:spacing w:val="3"/>
                        <w:w w:val="105"/>
                        <w:sz w:val="11"/>
                      </w:rPr>
                      <w:t>Isla </w:t>
                    </w:r>
                    <w:r>
                      <w:rPr>
                        <w:spacing w:val="5"/>
                        <w:w w:val="105"/>
                        <w:sz w:val="11"/>
                      </w:rPr>
                      <w:t>Mau </w:t>
                    </w:r>
                    <w:r>
                      <w:rPr>
                        <w:w w:val="105"/>
                        <w:sz w:val="11"/>
                      </w:rPr>
                      <w:t>ric</w:t>
                    </w:r>
                    <w:r>
                      <w:rPr>
                        <w:spacing w:val="-4"/>
                        <w:w w:val="105"/>
                        <w:sz w:val="11"/>
                      </w:rPr>
                      <w:t> </w:t>
                    </w:r>
                    <w:r>
                      <w:rPr>
                        <w:w w:val="105"/>
                        <w:sz w:val="11"/>
                      </w:rPr>
                      <w:t>io</w:t>
                    </w:r>
                  </w:p>
                  <w:p>
                    <w:pPr>
                      <w:spacing w:line="125" w:lineRule="exact" w:before="4"/>
                      <w:ind w:left="0" w:right="36" w:firstLine="0"/>
                      <w:jc w:val="right"/>
                      <w:rPr>
                        <w:sz w:val="11"/>
                      </w:rPr>
                    </w:pPr>
                    <w:r>
                      <w:rPr>
                        <w:w w:val="105"/>
                        <w:sz w:val="11"/>
                      </w:rPr>
                      <w:t>Ma lí</w:t>
                    </w:r>
                  </w:p>
                </w:txbxContent>
              </v:textbox>
              <w10:wrap type="none"/>
            </v:shape>
            <v:shape style="position:absolute;left:2028;top:3856;width:107;height:204" type="#_x0000_t202" filled="false" stroked="false">
              <v:textbox inset="0,0,0,0">
                <w:txbxContent>
                  <w:p>
                    <w:pPr>
                      <w:spacing w:line="204" w:lineRule="exact" w:before="0"/>
                      <w:ind w:left="0" w:right="-19" w:firstLine="0"/>
                      <w:jc w:val="left"/>
                      <w:rPr>
                        <w:b/>
                        <w:sz w:val="16"/>
                      </w:rPr>
                    </w:pPr>
                    <w:r>
                      <w:rPr>
                        <w:b/>
                        <w:spacing w:val="-23"/>
                        <w:position w:val="-3"/>
                        <w:sz w:val="16"/>
                      </w:rPr>
                      <w:t>Í</w:t>
                    </w:r>
                    <w:r>
                      <w:rPr>
                        <w:b/>
                        <w:spacing w:val="-23"/>
                        <w:sz w:val="16"/>
                      </w:rPr>
                      <w:t>S</w:t>
                    </w:r>
                  </w:p>
                </w:txbxContent>
              </v:textbox>
              <w10:wrap type="none"/>
            </v:shape>
            <v:shape style="position:absolute;left:2028;top:4017;width:116;height:161" type="#_x0000_t202" filled="false" stroked="false">
              <v:textbox inset="0,0,0,0">
                <w:txbxContent>
                  <w:p>
                    <w:pPr>
                      <w:spacing w:line="160" w:lineRule="exact" w:before="0"/>
                      <w:ind w:left="0" w:right="0" w:firstLine="0"/>
                      <w:jc w:val="left"/>
                      <w:rPr>
                        <w:b/>
                        <w:sz w:val="16"/>
                      </w:rPr>
                    </w:pPr>
                    <w:r>
                      <w:rPr>
                        <w:b/>
                        <w:w w:val="100"/>
                        <w:sz w:val="16"/>
                      </w:rPr>
                      <w:t>A</w:t>
                    </w:r>
                  </w:p>
                </w:txbxContent>
              </v:textbox>
              <w10:wrap type="none"/>
            </v:shape>
            <v:shape style="position:absolute;left:3840;top:3943;width:474;height:118" type="#_x0000_t202" filled="false" stroked="false">
              <v:textbox inset="0,0,0,0">
                <w:txbxContent>
                  <w:p>
                    <w:pPr>
                      <w:spacing w:line="118" w:lineRule="exact" w:before="0"/>
                      <w:ind w:left="0" w:right="-18" w:firstLine="0"/>
                      <w:jc w:val="left"/>
                      <w:rPr>
                        <w:sz w:val="11"/>
                      </w:rPr>
                    </w:pPr>
                    <w:r>
                      <w:rPr>
                        <w:w w:val="105"/>
                        <w:sz w:val="11"/>
                      </w:rPr>
                      <w:t>L </w:t>
                    </w:r>
                    <w:r>
                      <w:rPr>
                        <w:spacing w:val="2"/>
                        <w:w w:val="105"/>
                        <w:sz w:val="11"/>
                      </w:rPr>
                      <w:t>eso</w:t>
                    </w:r>
                    <w:r>
                      <w:rPr>
                        <w:spacing w:val="-19"/>
                        <w:w w:val="105"/>
                        <w:sz w:val="11"/>
                      </w:rPr>
                      <w:t> </w:t>
                    </w:r>
                    <w:r>
                      <w:rPr>
                        <w:spacing w:val="3"/>
                        <w:w w:val="105"/>
                        <w:sz w:val="11"/>
                      </w:rPr>
                      <w:t>tho</w:t>
                    </w:r>
                  </w:p>
                </w:txbxContent>
              </v:textbox>
              <w10:wrap type="none"/>
            </v:shape>
            <v:shape style="position:absolute;left:2028;top:4122;width:107;height:161" type="#_x0000_t202" filled="false" stroked="false">
              <v:textbox inset="0,0,0,0">
                <w:txbxContent>
                  <w:p>
                    <w:pPr>
                      <w:spacing w:line="160" w:lineRule="exact" w:before="0"/>
                      <w:ind w:left="0" w:right="0" w:firstLine="0"/>
                      <w:jc w:val="left"/>
                      <w:rPr>
                        <w:b/>
                        <w:sz w:val="16"/>
                      </w:rPr>
                    </w:pPr>
                    <w:r>
                      <w:rPr>
                        <w:b/>
                        <w:w w:val="100"/>
                        <w:sz w:val="16"/>
                      </w:rPr>
                      <w:t>P</w:t>
                    </w:r>
                  </w:p>
                </w:txbxContent>
              </v:textbox>
              <w10:wrap type="none"/>
            </v:shape>
            <v:shape style="position:absolute;left:4020;top:4222;width:330;height:118" type="#_x0000_t202" filled="false" stroked="false">
              <v:textbox inset="0,0,0,0">
                <w:txbxContent>
                  <w:p>
                    <w:pPr>
                      <w:spacing w:line="118" w:lineRule="exact" w:before="0"/>
                      <w:ind w:left="0" w:right="-18" w:firstLine="0"/>
                      <w:jc w:val="left"/>
                      <w:rPr>
                        <w:sz w:val="11"/>
                      </w:rPr>
                    </w:pPr>
                    <w:r>
                      <w:rPr>
                        <w:w w:val="105"/>
                        <w:sz w:val="11"/>
                      </w:rPr>
                      <w:t>Ke nia</w:t>
                    </w:r>
                  </w:p>
                </w:txbxContent>
              </v:textbox>
              <w10:wrap type="none"/>
            </v:shape>
            <v:shape style="position:absolute;left:9658;top:3521;width:372;height:964" type="#_x0000_t202" filled="false" stroked="false">
              <v:textbox inset="0,0,0,0">
                <w:txbxContent>
                  <w:p>
                    <w:pPr>
                      <w:spacing w:line="153" w:lineRule="exact" w:before="0"/>
                      <w:ind w:left="0" w:right="0" w:firstLine="0"/>
                      <w:jc w:val="left"/>
                      <w:rPr>
                        <w:sz w:val="15"/>
                      </w:rPr>
                    </w:pPr>
                    <w:r>
                      <w:rPr>
                        <w:sz w:val="15"/>
                      </w:rPr>
                      <w:t>2004</w:t>
                    </w:r>
                  </w:p>
                  <w:p>
                    <w:pPr>
                      <w:spacing w:before="31"/>
                      <w:ind w:left="0" w:right="0" w:firstLine="0"/>
                      <w:jc w:val="left"/>
                      <w:rPr>
                        <w:sz w:val="15"/>
                      </w:rPr>
                    </w:pPr>
                    <w:r>
                      <w:rPr>
                        <w:sz w:val="15"/>
                      </w:rPr>
                      <w:t>2003</w:t>
                    </w:r>
                  </w:p>
                  <w:p>
                    <w:pPr>
                      <w:spacing w:before="31"/>
                      <w:ind w:left="0" w:right="0" w:firstLine="0"/>
                      <w:jc w:val="left"/>
                      <w:rPr>
                        <w:sz w:val="15"/>
                      </w:rPr>
                    </w:pPr>
                    <w:r>
                      <w:rPr>
                        <w:sz w:val="15"/>
                      </w:rPr>
                      <w:t>2002</w:t>
                    </w:r>
                  </w:p>
                  <w:p>
                    <w:pPr>
                      <w:spacing w:before="29"/>
                      <w:ind w:left="0" w:right="0" w:firstLine="0"/>
                      <w:jc w:val="left"/>
                      <w:rPr>
                        <w:sz w:val="15"/>
                      </w:rPr>
                    </w:pPr>
                    <w:r>
                      <w:rPr>
                        <w:sz w:val="15"/>
                      </w:rPr>
                      <w:t>2001</w:t>
                    </w:r>
                  </w:p>
                  <w:p>
                    <w:pPr>
                      <w:spacing w:line="169" w:lineRule="exact" w:before="31"/>
                      <w:ind w:left="0" w:right="0" w:firstLine="0"/>
                      <w:jc w:val="left"/>
                      <w:rPr>
                        <w:sz w:val="15"/>
                      </w:rPr>
                    </w:pPr>
                    <w:r>
                      <w:rPr>
                        <w:sz w:val="15"/>
                      </w:rPr>
                      <w:t>2000</w:t>
                    </w:r>
                  </w:p>
                </w:txbxContent>
              </v:textbox>
              <w10:wrap type="none"/>
            </v:shape>
            <v:shape style="position:absolute;left:2184;top:4500;width:2166;height:2374" type="#_x0000_t202" filled="false" stroked="false">
              <v:textbox inset="0,0,0,0">
                <w:txbxContent>
                  <w:p>
                    <w:pPr>
                      <w:spacing w:line="119" w:lineRule="exact" w:before="0"/>
                      <w:ind w:left="0" w:right="34" w:firstLine="0"/>
                      <w:jc w:val="right"/>
                      <w:rPr>
                        <w:sz w:val="11"/>
                      </w:rPr>
                    </w:pPr>
                    <w:r>
                      <w:rPr>
                        <w:w w:val="105"/>
                        <w:sz w:val="11"/>
                      </w:rPr>
                      <w:t>Gh ana</w:t>
                    </w:r>
                  </w:p>
                  <w:p>
                    <w:pPr>
                      <w:spacing w:line="240" w:lineRule="auto" w:before="0"/>
                      <w:rPr>
                        <w:b/>
                        <w:sz w:val="14"/>
                      </w:rPr>
                    </w:pPr>
                  </w:p>
                  <w:p>
                    <w:pPr>
                      <w:spacing w:line="528" w:lineRule="auto" w:before="0"/>
                      <w:ind w:left="0" w:right="30" w:firstLine="1716"/>
                      <w:jc w:val="right"/>
                      <w:rPr>
                        <w:sz w:val="11"/>
                      </w:rPr>
                    </w:pPr>
                    <w:r>
                      <w:rPr>
                        <w:w w:val="105"/>
                        <w:sz w:val="11"/>
                      </w:rPr>
                      <w:t>E tiopía</w:t>
                    </w:r>
                    <w:r>
                      <w:rPr>
                        <w:w w:val="106"/>
                        <w:sz w:val="11"/>
                      </w:rPr>
                      <w:t> </w:t>
                    </w:r>
                    <w:r>
                      <w:rPr>
                        <w:w w:val="105"/>
                        <w:sz w:val="11"/>
                      </w:rPr>
                      <w:t>Re presentan te d el árabe  de E gipto.</w:t>
                    </w:r>
                  </w:p>
                  <w:p>
                    <w:pPr>
                      <w:spacing w:before="4"/>
                      <w:ind w:left="0" w:right="33" w:firstLine="0"/>
                      <w:jc w:val="right"/>
                      <w:rPr>
                        <w:sz w:val="11"/>
                      </w:rPr>
                    </w:pPr>
                    <w:r>
                      <w:rPr>
                        <w:w w:val="105"/>
                        <w:sz w:val="11"/>
                      </w:rPr>
                      <w:t>Lvoire del `de  Cote</w:t>
                    </w:r>
                  </w:p>
                  <w:p>
                    <w:pPr>
                      <w:spacing w:line="240" w:lineRule="auto" w:before="0"/>
                      <w:rPr>
                        <w:b/>
                        <w:sz w:val="14"/>
                      </w:rPr>
                    </w:pPr>
                  </w:p>
                  <w:p>
                    <w:pPr>
                      <w:spacing w:line="528" w:lineRule="auto" w:before="0"/>
                      <w:ind w:left="1393" w:right="14" w:firstLine="0"/>
                      <w:jc w:val="center"/>
                      <w:rPr>
                        <w:sz w:val="11"/>
                      </w:rPr>
                    </w:pPr>
                    <w:r>
                      <w:rPr>
                        <w:w w:val="105"/>
                        <w:sz w:val="11"/>
                      </w:rPr>
                      <w:t>Ca bo V erde B urkina Fa so</w:t>
                    </w:r>
                  </w:p>
                  <w:p>
                    <w:pPr>
                      <w:spacing w:before="4"/>
                      <w:ind w:left="0" w:right="34" w:firstLine="0"/>
                      <w:jc w:val="right"/>
                      <w:rPr>
                        <w:sz w:val="11"/>
                      </w:rPr>
                    </w:pPr>
                    <w:r>
                      <w:rPr>
                        <w:w w:val="105"/>
                        <w:sz w:val="11"/>
                      </w:rPr>
                      <w:t>Bo tswana</w:t>
                    </w:r>
                  </w:p>
                  <w:p>
                    <w:pPr>
                      <w:spacing w:line="280" w:lineRule="atLeast" w:before="8"/>
                      <w:ind w:left="1716" w:right="33" w:firstLine="84"/>
                      <w:jc w:val="right"/>
                      <w:rPr>
                        <w:sz w:val="11"/>
                      </w:rPr>
                    </w:pPr>
                    <w:r>
                      <w:rPr>
                        <w:w w:val="105"/>
                        <w:sz w:val="11"/>
                      </w:rPr>
                      <w:t>Ben in</w:t>
                    </w:r>
                    <w:r>
                      <w:rPr>
                        <w:w w:val="106"/>
                        <w:sz w:val="11"/>
                      </w:rPr>
                      <w:t> </w:t>
                    </w:r>
                    <w:r>
                      <w:rPr>
                        <w:w w:val="105"/>
                        <w:sz w:val="11"/>
                      </w:rPr>
                      <w:t>A rgelia</w:t>
                    </w:r>
                  </w:p>
                </w:txbxContent>
              </v:textbox>
              <w10:wrap type="none"/>
            </v:shape>
            <v:shape style="position:absolute;left:4464;top:7099;width:66;height:118" type="#_x0000_t202" filled="false" stroked="false">
              <v:textbox inset="0,0,0,0">
                <w:txbxContent>
                  <w:p>
                    <w:pPr>
                      <w:spacing w:line="118" w:lineRule="exact" w:before="0"/>
                      <w:ind w:left="0" w:right="0" w:firstLine="0"/>
                      <w:jc w:val="left"/>
                      <w:rPr>
                        <w:sz w:val="11"/>
                      </w:rPr>
                    </w:pPr>
                    <w:r>
                      <w:rPr>
                        <w:w w:val="106"/>
                        <w:sz w:val="11"/>
                      </w:rPr>
                      <w:t>0</w:t>
                    </w:r>
                  </w:p>
                </w:txbxContent>
              </v:textbox>
              <w10:wrap type="none"/>
            </v:shape>
            <v:shape style="position:absolute;left:5844;top:7099;width:376;height:118" type="#_x0000_t202" filled="false" stroked="false">
              <v:textbox inset="0,0,0,0">
                <w:txbxContent>
                  <w:p>
                    <w:pPr>
                      <w:spacing w:line="118" w:lineRule="exact" w:before="0"/>
                      <w:ind w:left="0" w:right="-14" w:firstLine="0"/>
                      <w:jc w:val="left"/>
                      <w:rPr>
                        <w:sz w:val="11"/>
                      </w:rPr>
                    </w:pPr>
                    <w:r>
                      <w:rPr>
                        <w:w w:val="105"/>
                        <w:sz w:val="11"/>
                      </w:rPr>
                      <w:t>2E+ 09</w:t>
                    </w:r>
                  </w:p>
                </w:txbxContent>
              </v:textbox>
              <w10:wrap type="none"/>
            </v:shape>
            <v:shape style="position:absolute;left:7366;top:7099;width:390;height:118" type="#_x0000_t202" filled="false" stroked="false">
              <v:textbox inset="0,0,0,0">
                <w:txbxContent>
                  <w:p>
                    <w:pPr>
                      <w:spacing w:line="118" w:lineRule="exact" w:before="0"/>
                      <w:ind w:left="0" w:right="-18" w:firstLine="0"/>
                      <w:jc w:val="left"/>
                      <w:rPr>
                        <w:sz w:val="11"/>
                      </w:rPr>
                    </w:pPr>
                    <w:r>
                      <w:rPr>
                        <w:w w:val="105"/>
                        <w:sz w:val="11"/>
                      </w:rPr>
                      <w:t>4 </w:t>
                    </w:r>
                    <w:r>
                      <w:rPr>
                        <w:spacing w:val="2"/>
                        <w:w w:val="105"/>
                        <w:sz w:val="11"/>
                      </w:rPr>
                      <w:t>E+</w:t>
                    </w:r>
                    <w:r>
                      <w:rPr>
                        <w:spacing w:val="-24"/>
                        <w:w w:val="105"/>
                        <w:sz w:val="11"/>
                      </w:rPr>
                      <w:t> </w:t>
                    </w:r>
                    <w:r>
                      <w:rPr>
                        <w:spacing w:val="3"/>
                        <w:w w:val="105"/>
                        <w:sz w:val="11"/>
                      </w:rPr>
                      <w:t>09</w:t>
                    </w:r>
                  </w:p>
                </w:txbxContent>
              </v:textbox>
              <w10:wrap type="none"/>
            </v:shape>
            <v:shape style="position:absolute;left:8902;top:7099;width:390;height:118" type="#_x0000_t202" filled="false" stroked="false">
              <v:textbox inset="0,0,0,0">
                <w:txbxContent>
                  <w:p>
                    <w:pPr>
                      <w:spacing w:line="118" w:lineRule="exact" w:before="0"/>
                      <w:ind w:left="0" w:right="-19" w:firstLine="0"/>
                      <w:jc w:val="left"/>
                      <w:rPr>
                        <w:sz w:val="11"/>
                      </w:rPr>
                    </w:pPr>
                    <w:r>
                      <w:rPr>
                        <w:spacing w:val="3"/>
                        <w:w w:val="105"/>
                        <w:sz w:val="11"/>
                      </w:rPr>
                      <w:t>6E </w:t>
                    </w:r>
                    <w:r>
                      <w:rPr>
                        <w:w w:val="105"/>
                        <w:sz w:val="11"/>
                      </w:rPr>
                      <w:t>+0</w:t>
                    </w:r>
                    <w:r>
                      <w:rPr>
                        <w:spacing w:val="-22"/>
                        <w:w w:val="105"/>
                        <w:sz w:val="11"/>
                      </w:rPr>
                      <w:t> </w:t>
                    </w:r>
                    <w:r>
                      <w:rPr>
                        <w:w w:val="105"/>
                        <w:sz w:val="11"/>
                      </w:rPr>
                      <w:t>9</w:t>
                    </w:r>
                  </w:p>
                </w:txbxContent>
              </v:textbox>
              <w10:wrap type="none"/>
            </v:shape>
            <v:shape style="position:absolute;left:6358;top:7365;width:887;height:161" type="#_x0000_t202" filled="false" stroked="false">
              <v:textbox inset="0,0,0,0">
                <w:txbxContent>
                  <w:p>
                    <w:pPr>
                      <w:spacing w:line="160" w:lineRule="exact" w:before="0"/>
                      <w:ind w:left="0" w:right="0" w:firstLine="0"/>
                      <w:jc w:val="left"/>
                      <w:rPr>
                        <w:b/>
                        <w:sz w:val="16"/>
                      </w:rPr>
                    </w:pPr>
                    <w:r>
                      <w:rPr>
                        <w:b/>
                        <w:sz w:val="16"/>
                      </w:rPr>
                      <w:t>DÓL ARES</w:t>
                    </w:r>
                  </w:p>
                </w:txbxContent>
              </v:textbox>
              <w10:wrap type="none"/>
            </v:shape>
            <w10:wrap type="topAndBottom"/>
          </v:group>
        </w:pict>
      </w:r>
      <w:r>
        <w:rPr/>
        <w:t>Figura 6. Comportamiento de las Remesas en África: 2000-2004  (dólares)</w:t>
      </w:r>
    </w:p>
    <w:p>
      <w:pPr>
        <w:spacing w:before="0"/>
        <w:ind w:left="115" w:right="0" w:firstLine="0"/>
        <w:jc w:val="both"/>
        <w:rPr>
          <w:sz w:val="19"/>
        </w:rPr>
      </w:pPr>
      <w:r>
        <w:rPr>
          <w:sz w:val="19"/>
        </w:rPr>
        <w:t>Fuente: Elaboración propia con datos del Banco  Mundial.</w:t>
      </w:r>
    </w:p>
    <w:p>
      <w:pPr>
        <w:pStyle w:val="BodyText"/>
        <w:rPr>
          <w:sz w:val="18"/>
        </w:rPr>
      </w:pPr>
    </w:p>
    <w:p>
      <w:pPr>
        <w:pStyle w:val="BodyText"/>
        <w:rPr>
          <w:sz w:val="18"/>
        </w:rPr>
      </w:pPr>
    </w:p>
    <w:p>
      <w:pPr>
        <w:pStyle w:val="BodyText"/>
        <w:rPr>
          <w:sz w:val="18"/>
        </w:rPr>
      </w:pPr>
    </w:p>
    <w:p>
      <w:pPr>
        <w:pStyle w:val="BodyText"/>
        <w:spacing w:before="8"/>
        <w:rPr>
          <w:sz w:val="24"/>
        </w:rPr>
      </w:pPr>
    </w:p>
    <w:p>
      <w:pPr>
        <w:pStyle w:val="Heading4"/>
        <w:numPr>
          <w:ilvl w:val="1"/>
          <w:numId w:val="6"/>
        </w:numPr>
        <w:tabs>
          <w:tab w:pos="508" w:val="left" w:leader="none"/>
        </w:tabs>
        <w:spacing w:line="240" w:lineRule="auto" w:before="0" w:after="0"/>
        <w:ind w:left="507" w:right="0" w:hanging="391"/>
        <w:jc w:val="both"/>
      </w:pPr>
      <w:r>
        <w:rPr/>
        <w:t>Oceanía</w:t>
      </w:r>
    </w:p>
    <w:p>
      <w:pPr>
        <w:pStyle w:val="BodyText"/>
        <w:spacing w:before="2"/>
        <w:rPr>
          <w:b/>
          <w:sz w:val="29"/>
        </w:rPr>
      </w:pPr>
    </w:p>
    <w:p>
      <w:pPr>
        <w:pStyle w:val="BodyText"/>
        <w:spacing w:line="364" w:lineRule="auto"/>
        <w:ind w:left="115" w:right="105"/>
        <w:jc w:val="both"/>
      </w:pPr>
      <w:r>
        <w:rPr/>
        <w:t>Dentro de Oceanía existen dos países que perciben la mayor cantidad de  remesas, que es Australia con flujos de US$2,744 millones y Nueva Zelanda con US$1,280 millones para el año 2004, los flujos monetarios aunque son muy altos  en esa región, a comparación del resto del mundo representan tan solo el 1.78%, puesto que son países que están clasificados por el Banco Mundial como países  de renta alta, donde sus variables macroeconómicas están encaminadas a la atracción de la Inversión</w:t>
      </w:r>
      <w:r>
        <w:rPr>
          <w:spacing w:val="35"/>
        </w:rPr>
        <w:t> </w:t>
      </w:r>
      <w:r>
        <w:rPr/>
        <w:t>Extranjera.</w:t>
      </w:r>
    </w:p>
    <w:p>
      <w:pPr>
        <w:spacing w:after="0" w:line="364" w:lineRule="auto"/>
        <w:jc w:val="both"/>
        <w:sectPr>
          <w:pgSz w:w="11900" w:h="16840"/>
          <w:pgMar w:header="0" w:footer="1676" w:top="1600" w:bottom="1860" w:left="1540" w:right="1580"/>
        </w:sectPr>
      </w:pPr>
    </w:p>
    <w:p>
      <w:pPr>
        <w:pStyle w:val="BodyText"/>
        <w:rPr>
          <w:sz w:val="20"/>
        </w:rPr>
      </w:pPr>
    </w:p>
    <w:p>
      <w:pPr>
        <w:pStyle w:val="BodyText"/>
        <w:spacing w:before="7"/>
        <w:rPr>
          <w:sz w:val="16"/>
        </w:rPr>
      </w:pPr>
    </w:p>
    <w:p>
      <w:pPr>
        <w:pStyle w:val="Heading4"/>
        <w:spacing w:before="74"/>
        <w:ind w:left="1123"/>
      </w:pPr>
      <w:r>
        <w:rPr/>
        <w:t>Figura 7. Comportamiento de las remesas en Oceanía  2004</w:t>
      </w:r>
    </w:p>
    <w:p>
      <w:pPr>
        <w:pStyle w:val="BodyText"/>
        <w:spacing w:before="10"/>
        <w:rPr>
          <w:b/>
          <w:sz w:val="25"/>
        </w:rPr>
      </w:pPr>
      <w:r>
        <w:rPr/>
        <w:pict>
          <v:group style="position:absolute;margin-left:86.040001pt;margin-top:16.867285pt;width:445.1pt;height:269.8pt;mso-position-horizontal-relative:page;mso-position-vertical-relative:paragraph;z-index:4456;mso-wrap-distance-left:0;mso-wrap-distance-right:0" coordorigin="1721,337" coordsize="8902,5396">
            <v:line style="position:absolute" from="1800,339" to="4193,339" stroked="true" strokeweight=".12pt" strokecolor="#fdfdfd"/>
            <v:shape style="position:absolute;left:1721;top:338;width:8902;height:5395" type="#_x0000_t75" stroked="false">
              <v:imagedata r:id="rId132" o:title=""/>
            </v:shape>
            <w10:wrap type="topAndBottom"/>
          </v:group>
        </w:pict>
      </w:r>
    </w:p>
    <w:p>
      <w:pPr>
        <w:spacing w:line="188" w:lineRule="exact" w:before="0"/>
        <w:ind w:left="118" w:right="0" w:firstLine="0"/>
        <w:jc w:val="left"/>
        <w:rPr>
          <w:sz w:val="21"/>
        </w:rPr>
      </w:pPr>
      <w:r>
        <w:rPr>
          <w:sz w:val="21"/>
        </w:rPr>
        <w:t>Fuente: Elaboración propia con datos del Banco  Mundial.</w:t>
      </w:r>
    </w:p>
    <w:p>
      <w:pPr>
        <w:pStyle w:val="BodyText"/>
        <w:rPr>
          <w:sz w:val="20"/>
        </w:rPr>
      </w:pPr>
    </w:p>
    <w:p>
      <w:pPr>
        <w:pStyle w:val="BodyText"/>
        <w:rPr>
          <w:sz w:val="20"/>
        </w:rPr>
      </w:pPr>
    </w:p>
    <w:p>
      <w:pPr>
        <w:pStyle w:val="BodyText"/>
        <w:spacing w:before="1"/>
        <w:rPr>
          <w:sz w:val="25"/>
        </w:rPr>
      </w:pPr>
    </w:p>
    <w:p>
      <w:pPr>
        <w:pStyle w:val="Heading4"/>
        <w:numPr>
          <w:ilvl w:val="1"/>
          <w:numId w:val="6"/>
        </w:numPr>
        <w:tabs>
          <w:tab w:pos="508" w:val="left" w:leader="none"/>
        </w:tabs>
        <w:spacing w:line="240" w:lineRule="auto" w:before="73" w:after="0"/>
        <w:ind w:left="507" w:right="0" w:hanging="389"/>
        <w:jc w:val="left"/>
      </w:pPr>
      <w:r>
        <w:rPr/>
        <w:t>Remesas familiares en</w:t>
      </w:r>
      <w:r>
        <w:rPr>
          <w:spacing w:val="39"/>
        </w:rPr>
        <w:t> </w:t>
      </w:r>
      <w:r>
        <w:rPr/>
        <w:t>México</w:t>
      </w:r>
    </w:p>
    <w:p>
      <w:pPr>
        <w:pStyle w:val="BodyText"/>
        <w:spacing w:before="9"/>
        <w:rPr>
          <w:b/>
          <w:sz w:val="14"/>
        </w:rPr>
      </w:pPr>
    </w:p>
    <w:p>
      <w:pPr>
        <w:pStyle w:val="BodyText"/>
        <w:spacing w:line="364" w:lineRule="auto" w:before="74"/>
        <w:ind w:left="118" w:right="524"/>
        <w:jc w:val="both"/>
      </w:pPr>
      <w:r>
        <w:rPr/>
        <w:t>El fenómeno de remesas cobra importancia y ha llegado a convertirse en  un aspecto macroeconómico relevante; pues la migración y el  envío  de  remesas entre México y Estados Unidos, crecen cada vez más con el paso del tiempo e impacta de manera muy notable en el consumo de las familias receptoras. En décadas, la contabilización de las remesas no había sido tan cercana a  la  realidad, por lo que las cifras suelen ser engañosas, fue hasta que el Banco de México en el año de 1994 reconoció una nueva metodología para la estimación de las remesas familiares, la primera consiste en las transferencias electrónicas, que debido a que las casas de cambio redujeron considerablemente la captación de estos fondos y que se amplió la participación de instituciones bancarias y comerciales  en  la  compra  de  remesas  (principalmente  en  zonas  rurales),  </w:t>
      </w:r>
      <w:r>
        <w:rPr>
          <w:spacing w:val="33"/>
        </w:rPr>
        <w:t> </w:t>
      </w:r>
      <w:r>
        <w:rPr/>
        <w:t>las</w:t>
      </w:r>
    </w:p>
    <w:p>
      <w:pPr>
        <w:pStyle w:val="BodyText"/>
        <w:spacing w:before="2"/>
        <w:ind w:left="118"/>
      </w:pPr>
      <w:r>
        <w:rPr/>
        <w:t>transferencias pudieron ser contabilizadas y reportadas</w:t>
      </w:r>
      <w:r>
        <w:rPr>
          <w:spacing w:val="52"/>
        </w:rPr>
        <w:t> </w:t>
      </w:r>
      <w:r>
        <w:rPr/>
        <w:t>al</w:t>
      </w:r>
      <w:r>
        <w:rPr>
          <w:spacing w:val="52"/>
        </w:rPr>
        <w:t> </w:t>
      </w:r>
      <w:r>
        <w:rPr/>
        <w:t>Banco de México; la</w:t>
      </w:r>
    </w:p>
    <w:p>
      <w:pPr>
        <w:pStyle w:val="BodyText"/>
        <w:spacing w:before="141"/>
        <w:ind w:left="118"/>
      </w:pPr>
      <w:r>
        <w:rPr/>
        <w:t>segunda que se refiere a las transferencias en efectivo y en especie, las cuales</w:t>
      </w:r>
    </w:p>
    <w:p>
      <w:pPr>
        <w:spacing w:after="0"/>
        <w:sectPr>
          <w:pgSz w:w="11900" w:h="16840"/>
          <w:pgMar w:header="0" w:footer="1676" w:top="1600" w:bottom="1860" w:left="1540" w:right="1160"/>
        </w:sectPr>
      </w:pPr>
    </w:p>
    <w:p>
      <w:pPr>
        <w:pStyle w:val="BodyText"/>
        <w:rPr>
          <w:sz w:val="20"/>
        </w:rPr>
      </w:pPr>
    </w:p>
    <w:p>
      <w:pPr>
        <w:pStyle w:val="BodyText"/>
        <w:spacing w:before="7"/>
        <w:rPr>
          <w:sz w:val="16"/>
        </w:rPr>
      </w:pPr>
    </w:p>
    <w:p>
      <w:pPr>
        <w:pStyle w:val="BodyText"/>
        <w:spacing w:line="364" w:lineRule="auto" w:before="74"/>
        <w:ind w:left="735" w:right="487"/>
        <w:jc w:val="both"/>
      </w:pPr>
      <w:r>
        <w:rPr/>
        <w:t>son contabilizadas por un mecanismo de muestreo, que el  Banco  de  México aplica de manera continua y que son encuestas a los viajeros  internacionales.</w:t>
      </w:r>
    </w:p>
    <w:p>
      <w:pPr>
        <w:pStyle w:val="BodyText"/>
        <w:rPr>
          <w:sz w:val="22"/>
        </w:rPr>
      </w:pPr>
    </w:p>
    <w:p>
      <w:pPr>
        <w:pStyle w:val="BodyText"/>
        <w:spacing w:line="364" w:lineRule="auto" w:before="155"/>
        <w:ind w:left="735" w:right="483" w:firstLine="64"/>
        <w:jc w:val="both"/>
      </w:pPr>
      <w:r>
        <w:rPr/>
        <w:t>En México las estimaciones oficiales se registran en la Balanza de Pagos, básicamente en las siguiente partida: Remesas Familiares dentro del renglón Transferencias, en el cual se registran las Remesas Familiares que reciben los hogares del país, de los mexicanos, que radican habitualmente  en  Estados  Unidos de manera autorizada y no autorizada, así como los envíos a México de estadounidenses descendientes de mexicanos (Daza, </w:t>
      </w:r>
      <w:r>
        <w:rPr>
          <w:spacing w:val="8"/>
        </w:rPr>
        <w:t> </w:t>
      </w:r>
      <w:r>
        <w:rPr/>
        <w:t>2006).</w:t>
      </w:r>
    </w:p>
    <w:p>
      <w:pPr>
        <w:pStyle w:val="BodyText"/>
        <w:rPr>
          <w:sz w:val="22"/>
        </w:rPr>
      </w:pPr>
    </w:p>
    <w:p>
      <w:pPr>
        <w:pStyle w:val="BodyText"/>
        <w:spacing w:line="364" w:lineRule="auto" w:before="155"/>
        <w:ind w:left="735" w:right="485"/>
        <w:jc w:val="both"/>
      </w:pPr>
      <w:r>
        <w:rPr/>
        <w:t>Se entiende por remesas, a las transferencias de remuneraciones o del monto acumulado de riqueza que hacen los migrantes individuales a su país de origen (Berumen, 2000), estos flujos remesas tienen aspectos que son llamados “determinantes”, los cuales se ven explicados en el modelo de Remesas de Russell, (ver figura</w:t>
      </w:r>
      <w:r>
        <w:rPr>
          <w:spacing w:val="21"/>
        </w:rPr>
        <w:t> </w:t>
      </w:r>
      <w:r>
        <w:rPr/>
        <w:t>8).</w:t>
      </w:r>
    </w:p>
    <w:p>
      <w:pPr>
        <w:pStyle w:val="BodyText"/>
        <w:spacing w:before="4"/>
        <w:rPr>
          <w:sz w:val="17"/>
        </w:rPr>
      </w:pPr>
    </w:p>
    <w:p>
      <w:pPr>
        <w:pStyle w:val="Heading4"/>
        <w:ind w:left="2720"/>
        <w:rPr>
          <w:b w:val="0"/>
        </w:rPr>
      </w:pPr>
      <w:r>
        <w:rPr/>
        <w:t>Figura 8. Modelo de Remesas de</w:t>
      </w:r>
      <w:r>
        <w:rPr>
          <w:spacing w:val="55"/>
        </w:rPr>
        <w:t> </w:t>
      </w:r>
      <w:r>
        <w:rPr/>
        <w:t>Russell</w:t>
      </w:r>
      <w:r>
        <w:rPr>
          <w:b w:val="0"/>
        </w:rPr>
        <w:t>.</w:t>
      </w:r>
    </w:p>
    <w:p>
      <w:pPr>
        <w:pStyle w:val="BodyText"/>
        <w:spacing w:before="10"/>
        <w:rPr>
          <w:sz w:val="16"/>
        </w:rPr>
      </w:pPr>
      <w:r>
        <w:rPr/>
        <w:pict>
          <v:group style="position:absolute;margin-left:51.454998pt;margin-top:11.697442pt;width:478.05pt;height:250.25pt;mso-position-horizontal-relative:page;mso-position-vertical-relative:paragraph;z-index:4792;mso-wrap-distance-left:0;mso-wrap-distance-right:0" coordorigin="1029,234" coordsize="9561,5005">
            <v:rect style="position:absolute;left:1054;top:258;width:9511;height:4956" filled="false" stroked="true" strokeweight="2.433468pt" strokecolor="#000000"/>
            <v:rect style="position:absolute;left:1080;top:810;width:350;height:3329" filled="false" stroked="true" strokeweight=".730032pt" strokecolor="#000000"/>
            <v:shape style="position:absolute;left:1255;top:460;width:2804;height:351" coordorigin="1255,460" coordsize="2804,351" path="m1255,810l1255,460,4058,460e" filled="false" stroked="true" strokeweight=".730032pt" strokecolor="#000000">
              <v:path arrowok="t"/>
            </v:shape>
            <v:line style="position:absolute" from="6511,460" to="9840,460" stroked="true" strokeweight=".730032pt" strokecolor="#000000"/>
            <v:rect style="position:absolute;left:3182;top:2037;width:1226;height:876" filled="false" stroked="true" strokeweight=".730032pt" strokecolor="#000000"/>
            <v:rect style="position:absolute;left:4759;top:810;width:1226;height:1051" filled="false" stroked="true" strokeweight=".730032pt" strokecolor="#000000"/>
            <v:rect style="position:absolute;left:6161;top:810;width:1226;height:1051" filled="false" stroked="true" strokeweight=".730032pt" strokecolor="#000000"/>
            <v:rect style="position:absolute;left:7738;top:635;width:1577;height:350" filled="false" stroked="true" strokeweight=".730032pt" strokecolor="#000000"/>
            <v:rect style="position:absolute;left:7738;top:1511;width:1577;height:350" filled="false" stroked="true" strokeweight=".730032pt" strokecolor="#000000"/>
            <v:rect style="position:absolute;left:9490;top:986;width:701;height:526" filled="false" stroked="true" strokeweight=".730032pt" strokecolor="#000000"/>
            <v:rect style="position:absolute;left:7212;top:2562;width:1577;height:701" filled="false" stroked="true" strokeweight=".730032pt" strokecolor="#000000"/>
            <v:rect style="position:absolute;left:8964;top:2387;width:1577;height:876" filled="false" stroked="true" strokeweight=".730032pt" strokecolor="#000000"/>
            <v:rect style="position:absolute;left:5460;top:2562;width:1226;height:1051" filled="false" stroked="true" strokeweight=".730032pt" strokecolor="#000000"/>
            <v:line style="position:absolute" from="9840,460" to="9840,986" stroked="true" strokeweight=".730032pt" strokecolor="#000000"/>
            <v:line style="position:absolute" from="3007,2474" to="3182,2476" stroked="true" strokeweight=".730032pt" strokecolor="#000000"/>
            <v:line style="position:absolute" from="1430,2474" to="1781,2476" stroked="true" strokeweight=".730032pt" strokecolor="#000000"/>
            <v:shape style="position:absolute;left:4409;top:2474;width:1052;height:615" coordorigin="4409,2474" coordsize="1052,615" path="m4409,2474l4934,2474,4934,3088,5460,3088e" filled="false" stroked="true" strokeweight=".730032pt" strokecolor="#000000">
              <v:path arrowok="t"/>
            </v:shape>
            <v:shape style="position:absolute;left:4409;top:1336;width:351;height:1138" coordorigin="4409,1336" coordsize="351,1138" path="m4409,2474l4584,2474,4584,1336,4759,1336e" filled="false" stroked="true" strokeweight=".730032pt" strokecolor="#000000">
              <v:path arrowok="t"/>
            </v:shape>
            <v:line style="position:absolute" from="5986,1336" to="6161,1336" stroked="true" strokeweight=".730032pt" strokecolor="#000000"/>
            <v:shape style="position:absolute;left:7387;top:810;width:351;height:526" coordorigin="7387,810" coordsize="351,526" path="m7387,1336l7562,1336,7562,810,7738,810e" filled="false" stroked="true" strokeweight=".730032pt" strokecolor="#000000">
              <v:path arrowok="t"/>
            </v:shape>
            <v:shape style="position:absolute;left:7387;top:1336;width:351;height:351" coordorigin="7387,1336" coordsize="351,351" path="m7387,1336l7562,1336,7562,1686,7738,1686e" filled="false" stroked="true" strokeweight=".730032pt" strokecolor="#000000">
              <v:path arrowok="t"/>
            </v:shape>
            <v:shape style="position:absolute;left:9314;top:810;width:176;height:437" coordorigin="9314,810" coordsize="176,437" path="m9314,810l9403,810,9403,1247,9490,1247e" filled="false" stroked="true" strokeweight=".730032pt" strokecolor="#000000">
              <v:path arrowok="t"/>
            </v:shape>
            <v:shape style="position:absolute;left:9314;top:1247;width:176;height:440" coordorigin="9314,1247" coordsize="176,440" path="m9314,1686l9403,1686,9403,1247,9490,1247e" filled="false" stroked="true" strokeweight=".730032pt" strokecolor="#000000">
              <v:path arrowok="t"/>
            </v:shape>
            <v:shape style="position:absolute;left:8002;top:1511;width:1839;height:1052" coordorigin="8002,1511" coordsize="1839,1052" path="m8002,2562l8002,2037,9840,2037,9840,1511e" filled="false" stroked="true" strokeweight=".730032pt" strokecolor="#000000">
              <v:path arrowok="t"/>
            </v:shape>
            <v:shape style="position:absolute;left:9754;top:1511;width:87;height:876" coordorigin="9754,1511" coordsize="87,876" path="m9754,2387l9754,1948,9840,1948,9840,1511e" filled="false" stroked="true" strokeweight=".730032pt" strokecolor="#000000">
              <v:path arrowok="t"/>
            </v:shape>
            <v:shape style="position:absolute;left:7738;top:635;width:1607;height:351" type="#_x0000_t202" filled="false" stroked="false">
              <v:textbox inset="0,0,0,0">
                <w:txbxContent>
                  <w:p>
                    <w:pPr>
                      <w:spacing w:before="80"/>
                      <w:ind w:left="148" w:right="0" w:firstLine="0"/>
                      <w:jc w:val="left"/>
                      <w:rPr>
                        <w:rFonts w:ascii="Calibri"/>
                        <w:sz w:val="19"/>
                      </w:rPr>
                    </w:pPr>
                    <w:r>
                      <w:rPr>
                        <w:rFonts w:ascii="Calibri"/>
                        <w:sz w:val="19"/>
                      </w:rPr>
                      <w:t>Canal Formal</w:t>
                    </w:r>
                  </w:p>
                </w:txbxContent>
              </v:textbox>
              <w10:wrap type="none"/>
            </v:shape>
            <v:shape style="position:absolute;left:1058;top:810;width:373;height:3329" type="#_x0000_t202" filled="false" stroked="false">
              <v:textbox inset="0,0,0,0">
                <w:txbxContent>
                  <w:p>
                    <w:pPr>
                      <w:spacing w:line="283" w:lineRule="auto" w:before="78"/>
                      <w:ind w:left="170" w:right="32" w:firstLine="0"/>
                      <w:jc w:val="left"/>
                      <w:rPr>
                        <w:rFonts w:ascii="Calibri"/>
                        <w:sz w:val="19"/>
                      </w:rPr>
                    </w:pPr>
                    <w:r>
                      <w:rPr>
                        <w:rFonts w:ascii="Calibri"/>
                        <w:sz w:val="19"/>
                      </w:rPr>
                      <w:t>D E T E R M I N A N T</w:t>
                    </w:r>
                  </w:p>
                  <w:p>
                    <w:pPr>
                      <w:spacing w:before="0"/>
                      <w:ind w:left="170" w:right="0" w:firstLine="0"/>
                      <w:jc w:val="left"/>
                      <w:rPr>
                        <w:rFonts w:ascii="Calibri"/>
                        <w:sz w:val="19"/>
                      </w:rPr>
                    </w:pPr>
                    <w:r>
                      <w:rPr>
                        <w:rFonts w:ascii="Calibri"/>
                        <w:w w:val="101"/>
                        <w:sz w:val="19"/>
                      </w:rPr>
                      <w:t>E</w:t>
                    </w:r>
                  </w:p>
                </w:txbxContent>
              </v:textbox>
              <w10:wrap type="none"/>
            </v:shape>
            <v:shape style="position:absolute;left:4759;top:810;width:1227;height:1052" type="#_x0000_t202" filled="false" stroked="false">
              <v:textbox inset="0,0,0,0">
                <w:txbxContent>
                  <w:p>
                    <w:pPr>
                      <w:spacing w:line="283" w:lineRule="auto" w:before="78"/>
                      <w:ind w:left="148" w:right="376" w:firstLine="0"/>
                      <w:jc w:val="both"/>
                      <w:rPr>
                        <w:rFonts w:ascii="Calibri" w:hAnsi="Calibri"/>
                        <w:sz w:val="19"/>
                      </w:rPr>
                    </w:pPr>
                    <w:r>
                      <w:rPr>
                        <w:rFonts w:ascii="Calibri" w:hAnsi="Calibri"/>
                        <w:sz w:val="19"/>
                      </w:rPr>
                      <w:t>Envío de dinero al país de</w:t>
                    </w:r>
                  </w:p>
                </w:txbxContent>
              </v:textbox>
              <w10:wrap type="none"/>
            </v:shape>
            <v:shape style="position:absolute;left:6161;top:810;width:1227;height:1052" type="#_x0000_t202" filled="false" stroked="false">
              <v:textbox inset="0,0,0,0">
                <w:txbxContent>
                  <w:p>
                    <w:pPr>
                      <w:spacing w:line="283" w:lineRule="auto" w:before="78"/>
                      <w:ind w:left="148" w:right="281" w:firstLine="0"/>
                      <w:jc w:val="left"/>
                      <w:rPr>
                        <w:rFonts w:ascii="Calibri" w:hAnsi="Calibri"/>
                        <w:sz w:val="19"/>
                      </w:rPr>
                    </w:pPr>
                    <w:r>
                      <w:rPr>
                        <w:rFonts w:ascii="Calibri" w:hAnsi="Calibri"/>
                        <w:sz w:val="19"/>
                      </w:rPr>
                      <w:t>Forma del envío y cantidad</w:t>
                    </w:r>
                  </w:p>
                </w:txbxContent>
              </v:textbox>
              <w10:wrap type="none"/>
            </v:shape>
            <v:shape style="position:absolute;left:9490;top:986;width:701;height:526" type="#_x0000_t202" filled="false" stroked="false">
              <v:textbox inset="0,0,0,0">
                <w:txbxContent>
                  <w:p>
                    <w:pPr>
                      <w:spacing w:before="80"/>
                      <w:ind w:left="148" w:right="-6" w:firstLine="0"/>
                      <w:jc w:val="left"/>
                      <w:rPr>
                        <w:rFonts w:ascii="Calibri"/>
                        <w:sz w:val="19"/>
                      </w:rPr>
                    </w:pPr>
                    <w:r>
                      <w:rPr>
                        <w:rFonts w:ascii="Calibri"/>
                        <w:sz w:val="19"/>
                      </w:rPr>
                      <w:t>Usos</w:t>
                    </w:r>
                  </w:p>
                </w:txbxContent>
              </v:textbox>
              <w10:wrap type="none"/>
            </v:shape>
            <v:shape style="position:absolute;left:3182;top:2037;width:1227;height:876" type="#_x0000_t202" filled="false" stroked="false">
              <v:textbox inset="0,0,0,0">
                <w:txbxContent>
                  <w:p>
                    <w:pPr>
                      <w:spacing w:line="283" w:lineRule="auto" w:before="78"/>
                      <w:ind w:left="148" w:right="114" w:firstLine="0"/>
                      <w:jc w:val="left"/>
                      <w:rPr>
                        <w:rFonts w:ascii="Calibri" w:hAnsi="Calibri"/>
                        <w:sz w:val="19"/>
                      </w:rPr>
                    </w:pPr>
                    <w:r>
                      <w:rPr>
                        <w:rFonts w:ascii="Calibri" w:hAnsi="Calibri"/>
                        <w:sz w:val="19"/>
                      </w:rPr>
                      <w:t>Decisión de remitir dinero o no</w:t>
                    </w:r>
                  </w:p>
                </w:txbxContent>
              </v:textbox>
              <w10:wrap type="none"/>
            </v:shape>
            <v:shape style="position:absolute;left:8964;top:2430;width:1601;height:833" type="#_x0000_t202" filled="false" stroked="false">
              <v:textbox inset="0,0,0,0">
                <w:txbxContent>
                  <w:p>
                    <w:pPr>
                      <w:spacing w:line="283" w:lineRule="auto" w:before="35"/>
                      <w:ind w:left="148" w:right="0" w:firstLine="0"/>
                      <w:jc w:val="left"/>
                      <w:rPr>
                        <w:rFonts w:ascii="Calibri"/>
                        <w:sz w:val="19"/>
                      </w:rPr>
                    </w:pPr>
                    <w:r>
                      <w:rPr>
                        <w:rFonts w:ascii="Calibri"/>
                        <w:sz w:val="19"/>
                      </w:rPr>
                      <w:t>Ahorros, Inversiones Productivas</w:t>
                    </w:r>
                  </w:p>
                </w:txbxContent>
              </v:textbox>
              <w10:wrap type="none"/>
            </v:shape>
            <v:shape style="position:absolute;left:5460;top:2562;width:1227;height:1052" type="#_x0000_t202" filled="false" stroked="false">
              <v:textbox inset="0,0,0,0">
                <w:txbxContent>
                  <w:p>
                    <w:pPr>
                      <w:spacing w:line="283" w:lineRule="auto" w:before="78"/>
                      <w:ind w:left="148" w:right="114" w:firstLine="0"/>
                      <w:jc w:val="left"/>
                      <w:rPr>
                        <w:rFonts w:ascii="Calibri"/>
                        <w:sz w:val="19"/>
                      </w:rPr>
                    </w:pPr>
                    <w:r>
                      <w:rPr>
                        <w:rFonts w:ascii="Calibri"/>
                        <w:sz w:val="19"/>
                      </w:rPr>
                      <w:t>Dinero gastado en el exterior</w:t>
                    </w:r>
                  </w:p>
                </w:txbxContent>
              </v:textbox>
              <w10:wrap type="none"/>
            </v:shape>
            <v:shape style="position:absolute;left:7212;top:2562;width:1577;height:701" type="#_x0000_t202" filled="false" stroked="false">
              <v:textbox inset="0,0,0,0">
                <w:txbxContent>
                  <w:p>
                    <w:pPr>
                      <w:spacing w:line="285" w:lineRule="auto" w:before="78"/>
                      <w:ind w:left="148" w:right="0" w:firstLine="0"/>
                      <w:jc w:val="left"/>
                      <w:rPr>
                        <w:rFonts w:ascii="Calibri"/>
                        <w:sz w:val="19"/>
                      </w:rPr>
                    </w:pPr>
                    <w:r>
                      <w:rPr>
                        <w:rFonts w:ascii="Calibri"/>
                        <w:sz w:val="19"/>
                      </w:rPr>
                      <w:t>Sostenimiento Familiar</w:t>
                    </w:r>
                  </w:p>
                </w:txbxContent>
              </v:textbox>
              <w10:wrap type="none"/>
            </v:shape>
            <v:shape style="position:absolute;left:4493;top:394;width:1583;height:194" type="#_x0000_t202" filled="false" stroked="false">
              <v:textbox inset="0,0,0,0">
                <w:txbxContent>
                  <w:p>
                    <w:pPr>
                      <w:spacing w:line="194" w:lineRule="exact" w:before="0"/>
                      <w:ind w:left="0" w:right="0" w:firstLine="0"/>
                      <w:jc w:val="left"/>
                      <w:rPr>
                        <w:rFonts w:ascii="Calibri"/>
                        <w:sz w:val="19"/>
                      </w:rPr>
                    </w:pPr>
                    <w:r>
                      <w:rPr>
                        <w:rFonts w:ascii="Calibri"/>
                        <w:sz w:val="19"/>
                      </w:rPr>
                      <w:t>Efectos Intermedios</w:t>
                    </w:r>
                  </w:p>
                </w:txbxContent>
              </v:textbox>
              <w10:wrap type="none"/>
            </v:shape>
            <v:shape style="position:absolute;left:7886;top:1627;width:1156;height:194" type="#_x0000_t202" filled="false" stroked="false">
              <v:textbox inset="0,0,0,0">
                <w:txbxContent>
                  <w:p>
                    <w:pPr>
                      <w:spacing w:line="194" w:lineRule="exact" w:before="0"/>
                      <w:ind w:left="0" w:right="0" w:firstLine="0"/>
                      <w:jc w:val="left"/>
                      <w:rPr>
                        <w:rFonts w:ascii="Calibri"/>
                        <w:sz w:val="19"/>
                      </w:rPr>
                    </w:pPr>
                    <w:r>
                      <w:rPr>
                        <w:rFonts w:ascii="Calibri"/>
                        <w:sz w:val="19"/>
                      </w:rPr>
                      <w:t>Canal Informal</w:t>
                    </w:r>
                  </w:p>
                </w:txbxContent>
              </v:textbox>
              <w10:wrap type="none"/>
            </v:shape>
            <v:shape style="position:absolute;left:2897;top:3019;width:1967;height:470" type="#_x0000_t202" filled="false" stroked="false">
              <v:textbox inset="0,0,0,0">
                <w:txbxContent>
                  <w:p>
                    <w:pPr>
                      <w:spacing w:line="196" w:lineRule="exact" w:before="0"/>
                      <w:ind w:left="2" w:right="2" w:firstLine="0"/>
                      <w:jc w:val="center"/>
                      <w:rPr>
                        <w:rFonts w:ascii="Calibri"/>
                        <w:sz w:val="19"/>
                      </w:rPr>
                    </w:pPr>
                    <w:r>
                      <w:rPr>
                        <w:rFonts w:ascii="Calibri"/>
                        <w:sz w:val="19"/>
                      </w:rPr>
                      <w:t>(Enviar el dinero a casa o</w:t>
                    </w:r>
                  </w:p>
                  <w:p>
                    <w:pPr>
                      <w:spacing w:line="229" w:lineRule="exact" w:before="44"/>
                      <w:ind w:left="2" w:right="0" w:firstLine="0"/>
                      <w:jc w:val="center"/>
                      <w:rPr>
                        <w:rFonts w:ascii="Calibri"/>
                        <w:sz w:val="19"/>
                      </w:rPr>
                    </w:pPr>
                    <w:r>
                      <w:rPr>
                        <w:rFonts w:ascii="Calibri"/>
                        <w:sz w:val="19"/>
                      </w:rPr>
                      <w:t>mantenerlo fuera)</w:t>
                    </w:r>
                  </w:p>
                </w:txbxContent>
              </v:textbox>
              <w10:wrap type="none"/>
            </v:shape>
            <v:shape style="position:absolute;left:1781;top:2037;width:1227;height:876" type="#_x0000_t202" filled="false" stroked="true" strokeweight=".730032pt" strokecolor="#000000">
              <v:textbox inset="0,0,0,0">
                <w:txbxContent>
                  <w:p>
                    <w:pPr>
                      <w:spacing w:line="270" w:lineRule="atLeast" w:before="33"/>
                      <w:ind w:left="141" w:right="114" w:firstLine="0"/>
                      <w:jc w:val="left"/>
                      <w:rPr>
                        <w:rFonts w:ascii="Calibri"/>
                        <w:sz w:val="19"/>
                      </w:rPr>
                    </w:pPr>
                    <w:r>
                      <w:rPr>
                        <w:rFonts w:ascii="Calibri"/>
                        <w:sz w:val="19"/>
                      </w:rPr>
                      <w:t>Cantidad disponible de</w:t>
                    </w:r>
                  </w:p>
                </w:txbxContent>
              </v:textbox>
              <w10:wrap type="none"/>
            </v:shape>
            <w10:wrap type="topAndBottom"/>
          </v:group>
        </w:pict>
      </w:r>
    </w:p>
    <w:p>
      <w:pPr>
        <w:pStyle w:val="BodyText"/>
        <w:spacing w:before="2"/>
        <w:rPr>
          <w:sz w:val="25"/>
        </w:rPr>
      </w:pPr>
    </w:p>
    <w:p>
      <w:pPr>
        <w:spacing w:before="0"/>
        <w:ind w:left="735" w:right="0" w:firstLine="0"/>
        <w:jc w:val="both"/>
        <w:rPr>
          <w:sz w:val="21"/>
        </w:rPr>
      </w:pPr>
      <w:r>
        <w:rPr>
          <w:sz w:val="21"/>
        </w:rPr>
        <w:t>Fuente: Russell, 1986. pp. 674</w:t>
      </w:r>
    </w:p>
    <w:p>
      <w:pPr>
        <w:spacing w:after="0"/>
        <w:jc w:val="both"/>
        <w:rPr>
          <w:sz w:val="21"/>
        </w:rPr>
        <w:sectPr>
          <w:pgSz w:w="11900" w:h="16840"/>
          <w:pgMar w:header="0" w:footer="1676" w:top="1600" w:bottom="1860" w:left="920" w:right="1200"/>
        </w:sectPr>
      </w:pPr>
    </w:p>
    <w:p>
      <w:pPr>
        <w:pStyle w:val="BodyText"/>
        <w:rPr>
          <w:sz w:val="20"/>
        </w:rPr>
      </w:pPr>
    </w:p>
    <w:p>
      <w:pPr>
        <w:pStyle w:val="BodyText"/>
        <w:spacing w:before="7"/>
        <w:rPr>
          <w:sz w:val="16"/>
        </w:rPr>
      </w:pPr>
    </w:p>
    <w:p>
      <w:pPr>
        <w:pStyle w:val="BodyText"/>
        <w:spacing w:line="364" w:lineRule="auto" w:before="74"/>
        <w:ind w:left="215" w:right="205"/>
        <w:jc w:val="both"/>
      </w:pPr>
      <w:r>
        <w:rPr/>
        <w:t>El objetivo de este modelo analítico es identificar el conjunto de aspectos económicos, financieros, políticos y sociodemográficas que determinan el flujo de remesas entre países receptores y países emisores de mano de  obra.</w:t>
      </w:r>
    </w:p>
    <w:p>
      <w:pPr>
        <w:pStyle w:val="BodyText"/>
        <w:rPr>
          <w:sz w:val="22"/>
        </w:rPr>
      </w:pPr>
    </w:p>
    <w:p>
      <w:pPr>
        <w:pStyle w:val="BodyText"/>
        <w:rPr>
          <w:sz w:val="22"/>
        </w:rPr>
      </w:pPr>
    </w:p>
    <w:p>
      <w:pPr>
        <w:pStyle w:val="BodyText"/>
        <w:spacing w:before="1"/>
        <w:rPr>
          <w:sz w:val="25"/>
        </w:rPr>
      </w:pPr>
    </w:p>
    <w:p>
      <w:pPr>
        <w:pStyle w:val="Heading4"/>
        <w:numPr>
          <w:ilvl w:val="1"/>
          <w:numId w:val="6"/>
        </w:numPr>
        <w:tabs>
          <w:tab w:pos="605" w:val="left" w:leader="none"/>
        </w:tabs>
        <w:spacing w:line="240" w:lineRule="auto" w:before="0" w:after="0"/>
        <w:ind w:left="604" w:right="0" w:hanging="388"/>
        <w:jc w:val="both"/>
      </w:pPr>
      <w:r>
        <w:rPr/>
        <w:t>Sistema de transferencias formales e informales en </w:t>
      </w:r>
      <w:r>
        <w:rPr>
          <w:spacing w:val="10"/>
        </w:rPr>
        <w:t> </w:t>
      </w:r>
      <w:r>
        <w:rPr/>
        <w:t>México</w:t>
      </w:r>
    </w:p>
    <w:p>
      <w:pPr>
        <w:pStyle w:val="BodyText"/>
        <w:spacing w:before="2"/>
        <w:rPr>
          <w:b/>
          <w:sz w:val="29"/>
        </w:rPr>
      </w:pPr>
    </w:p>
    <w:p>
      <w:pPr>
        <w:pStyle w:val="BodyText"/>
        <w:spacing w:line="364" w:lineRule="auto"/>
        <w:ind w:left="215" w:right="205"/>
        <w:jc w:val="both"/>
      </w:pPr>
      <w:r>
        <w:rPr/>
        <w:t>Este apartado explica los diferentes medios que el migrante tiene en el envío de remesas, estos comprenden los niveles formales, los cuales el Grupo de Acción Financiera Internacional para el Lavado de Dinero (GAFI),  considera  como aquellos incluidos en el sistema financiero regulado y a los informales que son los restantes, de los cuales no existe alguna regulación de fondos, debido a la complejidad que estos tienen, ambos sistemas de transferencias se dividen de la siguiente forma (ver cuadro 1).</w:t>
      </w:r>
    </w:p>
    <w:p>
      <w:pPr>
        <w:pStyle w:val="BodyText"/>
        <w:rPr>
          <w:sz w:val="22"/>
        </w:rPr>
      </w:pPr>
    </w:p>
    <w:p>
      <w:pPr>
        <w:pStyle w:val="BodyText"/>
        <w:rPr>
          <w:sz w:val="22"/>
        </w:rPr>
      </w:pPr>
    </w:p>
    <w:p>
      <w:pPr>
        <w:pStyle w:val="Heading4"/>
        <w:spacing w:before="192"/>
        <w:ind w:left="1461"/>
      </w:pPr>
      <w:r>
        <w:rPr/>
        <w:t>Cuadro 1. Sistema de transferencias Formal e</w:t>
      </w:r>
      <w:r>
        <w:rPr>
          <w:spacing w:val="62"/>
        </w:rPr>
        <w:t> </w:t>
      </w:r>
      <w:r>
        <w:rPr/>
        <w:t>Informal</w:t>
      </w:r>
    </w:p>
    <w:p>
      <w:pPr>
        <w:pStyle w:val="BodyText"/>
        <w:spacing w:before="2"/>
        <w:rPr>
          <w:b/>
          <w:sz w:val="17"/>
        </w:rPr>
      </w:pPr>
      <w:r>
        <w:rPr/>
        <w:pict>
          <v:group style="position:absolute;margin-left:77.269997pt;margin-top:11.832438pt;width:438.75pt;height:253pt;mso-position-horizontal-relative:page;mso-position-vertical-relative:paragraph;z-index:4864;mso-wrap-distance-left:0;mso-wrap-distance-right:0" coordorigin="1545,237" coordsize="8775,5060">
            <v:line style="position:absolute" from="1555,246" to="10310,246" stroked="true" strokeweight=".48pt" strokecolor="#000000"/>
            <v:line style="position:absolute" from="1555,3371" to="10310,3371" stroked="true" strokeweight=".48pt" strokecolor="#000000"/>
            <v:line style="position:absolute" from="1550,242" to="1550,5291" stroked="true" strokeweight=".48pt" strokecolor="#000000"/>
            <v:line style="position:absolute" from="1555,5286" to="10310,5286" stroked="true" strokeweight=".48pt" strokecolor="#000000"/>
            <v:line style="position:absolute" from="10315,242" to="10315,5291" stroked="true" strokeweight=".48pt" strokecolor="#000000"/>
            <v:shape style="position:absolute;left:1550;top:246;width:8765;height:3125" type="#_x0000_t202" filled="false" stroked="false">
              <v:textbox inset="0,0,0,0">
                <w:txbxContent>
                  <w:p>
                    <w:pPr>
                      <w:spacing w:before="2"/>
                      <w:ind w:left="3153" w:right="3154" w:firstLine="0"/>
                      <w:jc w:val="center"/>
                      <w:rPr>
                        <w:b/>
                        <w:sz w:val="23"/>
                      </w:rPr>
                    </w:pPr>
                    <w:r>
                      <w:rPr>
                        <w:b/>
                        <w:sz w:val="23"/>
                      </w:rPr>
                      <w:t>Sistema formal (TFF)</w:t>
                    </w:r>
                  </w:p>
                  <w:p>
                    <w:pPr>
                      <w:spacing w:line="240" w:lineRule="auto" w:before="9"/>
                      <w:rPr>
                        <w:b/>
                        <w:sz w:val="20"/>
                      </w:rPr>
                    </w:pPr>
                  </w:p>
                  <w:p>
                    <w:pPr>
                      <w:spacing w:line="364" w:lineRule="auto" w:before="0"/>
                      <w:ind w:left="105" w:right="100" w:firstLine="0"/>
                      <w:jc w:val="both"/>
                      <w:rPr>
                        <w:sz w:val="23"/>
                      </w:rPr>
                    </w:pPr>
                    <w:r>
                      <w:rPr>
                        <w:sz w:val="23"/>
                      </w:rPr>
                      <w:t>Los sistemas formales son caracterizados por su participación en el sector financiero,  significa que la institución que participo de la transferencia de dinero   es supervisada por organismos y leyes gubernamentales que determinan su creación, características, operaciones y cierre. Incluyen típicamente a bancos y entidades crediticias, Operadores de transferencias de Dinero y otros servicios de transferencia, y servicios</w:t>
                    </w:r>
                    <w:r>
                      <w:rPr>
                        <w:spacing w:val="35"/>
                        <w:sz w:val="23"/>
                      </w:rPr>
                      <w:t> </w:t>
                    </w:r>
                    <w:r>
                      <w:rPr>
                        <w:sz w:val="23"/>
                      </w:rPr>
                      <w:t>postales.</w:t>
                    </w:r>
                  </w:p>
                </w:txbxContent>
              </v:textbox>
              <w10:wrap type="none"/>
            </v:shape>
            <v:shape style="position:absolute;left:1550;top:3371;width:8765;height:1916" type="#_x0000_t202" filled="false" stroked="false">
              <v:textbox inset="0,0,0,0">
                <w:txbxContent>
                  <w:p>
                    <w:pPr>
                      <w:spacing w:before="2"/>
                      <w:ind w:left="3154" w:right="3154" w:firstLine="0"/>
                      <w:jc w:val="center"/>
                      <w:rPr>
                        <w:b/>
                        <w:sz w:val="23"/>
                      </w:rPr>
                    </w:pPr>
                    <w:r>
                      <w:rPr>
                        <w:b/>
                        <w:sz w:val="23"/>
                      </w:rPr>
                      <w:t>Sistema Informal (TIF)</w:t>
                    </w:r>
                  </w:p>
                  <w:p>
                    <w:pPr>
                      <w:spacing w:line="240" w:lineRule="auto" w:before="0"/>
                      <w:rPr>
                        <w:b/>
                        <w:sz w:val="21"/>
                      </w:rPr>
                    </w:pPr>
                  </w:p>
                  <w:p>
                    <w:pPr>
                      <w:spacing w:line="364" w:lineRule="auto" w:before="0"/>
                      <w:ind w:left="105" w:right="100" w:firstLine="0"/>
                      <w:jc w:val="both"/>
                      <w:rPr>
                        <w:sz w:val="23"/>
                      </w:rPr>
                    </w:pPr>
                    <w:r>
                      <w:rPr>
                        <w:sz w:val="23"/>
                      </w:rPr>
                      <w:t>Los sistemas informales son no convencionales y abarcan: agencias de viaje, agencias de cambio no oficiales, sistemas similares al Hawala, servicios de mensajes, entrega en manos, entre otros.</w:t>
                    </w:r>
                  </w:p>
                </w:txbxContent>
              </v:textbox>
              <w10:wrap type="none"/>
            </v:shape>
            <w10:wrap type="topAndBottom"/>
          </v:group>
        </w:pict>
      </w:r>
    </w:p>
    <w:p>
      <w:pPr>
        <w:spacing w:line="233" w:lineRule="exact" w:before="0"/>
        <w:ind w:left="215" w:right="0" w:firstLine="0"/>
        <w:jc w:val="left"/>
        <w:rPr>
          <w:sz w:val="23"/>
        </w:rPr>
      </w:pPr>
      <w:r>
        <w:rPr>
          <w:sz w:val="21"/>
        </w:rPr>
        <w:t>Fuente: Elaboración propia</w:t>
      </w:r>
      <w:r>
        <w:rPr>
          <w:sz w:val="23"/>
        </w:rPr>
        <w:t>.</w:t>
      </w:r>
    </w:p>
    <w:p>
      <w:pPr>
        <w:spacing w:after="0" w:line="233" w:lineRule="exact"/>
        <w:jc w:val="left"/>
        <w:rPr>
          <w:sz w:val="23"/>
        </w:rPr>
        <w:sectPr>
          <w:pgSz w:w="11900" w:h="16840"/>
          <w:pgMar w:header="0" w:footer="1676" w:top="1600" w:bottom="1860" w:left="1440" w:right="1480"/>
        </w:sectPr>
      </w:pPr>
    </w:p>
    <w:p>
      <w:pPr>
        <w:pStyle w:val="BodyText"/>
        <w:rPr>
          <w:sz w:val="20"/>
        </w:rPr>
      </w:pPr>
    </w:p>
    <w:p>
      <w:pPr>
        <w:pStyle w:val="BodyText"/>
        <w:spacing w:before="7"/>
        <w:rPr>
          <w:sz w:val="16"/>
        </w:rPr>
      </w:pPr>
    </w:p>
    <w:p>
      <w:pPr>
        <w:pStyle w:val="BodyText"/>
        <w:spacing w:line="364" w:lineRule="auto" w:before="74"/>
        <w:ind w:left="115" w:right="105"/>
        <w:jc w:val="both"/>
      </w:pPr>
      <w:r>
        <w:rPr/>
        <w:t>Con estas diferencias, los sistemas de transferencias informales han sido identificados como vínculos débiles en los regímenes de naciones en contra del lavado de dinero y el financiamiento del terrorismo, mientras que los canales formales transparentes, pueden ser sujetos a un mejor control,  protegiendo de  esta forma la integridad de los flujos de</w:t>
      </w:r>
      <w:r>
        <w:rPr>
          <w:spacing w:val="51"/>
        </w:rPr>
        <w:t> </w:t>
      </w:r>
      <w:r>
        <w:rPr/>
        <w:t>remesas.</w:t>
      </w:r>
    </w:p>
    <w:p>
      <w:pPr>
        <w:pStyle w:val="BodyText"/>
        <w:rPr>
          <w:sz w:val="22"/>
        </w:rPr>
      </w:pPr>
    </w:p>
    <w:p>
      <w:pPr>
        <w:pStyle w:val="BodyText"/>
        <w:rPr>
          <w:sz w:val="22"/>
        </w:rPr>
      </w:pPr>
    </w:p>
    <w:p>
      <w:pPr>
        <w:pStyle w:val="BodyText"/>
        <w:spacing w:before="3"/>
        <w:rPr>
          <w:sz w:val="25"/>
        </w:rPr>
      </w:pPr>
    </w:p>
    <w:p>
      <w:pPr>
        <w:pStyle w:val="Heading4"/>
        <w:numPr>
          <w:ilvl w:val="1"/>
          <w:numId w:val="6"/>
        </w:numPr>
        <w:tabs>
          <w:tab w:pos="1206" w:val="left" w:leader="none"/>
        </w:tabs>
        <w:spacing w:line="542" w:lineRule="auto" w:before="0" w:after="0"/>
        <w:ind w:left="1582" w:right="2261" w:hanging="766"/>
        <w:jc w:val="left"/>
      </w:pPr>
      <w:r>
        <w:rPr/>
        <w:t>Sistema de Transferencias Formales de Fondos Bancos y uniones de</w:t>
      </w:r>
      <w:r>
        <w:rPr>
          <w:spacing w:val="32"/>
        </w:rPr>
        <w:t> </w:t>
      </w:r>
      <w:r>
        <w:rPr/>
        <w:t>crédito</w:t>
      </w:r>
    </w:p>
    <w:p>
      <w:pPr>
        <w:pStyle w:val="BodyText"/>
        <w:spacing w:line="364" w:lineRule="auto" w:before="11"/>
        <w:ind w:left="115" w:right="106"/>
        <w:jc w:val="both"/>
      </w:pPr>
      <w:r>
        <w:rPr/>
        <w:t>Los bancos y uniones de crédito han desarrollado productos  y  servicios  para atraer clientes, así como a trabajadores migrantes bancarizados y  no  bancarizados. Este tipo de estrategias tienen como objetivo bajar los costos en las transferencias formales de fondos y ofrecer a los remitentes acceso a diferentes servicios como: préstamos a comercios y consumidores,  cajas  de  ahorro, seguros,</w:t>
      </w:r>
      <w:r>
        <w:rPr>
          <w:spacing w:val="12"/>
        </w:rPr>
        <w:t> </w:t>
      </w:r>
      <w:r>
        <w:rPr/>
        <w:t>etc.</w:t>
      </w:r>
    </w:p>
    <w:p>
      <w:pPr>
        <w:pStyle w:val="Heading4"/>
        <w:spacing w:before="197"/>
        <w:ind w:left="795" w:right="100"/>
      </w:pPr>
      <w:r>
        <w:rPr/>
        <w:t>Figura 9. Servicio de remesas que ofrecen los Bancos en  México</w:t>
      </w:r>
    </w:p>
    <w:p>
      <w:pPr>
        <w:pStyle w:val="BodyText"/>
        <w:rPr>
          <w:b/>
          <w:sz w:val="20"/>
        </w:rPr>
      </w:pPr>
    </w:p>
    <w:p>
      <w:pPr>
        <w:pStyle w:val="BodyText"/>
        <w:spacing w:before="5"/>
        <w:rPr>
          <w:b/>
          <w:sz w:val="28"/>
        </w:rPr>
      </w:pPr>
      <w:r>
        <w:rPr/>
        <w:pict>
          <v:group style="position:absolute;margin-left:83.144997pt;margin-top:18.328417pt;width:412.5pt;height:211pt;mso-position-horizontal-relative:page;mso-position-vertical-relative:paragraph;z-index:5032;mso-wrap-distance-left:0;mso-wrap-distance-right:0" coordorigin="1663,367" coordsize="8250,4220">
            <v:shape style="position:absolute;left:4824;top:3528;width:1752;height:1052" coordorigin="4824,3528" coordsize="1752,1052" path="m6444,3528l4956,3528,4947,3528,4883,3550,4838,3599,4824,3657,4824,4447,4838,4506,4883,4556,4947,4579,4956,4579,6444,4579,6504,4565,6554,4520,6576,4456,6576,4447,6576,3657,6558,3592,6511,3545,6453,3528,6444,3528xe" filled="true" fillcolor="#000000" stroked="false">
              <v:path arrowok="t"/>
              <v:fill type="solid"/>
            </v:shape>
            <v:shape style="position:absolute;left:4824;top:3528;width:1752;height:1052" coordorigin="4824,3528" coordsize="1752,1052" path="m4956,3528l4897,3541,4847,3585,4824,3648,4824,3657,4824,4447,4838,4506,4883,4556,4947,4579,4956,4579,6444,4579,6504,4565,6554,4520,6576,4456,6576,4447,6576,3657,6558,3592,6511,3545,6453,3528,6444,3528,4956,3528xe" filled="false" stroked="true" strokeweight=".730032pt" strokecolor="#000000">
              <v:path arrowok="t"/>
            </v:shape>
            <v:shape style="position:absolute;left:4298;top:374;width:2628;height:1577" coordorigin="4298,374" coordsize="2628,1577" path="m6862,1899l4362,1899,4369,1904,4375,1909,4382,1915,4389,1919,4396,1924,4404,1928,4411,1932,4419,1935,4427,1938,4435,1941,4443,1944,4451,1946,4460,1948,4469,1949,4477,1950,4486,1951,4495,1951,6730,1951,6739,1951,6747,1950,6756,1949,6765,1948,6773,1946,6782,1944,6790,1941,6798,1938,6806,1935,6814,1932,6821,1928,6829,1924,6836,1919,6843,1915,6850,1909,6856,1904,6862,1899xm6730,374l4495,374,4486,374,4477,375,4469,376,4460,377,4451,379,4443,381,4435,383,4427,386,4419,389,4411,393,4404,396,4396,401,4389,405,4382,410,4375,415,4369,420,4362,425,4356,431,4350,437,4345,443,4340,450,4335,457,4330,464,4325,471,4321,478,4317,486,4314,494,4311,502,4308,510,4305,518,4303,526,4302,535,4300,544,4299,553,4299,562,4298,571,4298,1752,4299,1761,6926,1761,6926,1752,6926,571,6926,562,6926,553,6925,544,6923,535,6921,526,6919,518,6917,510,6914,502,6911,494,6907,486,6904,478,6899,471,6895,464,6890,457,6885,450,6880,443,6874,437,6868,431,6862,425,6856,420,6850,415,6843,410,6836,405,6829,401,6821,396,6814,393,6806,389,6798,386,6790,383,6782,381,6773,379,6765,377,6756,376,6747,375,6739,374,6730,374xe" filled="true" fillcolor="#000000" stroked="false">
              <v:path arrowok="t"/>
              <v:fill type="solid"/>
            </v:shape>
            <v:shape style="position:absolute;left:4298;top:374;width:2628;height:1577" coordorigin="4298,374" coordsize="2628,1577" path="m4495,374l4435,383,4375,415,4330,464,4303,526,4298,571,4298,1752,4308,1813,4340,1874,4389,1919,4451,1946,4495,1951,6730,1951,6790,1941,6850,1909,6895,1860,6919,1805,6926,1752,6926,571,6917,510,6885,450,6836,405,6773,379,6730,374,4495,374xe" filled="false" stroked="true" strokeweight=".730032pt" strokecolor="#000000">
              <v:path arrowok="t"/>
            </v:shape>
            <v:rect style="position:absolute;left:4474;top:549;width:2278;height:1226" filled="true" fillcolor="#ffffff" stroked="false">
              <v:fill type="solid"/>
            </v:rect>
            <v:line style="position:absolute" from="4510,621" to="6715,621" stroked="true" strokeweight=".48pt" strokecolor="#000000"/>
            <v:line style="position:absolute" from="4510,1274" to="6715,1274" stroked="true" strokeweight=".48pt" strokecolor="#000000"/>
            <v:line style="position:absolute" from="4505,616" to="4505,1279" stroked="true" strokeweight=".48pt" strokecolor="#000000"/>
            <v:line style="position:absolute" from="6720,616" to="6720,1279" stroked="true" strokeweight=".48pt" strokecolor="#000000"/>
            <v:shape style="position:absolute;left:5642;top:1951;width:116;height:1584" coordorigin="5642,1951" coordsize="116,1584" path="m5700,2040l5695,2042,5693,2047,5693,3532,5700,3535,5705,3532,5707,3528,5707,2047,5705,2042,5700,2040xm5700,1951l5642,2066,5693,2066,5693,2047,5695,2042,5700,2040,5744,2040,5700,1951xm5744,2040l5700,2040,5705,2042,5707,2047,5707,2066,5758,2066,5744,2040xe" filled="true" fillcolor="#000000" stroked="false">
              <v:path arrowok="t"/>
              <v:fill type="solid"/>
            </v:shape>
            <v:shape style="position:absolute;left:7452;top:1951;width:2453;height:1402" coordorigin="7452,1951" coordsize="2453,1402" path="m9730,1951l7627,1951,7618,1951,7559,1964,7504,2002,7466,2057,7452,2117,7452,2126,7452,3177,7463,3237,7498,3295,7552,3335,7609,3352,7627,3352,9730,3352,9790,3342,9847,3307,9887,3253,9904,3195,9905,3177,9905,2126,9894,2065,9859,2008,9805,1968,9747,1952,9730,1951xe" filled="true" fillcolor="#000000" stroked="false">
              <v:path arrowok="t"/>
              <v:fill type="solid"/>
            </v:shape>
            <v:shape style="position:absolute;left:7452;top:1951;width:2453;height:1402" coordorigin="7452,1951" coordsize="2453,1402" path="m7627,1951l7567,1961,7510,1996,7469,2049,7453,2108,7452,2126,7452,3177,7463,3237,7498,3295,7552,3335,7609,3352,7627,3352,9730,3352,9790,3342,9847,3307,9887,3253,9904,3195,9905,3177,9905,2126,9894,2065,9859,2008,9805,1968,9747,1952,9730,1951,7627,1951xe" filled="false" stroked="true" strokeweight=".730032pt" strokecolor="#000000">
              <v:path arrowok="t"/>
            </v:shape>
            <v:shape style="position:absolute;left:5342;top:2592;width:2110;height:118" coordorigin="5342,2592" coordsize="2110,118" path="m7334,2592l7334,2709,7437,2659,7356,2659,7361,2656,7363,2652,7361,2644,7438,2644,7334,2592xm7334,2644l5345,2644,5342,2652,5345,2656,5350,2659,7334,2659,7334,2644xm7438,2644l7361,2644,7363,2652,7361,2656,7356,2659,7437,2659,7452,2652,7438,2644xe" filled="true" fillcolor="#000000" stroked="false">
              <v:path arrowok="t"/>
              <v:fill type="solid"/>
            </v:shape>
            <v:shape style="position:absolute;left:1670;top:1951;width:2453;height:1402" coordorigin="1670,1951" coordsize="2453,1402" path="m3948,1951l1846,1951,1837,1951,1778,1964,1722,2002,1684,2057,1671,2117,1670,2126,1670,3177,1681,3237,1716,3295,1770,3335,1828,3352,1846,3352,3948,3352,4008,3342,4065,3307,4106,3253,4122,3195,4123,3177,4123,2126,4112,2065,4077,2008,4024,1968,3966,1952,3948,1951xe" filled="true" fillcolor="#000000" stroked="false">
              <v:path arrowok="t"/>
              <v:fill type="solid"/>
            </v:shape>
            <v:shape style="position:absolute;left:1670;top:1951;width:2453;height:1402" coordorigin="1670,1951" coordsize="2453,1402" path="m1846,1951l1786,1961,1728,1996,1688,2049,1671,2108,1670,2126,1670,3177,1681,3237,1716,3295,1770,3335,1828,3352,1846,3352,3948,3352,4008,3342,4065,3307,4106,3253,4122,3195,4123,3177,4123,2126,4112,2065,4077,2008,4024,1968,3966,1952,3948,1951,1846,1951xe" filled="false" stroked="true" strokeweight=".730032pt" strokecolor="#000000">
              <v:path arrowok="t"/>
            </v:shape>
            <v:shape style="position:absolute;left:4123;top:2592;width:1234;height:118" coordorigin="4123,2592" coordsize="1234,118" path="m4241,2592l4123,2652,4241,2709,4241,2659,4222,2659,4214,2656,4214,2644,4241,2644,4241,2592xm4241,2644l4214,2644,4214,2656,4222,2659,4241,2659,4241,2644xm5354,2644l4241,2644,4241,2659,5350,2659,5354,2656,5357,2652,5354,2644xe" filled="true" fillcolor="#000000" stroked="false">
              <v:path arrowok="t"/>
              <v:fill type="solid"/>
            </v:shape>
            <v:shape style="position:absolute;left:4474;top:585;width:2278;height:689" type="#_x0000_t202" filled="false" stroked="false">
              <v:textbox inset="0,0,0,0">
                <w:txbxContent>
                  <w:p>
                    <w:pPr>
                      <w:spacing w:line="285" w:lineRule="auto" w:before="61"/>
                      <w:ind w:left="139" w:right="0" w:firstLine="0"/>
                      <w:jc w:val="left"/>
                      <w:rPr>
                        <w:rFonts w:ascii="Calibri" w:hAnsi="Calibri"/>
                        <w:b/>
                        <w:sz w:val="21"/>
                      </w:rPr>
                    </w:pPr>
                    <w:r>
                      <w:rPr>
                        <w:rFonts w:ascii="Calibri" w:hAnsi="Calibri"/>
                        <w:b/>
                        <w:sz w:val="21"/>
                      </w:rPr>
                      <w:t>TANSFERENCIA ELECTRÓNICA</w:t>
                    </w:r>
                  </w:p>
                </w:txbxContent>
              </v:textbox>
              <w10:wrap type="none"/>
            </v:shape>
            <v:shape style="position:absolute;left:4613;top:1514;width:1729;height:215" type="#_x0000_t202" filled="false" stroked="false">
              <v:textbox inset="0,0,0,0">
                <w:txbxContent>
                  <w:p>
                    <w:pPr>
                      <w:spacing w:line="215" w:lineRule="exact" w:before="0"/>
                      <w:ind w:left="0" w:right="0" w:firstLine="0"/>
                      <w:jc w:val="left"/>
                      <w:rPr>
                        <w:rFonts w:ascii="Calibri"/>
                        <w:sz w:val="21"/>
                      </w:rPr>
                    </w:pPr>
                    <w:r>
                      <w:rPr>
                        <w:rFonts w:ascii="Calibri"/>
                        <w:sz w:val="21"/>
                      </w:rPr>
                      <w:t>(Efectivo a efectivo)</w:t>
                    </w:r>
                  </w:p>
                </w:txbxContent>
              </v:textbox>
              <w10:wrap type="none"/>
            </v:shape>
            <v:shape style="position:absolute;left:5050;top:2227;width:1532;height:176" type="#_x0000_t202" filled="false" stroked="false">
              <v:textbox inset="0,0,0,0">
                <w:txbxContent>
                  <w:p>
                    <w:pPr>
                      <w:spacing w:line="175" w:lineRule="exact" w:before="0"/>
                      <w:ind w:left="0" w:right="-9" w:firstLine="0"/>
                      <w:jc w:val="left"/>
                      <w:rPr>
                        <w:rFonts w:ascii="Calibri"/>
                        <w:sz w:val="17"/>
                      </w:rPr>
                    </w:pPr>
                    <w:r>
                      <w:rPr>
                        <w:rFonts w:ascii="Calibri"/>
                        <w:w w:val="105"/>
                        <w:sz w:val="17"/>
                      </w:rPr>
                      <w:t>Ofrecen  Servicios de</w:t>
                    </w:r>
                  </w:p>
                </w:txbxContent>
              </v:textbox>
              <w10:wrap type="none"/>
            </v:shape>
            <v:shape style="position:absolute;left:1838;top:2119;width:2117;height:1066" type="#_x0000_t202" filled="true" fillcolor="#ffffff" stroked="false">
              <v:textbox inset="0,0,0,0">
                <w:txbxContent>
                  <w:p>
                    <w:pPr>
                      <w:spacing w:before="88"/>
                      <w:ind w:left="691" w:right="0" w:firstLine="0"/>
                      <w:jc w:val="left"/>
                      <w:rPr>
                        <w:rFonts w:ascii="Calibri"/>
                        <w:b/>
                        <w:sz w:val="21"/>
                      </w:rPr>
                    </w:pPr>
                    <w:r>
                      <w:rPr>
                        <w:rFonts w:ascii="Calibri"/>
                        <w:b/>
                        <w:sz w:val="21"/>
                      </w:rPr>
                      <w:t>CUENTA</w:t>
                    </w:r>
                  </w:p>
                </w:txbxContent>
              </v:textbox>
              <v:fill type="solid"/>
              <w10:wrap type="none"/>
            </v:shape>
            <v:shape style="position:absolute;left:7627;top:2126;width:2103;height:1052" type="#_x0000_t202" filled="true" fillcolor="#ffffff" stroked="false">
              <v:textbox inset="0,0,0,0">
                <w:txbxContent>
                  <w:p>
                    <w:pPr>
                      <w:spacing w:before="71"/>
                      <w:ind w:left="284" w:right="284" w:firstLine="0"/>
                      <w:jc w:val="center"/>
                      <w:rPr>
                        <w:rFonts w:ascii="Calibri"/>
                        <w:b/>
                        <w:sz w:val="21"/>
                      </w:rPr>
                    </w:pPr>
                    <w:r>
                      <w:rPr>
                        <w:rFonts w:ascii="Calibri"/>
                        <w:b/>
                        <w:sz w:val="21"/>
                      </w:rPr>
                      <w:t>AMBOS</w:t>
                    </w:r>
                  </w:p>
                  <w:p>
                    <w:pPr>
                      <w:spacing w:line="240" w:lineRule="auto" w:before="10"/>
                      <w:rPr>
                        <w:b/>
                        <w:sz w:val="20"/>
                      </w:rPr>
                    </w:pPr>
                  </w:p>
                  <w:p>
                    <w:pPr>
                      <w:spacing w:before="0"/>
                      <w:ind w:left="289" w:right="284" w:firstLine="0"/>
                      <w:jc w:val="center"/>
                      <w:rPr>
                        <w:rFonts w:ascii="Calibri"/>
                        <w:sz w:val="21"/>
                      </w:rPr>
                    </w:pPr>
                    <w:r>
                      <w:rPr>
                        <w:rFonts w:ascii="Calibri"/>
                        <w:sz w:val="21"/>
                      </w:rPr>
                      <w:t>Cuenta a efectivo</w:t>
                    </w:r>
                  </w:p>
                </w:txbxContent>
              </v:textbox>
              <v:fill type="solid"/>
              <w10:wrap type="none"/>
            </v:shape>
            <v:shape style="position:absolute;left:4999;top:3703;width:1402;height:701" type="#_x0000_t202" filled="true" fillcolor="#ffffff" stroked="false">
              <v:textbox inset="0,0,0,0">
                <w:txbxContent>
                  <w:p>
                    <w:pPr>
                      <w:spacing w:before="69"/>
                      <w:ind w:left="139" w:right="0" w:firstLine="0"/>
                      <w:jc w:val="left"/>
                      <w:rPr>
                        <w:rFonts w:ascii="Calibri"/>
                        <w:b/>
                        <w:sz w:val="21"/>
                      </w:rPr>
                    </w:pPr>
                    <w:r>
                      <w:rPr>
                        <w:rFonts w:ascii="Calibri"/>
                        <w:b/>
                        <w:sz w:val="21"/>
                      </w:rPr>
                      <w:t>BANCOS</w:t>
                    </w:r>
                  </w:p>
                </w:txbxContent>
              </v:textbox>
              <v:fill type="solid"/>
              <w10:wrap type="none"/>
            </v:shape>
            <w10:wrap type="topAndBottom"/>
          </v:group>
        </w:pict>
      </w:r>
    </w:p>
    <w:p>
      <w:pPr>
        <w:spacing w:before="136"/>
        <w:ind w:left="115" w:right="0" w:firstLine="0"/>
        <w:jc w:val="both"/>
        <w:rPr>
          <w:sz w:val="21"/>
        </w:rPr>
      </w:pPr>
      <w:r>
        <w:rPr>
          <w:sz w:val="21"/>
        </w:rPr>
        <w:t>Fuente: Elaboración propia</w:t>
      </w:r>
    </w:p>
    <w:p>
      <w:pPr>
        <w:spacing w:after="0"/>
        <w:jc w:val="both"/>
        <w:rPr>
          <w:sz w:val="21"/>
        </w:rPr>
        <w:sectPr>
          <w:footerReference w:type="default" r:id="rId133"/>
          <w:pgSz w:w="11900" w:h="16840"/>
          <w:pgMar w:footer="1679" w:header="0" w:top="1600" w:bottom="1860" w:left="1540" w:right="1580"/>
          <w:pgNumType w:start="120"/>
        </w:sectPr>
      </w:pPr>
    </w:p>
    <w:p>
      <w:pPr>
        <w:pStyle w:val="BodyText"/>
        <w:rPr>
          <w:sz w:val="20"/>
        </w:rPr>
      </w:pPr>
    </w:p>
    <w:p>
      <w:pPr>
        <w:pStyle w:val="BodyText"/>
        <w:spacing w:before="10"/>
        <w:rPr>
          <w:sz w:val="16"/>
        </w:rPr>
      </w:pPr>
    </w:p>
    <w:p>
      <w:pPr>
        <w:pStyle w:val="BodyText"/>
        <w:spacing w:line="364" w:lineRule="auto" w:before="74"/>
        <w:ind w:left="115" w:right="107"/>
        <w:jc w:val="both"/>
      </w:pPr>
      <w:r>
        <w:rPr/>
        <w:t>No sólo los bancos ofrecen los servicios de remesas mencionados en la figura 3, sino que muchos de ellos ofrecen productos basados en tarjetas, tales como servicios de cajero automáticos, que permiten a los clientes transferir fondos de Estados Unidos a México utilizando redes de tarjetas de crédito. Algunos bancos que funcionan con este sistema en México son: BANAMEX, BANCOMER, BANORTE, HSBC, SERFIN, todos estos cuentan con cajero RED, cobrando diferentes comisiones por retiro de efectivo.</w:t>
      </w:r>
    </w:p>
    <w:p>
      <w:pPr>
        <w:pStyle w:val="BodyText"/>
        <w:spacing w:before="10"/>
        <w:rPr>
          <w:sz w:val="20"/>
        </w:rPr>
      </w:pPr>
    </w:p>
    <w:p>
      <w:pPr>
        <w:pStyle w:val="BodyText"/>
        <w:spacing w:line="364" w:lineRule="auto"/>
        <w:ind w:left="115" w:right="105"/>
        <w:jc w:val="both"/>
      </w:pPr>
      <w:r>
        <w:rPr/>
        <w:t>Los receptores pueden adquirir estos fondos por dos medios, uno que es el retiro en ventanilla, con alguna identificación personal, como credencial de elector, licencia de conducir o pasaporte, que son por lo regular las que los bancos solicitan, o bien por medio de un PIN en el cajero </w:t>
      </w:r>
      <w:r>
        <w:rPr>
          <w:spacing w:val="6"/>
        </w:rPr>
        <w:t> </w:t>
      </w:r>
      <w:r>
        <w:rPr/>
        <w:t>automático.</w:t>
      </w:r>
    </w:p>
    <w:p>
      <w:pPr>
        <w:spacing w:line="364" w:lineRule="auto" w:before="197"/>
        <w:ind w:left="1054" w:right="1044" w:firstLine="0"/>
        <w:jc w:val="both"/>
        <w:rPr>
          <w:i/>
          <w:sz w:val="23"/>
        </w:rPr>
      </w:pPr>
      <w:r>
        <w:rPr>
          <w:i/>
          <w:sz w:val="23"/>
        </w:rPr>
        <w:t>El PIN (número de identificación personal) es un código  </w:t>
      </w:r>
      <w:r>
        <w:rPr>
          <w:i/>
          <w:sz w:val="23"/>
        </w:rPr>
        <w:t>numérico que el poseedor de una tarjeta puede tener que introducir para la verificación de su identidad. En las  operaciones electrónicas se considera el equivalente de una firma.</w:t>
      </w:r>
    </w:p>
    <w:p>
      <w:pPr>
        <w:pStyle w:val="BodyText"/>
        <w:rPr>
          <w:i/>
          <w:sz w:val="22"/>
        </w:rPr>
      </w:pPr>
    </w:p>
    <w:p>
      <w:pPr>
        <w:pStyle w:val="BodyText"/>
        <w:spacing w:line="364" w:lineRule="auto" w:before="157"/>
        <w:ind w:left="116" w:right="105"/>
        <w:jc w:val="both"/>
      </w:pPr>
      <w:r>
        <w:rPr/>
        <w:t>Algunos bancos cobran una tarifa plana sin importar el monto de dólares transferidos. Esta tarifa refleja los costos de las transacciones de remesas a los bancos y oscila entre los 10 a 20 dólares, dependiendo el banco. No obstante,  tiene como resultado un costo más elevado en términos de porcentaje para pequeños remitentes, pues no es lo mismo mandar 100 dólares en un solo deposito, que haciéndolo en 2 o más pagos, es menos rentable para el remitente; es importante mencionar que cada banco tiene estrategias para atraer mayores clientes, además que las transacciones en el servicio de remesas se mantiene en  el anonimato, pues para cada transacción de efectivo se maneja de forma  personal, entre el cliente y el oferente del</w:t>
      </w:r>
      <w:r>
        <w:rPr>
          <w:spacing w:val="54"/>
        </w:rPr>
        <w:t> </w:t>
      </w:r>
      <w:r>
        <w:rPr/>
        <w:t>servicio.</w:t>
      </w:r>
    </w:p>
    <w:p>
      <w:pPr>
        <w:pStyle w:val="BodyText"/>
        <w:rPr>
          <w:sz w:val="22"/>
        </w:rPr>
      </w:pPr>
    </w:p>
    <w:p>
      <w:pPr>
        <w:pStyle w:val="BodyText"/>
        <w:spacing w:before="7"/>
        <w:rPr>
          <w:sz w:val="30"/>
        </w:rPr>
      </w:pPr>
    </w:p>
    <w:p>
      <w:pPr>
        <w:pStyle w:val="BodyText"/>
        <w:spacing w:line="364" w:lineRule="auto"/>
        <w:ind w:left="116" w:right="107"/>
        <w:jc w:val="both"/>
      </w:pPr>
      <w:r>
        <w:rPr/>
        <w:t>Hay casos en los que se cobra un monto menor por transacción, esto es cuando una persona física tiene una cuanta con algún banco y a este titular lo premian</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6"/>
        <w:jc w:val="both"/>
      </w:pPr>
      <w:r>
        <w:rPr/>
        <w:t>con tasas preferenciales de interés, lo que no ocurre con personas que no tienen cuentas bancarias, por tanto los bancos utilizan servicios de remesas para atraer   a nuevos depositantes y prestatarios solventes, ejemplo de esto  es  Citibank  Global Transfers que cobra la comisión más baja del mercado (ver cuadro 6), cuando se hacen transferencias de cuenta a</w:t>
      </w:r>
      <w:r>
        <w:rPr>
          <w:spacing w:val="58"/>
        </w:rPr>
        <w:t> </w:t>
      </w:r>
      <w:r>
        <w:rPr/>
        <w:t>cuenta.</w:t>
      </w:r>
    </w:p>
    <w:p>
      <w:pPr>
        <w:pStyle w:val="BodyText"/>
        <w:rPr>
          <w:sz w:val="22"/>
        </w:rPr>
      </w:pPr>
    </w:p>
    <w:p>
      <w:pPr>
        <w:pStyle w:val="BodyText"/>
        <w:rPr>
          <w:sz w:val="22"/>
        </w:rPr>
      </w:pPr>
    </w:p>
    <w:p>
      <w:pPr>
        <w:pStyle w:val="BodyText"/>
        <w:spacing w:before="3"/>
        <w:rPr>
          <w:sz w:val="25"/>
        </w:rPr>
      </w:pPr>
    </w:p>
    <w:p>
      <w:pPr>
        <w:pStyle w:val="Heading4"/>
        <w:numPr>
          <w:ilvl w:val="1"/>
          <w:numId w:val="6"/>
        </w:numPr>
        <w:tabs>
          <w:tab w:pos="635" w:val="left" w:leader="none"/>
        </w:tabs>
        <w:spacing w:line="240" w:lineRule="auto" w:before="0" w:after="0"/>
        <w:ind w:left="634" w:right="0" w:hanging="518"/>
        <w:jc w:val="both"/>
      </w:pPr>
      <w:r>
        <w:rPr/>
        <w:t>Operadores de transferencias de Dinero</w:t>
      </w:r>
      <w:r>
        <w:rPr>
          <w:spacing w:val="62"/>
        </w:rPr>
        <w:t> </w:t>
      </w:r>
      <w:r>
        <w:rPr/>
        <w:t>(OTDs)</w:t>
      </w:r>
    </w:p>
    <w:p>
      <w:pPr>
        <w:pStyle w:val="BodyText"/>
        <w:spacing w:before="2"/>
        <w:rPr>
          <w:b/>
          <w:sz w:val="29"/>
        </w:rPr>
      </w:pPr>
    </w:p>
    <w:p>
      <w:pPr>
        <w:pStyle w:val="BodyText"/>
        <w:spacing w:line="364" w:lineRule="auto"/>
        <w:ind w:left="115" w:right="105"/>
        <w:jc w:val="both"/>
      </w:pPr>
      <w:r>
        <w:rPr/>
        <w:t>Los OTDs ofrecen sólo servicios de remesas e incluyen negocios como Western Union Financial Services Inc. y servicios de Pago MoneyGram. Ambos  tienen costos elevados en las transferencias, pero ofrecen velocidad de transferencia,    así como no requerir de la información personal del cliente lo cual se queda en el anonimato para los remitentes y por consiguiente muchos  indocumentados prefieren de estos sistemas de</w:t>
      </w:r>
      <w:r>
        <w:rPr>
          <w:spacing w:val="48"/>
        </w:rPr>
        <w:t> </w:t>
      </w:r>
      <w:r>
        <w:rPr/>
        <w:t>transferencia.</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5"/>
        <w:rPr>
          <w:sz w:val="16"/>
        </w:rPr>
      </w:pPr>
    </w:p>
    <w:p>
      <w:pPr>
        <w:pStyle w:val="Heading4"/>
        <w:spacing w:line="280" w:lineRule="auto" w:before="74"/>
        <w:ind w:left="2563" w:right="369" w:hanging="1544"/>
      </w:pPr>
      <w:r>
        <w:rPr/>
        <w:pict>
          <v:line style="position:absolute;mso-position-horizontal-relative:page;mso-position-vertical-relative:paragraph;z-index:-709408" from="179.159988pt,57.806171pt" to="433.199983pt,57.806171pt" stroked="true" strokeweight=".730032pt" strokecolor="#000000">
            <w10:wrap type="none"/>
          </v:line>
        </w:pict>
      </w:r>
      <w:r>
        <w:rPr/>
        <w:t>Cuadro 2. Cobro que realizan las principales Empresas por las transferencias de dinero, (Dólares)</w:t>
      </w:r>
    </w:p>
    <w:p>
      <w:pPr>
        <w:pStyle w:val="BodyText"/>
        <w:rPr>
          <w:b/>
          <w:sz w:val="17"/>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9"/>
        <w:gridCol w:w="862"/>
        <w:gridCol w:w="986"/>
        <w:gridCol w:w="986"/>
        <w:gridCol w:w="984"/>
        <w:gridCol w:w="986"/>
        <w:gridCol w:w="986"/>
        <w:gridCol w:w="1274"/>
      </w:tblGrid>
      <w:tr>
        <w:trPr>
          <w:trHeight w:val="862" w:hRule="exact"/>
        </w:trPr>
        <w:tc>
          <w:tcPr>
            <w:tcW w:w="8765" w:type="dxa"/>
            <w:gridSpan w:val="8"/>
          </w:tcPr>
          <w:p>
            <w:pPr>
              <w:pStyle w:val="TableParagraph"/>
              <w:spacing w:line="215" w:lineRule="exact" w:before="0"/>
              <w:ind w:left="2392"/>
              <w:jc w:val="left"/>
              <w:rPr>
                <w:b/>
                <w:sz w:val="19"/>
              </w:rPr>
            </w:pPr>
            <w:r>
              <w:rPr>
                <w:b/>
                <w:sz w:val="19"/>
              </w:rPr>
              <w:t>Cobro que realizan las empresas en  EE.UU</w:t>
            </w:r>
          </w:p>
        </w:tc>
      </w:tr>
      <w:tr>
        <w:trPr>
          <w:trHeight w:val="1236" w:hRule="exact"/>
        </w:trPr>
        <w:tc>
          <w:tcPr>
            <w:tcW w:w="1699" w:type="dxa"/>
          </w:tcPr>
          <w:p>
            <w:pPr>
              <w:pStyle w:val="TableParagraph"/>
              <w:spacing w:before="8"/>
              <w:ind w:left="100" w:right="51"/>
              <w:jc w:val="left"/>
              <w:rPr>
                <w:sz w:val="15"/>
              </w:rPr>
            </w:pPr>
            <w:r>
              <w:rPr>
                <w:w w:val="105"/>
                <w:sz w:val="15"/>
              </w:rPr>
              <w:t>Empresa</w:t>
            </w:r>
          </w:p>
        </w:tc>
        <w:tc>
          <w:tcPr>
            <w:tcW w:w="862" w:type="dxa"/>
          </w:tcPr>
          <w:p>
            <w:pPr>
              <w:pStyle w:val="TableParagraph"/>
              <w:spacing w:line="288" w:lineRule="auto" w:before="8"/>
              <w:ind w:left="98" w:right="56"/>
              <w:jc w:val="left"/>
              <w:rPr>
                <w:sz w:val="15"/>
              </w:rPr>
            </w:pPr>
            <w:r>
              <w:rPr>
                <w:w w:val="105"/>
                <w:sz w:val="15"/>
              </w:rPr>
              <w:t>Monto original del envío</w:t>
            </w:r>
          </w:p>
        </w:tc>
        <w:tc>
          <w:tcPr>
            <w:tcW w:w="986" w:type="dxa"/>
          </w:tcPr>
          <w:p>
            <w:pPr>
              <w:pStyle w:val="TableParagraph"/>
              <w:tabs>
                <w:tab w:pos="700" w:val="left" w:leader="none"/>
                <w:tab w:pos="753" w:val="left" w:leader="none"/>
              </w:tabs>
              <w:spacing w:line="285" w:lineRule="auto" w:before="8"/>
              <w:ind w:left="100" w:right="100"/>
              <w:jc w:val="left"/>
              <w:rPr>
                <w:sz w:val="15"/>
              </w:rPr>
            </w:pPr>
            <w:r>
              <w:rPr>
                <w:w w:val="105"/>
                <w:sz w:val="15"/>
              </w:rPr>
              <w:t>Tipo</w:t>
              <w:tab/>
              <w:t>de</w:t>
            </w:r>
            <w:r>
              <w:rPr>
                <w:w w:val="104"/>
                <w:sz w:val="15"/>
              </w:rPr>
              <w:t> </w:t>
            </w:r>
            <w:r>
              <w:rPr>
                <w:w w:val="105"/>
                <w:sz w:val="15"/>
              </w:rPr>
              <w:t>cambio aplicado por</w:t>
              <w:tab/>
              <w:tab/>
            </w:r>
            <w:r>
              <w:rPr>
                <w:sz w:val="15"/>
              </w:rPr>
              <w:t>la</w:t>
            </w:r>
          </w:p>
          <w:p>
            <w:pPr>
              <w:pStyle w:val="TableParagraph"/>
              <w:ind w:left="100" w:right="100"/>
              <w:jc w:val="left"/>
              <w:rPr>
                <w:sz w:val="15"/>
              </w:rPr>
            </w:pPr>
            <w:r>
              <w:rPr>
                <w:w w:val="105"/>
                <w:sz w:val="15"/>
              </w:rPr>
              <w:t>empresa</w:t>
            </w:r>
          </w:p>
        </w:tc>
        <w:tc>
          <w:tcPr>
            <w:tcW w:w="986" w:type="dxa"/>
          </w:tcPr>
          <w:p>
            <w:pPr>
              <w:pStyle w:val="TableParagraph"/>
              <w:spacing w:line="288" w:lineRule="auto" w:before="8"/>
              <w:ind w:left="98" w:right="100"/>
              <w:jc w:val="left"/>
              <w:rPr>
                <w:sz w:val="15"/>
              </w:rPr>
            </w:pPr>
            <w:r>
              <w:rPr>
                <w:w w:val="105"/>
                <w:sz w:val="15"/>
              </w:rPr>
              <w:t>Comisión en dólares Por envío</w:t>
            </w:r>
          </w:p>
        </w:tc>
        <w:tc>
          <w:tcPr>
            <w:tcW w:w="984" w:type="dxa"/>
          </w:tcPr>
          <w:p>
            <w:pPr>
              <w:pStyle w:val="TableParagraph"/>
              <w:spacing w:line="288" w:lineRule="auto" w:before="8"/>
              <w:ind w:left="98"/>
              <w:jc w:val="left"/>
              <w:rPr>
                <w:sz w:val="15"/>
              </w:rPr>
            </w:pPr>
            <w:r>
              <w:rPr>
                <w:w w:val="105"/>
                <w:sz w:val="15"/>
              </w:rPr>
              <w:t>Diferencial en dólares</w:t>
            </w:r>
          </w:p>
        </w:tc>
        <w:tc>
          <w:tcPr>
            <w:tcW w:w="986" w:type="dxa"/>
          </w:tcPr>
          <w:p>
            <w:pPr>
              <w:pStyle w:val="TableParagraph"/>
              <w:spacing w:line="288" w:lineRule="auto" w:before="8"/>
              <w:ind w:left="98"/>
              <w:jc w:val="left"/>
              <w:rPr>
                <w:sz w:val="15"/>
              </w:rPr>
            </w:pPr>
            <w:r>
              <w:rPr>
                <w:w w:val="105"/>
                <w:sz w:val="15"/>
              </w:rPr>
              <w:t>Costo total en dólares</w:t>
            </w:r>
          </w:p>
        </w:tc>
        <w:tc>
          <w:tcPr>
            <w:tcW w:w="986" w:type="dxa"/>
          </w:tcPr>
          <w:p>
            <w:pPr>
              <w:pStyle w:val="TableParagraph"/>
              <w:spacing w:line="288" w:lineRule="auto" w:before="8"/>
              <w:ind w:left="100" w:right="100"/>
              <w:jc w:val="left"/>
              <w:rPr>
                <w:sz w:val="15"/>
              </w:rPr>
            </w:pPr>
            <w:r>
              <w:rPr>
                <w:w w:val="105"/>
                <w:sz w:val="15"/>
              </w:rPr>
              <w:t>Dólares realmente enviados</w:t>
            </w:r>
          </w:p>
        </w:tc>
        <w:tc>
          <w:tcPr>
            <w:tcW w:w="1274" w:type="dxa"/>
          </w:tcPr>
          <w:p>
            <w:pPr>
              <w:pStyle w:val="TableParagraph"/>
              <w:tabs>
                <w:tab w:pos="871" w:val="left" w:leader="none"/>
              </w:tabs>
              <w:spacing w:line="285" w:lineRule="auto" w:before="8"/>
              <w:ind w:left="100" w:right="97"/>
              <w:jc w:val="left"/>
              <w:rPr>
                <w:sz w:val="15"/>
              </w:rPr>
            </w:pPr>
            <w:r>
              <w:rPr>
                <w:w w:val="105"/>
                <w:sz w:val="15"/>
              </w:rPr>
              <w:t>Costo</w:t>
              <w:tab/>
            </w:r>
            <w:r>
              <w:rPr>
                <w:spacing w:val="-1"/>
                <w:w w:val="105"/>
                <w:sz w:val="15"/>
              </w:rPr>
              <w:t>total </w:t>
            </w:r>
            <w:r>
              <w:rPr>
                <w:w w:val="105"/>
                <w:sz w:val="15"/>
              </w:rPr>
              <w:t>como proporción del monto original de</w:t>
            </w:r>
            <w:r>
              <w:rPr>
                <w:spacing w:val="-11"/>
                <w:w w:val="105"/>
                <w:sz w:val="15"/>
              </w:rPr>
              <w:t> </w:t>
            </w:r>
            <w:r>
              <w:rPr>
                <w:w w:val="105"/>
                <w:sz w:val="15"/>
              </w:rPr>
              <w:t>envío</w:t>
            </w:r>
          </w:p>
        </w:tc>
      </w:tr>
      <w:tr>
        <w:trPr>
          <w:trHeight w:val="766" w:hRule="exact"/>
        </w:trPr>
        <w:tc>
          <w:tcPr>
            <w:tcW w:w="1699" w:type="dxa"/>
          </w:tcPr>
          <w:p>
            <w:pPr>
              <w:pStyle w:val="TableParagraph"/>
              <w:spacing w:line="288" w:lineRule="auto" w:before="5"/>
              <w:ind w:left="100" w:right="51"/>
              <w:jc w:val="left"/>
              <w:rPr>
                <w:sz w:val="15"/>
              </w:rPr>
            </w:pPr>
            <w:r>
              <w:rPr>
                <w:w w:val="105"/>
                <w:sz w:val="15"/>
              </w:rPr>
              <w:t>Western Union (en minutos)</w:t>
            </w:r>
          </w:p>
        </w:tc>
        <w:tc>
          <w:tcPr>
            <w:tcW w:w="862" w:type="dxa"/>
          </w:tcPr>
          <w:p>
            <w:pPr>
              <w:pStyle w:val="TableParagraph"/>
              <w:spacing w:before="5"/>
              <w:ind w:left="98" w:right="56"/>
              <w:jc w:val="left"/>
              <w:rPr>
                <w:sz w:val="15"/>
              </w:rPr>
            </w:pPr>
            <w:r>
              <w:rPr>
                <w:w w:val="105"/>
                <w:sz w:val="15"/>
              </w:rPr>
              <w:t>300.00</w:t>
            </w:r>
          </w:p>
        </w:tc>
        <w:tc>
          <w:tcPr>
            <w:tcW w:w="986" w:type="dxa"/>
          </w:tcPr>
          <w:p>
            <w:pPr>
              <w:pStyle w:val="TableParagraph"/>
              <w:spacing w:before="5"/>
              <w:ind w:left="100" w:right="100"/>
              <w:jc w:val="left"/>
              <w:rPr>
                <w:sz w:val="15"/>
              </w:rPr>
            </w:pPr>
            <w:r>
              <w:rPr>
                <w:w w:val="105"/>
                <w:sz w:val="15"/>
              </w:rPr>
              <w:t>10.81</w:t>
            </w:r>
          </w:p>
        </w:tc>
        <w:tc>
          <w:tcPr>
            <w:tcW w:w="986" w:type="dxa"/>
          </w:tcPr>
          <w:p>
            <w:pPr>
              <w:pStyle w:val="TableParagraph"/>
              <w:spacing w:before="5"/>
              <w:ind w:left="98" w:right="100"/>
              <w:jc w:val="left"/>
              <w:rPr>
                <w:sz w:val="15"/>
              </w:rPr>
            </w:pPr>
            <w:r>
              <w:rPr>
                <w:w w:val="105"/>
                <w:sz w:val="15"/>
              </w:rPr>
              <w:t>14.99</w:t>
            </w:r>
          </w:p>
        </w:tc>
        <w:tc>
          <w:tcPr>
            <w:tcW w:w="984" w:type="dxa"/>
          </w:tcPr>
          <w:p>
            <w:pPr>
              <w:pStyle w:val="TableParagraph"/>
              <w:spacing w:before="5"/>
              <w:ind w:left="98"/>
              <w:jc w:val="left"/>
              <w:rPr>
                <w:sz w:val="15"/>
              </w:rPr>
            </w:pPr>
            <w:r>
              <w:rPr>
                <w:w w:val="105"/>
                <w:sz w:val="15"/>
              </w:rPr>
              <w:t>4.82</w:t>
            </w:r>
          </w:p>
        </w:tc>
        <w:tc>
          <w:tcPr>
            <w:tcW w:w="986" w:type="dxa"/>
          </w:tcPr>
          <w:p>
            <w:pPr>
              <w:pStyle w:val="TableParagraph"/>
              <w:spacing w:before="5"/>
              <w:ind w:left="98" w:right="100"/>
              <w:jc w:val="left"/>
              <w:rPr>
                <w:sz w:val="15"/>
              </w:rPr>
            </w:pPr>
            <w:r>
              <w:rPr>
                <w:w w:val="105"/>
                <w:sz w:val="15"/>
              </w:rPr>
              <w:t>19.81</w:t>
            </w:r>
          </w:p>
        </w:tc>
        <w:tc>
          <w:tcPr>
            <w:tcW w:w="986" w:type="dxa"/>
          </w:tcPr>
          <w:p>
            <w:pPr>
              <w:pStyle w:val="TableParagraph"/>
              <w:spacing w:before="5"/>
              <w:ind w:left="101" w:right="100"/>
              <w:jc w:val="left"/>
              <w:rPr>
                <w:sz w:val="15"/>
              </w:rPr>
            </w:pPr>
            <w:r>
              <w:rPr>
                <w:w w:val="105"/>
                <w:sz w:val="15"/>
              </w:rPr>
              <w:t>280.19</w:t>
            </w:r>
          </w:p>
        </w:tc>
        <w:tc>
          <w:tcPr>
            <w:tcW w:w="1274" w:type="dxa"/>
          </w:tcPr>
          <w:p>
            <w:pPr>
              <w:pStyle w:val="TableParagraph"/>
              <w:spacing w:before="5"/>
              <w:ind w:left="101"/>
              <w:jc w:val="left"/>
              <w:rPr>
                <w:sz w:val="15"/>
              </w:rPr>
            </w:pPr>
            <w:r>
              <w:rPr>
                <w:w w:val="105"/>
                <w:sz w:val="15"/>
              </w:rPr>
              <w:t>6.6%</w:t>
            </w:r>
          </w:p>
        </w:tc>
      </w:tr>
      <w:tr>
        <w:trPr>
          <w:trHeight w:val="694" w:hRule="exact"/>
        </w:trPr>
        <w:tc>
          <w:tcPr>
            <w:tcW w:w="1699" w:type="dxa"/>
          </w:tcPr>
          <w:p>
            <w:pPr>
              <w:pStyle w:val="TableParagraph"/>
              <w:spacing w:line="283" w:lineRule="auto" w:before="10"/>
              <w:ind w:left="100" w:right="51"/>
              <w:jc w:val="left"/>
              <w:rPr>
                <w:sz w:val="15"/>
              </w:rPr>
            </w:pPr>
            <w:r>
              <w:rPr>
                <w:w w:val="105"/>
                <w:sz w:val="15"/>
              </w:rPr>
              <w:t>Western Union (día siguiente)</w:t>
            </w:r>
          </w:p>
        </w:tc>
        <w:tc>
          <w:tcPr>
            <w:tcW w:w="862" w:type="dxa"/>
          </w:tcPr>
          <w:p>
            <w:pPr>
              <w:pStyle w:val="TableParagraph"/>
              <w:spacing w:before="10"/>
              <w:ind w:left="98" w:right="56"/>
              <w:jc w:val="left"/>
              <w:rPr>
                <w:sz w:val="15"/>
              </w:rPr>
            </w:pPr>
            <w:r>
              <w:rPr>
                <w:w w:val="105"/>
                <w:sz w:val="15"/>
              </w:rPr>
              <w:t>300.00</w:t>
            </w:r>
          </w:p>
        </w:tc>
        <w:tc>
          <w:tcPr>
            <w:tcW w:w="986" w:type="dxa"/>
          </w:tcPr>
          <w:p>
            <w:pPr>
              <w:pStyle w:val="TableParagraph"/>
              <w:spacing w:before="10"/>
              <w:ind w:left="100" w:right="100"/>
              <w:jc w:val="left"/>
              <w:rPr>
                <w:sz w:val="15"/>
              </w:rPr>
            </w:pPr>
            <w:r>
              <w:rPr>
                <w:w w:val="105"/>
                <w:sz w:val="15"/>
              </w:rPr>
              <w:t>10.81</w:t>
            </w:r>
          </w:p>
        </w:tc>
        <w:tc>
          <w:tcPr>
            <w:tcW w:w="986" w:type="dxa"/>
          </w:tcPr>
          <w:p>
            <w:pPr>
              <w:pStyle w:val="TableParagraph"/>
              <w:spacing w:before="10"/>
              <w:ind w:left="98" w:right="100"/>
              <w:jc w:val="left"/>
              <w:rPr>
                <w:sz w:val="15"/>
              </w:rPr>
            </w:pPr>
            <w:r>
              <w:rPr>
                <w:w w:val="105"/>
                <w:sz w:val="15"/>
              </w:rPr>
              <w:t>9.99</w:t>
            </w:r>
          </w:p>
        </w:tc>
        <w:tc>
          <w:tcPr>
            <w:tcW w:w="984" w:type="dxa"/>
          </w:tcPr>
          <w:p>
            <w:pPr>
              <w:pStyle w:val="TableParagraph"/>
              <w:spacing w:before="10"/>
              <w:ind w:left="98"/>
              <w:jc w:val="left"/>
              <w:rPr>
                <w:sz w:val="15"/>
              </w:rPr>
            </w:pPr>
            <w:r>
              <w:rPr>
                <w:w w:val="105"/>
                <w:sz w:val="15"/>
              </w:rPr>
              <w:t>4.82</w:t>
            </w:r>
          </w:p>
        </w:tc>
        <w:tc>
          <w:tcPr>
            <w:tcW w:w="986" w:type="dxa"/>
          </w:tcPr>
          <w:p>
            <w:pPr>
              <w:pStyle w:val="TableParagraph"/>
              <w:spacing w:before="10"/>
              <w:ind w:left="98" w:right="100"/>
              <w:jc w:val="left"/>
              <w:rPr>
                <w:sz w:val="15"/>
              </w:rPr>
            </w:pPr>
            <w:r>
              <w:rPr>
                <w:w w:val="105"/>
                <w:sz w:val="15"/>
              </w:rPr>
              <w:t>14.81</w:t>
            </w:r>
          </w:p>
        </w:tc>
        <w:tc>
          <w:tcPr>
            <w:tcW w:w="986" w:type="dxa"/>
          </w:tcPr>
          <w:p>
            <w:pPr>
              <w:pStyle w:val="TableParagraph"/>
              <w:spacing w:before="10"/>
              <w:ind w:left="100" w:right="100"/>
              <w:jc w:val="left"/>
              <w:rPr>
                <w:sz w:val="15"/>
              </w:rPr>
            </w:pPr>
            <w:r>
              <w:rPr>
                <w:w w:val="105"/>
                <w:sz w:val="15"/>
              </w:rPr>
              <w:t>285.19</w:t>
            </w:r>
          </w:p>
        </w:tc>
        <w:tc>
          <w:tcPr>
            <w:tcW w:w="1274" w:type="dxa"/>
          </w:tcPr>
          <w:p>
            <w:pPr>
              <w:pStyle w:val="TableParagraph"/>
              <w:spacing w:before="10"/>
              <w:ind w:left="101"/>
              <w:jc w:val="left"/>
              <w:rPr>
                <w:sz w:val="15"/>
              </w:rPr>
            </w:pPr>
            <w:r>
              <w:rPr>
                <w:w w:val="105"/>
                <w:sz w:val="15"/>
              </w:rPr>
              <w:t>4.9%</w:t>
            </w:r>
          </w:p>
        </w:tc>
      </w:tr>
      <w:tr>
        <w:trPr>
          <w:trHeight w:val="696" w:hRule="exact"/>
        </w:trPr>
        <w:tc>
          <w:tcPr>
            <w:tcW w:w="1699" w:type="dxa"/>
          </w:tcPr>
          <w:p>
            <w:pPr>
              <w:pStyle w:val="TableParagraph"/>
              <w:spacing w:line="283" w:lineRule="auto" w:before="8"/>
              <w:ind w:left="100" w:right="51"/>
              <w:jc w:val="left"/>
              <w:rPr>
                <w:sz w:val="15"/>
              </w:rPr>
            </w:pPr>
            <w:r>
              <w:rPr>
                <w:w w:val="105"/>
                <w:sz w:val="15"/>
              </w:rPr>
              <w:t>Western Union (Giro telegráfico)</w:t>
            </w:r>
          </w:p>
        </w:tc>
        <w:tc>
          <w:tcPr>
            <w:tcW w:w="862" w:type="dxa"/>
          </w:tcPr>
          <w:p>
            <w:pPr>
              <w:pStyle w:val="TableParagraph"/>
              <w:spacing w:before="8"/>
              <w:ind w:left="98" w:right="56"/>
              <w:jc w:val="left"/>
              <w:rPr>
                <w:sz w:val="15"/>
              </w:rPr>
            </w:pPr>
            <w:r>
              <w:rPr>
                <w:w w:val="105"/>
                <w:sz w:val="15"/>
              </w:rPr>
              <w:t>300.00</w:t>
            </w:r>
          </w:p>
        </w:tc>
        <w:tc>
          <w:tcPr>
            <w:tcW w:w="986" w:type="dxa"/>
          </w:tcPr>
          <w:p>
            <w:pPr>
              <w:pStyle w:val="TableParagraph"/>
              <w:spacing w:before="8"/>
              <w:ind w:left="100" w:right="100"/>
              <w:jc w:val="left"/>
              <w:rPr>
                <w:sz w:val="15"/>
              </w:rPr>
            </w:pPr>
            <w:r>
              <w:rPr>
                <w:w w:val="105"/>
                <w:sz w:val="15"/>
              </w:rPr>
              <w:t>10.81</w:t>
            </w:r>
          </w:p>
        </w:tc>
        <w:tc>
          <w:tcPr>
            <w:tcW w:w="986" w:type="dxa"/>
          </w:tcPr>
          <w:p>
            <w:pPr>
              <w:pStyle w:val="TableParagraph"/>
              <w:spacing w:before="8"/>
              <w:ind w:left="98" w:right="100"/>
              <w:jc w:val="left"/>
              <w:rPr>
                <w:sz w:val="15"/>
              </w:rPr>
            </w:pPr>
            <w:r>
              <w:rPr>
                <w:w w:val="105"/>
                <w:sz w:val="15"/>
              </w:rPr>
              <w:t>9.99</w:t>
            </w:r>
          </w:p>
        </w:tc>
        <w:tc>
          <w:tcPr>
            <w:tcW w:w="984" w:type="dxa"/>
          </w:tcPr>
          <w:p>
            <w:pPr>
              <w:pStyle w:val="TableParagraph"/>
              <w:spacing w:before="8"/>
              <w:ind w:left="98"/>
              <w:jc w:val="left"/>
              <w:rPr>
                <w:sz w:val="15"/>
              </w:rPr>
            </w:pPr>
            <w:r>
              <w:rPr>
                <w:w w:val="105"/>
                <w:sz w:val="15"/>
              </w:rPr>
              <w:t>4.82</w:t>
            </w:r>
          </w:p>
        </w:tc>
        <w:tc>
          <w:tcPr>
            <w:tcW w:w="986" w:type="dxa"/>
          </w:tcPr>
          <w:p>
            <w:pPr>
              <w:pStyle w:val="TableParagraph"/>
              <w:spacing w:before="8"/>
              <w:ind w:left="98" w:right="100"/>
              <w:jc w:val="left"/>
              <w:rPr>
                <w:sz w:val="15"/>
              </w:rPr>
            </w:pPr>
            <w:r>
              <w:rPr>
                <w:w w:val="105"/>
                <w:sz w:val="15"/>
              </w:rPr>
              <w:t>14.81</w:t>
            </w:r>
          </w:p>
        </w:tc>
        <w:tc>
          <w:tcPr>
            <w:tcW w:w="986" w:type="dxa"/>
          </w:tcPr>
          <w:p>
            <w:pPr>
              <w:pStyle w:val="TableParagraph"/>
              <w:spacing w:before="8"/>
              <w:ind w:left="100" w:right="100"/>
              <w:jc w:val="left"/>
              <w:rPr>
                <w:sz w:val="15"/>
              </w:rPr>
            </w:pPr>
            <w:r>
              <w:rPr>
                <w:w w:val="105"/>
                <w:sz w:val="15"/>
              </w:rPr>
              <w:t>285.19</w:t>
            </w:r>
          </w:p>
        </w:tc>
        <w:tc>
          <w:tcPr>
            <w:tcW w:w="1274" w:type="dxa"/>
          </w:tcPr>
          <w:p>
            <w:pPr>
              <w:pStyle w:val="TableParagraph"/>
              <w:spacing w:before="8"/>
              <w:ind w:left="101"/>
              <w:jc w:val="left"/>
              <w:rPr>
                <w:sz w:val="15"/>
              </w:rPr>
            </w:pPr>
            <w:r>
              <w:rPr>
                <w:w w:val="105"/>
                <w:sz w:val="15"/>
              </w:rPr>
              <w:t>4.9%</w:t>
            </w:r>
          </w:p>
        </w:tc>
      </w:tr>
      <w:tr>
        <w:trPr>
          <w:trHeight w:val="703" w:hRule="exact"/>
        </w:trPr>
        <w:tc>
          <w:tcPr>
            <w:tcW w:w="1699" w:type="dxa"/>
          </w:tcPr>
          <w:p>
            <w:pPr>
              <w:pStyle w:val="TableParagraph"/>
              <w:spacing w:before="8"/>
              <w:ind w:left="100" w:right="51"/>
              <w:jc w:val="left"/>
              <w:rPr>
                <w:sz w:val="15"/>
              </w:rPr>
            </w:pPr>
            <w:r>
              <w:rPr>
                <w:w w:val="105"/>
                <w:sz w:val="15"/>
              </w:rPr>
              <w:t>Money Gram</w:t>
            </w:r>
          </w:p>
        </w:tc>
        <w:tc>
          <w:tcPr>
            <w:tcW w:w="862" w:type="dxa"/>
          </w:tcPr>
          <w:p>
            <w:pPr>
              <w:pStyle w:val="TableParagraph"/>
              <w:spacing w:before="8"/>
              <w:ind w:left="98" w:right="56"/>
              <w:jc w:val="left"/>
              <w:rPr>
                <w:sz w:val="15"/>
              </w:rPr>
            </w:pPr>
            <w:r>
              <w:rPr>
                <w:w w:val="105"/>
                <w:sz w:val="15"/>
              </w:rPr>
              <w:t>300.00</w:t>
            </w:r>
          </w:p>
        </w:tc>
        <w:tc>
          <w:tcPr>
            <w:tcW w:w="986" w:type="dxa"/>
          </w:tcPr>
          <w:p>
            <w:pPr>
              <w:pStyle w:val="TableParagraph"/>
              <w:spacing w:before="8"/>
              <w:ind w:left="100" w:right="100"/>
              <w:jc w:val="left"/>
              <w:rPr>
                <w:sz w:val="15"/>
              </w:rPr>
            </w:pPr>
            <w:r>
              <w:rPr>
                <w:w w:val="105"/>
                <w:sz w:val="15"/>
              </w:rPr>
              <w:t>10.87</w:t>
            </w:r>
          </w:p>
        </w:tc>
        <w:tc>
          <w:tcPr>
            <w:tcW w:w="986" w:type="dxa"/>
          </w:tcPr>
          <w:p>
            <w:pPr>
              <w:pStyle w:val="TableParagraph"/>
              <w:spacing w:before="8"/>
              <w:ind w:left="98" w:right="100"/>
              <w:jc w:val="left"/>
              <w:rPr>
                <w:sz w:val="15"/>
              </w:rPr>
            </w:pPr>
            <w:r>
              <w:rPr>
                <w:w w:val="105"/>
                <w:sz w:val="15"/>
              </w:rPr>
              <w:t>9.99</w:t>
            </w:r>
          </w:p>
        </w:tc>
        <w:tc>
          <w:tcPr>
            <w:tcW w:w="984" w:type="dxa"/>
          </w:tcPr>
          <w:p>
            <w:pPr>
              <w:pStyle w:val="TableParagraph"/>
              <w:spacing w:before="8"/>
              <w:ind w:left="98"/>
              <w:jc w:val="left"/>
              <w:rPr>
                <w:sz w:val="15"/>
              </w:rPr>
            </w:pPr>
            <w:r>
              <w:rPr>
                <w:w w:val="105"/>
                <w:sz w:val="15"/>
              </w:rPr>
              <w:t>3.19</w:t>
            </w:r>
          </w:p>
        </w:tc>
        <w:tc>
          <w:tcPr>
            <w:tcW w:w="986" w:type="dxa"/>
          </w:tcPr>
          <w:p>
            <w:pPr>
              <w:pStyle w:val="TableParagraph"/>
              <w:spacing w:before="8"/>
              <w:ind w:left="98" w:right="100"/>
              <w:jc w:val="left"/>
              <w:rPr>
                <w:sz w:val="15"/>
              </w:rPr>
            </w:pPr>
            <w:r>
              <w:rPr>
                <w:w w:val="105"/>
                <w:sz w:val="15"/>
              </w:rPr>
              <w:t>13.18</w:t>
            </w:r>
          </w:p>
        </w:tc>
        <w:tc>
          <w:tcPr>
            <w:tcW w:w="986" w:type="dxa"/>
          </w:tcPr>
          <w:p>
            <w:pPr>
              <w:pStyle w:val="TableParagraph"/>
              <w:spacing w:before="8"/>
              <w:ind w:left="101" w:right="100"/>
              <w:jc w:val="left"/>
              <w:rPr>
                <w:sz w:val="15"/>
              </w:rPr>
            </w:pPr>
            <w:r>
              <w:rPr>
                <w:w w:val="105"/>
                <w:sz w:val="15"/>
              </w:rPr>
              <w:t>286.82</w:t>
            </w:r>
          </w:p>
        </w:tc>
        <w:tc>
          <w:tcPr>
            <w:tcW w:w="1274" w:type="dxa"/>
          </w:tcPr>
          <w:p>
            <w:pPr>
              <w:pStyle w:val="TableParagraph"/>
              <w:spacing w:before="8"/>
              <w:ind w:left="101"/>
              <w:jc w:val="left"/>
              <w:rPr>
                <w:sz w:val="15"/>
              </w:rPr>
            </w:pPr>
            <w:r>
              <w:rPr>
                <w:w w:val="105"/>
                <w:sz w:val="15"/>
              </w:rPr>
              <w:t>4.4%</w:t>
            </w:r>
          </w:p>
        </w:tc>
      </w:tr>
      <w:tr>
        <w:trPr>
          <w:trHeight w:val="710" w:hRule="exact"/>
        </w:trPr>
        <w:tc>
          <w:tcPr>
            <w:tcW w:w="1699" w:type="dxa"/>
          </w:tcPr>
          <w:p>
            <w:pPr>
              <w:pStyle w:val="TableParagraph"/>
              <w:spacing w:before="8"/>
              <w:ind w:left="100" w:right="51"/>
              <w:jc w:val="left"/>
              <w:rPr>
                <w:sz w:val="15"/>
              </w:rPr>
            </w:pPr>
            <w:r>
              <w:rPr>
                <w:w w:val="105"/>
                <w:sz w:val="15"/>
              </w:rPr>
              <w:t>Ria Envia</w:t>
            </w:r>
          </w:p>
        </w:tc>
        <w:tc>
          <w:tcPr>
            <w:tcW w:w="862" w:type="dxa"/>
          </w:tcPr>
          <w:p>
            <w:pPr>
              <w:pStyle w:val="TableParagraph"/>
              <w:spacing w:before="8"/>
              <w:ind w:left="98" w:right="56"/>
              <w:jc w:val="left"/>
              <w:rPr>
                <w:sz w:val="15"/>
              </w:rPr>
            </w:pPr>
            <w:r>
              <w:rPr>
                <w:w w:val="105"/>
                <w:sz w:val="15"/>
              </w:rPr>
              <w:t>300.00</w:t>
            </w:r>
          </w:p>
        </w:tc>
        <w:tc>
          <w:tcPr>
            <w:tcW w:w="986" w:type="dxa"/>
          </w:tcPr>
          <w:p>
            <w:pPr>
              <w:pStyle w:val="TableParagraph"/>
              <w:spacing w:before="8"/>
              <w:ind w:left="100" w:right="100"/>
              <w:jc w:val="left"/>
              <w:rPr>
                <w:sz w:val="15"/>
              </w:rPr>
            </w:pPr>
            <w:r>
              <w:rPr>
                <w:w w:val="105"/>
                <w:sz w:val="15"/>
              </w:rPr>
              <w:t>11.06</w:t>
            </w:r>
          </w:p>
        </w:tc>
        <w:tc>
          <w:tcPr>
            <w:tcW w:w="986" w:type="dxa"/>
          </w:tcPr>
          <w:p>
            <w:pPr>
              <w:pStyle w:val="TableParagraph"/>
              <w:spacing w:before="8"/>
              <w:ind w:left="98" w:right="100"/>
              <w:jc w:val="left"/>
              <w:rPr>
                <w:sz w:val="15"/>
              </w:rPr>
            </w:pPr>
            <w:r>
              <w:rPr>
                <w:w w:val="105"/>
                <w:sz w:val="15"/>
              </w:rPr>
              <w:t>18.00</w:t>
            </w:r>
          </w:p>
        </w:tc>
        <w:tc>
          <w:tcPr>
            <w:tcW w:w="984" w:type="dxa"/>
          </w:tcPr>
          <w:p>
            <w:pPr>
              <w:pStyle w:val="TableParagraph"/>
              <w:spacing w:before="8"/>
              <w:ind w:left="98"/>
              <w:jc w:val="left"/>
              <w:rPr>
                <w:sz w:val="15"/>
              </w:rPr>
            </w:pPr>
            <w:r>
              <w:rPr>
                <w:w w:val="105"/>
                <w:sz w:val="15"/>
              </w:rPr>
              <w:t>-2.00</w:t>
            </w:r>
          </w:p>
        </w:tc>
        <w:tc>
          <w:tcPr>
            <w:tcW w:w="986" w:type="dxa"/>
          </w:tcPr>
          <w:p>
            <w:pPr>
              <w:pStyle w:val="TableParagraph"/>
              <w:spacing w:before="8"/>
              <w:ind w:left="98" w:right="100"/>
              <w:jc w:val="left"/>
              <w:rPr>
                <w:sz w:val="15"/>
              </w:rPr>
            </w:pPr>
            <w:r>
              <w:rPr>
                <w:w w:val="105"/>
                <w:sz w:val="15"/>
              </w:rPr>
              <w:t>16.00</w:t>
            </w:r>
          </w:p>
        </w:tc>
        <w:tc>
          <w:tcPr>
            <w:tcW w:w="986" w:type="dxa"/>
          </w:tcPr>
          <w:p>
            <w:pPr>
              <w:pStyle w:val="TableParagraph"/>
              <w:spacing w:before="8"/>
              <w:ind w:left="101" w:right="100"/>
              <w:jc w:val="left"/>
              <w:rPr>
                <w:sz w:val="15"/>
              </w:rPr>
            </w:pPr>
            <w:r>
              <w:rPr>
                <w:w w:val="105"/>
                <w:sz w:val="15"/>
              </w:rPr>
              <w:t>284.00</w:t>
            </w:r>
          </w:p>
        </w:tc>
        <w:tc>
          <w:tcPr>
            <w:tcW w:w="1274" w:type="dxa"/>
          </w:tcPr>
          <w:p>
            <w:pPr>
              <w:pStyle w:val="TableParagraph"/>
              <w:spacing w:before="8"/>
              <w:ind w:left="101"/>
              <w:jc w:val="left"/>
              <w:rPr>
                <w:sz w:val="15"/>
              </w:rPr>
            </w:pPr>
            <w:r>
              <w:rPr>
                <w:w w:val="105"/>
                <w:sz w:val="15"/>
              </w:rPr>
              <w:t>5.3%</w:t>
            </w:r>
          </w:p>
        </w:tc>
      </w:tr>
      <w:tr>
        <w:trPr>
          <w:trHeight w:val="701" w:hRule="exact"/>
        </w:trPr>
        <w:tc>
          <w:tcPr>
            <w:tcW w:w="1699" w:type="dxa"/>
          </w:tcPr>
          <w:p>
            <w:pPr>
              <w:pStyle w:val="TableParagraph"/>
              <w:spacing w:line="283" w:lineRule="auto" w:before="8"/>
              <w:ind w:left="100" w:right="51"/>
              <w:jc w:val="left"/>
              <w:rPr>
                <w:sz w:val="15"/>
              </w:rPr>
            </w:pPr>
            <w:r>
              <w:rPr>
                <w:w w:val="105"/>
                <w:sz w:val="15"/>
              </w:rPr>
              <w:t>US Bank. La Red de la Gente</w:t>
            </w:r>
          </w:p>
        </w:tc>
        <w:tc>
          <w:tcPr>
            <w:tcW w:w="862" w:type="dxa"/>
          </w:tcPr>
          <w:p>
            <w:pPr>
              <w:pStyle w:val="TableParagraph"/>
              <w:spacing w:before="8"/>
              <w:ind w:left="98" w:right="56"/>
              <w:jc w:val="left"/>
              <w:rPr>
                <w:sz w:val="15"/>
              </w:rPr>
            </w:pPr>
            <w:r>
              <w:rPr>
                <w:w w:val="105"/>
                <w:sz w:val="15"/>
              </w:rPr>
              <w:t>300.00</w:t>
            </w:r>
          </w:p>
        </w:tc>
        <w:tc>
          <w:tcPr>
            <w:tcW w:w="986" w:type="dxa"/>
          </w:tcPr>
          <w:p>
            <w:pPr>
              <w:pStyle w:val="TableParagraph"/>
              <w:spacing w:before="8"/>
              <w:ind w:left="100" w:right="100"/>
              <w:jc w:val="left"/>
              <w:rPr>
                <w:sz w:val="15"/>
              </w:rPr>
            </w:pPr>
            <w:r>
              <w:rPr>
                <w:w w:val="105"/>
                <w:sz w:val="15"/>
              </w:rPr>
              <w:t>10.85</w:t>
            </w:r>
          </w:p>
        </w:tc>
        <w:tc>
          <w:tcPr>
            <w:tcW w:w="986" w:type="dxa"/>
          </w:tcPr>
          <w:p>
            <w:pPr>
              <w:pStyle w:val="TableParagraph"/>
              <w:spacing w:before="8"/>
              <w:ind w:left="98" w:right="100"/>
              <w:jc w:val="left"/>
              <w:rPr>
                <w:sz w:val="15"/>
              </w:rPr>
            </w:pPr>
            <w:r>
              <w:rPr>
                <w:w w:val="105"/>
                <w:sz w:val="15"/>
              </w:rPr>
              <w:t>8.00</w:t>
            </w:r>
          </w:p>
        </w:tc>
        <w:tc>
          <w:tcPr>
            <w:tcW w:w="984" w:type="dxa"/>
          </w:tcPr>
          <w:p>
            <w:pPr>
              <w:pStyle w:val="TableParagraph"/>
              <w:spacing w:before="8"/>
              <w:ind w:left="98"/>
              <w:jc w:val="left"/>
              <w:rPr>
                <w:sz w:val="15"/>
              </w:rPr>
            </w:pPr>
            <w:r>
              <w:rPr>
                <w:w w:val="105"/>
                <w:sz w:val="15"/>
              </w:rPr>
              <w:t>3.73</w:t>
            </w:r>
          </w:p>
        </w:tc>
        <w:tc>
          <w:tcPr>
            <w:tcW w:w="986" w:type="dxa"/>
          </w:tcPr>
          <w:p>
            <w:pPr>
              <w:pStyle w:val="TableParagraph"/>
              <w:spacing w:before="8"/>
              <w:ind w:left="98" w:right="100"/>
              <w:jc w:val="left"/>
              <w:rPr>
                <w:sz w:val="15"/>
              </w:rPr>
            </w:pPr>
            <w:r>
              <w:rPr>
                <w:w w:val="105"/>
                <w:sz w:val="15"/>
              </w:rPr>
              <w:t>11.73</w:t>
            </w:r>
          </w:p>
        </w:tc>
        <w:tc>
          <w:tcPr>
            <w:tcW w:w="986" w:type="dxa"/>
          </w:tcPr>
          <w:p>
            <w:pPr>
              <w:pStyle w:val="TableParagraph"/>
              <w:spacing w:before="8"/>
              <w:ind w:left="100" w:right="100"/>
              <w:jc w:val="left"/>
              <w:rPr>
                <w:sz w:val="15"/>
              </w:rPr>
            </w:pPr>
            <w:r>
              <w:rPr>
                <w:w w:val="105"/>
                <w:sz w:val="15"/>
              </w:rPr>
              <w:t>288.27</w:t>
            </w:r>
          </w:p>
        </w:tc>
        <w:tc>
          <w:tcPr>
            <w:tcW w:w="1274" w:type="dxa"/>
          </w:tcPr>
          <w:p>
            <w:pPr>
              <w:pStyle w:val="TableParagraph"/>
              <w:spacing w:before="8"/>
              <w:ind w:left="101"/>
              <w:jc w:val="left"/>
              <w:rPr>
                <w:sz w:val="15"/>
              </w:rPr>
            </w:pPr>
            <w:r>
              <w:rPr>
                <w:w w:val="105"/>
                <w:sz w:val="15"/>
              </w:rPr>
              <w:t>3.9%</w:t>
            </w:r>
          </w:p>
        </w:tc>
      </w:tr>
      <w:tr>
        <w:trPr>
          <w:trHeight w:val="823" w:hRule="exact"/>
        </w:trPr>
        <w:tc>
          <w:tcPr>
            <w:tcW w:w="1699" w:type="dxa"/>
          </w:tcPr>
          <w:p>
            <w:pPr>
              <w:pStyle w:val="TableParagraph"/>
              <w:tabs>
                <w:tab w:pos="1120" w:val="left" w:leader="none"/>
              </w:tabs>
              <w:spacing w:line="288" w:lineRule="auto" w:before="8"/>
              <w:ind w:left="100" w:right="99"/>
              <w:jc w:val="both"/>
              <w:rPr>
                <w:sz w:val="15"/>
              </w:rPr>
            </w:pPr>
            <w:r>
              <w:rPr>
                <w:w w:val="105"/>
                <w:sz w:val="15"/>
              </w:rPr>
              <w:t>US Bank. Tarjeta Secure</w:t>
              <w:tab/>
            </w:r>
            <w:r>
              <w:rPr>
                <w:spacing w:val="-1"/>
                <w:w w:val="105"/>
                <w:sz w:val="15"/>
              </w:rPr>
              <w:t>Money </w:t>
            </w:r>
            <w:r>
              <w:rPr>
                <w:w w:val="105"/>
                <w:sz w:val="15"/>
              </w:rPr>
              <w:t>Transfer</w:t>
            </w:r>
          </w:p>
        </w:tc>
        <w:tc>
          <w:tcPr>
            <w:tcW w:w="862" w:type="dxa"/>
          </w:tcPr>
          <w:p>
            <w:pPr>
              <w:pStyle w:val="TableParagraph"/>
              <w:spacing w:before="8"/>
              <w:ind w:left="98" w:right="56"/>
              <w:jc w:val="left"/>
              <w:rPr>
                <w:sz w:val="15"/>
              </w:rPr>
            </w:pPr>
            <w:r>
              <w:rPr>
                <w:w w:val="105"/>
                <w:sz w:val="15"/>
              </w:rPr>
              <w:t>300.00</w:t>
            </w:r>
          </w:p>
        </w:tc>
        <w:tc>
          <w:tcPr>
            <w:tcW w:w="986" w:type="dxa"/>
          </w:tcPr>
          <w:p>
            <w:pPr>
              <w:pStyle w:val="TableParagraph"/>
              <w:spacing w:before="8"/>
              <w:ind w:left="100" w:right="100"/>
              <w:jc w:val="left"/>
              <w:rPr>
                <w:sz w:val="15"/>
              </w:rPr>
            </w:pPr>
            <w:r>
              <w:rPr>
                <w:w w:val="105"/>
                <w:sz w:val="15"/>
              </w:rPr>
              <w:t>10.70</w:t>
            </w:r>
          </w:p>
        </w:tc>
        <w:tc>
          <w:tcPr>
            <w:tcW w:w="986" w:type="dxa"/>
          </w:tcPr>
          <w:p>
            <w:pPr>
              <w:pStyle w:val="TableParagraph"/>
              <w:spacing w:before="8"/>
              <w:ind w:left="98" w:right="100"/>
              <w:jc w:val="left"/>
              <w:rPr>
                <w:sz w:val="15"/>
              </w:rPr>
            </w:pPr>
            <w:r>
              <w:rPr>
                <w:w w:val="105"/>
                <w:sz w:val="15"/>
              </w:rPr>
              <w:t>10.00</w:t>
            </w:r>
          </w:p>
        </w:tc>
        <w:tc>
          <w:tcPr>
            <w:tcW w:w="984" w:type="dxa"/>
          </w:tcPr>
          <w:p>
            <w:pPr>
              <w:pStyle w:val="TableParagraph"/>
              <w:spacing w:before="8"/>
              <w:ind w:left="98"/>
              <w:jc w:val="left"/>
              <w:rPr>
                <w:sz w:val="15"/>
              </w:rPr>
            </w:pPr>
            <w:r>
              <w:rPr>
                <w:w w:val="105"/>
                <w:sz w:val="15"/>
              </w:rPr>
              <w:t>7.83</w:t>
            </w:r>
          </w:p>
        </w:tc>
        <w:tc>
          <w:tcPr>
            <w:tcW w:w="986" w:type="dxa"/>
          </w:tcPr>
          <w:p>
            <w:pPr>
              <w:pStyle w:val="TableParagraph"/>
              <w:spacing w:before="8"/>
              <w:ind w:left="98" w:right="100"/>
              <w:jc w:val="left"/>
              <w:rPr>
                <w:sz w:val="15"/>
              </w:rPr>
            </w:pPr>
            <w:r>
              <w:rPr>
                <w:w w:val="105"/>
                <w:sz w:val="15"/>
              </w:rPr>
              <w:t>17.83</w:t>
            </w:r>
          </w:p>
        </w:tc>
        <w:tc>
          <w:tcPr>
            <w:tcW w:w="986" w:type="dxa"/>
          </w:tcPr>
          <w:p>
            <w:pPr>
              <w:pStyle w:val="TableParagraph"/>
              <w:spacing w:before="8"/>
              <w:ind w:left="101" w:right="100"/>
              <w:jc w:val="left"/>
              <w:rPr>
                <w:sz w:val="15"/>
              </w:rPr>
            </w:pPr>
            <w:r>
              <w:rPr>
                <w:w w:val="105"/>
                <w:sz w:val="15"/>
              </w:rPr>
              <w:t>282.17</w:t>
            </w:r>
          </w:p>
        </w:tc>
        <w:tc>
          <w:tcPr>
            <w:tcW w:w="1274" w:type="dxa"/>
          </w:tcPr>
          <w:p>
            <w:pPr>
              <w:pStyle w:val="TableParagraph"/>
              <w:spacing w:before="8"/>
              <w:ind w:left="101"/>
              <w:jc w:val="left"/>
              <w:rPr>
                <w:sz w:val="15"/>
              </w:rPr>
            </w:pPr>
            <w:r>
              <w:rPr>
                <w:w w:val="105"/>
                <w:sz w:val="15"/>
              </w:rPr>
              <w:t>5.9%</w:t>
            </w:r>
          </w:p>
        </w:tc>
      </w:tr>
      <w:tr>
        <w:trPr>
          <w:trHeight w:val="701" w:hRule="exact"/>
        </w:trPr>
        <w:tc>
          <w:tcPr>
            <w:tcW w:w="1699" w:type="dxa"/>
          </w:tcPr>
          <w:p>
            <w:pPr>
              <w:pStyle w:val="TableParagraph"/>
              <w:spacing w:before="5"/>
              <w:ind w:left="100" w:right="51"/>
              <w:jc w:val="left"/>
              <w:rPr>
                <w:sz w:val="15"/>
              </w:rPr>
            </w:pPr>
            <w:r>
              <w:rPr>
                <w:w w:val="105"/>
                <w:sz w:val="15"/>
              </w:rPr>
              <w:t>Order Express</w:t>
            </w:r>
          </w:p>
        </w:tc>
        <w:tc>
          <w:tcPr>
            <w:tcW w:w="862" w:type="dxa"/>
          </w:tcPr>
          <w:p>
            <w:pPr>
              <w:pStyle w:val="TableParagraph"/>
              <w:spacing w:before="5"/>
              <w:ind w:left="98" w:right="56"/>
              <w:jc w:val="left"/>
              <w:rPr>
                <w:sz w:val="15"/>
              </w:rPr>
            </w:pPr>
            <w:r>
              <w:rPr>
                <w:w w:val="105"/>
                <w:sz w:val="15"/>
              </w:rPr>
              <w:t>300.00</w:t>
            </w:r>
          </w:p>
        </w:tc>
        <w:tc>
          <w:tcPr>
            <w:tcW w:w="986" w:type="dxa"/>
          </w:tcPr>
          <w:p>
            <w:pPr>
              <w:pStyle w:val="TableParagraph"/>
              <w:spacing w:before="5"/>
              <w:ind w:left="100" w:right="100"/>
              <w:jc w:val="left"/>
              <w:rPr>
                <w:sz w:val="15"/>
              </w:rPr>
            </w:pPr>
            <w:r>
              <w:rPr>
                <w:w w:val="105"/>
                <w:sz w:val="15"/>
              </w:rPr>
              <w:t>10.81</w:t>
            </w:r>
          </w:p>
        </w:tc>
        <w:tc>
          <w:tcPr>
            <w:tcW w:w="986" w:type="dxa"/>
          </w:tcPr>
          <w:p>
            <w:pPr>
              <w:pStyle w:val="TableParagraph"/>
              <w:spacing w:before="5"/>
              <w:ind w:left="98" w:right="100"/>
              <w:jc w:val="left"/>
              <w:rPr>
                <w:sz w:val="15"/>
              </w:rPr>
            </w:pPr>
            <w:r>
              <w:rPr>
                <w:w w:val="105"/>
                <w:sz w:val="15"/>
              </w:rPr>
              <w:t>8.00</w:t>
            </w:r>
          </w:p>
        </w:tc>
        <w:tc>
          <w:tcPr>
            <w:tcW w:w="984" w:type="dxa"/>
          </w:tcPr>
          <w:p>
            <w:pPr>
              <w:pStyle w:val="TableParagraph"/>
              <w:spacing w:before="5"/>
              <w:ind w:left="98"/>
              <w:jc w:val="left"/>
              <w:rPr>
                <w:sz w:val="15"/>
              </w:rPr>
            </w:pPr>
            <w:r>
              <w:rPr>
                <w:w w:val="105"/>
                <w:sz w:val="15"/>
              </w:rPr>
              <w:t>4.82</w:t>
            </w:r>
          </w:p>
        </w:tc>
        <w:tc>
          <w:tcPr>
            <w:tcW w:w="986" w:type="dxa"/>
          </w:tcPr>
          <w:p>
            <w:pPr>
              <w:pStyle w:val="TableParagraph"/>
              <w:spacing w:before="5"/>
              <w:ind w:left="98" w:right="100"/>
              <w:jc w:val="left"/>
              <w:rPr>
                <w:sz w:val="15"/>
              </w:rPr>
            </w:pPr>
            <w:r>
              <w:rPr>
                <w:w w:val="105"/>
                <w:sz w:val="15"/>
              </w:rPr>
              <w:t>12.82</w:t>
            </w:r>
          </w:p>
        </w:tc>
        <w:tc>
          <w:tcPr>
            <w:tcW w:w="986" w:type="dxa"/>
          </w:tcPr>
          <w:p>
            <w:pPr>
              <w:pStyle w:val="TableParagraph"/>
              <w:spacing w:before="5"/>
              <w:ind w:left="101" w:right="100"/>
              <w:jc w:val="left"/>
              <w:rPr>
                <w:sz w:val="15"/>
              </w:rPr>
            </w:pPr>
            <w:r>
              <w:rPr>
                <w:w w:val="105"/>
                <w:sz w:val="15"/>
              </w:rPr>
              <w:t>287.18</w:t>
            </w:r>
          </w:p>
        </w:tc>
        <w:tc>
          <w:tcPr>
            <w:tcW w:w="1274" w:type="dxa"/>
          </w:tcPr>
          <w:p>
            <w:pPr>
              <w:pStyle w:val="TableParagraph"/>
              <w:spacing w:before="5"/>
              <w:ind w:left="101"/>
              <w:jc w:val="left"/>
              <w:rPr>
                <w:sz w:val="15"/>
              </w:rPr>
            </w:pPr>
            <w:r>
              <w:rPr>
                <w:w w:val="105"/>
                <w:sz w:val="15"/>
              </w:rPr>
              <w:t>4.3%</w:t>
            </w:r>
          </w:p>
        </w:tc>
      </w:tr>
      <w:tr>
        <w:trPr>
          <w:trHeight w:val="811" w:hRule="exact"/>
        </w:trPr>
        <w:tc>
          <w:tcPr>
            <w:tcW w:w="1699" w:type="dxa"/>
          </w:tcPr>
          <w:p>
            <w:pPr>
              <w:pStyle w:val="TableParagraph"/>
              <w:spacing w:before="5"/>
              <w:ind w:left="100" w:right="51"/>
              <w:jc w:val="left"/>
              <w:rPr>
                <w:sz w:val="15"/>
              </w:rPr>
            </w:pPr>
            <w:r>
              <w:rPr>
                <w:w w:val="105"/>
                <w:sz w:val="15"/>
              </w:rPr>
              <w:t>Majapara Paga Dólar</w:t>
            </w:r>
          </w:p>
        </w:tc>
        <w:tc>
          <w:tcPr>
            <w:tcW w:w="862" w:type="dxa"/>
          </w:tcPr>
          <w:p>
            <w:pPr>
              <w:pStyle w:val="TableParagraph"/>
              <w:spacing w:before="5"/>
              <w:ind w:left="98" w:right="56"/>
              <w:jc w:val="left"/>
              <w:rPr>
                <w:sz w:val="15"/>
              </w:rPr>
            </w:pPr>
            <w:r>
              <w:rPr>
                <w:w w:val="105"/>
                <w:sz w:val="15"/>
              </w:rPr>
              <w:t>300.00</w:t>
            </w:r>
          </w:p>
        </w:tc>
        <w:tc>
          <w:tcPr>
            <w:tcW w:w="986" w:type="dxa"/>
          </w:tcPr>
          <w:p>
            <w:pPr>
              <w:pStyle w:val="TableParagraph"/>
              <w:spacing w:before="5"/>
              <w:ind w:left="101" w:right="100"/>
              <w:jc w:val="left"/>
              <w:rPr>
                <w:sz w:val="15"/>
              </w:rPr>
            </w:pPr>
            <w:r>
              <w:rPr>
                <w:w w:val="105"/>
                <w:sz w:val="15"/>
              </w:rPr>
              <w:t>10.91</w:t>
            </w:r>
          </w:p>
        </w:tc>
        <w:tc>
          <w:tcPr>
            <w:tcW w:w="986" w:type="dxa"/>
          </w:tcPr>
          <w:p>
            <w:pPr>
              <w:pStyle w:val="TableParagraph"/>
              <w:spacing w:before="5"/>
              <w:ind w:left="98" w:right="100"/>
              <w:jc w:val="left"/>
              <w:rPr>
                <w:sz w:val="15"/>
              </w:rPr>
            </w:pPr>
            <w:r>
              <w:rPr>
                <w:w w:val="105"/>
                <w:sz w:val="15"/>
              </w:rPr>
              <w:t>9.00</w:t>
            </w:r>
          </w:p>
        </w:tc>
        <w:tc>
          <w:tcPr>
            <w:tcW w:w="984" w:type="dxa"/>
          </w:tcPr>
          <w:p>
            <w:pPr>
              <w:pStyle w:val="TableParagraph"/>
              <w:spacing w:before="5"/>
              <w:ind w:left="98"/>
              <w:jc w:val="left"/>
              <w:rPr>
                <w:sz w:val="15"/>
              </w:rPr>
            </w:pPr>
            <w:r>
              <w:rPr>
                <w:w w:val="105"/>
                <w:sz w:val="15"/>
              </w:rPr>
              <w:t>2.09</w:t>
            </w:r>
          </w:p>
        </w:tc>
        <w:tc>
          <w:tcPr>
            <w:tcW w:w="986" w:type="dxa"/>
          </w:tcPr>
          <w:p>
            <w:pPr>
              <w:pStyle w:val="TableParagraph"/>
              <w:spacing w:before="5"/>
              <w:ind w:left="98" w:right="100"/>
              <w:jc w:val="left"/>
              <w:rPr>
                <w:sz w:val="15"/>
              </w:rPr>
            </w:pPr>
            <w:r>
              <w:rPr>
                <w:w w:val="105"/>
                <w:sz w:val="15"/>
              </w:rPr>
              <w:t>11.09</w:t>
            </w:r>
          </w:p>
        </w:tc>
        <w:tc>
          <w:tcPr>
            <w:tcW w:w="986" w:type="dxa"/>
          </w:tcPr>
          <w:p>
            <w:pPr>
              <w:pStyle w:val="TableParagraph"/>
              <w:spacing w:before="5"/>
              <w:ind w:left="101" w:right="100"/>
              <w:jc w:val="left"/>
              <w:rPr>
                <w:sz w:val="15"/>
              </w:rPr>
            </w:pPr>
            <w:r>
              <w:rPr>
                <w:w w:val="105"/>
                <w:sz w:val="15"/>
              </w:rPr>
              <w:t>288.91</w:t>
            </w:r>
          </w:p>
        </w:tc>
        <w:tc>
          <w:tcPr>
            <w:tcW w:w="1274" w:type="dxa"/>
          </w:tcPr>
          <w:p>
            <w:pPr>
              <w:pStyle w:val="TableParagraph"/>
              <w:spacing w:before="5"/>
              <w:ind w:left="100"/>
              <w:jc w:val="left"/>
              <w:rPr>
                <w:sz w:val="15"/>
              </w:rPr>
            </w:pPr>
            <w:r>
              <w:rPr>
                <w:w w:val="105"/>
                <w:sz w:val="15"/>
              </w:rPr>
              <w:t>3.7%</w:t>
            </w:r>
          </w:p>
        </w:tc>
      </w:tr>
      <w:tr>
        <w:trPr>
          <w:trHeight w:val="874" w:hRule="exact"/>
        </w:trPr>
        <w:tc>
          <w:tcPr>
            <w:tcW w:w="1699" w:type="dxa"/>
          </w:tcPr>
          <w:p>
            <w:pPr>
              <w:pStyle w:val="TableParagraph"/>
              <w:tabs>
                <w:tab w:pos="1137" w:val="left" w:leader="none"/>
              </w:tabs>
              <w:spacing w:line="285" w:lineRule="auto" w:before="5"/>
              <w:ind w:left="100" w:right="97"/>
              <w:jc w:val="both"/>
              <w:rPr>
                <w:sz w:val="15"/>
              </w:rPr>
            </w:pPr>
            <w:r>
              <w:rPr>
                <w:w w:val="105"/>
                <w:sz w:val="15"/>
              </w:rPr>
              <w:t>Citibank</w:t>
              <w:tab/>
            </w:r>
            <w:r>
              <w:rPr>
                <w:sz w:val="15"/>
              </w:rPr>
              <w:t>Global </w:t>
            </w:r>
            <w:r>
              <w:rPr>
                <w:w w:val="105"/>
                <w:sz w:val="15"/>
              </w:rPr>
              <w:t>Transfers Cta. A Cuenta</w:t>
            </w:r>
          </w:p>
        </w:tc>
        <w:tc>
          <w:tcPr>
            <w:tcW w:w="862" w:type="dxa"/>
          </w:tcPr>
          <w:p>
            <w:pPr>
              <w:pStyle w:val="TableParagraph"/>
              <w:spacing w:before="5"/>
              <w:ind w:left="98" w:right="56"/>
              <w:jc w:val="left"/>
              <w:rPr>
                <w:sz w:val="15"/>
              </w:rPr>
            </w:pPr>
            <w:r>
              <w:rPr>
                <w:w w:val="105"/>
                <w:sz w:val="15"/>
              </w:rPr>
              <w:t>300.00</w:t>
            </w:r>
          </w:p>
        </w:tc>
        <w:tc>
          <w:tcPr>
            <w:tcW w:w="986" w:type="dxa"/>
          </w:tcPr>
          <w:p>
            <w:pPr>
              <w:pStyle w:val="TableParagraph"/>
              <w:spacing w:before="5"/>
              <w:ind w:left="100" w:right="100"/>
              <w:jc w:val="left"/>
              <w:rPr>
                <w:sz w:val="15"/>
              </w:rPr>
            </w:pPr>
            <w:r>
              <w:rPr>
                <w:w w:val="105"/>
                <w:sz w:val="15"/>
              </w:rPr>
              <w:t>10.85</w:t>
            </w:r>
          </w:p>
        </w:tc>
        <w:tc>
          <w:tcPr>
            <w:tcW w:w="986" w:type="dxa"/>
          </w:tcPr>
          <w:p>
            <w:pPr>
              <w:pStyle w:val="TableParagraph"/>
              <w:spacing w:before="5"/>
              <w:ind w:left="98" w:right="100"/>
              <w:jc w:val="left"/>
              <w:rPr>
                <w:sz w:val="15"/>
              </w:rPr>
            </w:pPr>
            <w:r>
              <w:rPr>
                <w:w w:val="105"/>
                <w:sz w:val="15"/>
              </w:rPr>
              <w:t>5.00</w:t>
            </w:r>
          </w:p>
        </w:tc>
        <w:tc>
          <w:tcPr>
            <w:tcW w:w="984" w:type="dxa"/>
          </w:tcPr>
          <w:p>
            <w:pPr>
              <w:pStyle w:val="TableParagraph"/>
              <w:spacing w:before="5"/>
              <w:ind w:left="98"/>
              <w:jc w:val="left"/>
              <w:rPr>
                <w:sz w:val="15"/>
              </w:rPr>
            </w:pPr>
            <w:r>
              <w:rPr>
                <w:w w:val="105"/>
                <w:sz w:val="15"/>
              </w:rPr>
              <w:t>3.73</w:t>
            </w:r>
          </w:p>
        </w:tc>
        <w:tc>
          <w:tcPr>
            <w:tcW w:w="986" w:type="dxa"/>
          </w:tcPr>
          <w:p>
            <w:pPr>
              <w:pStyle w:val="TableParagraph"/>
              <w:spacing w:before="5"/>
              <w:ind w:left="98" w:right="100"/>
              <w:jc w:val="left"/>
              <w:rPr>
                <w:sz w:val="15"/>
              </w:rPr>
            </w:pPr>
            <w:r>
              <w:rPr>
                <w:w w:val="105"/>
                <w:sz w:val="15"/>
              </w:rPr>
              <w:t>8.73</w:t>
            </w:r>
          </w:p>
        </w:tc>
        <w:tc>
          <w:tcPr>
            <w:tcW w:w="986" w:type="dxa"/>
          </w:tcPr>
          <w:p>
            <w:pPr>
              <w:pStyle w:val="TableParagraph"/>
              <w:spacing w:before="5"/>
              <w:ind w:left="100" w:right="100"/>
              <w:jc w:val="left"/>
              <w:rPr>
                <w:sz w:val="15"/>
              </w:rPr>
            </w:pPr>
            <w:r>
              <w:rPr>
                <w:w w:val="105"/>
                <w:sz w:val="15"/>
              </w:rPr>
              <w:t>291.27</w:t>
            </w:r>
          </w:p>
        </w:tc>
        <w:tc>
          <w:tcPr>
            <w:tcW w:w="1274" w:type="dxa"/>
          </w:tcPr>
          <w:p>
            <w:pPr>
              <w:pStyle w:val="TableParagraph"/>
              <w:spacing w:before="5"/>
              <w:ind w:left="100"/>
              <w:jc w:val="left"/>
              <w:rPr>
                <w:sz w:val="15"/>
              </w:rPr>
            </w:pPr>
            <w:r>
              <w:rPr>
                <w:w w:val="105"/>
                <w:sz w:val="15"/>
              </w:rPr>
              <w:t>2.9%</w:t>
            </w:r>
          </w:p>
        </w:tc>
      </w:tr>
      <w:tr>
        <w:trPr>
          <w:trHeight w:val="821" w:hRule="exact"/>
        </w:trPr>
        <w:tc>
          <w:tcPr>
            <w:tcW w:w="1699" w:type="dxa"/>
          </w:tcPr>
          <w:p>
            <w:pPr>
              <w:pStyle w:val="TableParagraph"/>
              <w:tabs>
                <w:tab w:pos="1137" w:val="left" w:leader="none"/>
              </w:tabs>
              <w:spacing w:line="285" w:lineRule="auto" w:before="5"/>
              <w:ind w:left="100" w:right="97"/>
              <w:jc w:val="both"/>
              <w:rPr>
                <w:sz w:val="15"/>
              </w:rPr>
            </w:pPr>
            <w:r>
              <w:rPr>
                <w:w w:val="105"/>
                <w:sz w:val="15"/>
              </w:rPr>
              <w:t>Citibank</w:t>
              <w:tab/>
            </w:r>
            <w:r>
              <w:rPr>
                <w:sz w:val="15"/>
              </w:rPr>
              <w:t>Global </w:t>
            </w:r>
            <w:r>
              <w:rPr>
                <w:w w:val="105"/>
                <w:sz w:val="15"/>
              </w:rPr>
              <w:t>Transfers Cta. A Efectivo</w:t>
            </w:r>
          </w:p>
        </w:tc>
        <w:tc>
          <w:tcPr>
            <w:tcW w:w="862" w:type="dxa"/>
          </w:tcPr>
          <w:p>
            <w:pPr>
              <w:pStyle w:val="TableParagraph"/>
              <w:spacing w:before="5"/>
              <w:ind w:left="98" w:right="56"/>
              <w:jc w:val="left"/>
              <w:rPr>
                <w:sz w:val="15"/>
              </w:rPr>
            </w:pPr>
            <w:r>
              <w:rPr>
                <w:w w:val="105"/>
                <w:sz w:val="15"/>
              </w:rPr>
              <w:t>300.00</w:t>
            </w:r>
          </w:p>
        </w:tc>
        <w:tc>
          <w:tcPr>
            <w:tcW w:w="986" w:type="dxa"/>
          </w:tcPr>
          <w:p>
            <w:pPr>
              <w:pStyle w:val="TableParagraph"/>
              <w:spacing w:before="5"/>
              <w:ind w:left="100" w:right="100"/>
              <w:jc w:val="left"/>
              <w:rPr>
                <w:sz w:val="15"/>
              </w:rPr>
            </w:pPr>
            <w:r>
              <w:rPr>
                <w:w w:val="105"/>
                <w:sz w:val="15"/>
              </w:rPr>
              <w:t>10.85</w:t>
            </w:r>
          </w:p>
        </w:tc>
        <w:tc>
          <w:tcPr>
            <w:tcW w:w="986" w:type="dxa"/>
          </w:tcPr>
          <w:p>
            <w:pPr>
              <w:pStyle w:val="TableParagraph"/>
              <w:spacing w:before="5"/>
              <w:ind w:left="98" w:right="100"/>
              <w:jc w:val="left"/>
              <w:rPr>
                <w:sz w:val="15"/>
              </w:rPr>
            </w:pPr>
            <w:r>
              <w:rPr>
                <w:w w:val="105"/>
                <w:sz w:val="15"/>
              </w:rPr>
              <w:t>8.00</w:t>
            </w:r>
          </w:p>
        </w:tc>
        <w:tc>
          <w:tcPr>
            <w:tcW w:w="984" w:type="dxa"/>
          </w:tcPr>
          <w:p>
            <w:pPr>
              <w:pStyle w:val="TableParagraph"/>
              <w:spacing w:before="5"/>
              <w:ind w:left="98"/>
              <w:jc w:val="left"/>
              <w:rPr>
                <w:sz w:val="15"/>
              </w:rPr>
            </w:pPr>
            <w:r>
              <w:rPr>
                <w:w w:val="105"/>
                <w:sz w:val="15"/>
              </w:rPr>
              <w:t>3.73</w:t>
            </w:r>
          </w:p>
        </w:tc>
        <w:tc>
          <w:tcPr>
            <w:tcW w:w="986" w:type="dxa"/>
          </w:tcPr>
          <w:p>
            <w:pPr>
              <w:pStyle w:val="TableParagraph"/>
              <w:spacing w:before="5"/>
              <w:ind w:left="98" w:right="100"/>
              <w:jc w:val="left"/>
              <w:rPr>
                <w:sz w:val="15"/>
              </w:rPr>
            </w:pPr>
            <w:r>
              <w:rPr>
                <w:w w:val="105"/>
                <w:sz w:val="15"/>
              </w:rPr>
              <w:t>11.73</w:t>
            </w:r>
          </w:p>
        </w:tc>
        <w:tc>
          <w:tcPr>
            <w:tcW w:w="986" w:type="dxa"/>
          </w:tcPr>
          <w:p>
            <w:pPr>
              <w:pStyle w:val="TableParagraph"/>
              <w:spacing w:before="5"/>
              <w:ind w:left="100" w:right="100"/>
              <w:jc w:val="left"/>
              <w:rPr>
                <w:sz w:val="15"/>
              </w:rPr>
            </w:pPr>
            <w:r>
              <w:rPr>
                <w:w w:val="105"/>
                <w:sz w:val="15"/>
              </w:rPr>
              <w:t>288.27</w:t>
            </w:r>
          </w:p>
        </w:tc>
        <w:tc>
          <w:tcPr>
            <w:tcW w:w="1274" w:type="dxa"/>
          </w:tcPr>
          <w:p>
            <w:pPr>
              <w:pStyle w:val="TableParagraph"/>
              <w:spacing w:before="5"/>
              <w:ind w:left="101"/>
              <w:jc w:val="left"/>
              <w:rPr>
                <w:sz w:val="15"/>
              </w:rPr>
            </w:pPr>
            <w:r>
              <w:rPr>
                <w:w w:val="105"/>
                <w:sz w:val="15"/>
              </w:rPr>
              <w:t>3.9%</w:t>
            </w:r>
          </w:p>
        </w:tc>
      </w:tr>
    </w:tbl>
    <w:p>
      <w:pPr>
        <w:spacing w:before="2"/>
        <w:ind w:left="215" w:right="369" w:firstLine="0"/>
        <w:jc w:val="left"/>
        <w:rPr>
          <w:sz w:val="21"/>
        </w:rPr>
      </w:pPr>
      <w:r>
        <w:rPr>
          <w:sz w:val="21"/>
        </w:rPr>
        <w:t>Fuente: PROFECO. Tipo de cambio al 24 de abril de  2006.</w:t>
      </w:r>
    </w:p>
    <w:p>
      <w:pPr>
        <w:spacing w:after="0"/>
        <w:jc w:val="left"/>
        <w:rPr>
          <w:sz w:val="21"/>
        </w:rPr>
        <w:sectPr>
          <w:pgSz w:w="11900" w:h="16840"/>
          <w:pgMar w:header="0" w:footer="1679" w:top="1600" w:bottom="1860" w:left="1440" w:right="1460"/>
        </w:sectPr>
      </w:pPr>
    </w:p>
    <w:p>
      <w:pPr>
        <w:pStyle w:val="BodyText"/>
        <w:rPr>
          <w:sz w:val="20"/>
        </w:rPr>
      </w:pPr>
    </w:p>
    <w:p>
      <w:pPr>
        <w:pStyle w:val="BodyText"/>
        <w:spacing w:before="7"/>
        <w:rPr>
          <w:sz w:val="16"/>
        </w:rPr>
      </w:pPr>
    </w:p>
    <w:p>
      <w:pPr>
        <w:pStyle w:val="BodyText"/>
        <w:spacing w:line="364" w:lineRule="auto" w:before="74"/>
        <w:ind w:left="115" w:right="105"/>
        <w:jc w:val="both"/>
      </w:pPr>
      <w:r>
        <w:rPr/>
        <w:t>Estas empresas de tarjetas de débito y de crédito  constantemente  compiten  dentro del mercado de remesas, incluyendo la tecnología de Internet y envíos por medio de correos de tarjetas de cajeros</w:t>
      </w:r>
      <w:r>
        <w:rPr>
          <w:spacing w:val="56"/>
        </w:rPr>
        <w:t> </w:t>
      </w:r>
      <w:r>
        <w:rPr/>
        <w:t>automáticos.</w:t>
      </w:r>
    </w:p>
    <w:p>
      <w:pPr>
        <w:pStyle w:val="BodyText"/>
        <w:rPr>
          <w:sz w:val="22"/>
        </w:rPr>
      </w:pPr>
    </w:p>
    <w:p>
      <w:pPr>
        <w:pStyle w:val="BodyText"/>
        <w:rPr>
          <w:sz w:val="22"/>
        </w:rPr>
      </w:pPr>
    </w:p>
    <w:p>
      <w:pPr>
        <w:pStyle w:val="BodyText"/>
        <w:spacing w:before="1"/>
        <w:rPr>
          <w:sz w:val="25"/>
        </w:rPr>
      </w:pPr>
    </w:p>
    <w:p>
      <w:pPr>
        <w:pStyle w:val="Heading4"/>
        <w:numPr>
          <w:ilvl w:val="1"/>
          <w:numId w:val="6"/>
        </w:numPr>
        <w:tabs>
          <w:tab w:pos="640" w:val="left" w:leader="none"/>
        </w:tabs>
        <w:spacing w:line="240" w:lineRule="auto" w:before="0" w:after="0"/>
        <w:ind w:left="639" w:right="0" w:hanging="523"/>
        <w:jc w:val="both"/>
      </w:pPr>
      <w:r>
        <w:rPr/>
        <w:t>Administraciones</w:t>
      </w:r>
      <w:r>
        <w:rPr>
          <w:spacing w:val="27"/>
        </w:rPr>
        <w:t> </w:t>
      </w:r>
      <w:r>
        <w:rPr/>
        <w:t>postales</w:t>
      </w:r>
    </w:p>
    <w:p>
      <w:pPr>
        <w:pStyle w:val="BodyText"/>
        <w:spacing w:before="2"/>
        <w:rPr>
          <w:b/>
          <w:sz w:val="29"/>
        </w:rPr>
      </w:pPr>
    </w:p>
    <w:p>
      <w:pPr>
        <w:pStyle w:val="BodyText"/>
        <w:spacing w:line="364" w:lineRule="auto"/>
        <w:ind w:left="115" w:right="105"/>
        <w:jc w:val="both"/>
      </w:pPr>
      <w:r>
        <w:rPr/>
        <w:t>Dinero seguro, es un  sistema postal estadounidense que mediante un acuerdo  que se maneja con el banco Bancomer, tiene la finalidad de que los migrantes, envíen sus fondos monetarios a sus familiares, amigos o a quien ellos deseen, en cuestión de minutos. En México, existe inseguridad ya que los sistemas postales tienden a ser no funcionales, pues hay robos a las oficinas  postales,  especialmente en áreas rurales así mismo éstas carecen muchas veces  de  liquidez y en ocasiones rechazan a los receptores por no tener fondos a </w:t>
      </w:r>
      <w:r>
        <w:rPr>
          <w:spacing w:val="23"/>
        </w:rPr>
        <w:t> </w:t>
      </w:r>
      <w:r>
        <w:rPr/>
        <w:t>mano.</w:t>
      </w:r>
    </w:p>
    <w:p>
      <w:pPr>
        <w:pStyle w:val="BodyText"/>
        <w:rPr>
          <w:sz w:val="22"/>
        </w:rPr>
      </w:pPr>
    </w:p>
    <w:p>
      <w:pPr>
        <w:pStyle w:val="BodyText"/>
        <w:rPr>
          <w:sz w:val="22"/>
        </w:rPr>
      </w:pPr>
    </w:p>
    <w:p>
      <w:pPr>
        <w:pStyle w:val="BodyText"/>
        <w:spacing w:before="10"/>
        <w:rPr>
          <w:sz w:val="24"/>
        </w:rPr>
      </w:pPr>
    </w:p>
    <w:p>
      <w:pPr>
        <w:pStyle w:val="Heading4"/>
        <w:numPr>
          <w:ilvl w:val="1"/>
          <w:numId w:val="6"/>
        </w:numPr>
        <w:tabs>
          <w:tab w:pos="635" w:val="left" w:leader="none"/>
        </w:tabs>
        <w:spacing w:line="240" w:lineRule="auto" w:before="0" w:after="0"/>
        <w:ind w:left="634" w:right="0" w:hanging="518"/>
        <w:jc w:val="both"/>
      </w:pPr>
      <w:r>
        <w:rPr/>
        <w:t>Instituciones de micro finanzas e instituciones financieras </w:t>
      </w:r>
      <w:r>
        <w:rPr>
          <w:spacing w:val="24"/>
        </w:rPr>
        <w:t> </w:t>
      </w:r>
      <w:r>
        <w:rPr/>
        <w:t>rurales</w:t>
      </w:r>
    </w:p>
    <w:p>
      <w:pPr>
        <w:pStyle w:val="BodyText"/>
        <w:spacing w:before="2"/>
        <w:rPr>
          <w:b/>
          <w:sz w:val="29"/>
        </w:rPr>
      </w:pPr>
    </w:p>
    <w:p>
      <w:pPr>
        <w:pStyle w:val="BodyText"/>
        <w:spacing w:line="364" w:lineRule="auto"/>
        <w:ind w:left="115" w:right="102"/>
        <w:jc w:val="both"/>
      </w:pPr>
      <w:r>
        <w:rPr/>
        <w:t>En México “Micro finanzas” se refiere especialmente a un grupo relativamente pequeño de instituciones, la mayoría de ellas  Organizaciones  no  Gubernamentales (ONGs), que brindan crédito a micro empresas. Otros términos, como el “banco popular” o “finanza social” se refieren a una variedad más amplia  de instituciones de servicios financieros, como las cooperativas de ahorro  y  crédito, cajas populares y otras entidades basadas en la comunidad. Esta  colección de empresas se organiza bajo una  nueva  ley  de  instituciones financieras no</w:t>
      </w:r>
      <w:r>
        <w:rPr>
          <w:spacing w:val="24"/>
        </w:rPr>
        <w:t> </w:t>
      </w:r>
      <w:r>
        <w:rPr/>
        <w:t>bancarias.</w:t>
      </w:r>
    </w:p>
    <w:p>
      <w:pPr>
        <w:pStyle w:val="BodyText"/>
        <w:spacing w:line="364" w:lineRule="auto" w:before="197"/>
        <w:ind w:left="115" w:right="105"/>
        <w:jc w:val="both"/>
      </w:pPr>
      <w:r>
        <w:rPr/>
        <w:t>Los proveedores de micro finanzas a nivel minorista están organizados en la red  de profesionales </w:t>
      </w:r>
      <w:r>
        <w:rPr>
          <w:i/>
        </w:rPr>
        <w:t>Prodesarrollo </w:t>
      </w:r>
      <w:r>
        <w:rPr/>
        <w:t>y llegan a 350,000 personas. Aunque el grupo comprende 29 organizaciones, los observadores notan que sólo diez de  ellas tienen un potencial serio para hacerse financieramente sustentables. Sólo una de estas instituciones, </w:t>
      </w:r>
      <w:r>
        <w:rPr>
          <w:i/>
        </w:rPr>
        <w:t>Compartamos</w:t>
      </w:r>
      <w:r>
        <w:rPr/>
        <w:t>, se ha transformado en  una  institución  financiera</w:t>
      </w:r>
      <w:r>
        <w:rPr>
          <w:spacing w:val="27"/>
        </w:rPr>
        <w:t> </w:t>
      </w:r>
      <w:r>
        <w:rPr/>
        <w:t>regulada,</w:t>
      </w:r>
      <w:r>
        <w:rPr>
          <w:spacing w:val="30"/>
        </w:rPr>
        <w:t> </w:t>
      </w:r>
      <w:r>
        <w:rPr/>
        <w:t>mientras</w:t>
      </w:r>
      <w:r>
        <w:rPr>
          <w:spacing w:val="26"/>
        </w:rPr>
        <w:t> </w:t>
      </w:r>
      <w:r>
        <w:rPr/>
        <w:t>que</w:t>
      </w:r>
      <w:r>
        <w:rPr>
          <w:spacing w:val="27"/>
        </w:rPr>
        <w:t> </w:t>
      </w:r>
      <w:r>
        <w:rPr/>
        <w:t>las</w:t>
      </w:r>
      <w:r>
        <w:rPr>
          <w:spacing w:val="28"/>
        </w:rPr>
        <w:t> </w:t>
      </w:r>
      <w:r>
        <w:rPr/>
        <w:t>otras</w:t>
      </w:r>
      <w:r>
        <w:rPr>
          <w:spacing w:val="31"/>
        </w:rPr>
        <w:t> </w:t>
      </w:r>
      <w:r>
        <w:rPr/>
        <w:t>permanecen</w:t>
      </w:r>
      <w:r>
        <w:rPr>
          <w:spacing w:val="30"/>
        </w:rPr>
        <w:t> </w:t>
      </w:r>
      <w:r>
        <w:rPr/>
        <w:t>desreguladas.</w:t>
      </w:r>
      <w:r>
        <w:rPr>
          <w:spacing w:val="27"/>
        </w:rPr>
        <w:t> </w:t>
      </w:r>
      <w:r>
        <w:rPr/>
        <w:t>Los</w:t>
      </w:r>
      <w:r>
        <w:rPr>
          <w:spacing w:val="28"/>
        </w:rPr>
        <w:t> </w:t>
      </w:r>
      <w:r>
        <w:rPr/>
        <w:t>micro</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4"/>
        <w:jc w:val="both"/>
      </w:pPr>
      <w:r>
        <w:rPr/>
        <w:t>bancos son instituciones formales y orientadas a las ganancias que utilizan tecnología de micro finanzas (Zeller y Manfred, 2003). Los micro bancos intentan brindar servicios financieros a poblaciones rurales, apuntando específicamente a comunidades que se han visto tradicionalmente privadas de ellos debido  a  la lejanía geográfica de los centros financieros de primera línea. Uno de los objetivos principales es usar las remesas como medio de crear acceso a servicios financieros, por ejemplo Asociación Mexicana de Uniones de Crédito del Sector Social (AMUCSS) ha establecido una red de tres micro bancos en Oaxaca, en la municipalidad de San Juan Mixtepec, donde tiene 168 socios (clientes) y $1.7 millones de ahorros. A través de este micro banco, los socios pueden recibir remesas, ahorrar e invertirlas eficientemente en una manera que beneficie a sus propias comunidades. Algunas de estas remesas son invertidas en proyectos comunitarios con la pavimentación de caminos y a la construcción de auditorios (Hernández, 2004).</w:t>
      </w:r>
    </w:p>
    <w:p>
      <w:pPr>
        <w:pStyle w:val="BodyText"/>
        <w:rPr>
          <w:sz w:val="22"/>
        </w:rPr>
      </w:pPr>
    </w:p>
    <w:p>
      <w:pPr>
        <w:pStyle w:val="BodyText"/>
        <w:rPr>
          <w:sz w:val="22"/>
        </w:rPr>
      </w:pPr>
    </w:p>
    <w:p>
      <w:pPr>
        <w:pStyle w:val="BodyText"/>
        <w:spacing w:before="10"/>
        <w:rPr>
          <w:sz w:val="24"/>
        </w:rPr>
      </w:pPr>
    </w:p>
    <w:p>
      <w:pPr>
        <w:pStyle w:val="Heading4"/>
        <w:numPr>
          <w:ilvl w:val="1"/>
          <w:numId w:val="6"/>
        </w:numPr>
        <w:tabs>
          <w:tab w:pos="635" w:val="left" w:leader="none"/>
        </w:tabs>
        <w:spacing w:line="240" w:lineRule="auto" w:before="0" w:after="0"/>
        <w:ind w:left="634" w:right="0" w:hanging="518"/>
        <w:jc w:val="both"/>
      </w:pPr>
      <w:r>
        <w:rPr/>
        <w:t>Sistemas de transferencias informales de</w:t>
      </w:r>
      <w:r>
        <w:rPr>
          <w:spacing w:val="63"/>
        </w:rPr>
        <w:t> </w:t>
      </w:r>
      <w:r>
        <w:rPr/>
        <w:t>fondos</w:t>
      </w:r>
    </w:p>
    <w:p>
      <w:pPr>
        <w:pStyle w:val="BodyText"/>
        <w:spacing w:before="8"/>
        <w:rPr>
          <w:b/>
          <w:sz w:val="32"/>
        </w:rPr>
      </w:pPr>
    </w:p>
    <w:p>
      <w:pPr>
        <w:pStyle w:val="BodyText"/>
        <w:spacing w:line="364" w:lineRule="auto"/>
        <w:ind w:left="115" w:right="105"/>
        <w:jc w:val="both"/>
      </w:pPr>
      <w:r>
        <w:rPr/>
        <w:t>Este tipo de sistemas tienden a operar mediante los incentivos que ofrece el mercado de (oferta y demanda) compitiendo en velocidad, costos, confianza por parte de los actores, así como de su conveniencia. ,Cuando México experimentó  su crisis financiera a mediados de la década de 1990, los sistemas  TIF  aumentaron su popularidad al ofrecer remesas en dólares  estadounidenses,  según Hernández menciona que son activos en regiones rurales aisladas, donde  los grandes bancos y OTDs no están establecidos, y alrededor de pueblos de frontera estadounidenses donde el cruce la misma es algo común. (Hernández, 2004).</w:t>
      </w:r>
    </w:p>
    <w:p>
      <w:pPr>
        <w:pStyle w:val="BodyText"/>
        <w:spacing w:before="7"/>
        <w:rPr>
          <w:sz w:val="20"/>
        </w:rPr>
      </w:pPr>
    </w:p>
    <w:p>
      <w:pPr>
        <w:pStyle w:val="Heading4"/>
        <w:numPr>
          <w:ilvl w:val="1"/>
          <w:numId w:val="6"/>
        </w:numPr>
        <w:tabs>
          <w:tab w:pos="635" w:val="left" w:leader="none"/>
        </w:tabs>
        <w:spacing w:line="240" w:lineRule="auto" w:before="1" w:after="0"/>
        <w:ind w:left="634" w:right="0" w:hanging="518"/>
        <w:jc w:val="both"/>
      </w:pPr>
      <w:r>
        <w:rPr/>
        <w:t>Servicios de entrega de mano/</w:t>
      </w:r>
      <w:r>
        <w:rPr>
          <w:spacing w:val="55"/>
        </w:rPr>
        <w:t> </w:t>
      </w:r>
      <w:r>
        <w:rPr/>
        <w:t>Mensajería</w:t>
      </w:r>
    </w:p>
    <w:p>
      <w:pPr>
        <w:pStyle w:val="BodyText"/>
        <w:spacing w:before="11"/>
        <w:rPr>
          <w:b/>
          <w:sz w:val="28"/>
        </w:rPr>
      </w:pPr>
    </w:p>
    <w:p>
      <w:pPr>
        <w:pStyle w:val="BodyText"/>
        <w:spacing w:line="364" w:lineRule="auto"/>
        <w:ind w:left="115" w:right="106"/>
        <w:jc w:val="both"/>
      </w:pPr>
      <w:r>
        <w:rPr/>
        <w:t>Esta es una forma de pasar dinero fácilmente, pues por medio de mensajeros envían el dinero, esto es mediante una ley aduanera que maneja  límites  de  dinero,  por  ejemplo:  el  migrante  que  se  encuentra  en  Texas,    quiere</w:t>
      </w:r>
      <w:r>
        <w:rPr>
          <w:spacing w:val="55"/>
        </w:rPr>
        <w:t> </w:t>
      </w:r>
      <w:r>
        <w:rPr/>
        <w:t>mandar</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dinero a su mamá que reside en Ciudad Juárez, el monto no debe ser mayor a US$10,000, así que solicita a un mensajero qué pase este dinero a la dirección  que el remitente solicito y, ellos lo hacen llegar, como funcionan tradicionalmente  los carteros, este tipo de transacción informal, se realiza en su mayoría  en  frontera.</w:t>
      </w:r>
    </w:p>
    <w:p>
      <w:pPr>
        <w:pStyle w:val="BodyText"/>
        <w:spacing w:before="4"/>
        <w:rPr>
          <w:sz w:val="17"/>
        </w:rPr>
      </w:pPr>
    </w:p>
    <w:p>
      <w:pPr>
        <w:pStyle w:val="Heading4"/>
        <w:ind w:left="115"/>
        <w:jc w:val="both"/>
      </w:pPr>
      <w:r>
        <w:rPr/>
        <w:t>Sistema Hawala</w:t>
      </w:r>
    </w:p>
    <w:p>
      <w:pPr>
        <w:pStyle w:val="BodyText"/>
        <w:spacing w:before="2"/>
        <w:rPr>
          <w:b/>
          <w:sz w:val="29"/>
        </w:rPr>
      </w:pPr>
    </w:p>
    <w:p>
      <w:pPr>
        <w:pStyle w:val="BodyText"/>
        <w:spacing w:line="364" w:lineRule="auto"/>
        <w:ind w:left="115" w:right="106"/>
        <w:jc w:val="both"/>
      </w:pPr>
      <w:r>
        <w:rPr/>
        <w:t>Este sistema trabaja mediante paqueterías mexicanas, aunque no  es  muy  utilizada por los innumerables robos que se sufre en esta clase de </w:t>
      </w:r>
      <w:r>
        <w:rPr>
          <w:spacing w:val="21"/>
        </w:rPr>
        <w:t> </w:t>
      </w:r>
      <w:r>
        <w:rPr/>
        <w:t>agencias.</w:t>
      </w:r>
    </w:p>
    <w:p>
      <w:pPr>
        <w:pStyle w:val="BodyText"/>
        <w:rPr>
          <w:sz w:val="22"/>
        </w:rPr>
      </w:pPr>
    </w:p>
    <w:p>
      <w:pPr>
        <w:pStyle w:val="BodyText"/>
        <w:rPr>
          <w:sz w:val="22"/>
        </w:rPr>
      </w:pPr>
    </w:p>
    <w:p>
      <w:pPr>
        <w:pStyle w:val="BodyText"/>
        <w:spacing w:before="3"/>
        <w:rPr>
          <w:sz w:val="25"/>
        </w:rPr>
      </w:pPr>
    </w:p>
    <w:p>
      <w:pPr>
        <w:pStyle w:val="Heading4"/>
        <w:ind w:left="115"/>
        <w:jc w:val="both"/>
      </w:pPr>
      <w:r>
        <w:rPr/>
        <w:t>Proceso de Transferencia</w:t>
      </w:r>
    </w:p>
    <w:p>
      <w:pPr>
        <w:pStyle w:val="BodyText"/>
        <w:spacing w:before="2"/>
        <w:rPr>
          <w:b/>
          <w:sz w:val="29"/>
        </w:rPr>
      </w:pPr>
    </w:p>
    <w:p>
      <w:pPr>
        <w:pStyle w:val="BodyText"/>
        <w:spacing w:line="364" w:lineRule="auto"/>
        <w:ind w:left="115" w:right="104"/>
        <w:jc w:val="both"/>
      </w:pPr>
      <w:r>
        <w:rPr/>
        <w:t>Se ha observado los diferentes medios por los cuales se envían las remesas por parte de los migrantes, el proceso que se describe a continuación es el de las transferencias, este se divide en tres etapas: La primera milla, intermediario y  última</w:t>
      </w:r>
      <w:r>
        <w:rPr>
          <w:spacing w:val="13"/>
        </w:rPr>
        <w:t> </w:t>
      </w:r>
      <w:r>
        <w:rPr/>
        <w:t>milla.</w:t>
      </w:r>
    </w:p>
    <w:p>
      <w:pPr>
        <w:pStyle w:val="BodyText"/>
        <w:rPr>
          <w:sz w:val="22"/>
        </w:rPr>
      </w:pPr>
    </w:p>
    <w:p>
      <w:pPr>
        <w:pStyle w:val="BodyText"/>
        <w:rPr>
          <w:sz w:val="22"/>
        </w:rPr>
      </w:pPr>
    </w:p>
    <w:p>
      <w:pPr>
        <w:pStyle w:val="BodyText"/>
        <w:spacing w:before="1"/>
        <w:rPr>
          <w:sz w:val="25"/>
        </w:rPr>
      </w:pPr>
    </w:p>
    <w:p>
      <w:pPr>
        <w:pStyle w:val="Heading4"/>
        <w:ind w:left="115"/>
        <w:jc w:val="both"/>
      </w:pPr>
      <w:r>
        <w:rPr/>
        <w:t>Primera milla</w:t>
      </w:r>
    </w:p>
    <w:p>
      <w:pPr>
        <w:pStyle w:val="BodyText"/>
        <w:spacing w:before="2"/>
        <w:rPr>
          <w:b/>
          <w:sz w:val="29"/>
        </w:rPr>
      </w:pPr>
    </w:p>
    <w:p>
      <w:pPr>
        <w:pStyle w:val="BodyText"/>
        <w:spacing w:line="364" w:lineRule="auto"/>
        <w:ind w:left="115" w:right="103"/>
        <w:jc w:val="both"/>
      </w:pPr>
      <w:r>
        <w:rPr/>
        <w:t>Esta es una cadena en la cual intervienen tres actores, el remitente, el  intermediario y el receptor. El remitente es el único que decidirá porque medio   hará la transferencia, según su conveniencia (instituciones bancarias, familiares, amigos, paquetería, etcétera), el intermediario es el  que se encarga de recaudar  los fondos del remitente para posteriormente transferirlos al receptor, esté último provee de información al remitente  acerca de los canales disponibles por los  cuales puede recibir la transferencia. El remitente lo definiremos como la persona que envía un valor, letra de cambio, dinero y que en este caso se encuentra radicando en los Estados Unidos, a otra persona que espera  recibir  el  valor, dinero o letra de cambio que radica en la República</w:t>
      </w:r>
      <w:r>
        <w:rPr>
          <w:spacing w:val="62"/>
        </w:rPr>
        <w:t> </w:t>
      </w:r>
      <w:r>
        <w:rPr/>
        <w:t>Mexicana.</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5"/>
        <w:rPr>
          <w:sz w:val="16"/>
        </w:rPr>
      </w:pPr>
    </w:p>
    <w:p>
      <w:pPr>
        <w:pStyle w:val="Heading4"/>
        <w:spacing w:before="74"/>
        <w:ind w:left="115"/>
        <w:jc w:val="both"/>
      </w:pPr>
      <w:r>
        <w:rPr/>
        <w:t>Intermediario</w:t>
      </w:r>
    </w:p>
    <w:p>
      <w:pPr>
        <w:pStyle w:val="BodyText"/>
        <w:spacing w:before="2"/>
        <w:rPr>
          <w:b/>
          <w:sz w:val="29"/>
        </w:rPr>
      </w:pPr>
    </w:p>
    <w:p>
      <w:pPr>
        <w:pStyle w:val="BodyText"/>
        <w:spacing w:line="364" w:lineRule="auto"/>
        <w:ind w:left="115" w:right="104"/>
        <w:jc w:val="both"/>
      </w:pPr>
      <w:r>
        <w:rPr/>
        <w:t>Incluye servicios de operaciones comerciales y transferencias de dinero, cuyo principal objetivo son las ganancias; de aquí destacan características tales como: competencia en aumento, avances tecnológicos, innovación en servicios y productos. Cuando se habla de competencia, en este caso, se refiere a que anteriormente el mercado se veía dominado prácticamente por dos agentes Western Union y MoneyGram, por lo que comenzó a diversificarse la competencia  y se creó el mercado que funciona en la actualidad con muchos competidores de transferencias de</w:t>
      </w:r>
      <w:r>
        <w:rPr>
          <w:spacing w:val="29"/>
        </w:rPr>
        <w:t> </w:t>
      </w:r>
      <w:r>
        <w:rPr/>
        <w:t>remesas.</w:t>
      </w:r>
    </w:p>
    <w:p>
      <w:pPr>
        <w:pStyle w:val="BodyText"/>
        <w:rPr>
          <w:sz w:val="22"/>
        </w:rPr>
      </w:pPr>
    </w:p>
    <w:p>
      <w:pPr>
        <w:pStyle w:val="BodyText"/>
        <w:spacing w:line="364" w:lineRule="auto" w:before="155"/>
        <w:ind w:left="115" w:right="104"/>
        <w:jc w:val="both"/>
      </w:pPr>
      <w:r>
        <w:rPr/>
        <w:t>Inicialmente, los bancos se asociaban típicamente con las OTDs, generalmente Western Union, bajo contratos exclusivos que permitían a Western Union conducir la mayoría de las transferencias de remesas utilizando bancos mexicanos como puntos de distribución. Este tipo de acuerdo creaba un monopolio virtual sobre las transferencias en todo el sistema formal. Una vez que los primeros bancos comenzaron a alejarse de estas restricciones contractuales, los bancos  se  tornaron independientemente competitivos en el mercado. La nueva competencia proveniente de los bancos ha traído aparejada una baja de precios, mayor  celeridad de servicio, y transacciones más confiables (Hernández, </w:t>
      </w:r>
      <w:r>
        <w:rPr>
          <w:spacing w:val="14"/>
        </w:rPr>
        <w:t> </w:t>
      </w:r>
      <w:r>
        <w:rPr/>
        <w:t>2004).</w:t>
      </w:r>
    </w:p>
    <w:p>
      <w:pPr>
        <w:pStyle w:val="BodyText"/>
        <w:rPr>
          <w:sz w:val="22"/>
        </w:rPr>
      </w:pPr>
    </w:p>
    <w:p>
      <w:pPr>
        <w:pStyle w:val="BodyText"/>
        <w:spacing w:line="364" w:lineRule="auto" w:before="155"/>
        <w:ind w:left="115" w:right="105"/>
        <w:jc w:val="both"/>
      </w:pPr>
      <w:r>
        <w:rPr/>
        <w:t>Los bancos para poder obtener mayores ganancias requieren de redes más  amplias con sucursales bancarias más extensas, de la misma manera obtendrán mayor ventaja sobre sus competidores. El Servicio Internacional FedACH México, es un ejemplo de tecnología implementado al mercado de transferencias entre Estados Unidos y México. FedACH funciona como cámara de compensación y es operada por medio de la Reserva Federal y Banco de México. Otro avance tecnológico es el manejo de tarjetas utilizadas en los cajeros automáticos, en el  cual el remitente deposita cierta cantidad de efectivo y el receptor puede recogerlo de inmediato, aunque estos también tienen sus restricciones, pues los malos caminos, los problemas de seguridad, y economías locales pobres limitan que los cajeros puedan crecer, sobre todo en las áreas </w:t>
      </w:r>
      <w:r>
        <w:rPr>
          <w:spacing w:val="1"/>
        </w:rPr>
        <w:t> </w:t>
      </w:r>
      <w:r>
        <w:rPr/>
        <w:t>rurales.</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Los proyectos de micro finanzas o microbancos, tales como la Asociación  Mexicana de Uniones de Crédito del Sector Social (AMUCSS), contribuyen a que  el dinero fluya a las áreas rurales donde generalmente los sistemas financieros formales no están disponibles (Hernández,</w:t>
      </w:r>
      <w:r>
        <w:rPr>
          <w:spacing w:val="53"/>
        </w:rPr>
        <w:t> </w:t>
      </w:r>
      <w:r>
        <w:rPr/>
        <w:t>2004).</w:t>
      </w:r>
    </w:p>
    <w:p>
      <w:pPr>
        <w:pStyle w:val="BodyText"/>
        <w:rPr>
          <w:sz w:val="22"/>
        </w:rPr>
      </w:pPr>
    </w:p>
    <w:p>
      <w:pPr>
        <w:pStyle w:val="Heading4"/>
        <w:spacing w:before="153"/>
        <w:ind w:left="115"/>
        <w:jc w:val="both"/>
      </w:pPr>
      <w:r>
        <w:rPr/>
        <w:t>Última milla</w:t>
      </w:r>
    </w:p>
    <w:p>
      <w:pPr>
        <w:pStyle w:val="BodyText"/>
        <w:spacing w:before="2"/>
        <w:rPr>
          <w:b/>
          <w:sz w:val="29"/>
        </w:rPr>
      </w:pPr>
    </w:p>
    <w:p>
      <w:pPr>
        <w:pStyle w:val="BodyText"/>
        <w:spacing w:line="364" w:lineRule="auto"/>
        <w:ind w:left="115" w:right="107"/>
        <w:jc w:val="both"/>
      </w:pPr>
      <w:r>
        <w:rPr/>
        <w:t>Se refiere a el momento de elección por el que atraviesa el remitente para poder elegir el sistema de transferencia, éste, considera factores como la confiabilidad, costos y alternativas de los competidores</w:t>
      </w:r>
    </w:p>
    <w:p>
      <w:pPr>
        <w:pStyle w:val="BodyText"/>
        <w:rPr>
          <w:sz w:val="22"/>
        </w:rPr>
      </w:pPr>
    </w:p>
    <w:p>
      <w:pPr>
        <w:pStyle w:val="BodyText"/>
        <w:rPr>
          <w:sz w:val="22"/>
        </w:rPr>
      </w:pPr>
    </w:p>
    <w:p>
      <w:pPr>
        <w:pStyle w:val="BodyText"/>
        <w:spacing w:before="10"/>
        <w:rPr>
          <w:sz w:val="24"/>
        </w:rPr>
      </w:pPr>
    </w:p>
    <w:p>
      <w:pPr>
        <w:pStyle w:val="Heading4"/>
        <w:ind w:left="115"/>
        <w:jc w:val="both"/>
      </w:pPr>
      <w:r>
        <w:rPr/>
        <w:t>Ingresos por concepto de remesas en</w:t>
      </w:r>
      <w:r>
        <w:rPr>
          <w:spacing w:val="56"/>
        </w:rPr>
        <w:t> </w:t>
      </w:r>
      <w:r>
        <w:rPr/>
        <w:t>México</w:t>
      </w:r>
    </w:p>
    <w:p>
      <w:pPr>
        <w:pStyle w:val="BodyText"/>
        <w:spacing w:before="2"/>
        <w:rPr>
          <w:b/>
          <w:sz w:val="29"/>
        </w:rPr>
      </w:pPr>
    </w:p>
    <w:p>
      <w:pPr>
        <w:pStyle w:val="BodyText"/>
        <w:spacing w:line="364" w:lineRule="auto"/>
        <w:ind w:left="115" w:right="105"/>
        <w:jc w:val="both"/>
      </w:pPr>
      <w:r>
        <w:rPr/>
        <w:t>Aún con los atentados del 11 de septiembre del 2002, las fluctuaciones de la demanda de mano de obra, por los periodos de recesión por los que ha pasado Estados Unidos e incluso el reforzamiento de las medidas fronterizas para evitar    el tránsito de ilegales, como el llamado muro de la vergüenza, nuestros migrantes cruzan la frontera, con el propósito de obtener un salario bien remunerado. La importancia de las remesas para la economía de México es de gran trascendencia económica, política y social (véase cuadro</w:t>
      </w:r>
      <w:r>
        <w:rPr>
          <w:spacing w:val="50"/>
        </w:rPr>
        <w:t> </w:t>
      </w:r>
      <w:r>
        <w:rPr/>
        <w:t>3).</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5"/>
        <w:rPr>
          <w:sz w:val="16"/>
        </w:rPr>
      </w:pPr>
    </w:p>
    <w:p>
      <w:pPr>
        <w:pStyle w:val="Heading4"/>
        <w:spacing w:before="74"/>
        <w:ind w:left="1075" w:right="223"/>
      </w:pPr>
      <w:r>
        <w:rPr/>
        <w:t>Cuadro 3. Remesas Familiares enviadas a México,  1990-2005</w:t>
      </w:r>
    </w:p>
    <w:p>
      <w:pPr>
        <w:pStyle w:val="BodyText"/>
        <w:rPr>
          <w:b/>
          <w:sz w:val="21"/>
        </w:rPr>
      </w:pPr>
    </w:p>
    <w:tbl>
      <w:tblPr>
        <w:tblW w:w="0" w:type="auto"/>
        <w:jc w:val="left"/>
        <w:tblInd w:w="10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738"/>
        <w:gridCol w:w="1738"/>
        <w:gridCol w:w="1738"/>
        <w:gridCol w:w="1739"/>
        <w:gridCol w:w="1739"/>
      </w:tblGrid>
      <w:tr>
        <w:trPr>
          <w:trHeight w:val="901" w:hRule="exact"/>
        </w:trPr>
        <w:tc>
          <w:tcPr>
            <w:tcW w:w="1738" w:type="dxa"/>
            <w:tcBorders>
              <w:left w:val="single" w:sz="4" w:space="0" w:color="000000"/>
              <w:bottom w:val="single" w:sz="4" w:space="0" w:color="000000"/>
              <w:right w:val="single" w:sz="4" w:space="0" w:color="000000"/>
            </w:tcBorders>
          </w:tcPr>
          <w:p>
            <w:pPr>
              <w:pStyle w:val="TableParagraph"/>
              <w:spacing w:before="0"/>
              <w:jc w:val="left"/>
              <w:rPr>
                <w:b/>
                <w:sz w:val="16"/>
              </w:rPr>
            </w:pPr>
          </w:p>
          <w:p>
            <w:pPr>
              <w:pStyle w:val="TableParagraph"/>
              <w:spacing w:before="0"/>
              <w:jc w:val="left"/>
              <w:rPr>
                <w:b/>
                <w:sz w:val="16"/>
              </w:rPr>
            </w:pPr>
          </w:p>
          <w:p>
            <w:pPr>
              <w:pStyle w:val="TableParagraph"/>
              <w:spacing w:before="132"/>
              <w:ind w:left="724"/>
              <w:jc w:val="left"/>
              <w:rPr>
                <w:sz w:val="15"/>
              </w:rPr>
            </w:pPr>
            <w:r>
              <w:rPr>
                <w:w w:val="105"/>
                <w:sz w:val="15"/>
              </w:rPr>
              <w:t>Año</w:t>
            </w:r>
          </w:p>
        </w:tc>
        <w:tc>
          <w:tcPr>
            <w:tcW w:w="1738" w:type="dxa"/>
            <w:tcBorders>
              <w:left w:val="single" w:sz="4" w:space="0" w:color="000000"/>
              <w:bottom w:val="single" w:sz="4" w:space="0" w:color="000000"/>
              <w:right w:val="single" w:sz="4" w:space="0" w:color="000000"/>
            </w:tcBorders>
          </w:tcPr>
          <w:p>
            <w:pPr>
              <w:pStyle w:val="TableParagraph"/>
              <w:spacing w:before="0"/>
              <w:jc w:val="left"/>
              <w:rPr>
                <w:b/>
                <w:sz w:val="16"/>
              </w:rPr>
            </w:pPr>
          </w:p>
          <w:p>
            <w:pPr>
              <w:pStyle w:val="TableParagraph"/>
              <w:spacing w:line="288" w:lineRule="auto" w:before="109"/>
              <w:ind w:left="218" w:firstLine="112"/>
              <w:jc w:val="left"/>
              <w:rPr>
                <w:sz w:val="15"/>
              </w:rPr>
            </w:pPr>
            <w:r>
              <w:rPr>
                <w:w w:val="105"/>
                <w:sz w:val="15"/>
              </w:rPr>
              <w:t>Tipo de cambio paridad peso dólar</w:t>
            </w:r>
          </w:p>
        </w:tc>
        <w:tc>
          <w:tcPr>
            <w:tcW w:w="1738" w:type="dxa"/>
            <w:tcBorders>
              <w:left w:val="single" w:sz="4" w:space="0" w:color="000000"/>
              <w:bottom w:val="single" w:sz="4" w:space="0" w:color="000000"/>
              <w:right w:val="single" w:sz="4" w:space="0" w:color="000000"/>
            </w:tcBorders>
          </w:tcPr>
          <w:p>
            <w:pPr>
              <w:pStyle w:val="TableParagraph"/>
              <w:spacing w:before="0"/>
              <w:jc w:val="left"/>
              <w:rPr>
                <w:b/>
                <w:sz w:val="16"/>
              </w:rPr>
            </w:pPr>
          </w:p>
          <w:p>
            <w:pPr>
              <w:pStyle w:val="TableParagraph"/>
              <w:tabs>
                <w:tab w:pos="986" w:val="left" w:leader="none"/>
              </w:tabs>
              <w:spacing w:line="288" w:lineRule="auto" w:before="109"/>
              <w:ind w:left="475" w:right="114" w:hanging="360"/>
              <w:jc w:val="left"/>
              <w:rPr>
                <w:sz w:val="15"/>
              </w:rPr>
            </w:pPr>
            <w:r>
              <w:rPr>
                <w:w w:val="105"/>
                <w:sz w:val="15"/>
              </w:rPr>
              <w:t>Remesas</w:t>
              <w:tab/>
            </w:r>
            <w:r>
              <w:rPr>
                <w:spacing w:val="-1"/>
                <w:w w:val="105"/>
                <w:sz w:val="15"/>
              </w:rPr>
              <w:t>(millones </w:t>
            </w:r>
            <w:r>
              <w:rPr>
                <w:w w:val="105"/>
                <w:sz w:val="15"/>
              </w:rPr>
              <w:t>de</w:t>
            </w:r>
            <w:r>
              <w:rPr>
                <w:spacing w:val="-14"/>
                <w:w w:val="105"/>
                <w:sz w:val="15"/>
              </w:rPr>
              <w:t> </w:t>
            </w:r>
            <w:r>
              <w:rPr>
                <w:w w:val="105"/>
                <w:sz w:val="15"/>
              </w:rPr>
              <w:t>dólares)</w:t>
            </w:r>
          </w:p>
        </w:tc>
        <w:tc>
          <w:tcPr>
            <w:tcW w:w="1739" w:type="dxa"/>
            <w:tcBorders>
              <w:left w:val="single" w:sz="4" w:space="0" w:color="000000"/>
              <w:bottom w:val="single" w:sz="4" w:space="0" w:color="000000"/>
            </w:tcBorders>
          </w:tcPr>
          <w:p>
            <w:pPr>
              <w:pStyle w:val="TableParagraph"/>
              <w:spacing w:before="0"/>
              <w:jc w:val="left"/>
              <w:rPr>
                <w:b/>
                <w:sz w:val="16"/>
              </w:rPr>
            </w:pPr>
          </w:p>
          <w:p>
            <w:pPr>
              <w:pStyle w:val="TableParagraph"/>
              <w:spacing w:line="288" w:lineRule="auto" w:before="109"/>
              <w:ind w:left="631" w:hanging="538"/>
              <w:jc w:val="left"/>
              <w:rPr>
                <w:sz w:val="15"/>
              </w:rPr>
            </w:pPr>
            <w:r>
              <w:rPr>
                <w:w w:val="105"/>
                <w:sz w:val="15"/>
              </w:rPr>
              <w:t>Remesas (millones de pesos)</w:t>
            </w:r>
          </w:p>
        </w:tc>
        <w:tc>
          <w:tcPr>
            <w:tcW w:w="1739" w:type="dxa"/>
            <w:tcBorders>
              <w:bottom w:val="single" w:sz="4" w:space="0" w:color="000000"/>
              <w:right w:val="single" w:sz="4" w:space="0" w:color="000000"/>
            </w:tcBorders>
          </w:tcPr>
          <w:p>
            <w:pPr>
              <w:pStyle w:val="TableParagraph"/>
              <w:spacing w:line="288" w:lineRule="auto" w:before="87"/>
              <w:ind w:left="141" w:right="136"/>
              <w:jc w:val="center"/>
              <w:rPr>
                <w:sz w:val="15"/>
              </w:rPr>
            </w:pPr>
            <w:r>
              <w:rPr>
                <w:w w:val="105"/>
                <w:sz w:val="15"/>
              </w:rPr>
              <w:t>Tasa de crecimiento anual (%)</w:t>
            </w:r>
          </w:p>
          <w:p>
            <w:pPr>
              <w:pStyle w:val="TableParagraph"/>
              <w:spacing w:before="0"/>
              <w:ind w:left="136" w:right="136"/>
              <w:jc w:val="center"/>
              <w:rPr>
                <w:sz w:val="15"/>
              </w:rPr>
            </w:pPr>
            <w:r>
              <w:rPr>
                <w:w w:val="105"/>
                <w:sz w:val="15"/>
              </w:rPr>
              <w:t>((vf-vi)/vi)*100</w:t>
            </w:r>
          </w:p>
        </w:tc>
      </w:tr>
      <w:tr>
        <w:trPr>
          <w:trHeight w:val="412" w:hRule="exact"/>
        </w:trPr>
        <w:tc>
          <w:tcPr>
            <w:tcW w:w="1738" w:type="dxa"/>
            <w:tcBorders>
              <w:top w:val="single" w:sz="4" w:space="0" w:color="000000"/>
              <w:left w:val="single" w:sz="4" w:space="0" w:color="000000"/>
              <w:right w:val="single" w:sz="4" w:space="0" w:color="000000"/>
            </w:tcBorders>
          </w:tcPr>
          <w:p>
            <w:pPr>
              <w:pStyle w:val="TableParagraph"/>
              <w:spacing w:before="5"/>
              <w:ind w:left="688"/>
              <w:jc w:val="left"/>
              <w:rPr>
                <w:sz w:val="15"/>
              </w:rPr>
            </w:pPr>
            <w:r>
              <w:rPr>
                <w:w w:val="105"/>
                <w:sz w:val="15"/>
              </w:rPr>
              <w:t>1980</w:t>
            </w:r>
          </w:p>
        </w:tc>
        <w:tc>
          <w:tcPr>
            <w:tcW w:w="1738" w:type="dxa"/>
            <w:tcBorders>
              <w:top w:val="single" w:sz="4" w:space="0" w:color="000000"/>
              <w:left w:val="single" w:sz="4" w:space="0" w:color="000000"/>
              <w:right w:val="single" w:sz="4" w:space="0" w:color="000000"/>
            </w:tcBorders>
          </w:tcPr>
          <w:p>
            <w:pPr>
              <w:pStyle w:val="TableParagraph"/>
              <w:spacing w:before="5"/>
              <w:ind w:right="62"/>
              <w:rPr>
                <w:sz w:val="15"/>
              </w:rPr>
            </w:pPr>
            <w:r>
              <w:rPr>
                <w:sz w:val="15"/>
              </w:rPr>
              <w:t>22.950</w:t>
            </w:r>
          </w:p>
        </w:tc>
        <w:tc>
          <w:tcPr>
            <w:tcW w:w="1738" w:type="dxa"/>
            <w:tcBorders>
              <w:top w:val="single" w:sz="4" w:space="0" w:color="000000"/>
              <w:left w:val="single" w:sz="4" w:space="0" w:color="000000"/>
              <w:right w:val="single" w:sz="4" w:space="0" w:color="000000"/>
            </w:tcBorders>
          </w:tcPr>
          <w:p>
            <w:pPr>
              <w:pStyle w:val="TableParagraph"/>
              <w:spacing w:before="5"/>
              <w:ind w:right="62"/>
              <w:rPr>
                <w:sz w:val="15"/>
              </w:rPr>
            </w:pPr>
            <w:r>
              <w:rPr>
                <w:sz w:val="15"/>
              </w:rPr>
              <w:t>698800000</w:t>
            </w:r>
          </w:p>
        </w:tc>
        <w:tc>
          <w:tcPr>
            <w:tcW w:w="1739" w:type="dxa"/>
            <w:tcBorders>
              <w:top w:val="single" w:sz="4" w:space="0" w:color="000000"/>
              <w:left w:val="single" w:sz="4" w:space="0" w:color="000000"/>
            </w:tcBorders>
          </w:tcPr>
          <w:p>
            <w:pPr>
              <w:pStyle w:val="TableParagraph"/>
              <w:spacing w:before="5"/>
              <w:ind w:right="64"/>
              <w:rPr>
                <w:sz w:val="15"/>
              </w:rPr>
            </w:pPr>
            <w:r>
              <w:rPr>
                <w:sz w:val="15"/>
              </w:rPr>
              <w:t>16037460000</w:t>
            </w:r>
          </w:p>
        </w:tc>
        <w:tc>
          <w:tcPr>
            <w:tcW w:w="1739" w:type="dxa"/>
            <w:tcBorders>
              <w:top w:val="single" w:sz="4" w:space="0" w:color="000000"/>
              <w:right w:val="single" w:sz="4" w:space="0" w:color="000000"/>
            </w:tcBorders>
          </w:tcPr>
          <w:p>
            <w:pPr>
              <w:pStyle w:val="TableParagraph"/>
              <w:spacing w:before="5"/>
              <w:ind w:right="342"/>
              <w:jc w:val="center"/>
              <w:rPr>
                <w:sz w:val="15"/>
              </w:rPr>
            </w:pPr>
            <w:r>
              <w:rPr>
                <w:w w:val="104"/>
                <w:sz w:val="15"/>
              </w:rPr>
              <w:t>-</w:t>
            </w:r>
          </w:p>
        </w:tc>
      </w:tr>
      <w:tr>
        <w:trPr>
          <w:trHeight w:val="412" w:hRule="exact"/>
        </w:trPr>
        <w:tc>
          <w:tcPr>
            <w:tcW w:w="1738" w:type="dxa"/>
            <w:tcBorders>
              <w:left w:val="single" w:sz="4" w:space="0" w:color="000000"/>
              <w:bottom w:val="single" w:sz="4" w:space="0" w:color="000000"/>
              <w:right w:val="single" w:sz="4" w:space="0" w:color="000000"/>
            </w:tcBorders>
          </w:tcPr>
          <w:p>
            <w:pPr>
              <w:pStyle w:val="TableParagraph"/>
              <w:spacing w:before="8"/>
              <w:ind w:left="688"/>
              <w:jc w:val="left"/>
              <w:rPr>
                <w:sz w:val="15"/>
              </w:rPr>
            </w:pPr>
            <w:r>
              <w:rPr>
                <w:w w:val="105"/>
                <w:sz w:val="15"/>
              </w:rPr>
              <w:t>1981</w:t>
            </w:r>
          </w:p>
        </w:tc>
        <w:tc>
          <w:tcPr>
            <w:tcW w:w="1738" w:type="dxa"/>
            <w:tcBorders>
              <w:left w:val="single" w:sz="4" w:space="0" w:color="000000"/>
              <w:bottom w:val="single" w:sz="4" w:space="0" w:color="000000"/>
              <w:right w:val="single" w:sz="4" w:space="0" w:color="000000"/>
            </w:tcBorders>
          </w:tcPr>
          <w:p>
            <w:pPr>
              <w:pStyle w:val="TableParagraph"/>
              <w:spacing w:before="8"/>
              <w:ind w:right="62"/>
              <w:rPr>
                <w:sz w:val="15"/>
              </w:rPr>
            </w:pPr>
            <w:r>
              <w:rPr>
                <w:sz w:val="15"/>
              </w:rPr>
              <w:t>24.510</w:t>
            </w:r>
          </w:p>
        </w:tc>
        <w:tc>
          <w:tcPr>
            <w:tcW w:w="1738" w:type="dxa"/>
            <w:tcBorders>
              <w:left w:val="single" w:sz="4" w:space="0" w:color="000000"/>
              <w:bottom w:val="single" w:sz="4" w:space="0" w:color="000000"/>
              <w:right w:val="single" w:sz="4" w:space="0" w:color="000000"/>
            </w:tcBorders>
          </w:tcPr>
          <w:p>
            <w:pPr>
              <w:pStyle w:val="TableParagraph"/>
              <w:spacing w:before="8"/>
              <w:ind w:right="62"/>
              <w:rPr>
                <w:sz w:val="15"/>
              </w:rPr>
            </w:pPr>
            <w:r>
              <w:rPr>
                <w:sz w:val="15"/>
              </w:rPr>
              <w:t>860500000</w:t>
            </w:r>
          </w:p>
        </w:tc>
        <w:tc>
          <w:tcPr>
            <w:tcW w:w="1739" w:type="dxa"/>
            <w:tcBorders>
              <w:left w:val="single" w:sz="4" w:space="0" w:color="000000"/>
              <w:bottom w:val="single" w:sz="4" w:space="0" w:color="000000"/>
            </w:tcBorders>
          </w:tcPr>
          <w:p>
            <w:pPr>
              <w:pStyle w:val="TableParagraph"/>
              <w:spacing w:before="8"/>
              <w:ind w:right="64"/>
              <w:rPr>
                <w:sz w:val="15"/>
              </w:rPr>
            </w:pPr>
            <w:r>
              <w:rPr>
                <w:sz w:val="15"/>
              </w:rPr>
              <w:t>21090855000</w:t>
            </w:r>
          </w:p>
        </w:tc>
        <w:tc>
          <w:tcPr>
            <w:tcW w:w="1739" w:type="dxa"/>
            <w:tcBorders>
              <w:bottom w:val="single" w:sz="4" w:space="0" w:color="000000"/>
              <w:right w:val="single" w:sz="4" w:space="0" w:color="000000"/>
            </w:tcBorders>
          </w:tcPr>
          <w:p>
            <w:pPr>
              <w:pStyle w:val="TableParagraph"/>
              <w:spacing w:before="8"/>
              <w:ind w:right="64"/>
              <w:rPr>
                <w:sz w:val="15"/>
              </w:rPr>
            </w:pPr>
            <w:r>
              <w:rPr>
                <w:w w:val="105"/>
                <w:sz w:val="15"/>
              </w:rPr>
              <w:t>23.139668</w:t>
            </w:r>
          </w:p>
        </w:tc>
      </w:tr>
      <w:tr>
        <w:trPr>
          <w:trHeight w:val="408" w:hRule="exact"/>
        </w:trPr>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left="688"/>
              <w:jc w:val="left"/>
              <w:rPr>
                <w:sz w:val="15"/>
              </w:rPr>
            </w:pPr>
            <w:r>
              <w:rPr>
                <w:w w:val="105"/>
                <w:sz w:val="15"/>
              </w:rPr>
              <w:t>1982</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5"/>
              </w:rPr>
            </w:pPr>
            <w:r>
              <w:rPr>
                <w:sz w:val="15"/>
              </w:rPr>
              <w:t>57.180</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5"/>
              </w:rPr>
            </w:pPr>
            <w:r>
              <w:rPr>
                <w:sz w:val="15"/>
              </w:rPr>
              <w:t>844800000</w:t>
            </w:r>
          </w:p>
        </w:tc>
        <w:tc>
          <w:tcPr>
            <w:tcW w:w="1739" w:type="dxa"/>
            <w:tcBorders>
              <w:top w:val="single" w:sz="4" w:space="0" w:color="000000"/>
              <w:left w:val="single" w:sz="4" w:space="0" w:color="000000"/>
              <w:bottom w:val="single" w:sz="4" w:space="0" w:color="000000"/>
            </w:tcBorders>
          </w:tcPr>
          <w:p>
            <w:pPr>
              <w:pStyle w:val="TableParagraph"/>
              <w:spacing w:before="5"/>
              <w:ind w:right="64"/>
              <w:rPr>
                <w:sz w:val="15"/>
              </w:rPr>
            </w:pPr>
            <w:r>
              <w:rPr>
                <w:sz w:val="15"/>
              </w:rPr>
              <w:t>48305664000</w:t>
            </w:r>
          </w:p>
        </w:tc>
        <w:tc>
          <w:tcPr>
            <w:tcW w:w="1739" w:type="dxa"/>
            <w:tcBorders>
              <w:top w:val="single" w:sz="4" w:space="0" w:color="000000"/>
              <w:bottom w:val="single" w:sz="4" w:space="0" w:color="000000"/>
              <w:right w:val="single" w:sz="4" w:space="0" w:color="000000"/>
            </w:tcBorders>
          </w:tcPr>
          <w:p>
            <w:pPr>
              <w:pStyle w:val="TableParagraph"/>
              <w:spacing w:before="5"/>
              <w:ind w:right="64"/>
              <w:rPr>
                <w:sz w:val="15"/>
              </w:rPr>
            </w:pPr>
            <w:r>
              <w:rPr>
                <w:sz w:val="15"/>
              </w:rPr>
              <w:t>-1.824520628</w:t>
            </w:r>
          </w:p>
        </w:tc>
      </w:tr>
      <w:tr>
        <w:trPr>
          <w:trHeight w:val="410" w:hRule="exact"/>
        </w:trPr>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left="688"/>
              <w:jc w:val="left"/>
              <w:rPr>
                <w:sz w:val="15"/>
              </w:rPr>
            </w:pPr>
            <w:r>
              <w:rPr>
                <w:w w:val="105"/>
                <w:sz w:val="15"/>
              </w:rPr>
              <w:t>1983</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5"/>
              </w:rPr>
            </w:pPr>
            <w:r>
              <w:rPr>
                <w:sz w:val="15"/>
              </w:rPr>
              <w:t>150.290</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5"/>
              </w:rPr>
            </w:pPr>
            <w:r>
              <w:rPr>
                <w:sz w:val="15"/>
              </w:rPr>
              <w:t>983000000</w:t>
            </w:r>
          </w:p>
        </w:tc>
        <w:tc>
          <w:tcPr>
            <w:tcW w:w="1739" w:type="dxa"/>
            <w:tcBorders>
              <w:top w:val="single" w:sz="4" w:space="0" w:color="000000"/>
              <w:left w:val="single" w:sz="4" w:space="0" w:color="000000"/>
              <w:bottom w:val="single" w:sz="4" w:space="0" w:color="000000"/>
            </w:tcBorders>
          </w:tcPr>
          <w:p>
            <w:pPr>
              <w:pStyle w:val="TableParagraph"/>
              <w:spacing w:before="5"/>
              <w:ind w:right="64"/>
              <w:rPr>
                <w:sz w:val="15"/>
              </w:rPr>
            </w:pPr>
            <w:r>
              <w:rPr>
                <w:sz w:val="15"/>
              </w:rPr>
              <w:t>147735070000</w:t>
            </w:r>
          </w:p>
        </w:tc>
        <w:tc>
          <w:tcPr>
            <w:tcW w:w="1739" w:type="dxa"/>
            <w:tcBorders>
              <w:top w:val="single" w:sz="4" w:space="0" w:color="000000"/>
              <w:bottom w:val="single" w:sz="4" w:space="0" w:color="000000"/>
              <w:right w:val="single" w:sz="4" w:space="0" w:color="000000"/>
            </w:tcBorders>
          </w:tcPr>
          <w:p>
            <w:pPr>
              <w:pStyle w:val="TableParagraph"/>
              <w:spacing w:before="5"/>
              <w:ind w:right="64"/>
              <w:rPr>
                <w:sz w:val="15"/>
              </w:rPr>
            </w:pPr>
            <w:r>
              <w:rPr>
                <w:w w:val="105"/>
                <w:sz w:val="15"/>
              </w:rPr>
              <w:t>16.35890152</w:t>
            </w:r>
          </w:p>
        </w:tc>
      </w:tr>
      <w:tr>
        <w:trPr>
          <w:trHeight w:val="413" w:hRule="exact"/>
        </w:trPr>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8"/>
              <w:ind w:left="688"/>
              <w:jc w:val="left"/>
              <w:rPr>
                <w:sz w:val="15"/>
              </w:rPr>
            </w:pPr>
            <w:r>
              <w:rPr>
                <w:w w:val="105"/>
                <w:sz w:val="15"/>
              </w:rPr>
              <w:t>1984</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8"/>
              <w:ind w:right="62"/>
              <w:rPr>
                <w:sz w:val="15"/>
              </w:rPr>
            </w:pPr>
            <w:r>
              <w:rPr>
                <w:sz w:val="15"/>
              </w:rPr>
              <w:t>185.190</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8"/>
              <w:ind w:right="63"/>
              <w:rPr>
                <w:sz w:val="15"/>
              </w:rPr>
            </w:pPr>
            <w:r>
              <w:rPr>
                <w:sz w:val="15"/>
              </w:rPr>
              <w:t>1127200000</w:t>
            </w:r>
          </w:p>
        </w:tc>
        <w:tc>
          <w:tcPr>
            <w:tcW w:w="1739" w:type="dxa"/>
            <w:tcBorders>
              <w:top w:val="single" w:sz="4" w:space="0" w:color="000000"/>
              <w:left w:val="single" w:sz="4" w:space="0" w:color="000000"/>
              <w:bottom w:val="single" w:sz="4" w:space="0" w:color="000000"/>
            </w:tcBorders>
          </w:tcPr>
          <w:p>
            <w:pPr>
              <w:pStyle w:val="TableParagraph"/>
              <w:spacing w:before="8"/>
              <w:ind w:right="64"/>
              <w:rPr>
                <w:sz w:val="15"/>
              </w:rPr>
            </w:pPr>
            <w:r>
              <w:rPr>
                <w:sz w:val="15"/>
              </w:rPr>
              <w:t>208746168000</w:t>
            </w:r>
          </w:p>
        </w:tc>
        <w:tc>
          <w:tcPr>
            <w:tcW w:w="1739" w:type="dxa"/>
            <w:tcBorders>
              <w:top w:val="single" w:sz="4" w:space="0" w:color="000000"/>
              <w:bottom w:val="single" w:sz="4" w:space="0" w:color="000000"/>
              <w:right w:val="single" w:sz="4" w:space="0" w:color="000000"/>
            </w:tcBorders>
          </w:tcPr>
          <w:p>
            <w:pPr>
              <w:pStyle w:val="TableParagraph"/>
              <w:spacing w:before="8"/>
              <w:ind w:right="64"/>
              <w:rPr>
                <w:sz w:val="15"/>
              </w:rPr>
            </w:pPr>
            <w:r>
              <w:rPr>
                <w:w w:val="105"/>
                <w:sz w:val="15"/>
              </w:rPr>
              <w:t>14.66937945</w:t>
            </w:r>
          </w:p>
        </w:tc>
      </w:tr>
      <w:tr>
        <w:trPr>
          <w:trHeight w:val="408" w:hRule="exact"/>
        </w:trPr>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left="688"/>
              <w:jc w:val="left"/>
              <w:rPr>
                <w:sz w:val="15"/>
              </w:rPr>
            </w:pPr>
            <w:r>
              <w:rPr>
                <w:w w:val="105"/>
                <w:sz w:val="15"/>
              </w:rPr>
              <w:t>1985</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5"/>
              </w:rPr>
            </w:pPr>
            <w:r>
              <w:rPr>
                <w:sz w:val="15"/>
              </w:rPr>
              <w:t>310.280</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3"/>
              <w:rPr>
                <w:sz w:val="15"/>
              </w:rPr>
            </w:pPr>
            <w:r>
              <w:rPr>
                <w:sz w:val="15"/>
              </w:rPr>
              <w:t>1157400000</w:t>
            </w:r>
          </w:p>
        </w:tc>
        <w:tc>
          <w:tcPr>
            <w:tcW w:w="1739" w:type="dxa"/>
            <w:tcBorders>
              <w:top w:val="single" w:sz="4" w:space="0" w:color="000000"/>
              <w:left w:val="single" w:sz="4" w:space="0" w:color="000000"/>
              <w:bottom w:val="single" w:sz="4" w:space="0" w:color="000000"/>
            </w:tcBorders>
          </w:tcPr>
          <w:p>
            <w:pPr>
              <w:pStyle w:val="TableParagraph"/>
              <w:spacing w:before="5"/>
              <w:ind w:right="64"/>
              <w:rPr>
                <w:sz w:val="15"/>
              </w:rPr>
            </w:pPr>
            <w:r>
              <w:rPr>
                <w:sz w:val="15"/>
              </w:rPr>
              <w:t>359118072000</w:t>
            </w:r>
          </w:p>
        </w:tc>
        <w:tc>
          <w:tcPr>
            <w:tcW w:w="1739" w:type="dxa"/>
            <w:tcBorders>
              <w:top w:val="single" w:sz="4" w:space="0" w:color="000000"/>
              <w:bottom w:val="single" w:sz="4" w:space="0" w:color="000000"/>
              <w:right w:val="single" w:sz="4" w:space="0" w:color="000000"/>
            </w:tcBorders>
          </w:tcPr>
          <w:p>
            <w:pPr>
              <w:pStyle w:val="TableParagraph"/>
              <w:spacing w:before="5"/>
              <w:ind w:right="64"/>
              <w:rPr>
                <w:sz w:val="15"/>
              </w:rPr>
            </w:pPr>
            <w:r>
              <w:rPr>
                <w:w w:val="105"/>
                <w:sz w:val="15"/>
              </w:rPr>
              <w:t>2.67920511</w:t>
            </w:r>
          </w:p>
        </w:tc>
      </w:tr>
      <w:tr>
        <w:trPr>
          <w:trHeight w:val="410" w:hRule="exact"/>
        </w:trPr>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left="688"/>
              <w:jc w:val="left"/>
              <w:rPr>
                <w:sz w:val="15"/>
              </w:rPr>
            </w:pPr>
            <w:r>
              <w:rPr>
                <w:w w:val="105"/>
                <w:sz w:val="15"/>
              </w:rPr>
              <w:t>1986</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5"/>
              </w:rPr>
            </w:pPr>
            <w:r>
              <w:rPr>
                <w:sz w:val="15"/>
              </w:rPr>
              <w:t>637.870</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3"/>
              <w:rPr>
                <w:sz w:val="15"/>
              </w:rPr>
            </w:pPr>
            <w:r>
              <w:rPr>
                <w:sz w:val="15"/>
              </w:rPr>
              <w:t>1290100000</w:t>
            </w:r>
          </w:p>
        </w:tc>
        <w:tc>
          <w:tcPr>
            <w:tcW w:w="1739" w:type="dxa"/>
            <w:tcBorders>
              <w:top w:val="single" w:sz="4" w:space="0" w:color="000000"/>
              <w:left w:val="single" w:sz="4" w:space="0" w:color="000000"/>
              <w:bottom w:val="single" w:sz="4" w:space="0" w:color="000000"/>
            </w:tcBorders>
          </w:tcPr>
          <w:p>
            <w:pPr>
              <w:pStyle w:val="TableParagraph"/>
              <w:spacing w:before="5"/>
              <w:ind w:right="64"/>
              <w:rPr>
                <w:sz w:val="15"/>
              </w:rPr>
            </w:pPr>
            <w:r>
              <w:rPr>
                <w:sz w:val="15"/>
              </w:rPr>
              <w:t>822916087000</w:t>
            </w:r>
          </w:p>
        </w:tc>
        <w:tc>
          <w:tcPr>
            <w:tcW w:w="1739" w:type="dxa"/>
            <w:tcBorders>
              <w:top w:val="single" w:sz="4" w:space="0" w:color="000000"/>
              <w:bottom w:val="single" w:sz="4" w:space="0" w:color="000000"/>
              <w:right w:val="single" w:sz="4" w:space="0" w:color="000000"/>
            </w:tcBorders>
          </w:tcPr>
          <w:p>
            <w:pPr>
              <w:pStyle w:val="TableParagraph"/>
              <w:spacing w:before="5"/>
              <w:ind w:right="64"/>
              <w:rPr>
                <w:sz w:val="15"/>
              </w:rPr>
            </w:pPr>
            <w:r>
              <w:rPr>
                <w:w w:val="105"/>
                <w:sz w:val="15"/>
              </w:rPr>
              <w:t>11.46535338</w:t>
            </w:r>
          </w:p>
        </w:tc>
      </w:tr>
      <w:tr>
        <w:trPr>
          <w:trHeight w:val="413" w:hRule="exact"/>
        </w:trPr>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8"/>
              <w:ind w:left="688"/>
              <w:jc w:val="left"/>
              <w:rPr>
                <w:sz w:val="15"/>
              </w:rPr>
            </w:pPr>
            <w:r>
              <w:rPr>
                <w:w w:val="105"/>
                <w:sz w:val="15"/>
              </w:rPr>
              <w:t>1987</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8"/>
              <w:ind w:right="62"/>
              <w:rPr>
                <w:sz w:val="15"/>
              </w:rPr>
            </w:pPr>
            <w:r>
              <w:rPr>
                <w:sz w:val="15"/>
              </w:rPr>
              <w:t>1405.600</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8"/>
              <w:ind w:right="63"/>
              <w:rPr>
                <w:sz w:val="15"/>
              </w:rPr>
            </w:pPr>
            <w:r>
              <w:rPr>
                <w:sz w:val="15"/>
              </w:rPr>
              <w:t>1477600000</w:t>
            </w:r>
          </w:p>
        </w:tc>
        <w:tc>
          <w:tcPr>
            <w:tcW w:w="1739" w:type="dxa"/>
            <w:tcBorders>
              <w:top w:val="single" w:sz="4" w:space="0" w:color="000000"/>
              <w:left w:val="single" w:sz="4" w:space="0" w:color="000000"/>
              <w:bottom w:val="single" w:sz="4" w:space="0" w:color="000000"/>
            </w:tcBorders>
          </w:tcPr>
          <w:p>
            <w:pPr>
              <w:pStyle w:val="TableParagraph"/>
              <w:spacing w:before="8"/>
              <w:ind w:right="64"/>
              <w:rPr>
                <w:sz w:val="15"/>
              </w:rPr>
            </w:pPr>
            <w:r>
              <w:rPr>
                <w:sz w:val="15"/>
              </w:rPr>
              <w:t>2076914560000</w:t>
            </w:r>
          </w:p>
        </w:tc>
        <w:tc>
          <w:tcPr>
            <w:tcW w:w="1739" w:type="dxa"/>
            <w:tcBorders>
              <w:top w:val="single" w:sz="4" w:space="0" w:color="000000"/>
              <w:bottom w:val="single" w:sz="4" w:space="0" w:color="000000"/>
              <w:right w:val="single" w:sz="4" w:space="0" w:color="000000"/>
            </w:tcBorders>
          </w:tcPr>
          <w:p>
            <w:pPr>
              <w:pStyle w:val="TableParagraph"/>
              <w:spacing w:before="8"/>
              <w:ind w:right="64"/>
              <w:rPr>
                <w:sz w:val="15"/>
              </w:rPr>
            </w:pPr>
            <w:r>
              <w:rPr>
                <w:w w:val="105"/>
                <w:sz w:val="15"/>
              </w:rPr>
              <w:t>14.53375707</w:t>
            </w:r>
          </w:p>
        </w:tc>
      </w:tr>
      <w:tr>
        <w:trPr>
          <w:trHeight w:val="408" w:hRule="exact"/>
        </w:trPr>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left="688"/>
              <w:jc w:val="left"/>
              <w:rPr>
                <w:sz w:val="15"/>
              </w:rPr>
            </w:pPr>
            <w:r>
              <w:rPr>
                <w:w w:val="105"/>
                <w:sz w:val="15"/>
              </w:rPr>
              <w:t>1988</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5"/>
              </w:rPr>
            </w:pPr>
            <w:r>
              <w:rPr>
                <w:sz w:val="15"/>
              </w:rPr>
              <w:t>2289.580</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3"/>
              <w:rPr>
                <w:sz w:val="15"/>
              </w:rPr>
            </w:pPr>
            <w:r>
              <w:rPr>
                <w:sz w:val="15"/>
              </w:rPr>
              <w:t>1897500000</w:t>
            </w:r>
          </w:p>
        </w:tc>
        <w:tc>
          <w:tcPr>
            <w:tcW w:w="1739" w:type="dxa"/>
            <w:tcBorders>
              <w:top w:val="single" w:sz="4" w:space="0" w:color="000000"/>
              <w:left w:val="single" w:sz="4" w:space="0" w:color="000000"/>
              <w:bottom w:val="single" w:sz="4" w:space="0" w:color="000000"/>
            </w:tcBorders>
          </w:tcPr>
          <w:p>
            <w:pPr>
              <w:pStyle w:val="TableParagraph"/>
              <w:spacing w:before="5"/>
              <w:ind w:right="64"/>
              <w:rPr>
                <w:sz w:val="15"/>
              </w:rPr>
            </w:pPr>
            <w:r>
              <w:rPr>
                <w:sz w:val="15"/>
              </w:rPr>
              <w:t>4344478050000</w:t>
            </w:r>
          </w:p>
        </w:tc>
        <w:tc>
          <w:tcPr>
            <w:tcW w:w="1739" w:type="dxa"/>
            <w:tcBorders>
              <w:top w:val="single" w:sz="4" w:space="0" w:color="000000"/>
              <w:bottom w:val="single" w:sz="4" w:space="0" w:color="000000"/>
              <w:right w:val="single" w:sz="4" w:space="0" w:color="000000"/>
            </w:tcBorders>
          </w:tcPr>
          <w:p>
            <w:pPr>
              <w:pStyle w:val="TableParagraph"/>
              <w:spacing w:before="5"/>
              <w:ind w:right="64"/>
              <w:rPr>
                <w:sz w:val="15"/>
              </w:rPr>
            </w:pPr>
            <w:r>
              <w:rPr>
                <w:w w:val="105"/>
                <w:sz w:val="15"/>
              </w:rPr>
              <w:t>28.41770439</w:t>
            </w:r>
          </w:p>
        </w:tc>
      </w:tr>
      <w:tr>
        <w:trPr>
          <w:trHeight w:val="410" w:hRule="exact"/>
        </w:trPr>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left="688"/>
              <w:jc w:val="left"/>
              <w:rPr>
                <w:sz w:val="15"/>
              </w:rPr>
            </w:pPr>
            <w:r>
              <w:rPr>
                <w:w w:val="105"/>
                <w:sz w:val="15"/>
              </w:rPr>
              <w:t>1989</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5"/>
              </w:rPr>
            </w:pPr>
            <w:r>
              <w:rPr>
                <w:sz w:val="15"/>
              </w:rPr>
              <w:t>2483.370</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3"/>
              <w:rPr>
                <w:sz w:val="15"/>
              </w:rPr>
            </w:pPr>
            <w:r>
              <w:rPr>
                <w:sz w:val="15"/>
              </w:rPr>
              <w:t>2212500000</w:t>
            </w:r>
          </w:p>
        </w:tc>
        <w:tc>
          <w:tcPr>
            <w:tcW w:w="1739" w:type="dxa"/>
            <w:tcBorders>
              <w:top w:val="single" w:sz="4" w:space="0" w:color="000000"/>
              <w:left w:val="single" w:sz="4" w:space="0" w:color="000000"/>
              <w:bottom w:val="single" w:sz="4" w:space="0" w:color="000000"/>
            </w:tcBorders>
          </w:tcPr>
          <w:p>
            <w:pPr>
              <w:pStyle w:val="TableParagraph"/>
              <w:spacing w:before="5"/>
              <w:ind w:right="64"/>
              <w:rPr>
                <w:sz w:val="15"/>
              </w:rPr>
            </w:pPr>
            <w:r>
              <w:rPr>
                <w:sz w:val="15"/>
              </w:rPr>
              <w:t>5494456125000</w:t>
            </w:r>
          </w:p>
        </w:tc>
        <w:tc>
          <w:tcPr>
            <w:tcW w:w="1739" w:type="dxa"/>
            <w:tcBorders>
              <w:top w:val="single" w:sz="4" w:space="0" w:color="000000"/>
              <w:bottom w:val="single" w:sz="4" w:space="0" w:color="000000"/>
              <w:right w:val="single" w:sz="4" w:space="0" w:color="000000"/>
            </w:tcBorders>
          </w:tcPr>
          <w:p>
            <w:pPr>
              <w:pStyle w:val="TableParagraph"/>
              <w:spacing w:before="5"/>
              <w:ind w:right="64"/>
              <w:rPr>
                <w:sz w:val="15"/>
              </w:rPr>
            </w:pPr>
            <w:r>
              <w:rPr>
                <w:w w:val="105"/>
                <w:sz w:val="15"/>
              </w:rPr>
              <w:t>16.60079051</w:t>
            </w:r>
          </w:p>
        </w:tc>
      </w:tr>
      <w:tr>
        <w:trPr>
          <w:trHeight w:val="410" w:hRule="exact"/>
        </w:trPr>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8"/>
              <w:ind w:left="688"/>
              <w:jc w:val="left"/>
              <w:rPr>
                <w:sz w:val="15"/>
              </w:rPr>
            </w:pPr>
            <w:r>
              <w:rPr>
                <w:w w:val="105"/>
                <w:sz w:val="15"/>
              </w:rPr>
              <w:t>1990</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8"/>
              <w:ind w:right="62"/>
              <w:rPr>
                <w:sz w:val="15"/>
              </w:rPr>
            </w:pPr>
            <w:r>
              <w:rPr>
                <w:sz w:val="15"/>
              </w:rPr>
              <w:t>2838.350</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8"/>
              <w:ind w:right="63"/>
              <w:rPr>
                <w:sz w:val="15"/>
              </w:rPr>
            </w:pPr>
            <w:r>
              <w:rPr>
                <w:sz w:val="15"/>
              </w:rPr>
              <w:t>2493600000</w:t>
            </w:r>
          </w:p>
        </w:tc>
        <w:tc>
          <w:tcPr>
            <w:tcW w:w="1739" w:type="dxa"/>
            <w:tcBorders>
              <w:top w:val="single" w:sz="4" w:space="0" w:color="000000"/>
              <w:left w:val="single" w:sz="4" w:space="0" w:color="000000"/>
              <w:bottom w:val="single" w:sz="4" w:space="0" w:color="000000"/>
            </w:tcBorders>
          </w:tcPr>
          <w:p>
            <w:pPr>
              <w:pStyle w:val="TableParagraph"/>
              <w:spacing w:before="8"/>
              <w:ind w:right="64"/>
              <w:rPr>
                <w:sz w:val="15"/>
              </w:rPr>
            </w:pPr>
            <w:r>
              <w:rPr>
                <w:sz w:val="15"/>
              </w:rPr>
              <w:t>7077709560000</w:t>
            </w:r>
          </w:p>
        </w:tc>
        <w:tc>
          <w:tcPr>
            <w:tcW w:w="1739" w:type="dxa"/>
            <w:tcBorders>
              <w:top w:val="single" w:sz="4" w:space="0" w:color="000000"/>
              <w:bottom w:val="single" w:sz="4" w:space="0" w:color="000000"/>
              <w:right w:val="single" w:sz="4" w:space="0" w:color="000000"/>
            </w:tcBorders>
          </w:tcPr>
          <w:p>
            <w:pPr>
              <w:pStyle w:val="TableParagraph"/>
              <w:spacing w:before="8"/>
              <w:ind w:right="64"/>
              <w:rPr>
                <w:sz w:val="15"/>
              </w:rPr>
            </w:pPr>
            <w:r>
              <w:rPr>
                <w:w w:val="105"/>
                <w:sz w:val="15"/>
              </w:rPr>
              <w:t>12.70508475</w:t>
            </w:r>
          </w:p>
        </w:tc>
      </w:tr>
      <w:tr>
        <w:trPr>
          <w:trHeight w:val="410" w:hRule="exact"/>
        </w:trPr>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8"/>
              <w:ind w:left="688"/>
              <w:jc w:val="left"/>
              <w:rPr>
                <w:sz w:val="15"/>
              </w:rPr>
            </w:pPr>
            <w:r>
              <w:rPr>
                <w:w w:val="105"/>
                <w:sz w:val="15"/>
              </w:rPr>
              <w:t>1991</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8"/>
              <w:ind w:right="62"/>
              <w:rPr>
                <w:sz w:val="15"/>
              </w:rPr>
            </w:pPr>
            <w:r>
              <w:rPr>
                <w:sz w:val="15"/>
              </w:rPr>
              <w:t>3016.150</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8"/>
              <w:ind w:right="63"/>
              <w:rPr>
                <w:sz w:val="15"/>
              </w:rPr>
            </w:pPr>
            <w:r>
              <w:rPr>
                <w:sz w:val="15"/>
              </w:rPr>
              <w:t>2660000000</w:t>
            </w:r>
          </w:p>
        </w:tc>
        <w:tc>
          <w:tcPr>
            <w:tcW w:w="1739" w:type="dxa"/>
            <w:tcBorders>
              <w:top w:val="single" w:sz="4" w:space="0" w:color="000000"/>
              <w:left w:val="single" w:sz="4" w:space="0" w:color="000000"/>
              <w:bottom w:val="single" w:sz="4" w:space="0" w:color="000000"/>
            </w:tcBorders>
          </w:tcPr>
          <w:p>
            <w:pPr>
              <w:pStyle w:val="TableParagraph"/>
              <w:spacing w:before="8"/>
              <w:ind w:right="64"/>
              <w:rPr>
                <w:sz w:val="15"/>
              </w:rPr>
            </w:pPr>
            <w:r>
              <w:rPr>
                <w:sz w:val="15"/>
              </w:rPr>
              <w:t>8022959000000</w:t>
            </w:r>
          </w:p>
        </w:tc>
        <w:tc>
          <w:tcPr>
            <w:tcW w:w="1739" w:type="dxa"/>
            <w:tcBorders>
              <w:top w:val="single" w:sz="4" w:space="0" w:color="000000"/>
              <w:bottom w:val="single" w:sz="4" w:space="0" w:color="000000"/>
              <w:right w:val="single" w:sz="4" w:space="0" w:color="000000"/>
            </w:tcBorders>
          </w:tcPr>
          <w:p>
            <w:pPr>
              <w:pStyle w:val="TableParagraph"/>
              <w:spacing w:before="8"/>
              <w:ind w:right="64"/>
              <w:rPr>
                <w:sz w:val="15"/>
              </w:rPr>
            </w:pPr>
            <w:r>
              <w:rPr>
                <w:w w:val="105"/>
                <w:sz w:val="15"/>
              </w:rPr>
              <w:t>6.673083093</w:t>
            </w:r>
          </w:p>
        </w:tc>
      </w:tr>
      <w:tr>
        <w:trPr>
          <w:trHeight w:val="410" w:hRule="exact"/>
        </w:trPr>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left="688"/>
              <w:jc w:val="left"/>
              <w:rPr>
                <w:sz w:val="15"/>
              </w:rPr>
            </w:pPr>
            <w:r>
              <w:rPr>
                <w:w w:val="105"/>
                <w:sz w:val="15"/>
              </w:rPr>
              <w:t>1992</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5"/>
              </w:rPr>
            </w:pPr>
            <w:r>
              <w:rPr>
                <w:sz w:val="15"/>
              </w:rPr>
              <w:t>3094.080</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3"/>
              <w:rPr>
                <w:sz w:val="15"/>
              </w:rPr>
            </w:pPr>
            <w:r>
              <w:rPr>
                <w:sz w:val="15"/>
              </w:rPr>
              <w:t>3070100000</w:t>
            </w:r>
          </w:p>
        </w:tc>
        <w:tc>
          <w:tcPr>
            <w:tcW w:w="1739" w:type="dxa"/>
            <w:tcBorders>
              <w:top w:val="single" w:sz="4" w:space="0" w:color="000000"/>
              <w:left w:val="single" w:sz="4" w:space="0" w:color="000000"/>
              <w:bottom w:val="single" w:sz="4" w:space="0" w:color="000000"/>
            </w:tcBorders>
          </w:tcPr>
          <w:p>
            <w:pPr>
              <w:pStyle w:val="TableParagraph"/>
              <w:spacing w:before="5"/>
              <w:ind w:right="64"/>
              <w:rPr>
                <w:sz w:val="15"/>
              </w:rPr>
            </w:pPr>
            <w:r>
              <w:rPr>
                <w:sz w:val="15"/>
              </w:rPr>
              <w:t>9499135008000</w:t>
            </w:r>
          </w:p>
        </w:tc>
        <w:tc>
          <w:tcPr>
            <w:tcW w:w="1739" w:type="dxa"/>
            <w:tcBorders>
              <w:top w:val="single" w:sz="4" w:space="0" w:color="000000"/>
              <w:bottom w:val="single" w:sz="4" w:space="0" w:color="000000"/>
              <w:right w:val="single" w:sz="4" w:space="0" w:color="000000"/>
            </w:tcBorders>
          </w:tcPr>
          <w:p>
            <w:pPr>
              <w:pStyle w:val="TableParagraph"/>
              <w:spacing w:before="5"/>
              <w:ind w:right="64"/>
              <w:rPr>
                <w:sz w:val="15"/>
              </w:rPr>
            </w:pPr>
            <w:r>
              <w:rPr>
                <w:w w:val="105"/>
                <w:sz w:val="15"/>
              </w:rPr>
              <w:t>15.41729323</w:t>
            </w:r>
          </w:p>
        </w:tc>
      </w:tr>
      <w:tr>
        <w:trPr>
          <w:trHeight w:val="410" w:hRule="exact"/>
        </w:trPr>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8"/>
              <w:ind w:left="688"/>
              <w:jc w:val="left"/>
              <w:rPr>
                <w:sz w:val="15"/>
              </w:rPr>
            </w:pPr>
            <w:r>
              <w:rPr>
                <w:w w:val="105"/>
                <w:sz w:val="15"/>
              </w:rPr>
              <w:t>1993</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8"/>
              <w:ind w:right="62"/>
              <w:rPr>
                <w:sz w:val="15"/>
              </w:rPr>
            </w:pPr>
            <w:r>
              <w:rPr>
                <w:sz w:val="15"/>
              </w:rPr>
              <w:t>3.260</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8"/>
              <w:ind w:right="63"/>
              <w:rPr>
                <w:sz w:val="15"/>
              </w:rPr>
            </w:pPr>
            <w:r>
              <w:rPr>
                <w:sz w:val="15"/>
              </w:rPr>
              <w:t>3333200000</w:t>
            </w:r>
          </w:p>
        </w:tc>
        <w:tc>
          <w:tcPr>
            <w:tcW w:w="1739" w:type="dxa"/>
            <w:tcBorders>
              <w:top w:val="single" w:sz="4" w:space="0" w:color="000000"/>
              <w:left w:val="single" w:sz="4" w:space="0" w:color="000000"/>
              <w:bottom w:val="single" w:sz="4" w:space="0" w:color="000000"/>
            </w:tcBorders>
          </w:tcPr>
          <w:p>
            <w:pPr>
              <w:pStyle w:val="TableParagraph"/>
              <w:spacing w:before="8"/>
              <w:ind w:right="64"/>
              <w:rPr>
                <w:sz w:val="15"/>
              </w:rPr>
            </w:pPr>
            <w:r>
              <w:rPr>
                <w:sz w:val="15"/>
              </w:rPr>
              <w:t>10866232000</w:t>
            </w:r>
          </w:p>
        </w:tc>
        <w:tc>
          <w:tcPr>
            <w:tcW w:w="1739" w:type="dxa"/>
            <w:tcBorders>
              <w:top w:val="single" w:sz="4" w:space="0" w:color="000000"/>
              <w:bottom w:val="single" w:sz="4" w:space="0" w:color="000000"/>
              <w:right w:val="single" w:sz="4" w:space="0" w:color="000000"/>
            </w:tcBorders>
          </w:tcPr>
          <w:p>
            <w:pPr>
              <w:pStyle w:val="TableParagraph"/>
              <w:spacing w:before="8"/>
              <w:ind w:right="64"/>
              <w:rPr>
                <w:sz w:val="15"/>
              </w:rPr>
            </w:pPr>
            <w:r>
              <w:rPr>
                <w:w w:val="105"/>
                <w:sz w:val="15"/>
              </w:rPr>
              <w:t>8.569753428</w:t>
            </w:r>
          </w:p>
        </w:tc>
      </w:tr>
      <w:tr>
        <w:trPr>
          <w:trHeight w:val="410" w:hRule="exact"/>
        </w:trPr>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8"/>
              <w:ind w:left="688"/>
              <w:jc w:val="left"/>
              <w:rPr>
                <w:sz w:val="15"/>
              </w:rPr>
            </w:pPr>
            <w:r>
              <w:rPr>
                <w:w w:val="105"/>
                <w:sz w:val="15"/>
              </w:rPr>
              <w:t>1994</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8"/>
              <w:ind w:right="62"/>
              <w:rPr>
                <w:sz w:val="15"/>
              </w:rPr>
            </w:pPr>
            <w:r>
              <w:rPr>
                <w:sz w:val="15"/>
              </w:rPr>
              <w:t>3.410</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8"/>
              <w:ind w:right="63"/>
              <w:rPr>
                <w:sz w:val="15"/>
              </w:rPr>
            </w:pPr>
            <w:r>
              <w:rPr>
                <w:sz w:val="15"/>
              </w:rPr>
              <w:t>3474700000</w:t>
            </w:r>
          </w:p>
        </w:tc>
        <w:tc>
          <w:tcPr>
            <w:tcW w:w="1739" w:type="dxa"/>
            <w:tcBorders>
              <w:top w:val="single" w:sz="4" w:space="0" w:color="000000"/>
              <w:left w:val="single" w:sz="4" w:space="0" w:color="000000"/>
              <w:bottom w:val="single" w:sz="4" w:space="0" w:color="000000"/>
            </w:tcBorders>
          </w:tcPr>
          <w:p>
            <w:pPr>
              <w:pStyle w:val="TableParagraph"/>
              <w:spacing w:before="8"/>
              <w:ind w:right="64"/>
              <w:rPr>
                <w:sz w:val="15"/>
              </w:rPr>
            </w:pPr>
            <w:r>
              <w:rPr>
                <w:sz w:val="15"/>
              </w:rPr>
              <w:t>11848727000</w:t>
            </w:r>
          </w:p>
        </w:tc>
        <w:tc>
          <w:tcPr>
            <w:tcW w:w="1739" w:type="dxa"/>
            <w:tcBorders>
              <w:top w:val="single" w:sz="4" w:space="0" w:color="000000"/>
              <w:bottom w:val="single" w:sz="4" w:space="0" w:color="000000"/>
              <w:right w:val="single" w:sz="4" w:space="0" w:color="000000"/>
            </w:tcBorders>
          </w:tcPr>
          <w:p>
            <w:pPr>
              <w:pStyle w:val="TableParagraph"/>
              <w:spacing w:before="8"/>
              <w:ind w:right="64"/>
              <w:rPr>
                <w:sz w:val="15"/>
              </w:rPr>
            </w:pPr>
            <w:r>
              <w:rPr>
                <w:w w:val="105"/>
                <w:sz w:val="15"/>
              </w:rPr>
              <w:t>4.245169807</w:t>
            </w:r>
          </w:p>
        </w:tc>
      </w:tr>
      <w:tr>
        <w:trPr>
          <w:trHeight w:val="410" w:hRule="exact"/>
        </w:trPr>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left="688"/>
              <w:jc w:val="left"/>
              <w:rPr>
                <w:sz w:val="15"/>
              </w:rPr>
            </w:pPr>
            <w:r>
              <w:rPr>
                <w:w w:val="105"/>
                <w:sz w:val="15"/>
              </w:rPr>
              <w:t>1995</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5"/>
              </w:rPr>
            </w:pPr>
            <w:r>
              <w:rPr>
                <w:sz w:val="15"/>
              </w:rPr>
              <w:t>7.643</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3"/>
              <w:rPr>
                <w:sz w:val="15"/>
              </w:rPr>
            </w:pPr>
            <w:r>
              <w:rPr>
                <w:sz w:val="15"/>
              </w:rPr>
              <w:t>3672700000</w:t>
            </w:r>
          </w:p>
        </w:tc>
        <w:tc>
          <w:tcPr>
            <w:tcW w:w="1739" w:type="dxa"/>
            <w:tcBorders>
              <w:top w:val="single" w:sz="4" w:space="0" w:color="000000"/>
              <w:left w:val="single" w:sz="4" w:space="0" w:color="000000"/>
              <w:bottom w:val="single" w:sz="4" w:space="0" w:color="000000"/>
            </w:tcBorders>
          </w:tcPr>
          <w:p>
            <w:pPr>
              <w:pStyle w:val="TableParagraph"/>
              <w:spacing w:before="5"/>
              <w:ind w:right="64"/>
              <w:rPr>
                <w:sz w:val="15"/>
              </w:rPr>
            </w:pPr>
            <w:r>
              <w:rPr>
                <w:sz w:val="15"/>
              </w:rPr>
              <w:t>28068609750</w:t>
            </w:r>
          </w:p>
        </w:tc>
        <w:tc>
          <w:tcPr>
            <w:tcW w:w="1739" w:type="dxa"/>
            <w:tcBorders>
              <w:top w:val="single" w:sz="4" w:space="0" w:color="000000"/>
              <w:bottom w:val="single" w:sz="4" w:space="0" w:color="000000"/>
              <w:right w:val="single" w:sz="4" w:space="0" w:color="000000"/>
            </w:tcBorders>
          </w:tcPr>
          <w:p>
            <w:pPr>
              <w:pStyle w:val="TableParagraph"/>
              <w:spacing w:before="5"/>
              <w:ind w:right="64"/>
              <w:rPr>
                <w:sz w:val="15"/>
              </w:rPr>
            </w:pPr>
            <w:r>
              <w:rPr>
                <w:w w:val="105"/>
                <w:sz w:val="15"/>
              </w:rPr>
              <w:t>5.698333669</w:t>
            </w:r>
          </w:p>
        </w:tc>
      </w:tr>
      <w:tr>
        <w:trPr>
          <w:trHeight w:val="409" w:hRule="exact"/>
        </w:trPr>
        <w:tc>
          <w:tcPr>
            <w:tcW w:w="1738" w:type="dxa"/>
            <w:tcBorders>
              <w:top w:val="single" w:sz="4" w:space="0" w:color="000000"/>
              <w:left w:val="single" w:sz="4" w:space="0" w:color="000000"/>
              <w:right w:val="single" w:sz="4" w:space="0" w:color="000000"/>
            </w:tcBorders>
          </w:tcPr>
          <w:p>
            <w:pPr>
              <w:pStyle w:val="TableParagraph"/>
              <w:spacing w:before="5"/>
              <w:ind w:left="688"/>
              <w:jc w:val="left"/>
              <w:rPr>
                <w:sz w:val="15"/>
              </w:rPr>
            </w:pPr>
            <w:r>
              <w:rPr>
                <w:w w:val="105"/>
                <w:sz w:val="15"/>
              </w:rPr>
              <w:t>1996</w:t>
            </w:r>
          </w:p>
        </w:tc>
        <w:tc>
          <w:tcPr>
            <w:tcW w:w="1738" w:type="dxa"/>
            <w:tcBorders>
              <w:top w:val="single" w:sz="4" w:space="0" w:color="000000"/>
              <w:left w:val="single" w:sz="4" w:space="0" w:color="000000"/>
              <w:right w:val="single" w:sz="4" w:space="0" w:color="000000"/>
            </w:tcBorders>
          </w:tcPr>
          <w:p>
            <w:pPr>
              <w:pStyle w:val="TableParagraph"/>
              <w:spacing w:before="5"/>
              <w:ind w:right="62"/>
              <w:rPr>
                <w:sz w:val="15"/>
              </w:rPr>
            </w:pPr>
            <w:r>
              <w:rPr>
                <w:sz w:val="15"/>
              </w:rPr>
              <w:t>7.851</w:t>
            </w:r>
          </w:p>
        </w:tc>
        <w:tc>
          <w:tcPr>
            <w:tcW w:w="1738" w:type="dxa"/>
            <w:tcBorders>
              <w:top w:val="single" w:sz="4" w:space="0" w:color="000000"/>
              <w:left w:val="single" w:sz="4" w:space="0" w:color="000000"/>
              <w:right w:val="single" w:sz="4" w:space="0" w:color="000000"/>
            </w:tcBorders>
          </w:tcPr>
          <w:p>
            <w:pPr>
              <w:pStyle w:val="TableParagraph"/>
              <w:spacing w:before="5"/>
              <w:ind w:right="63"/>
              <w:rPr>
                <w:sz w:val="15"/>
              </w:rPr>
            </w:pPr>
            <w:r>
              <w:rPr>
                <w:sz w:val="15"/>
              </w:rPr>
              <w:t>4223700000</w:t>
            </w:r>
          </w:p>
        </w:tc>
        <w:tc>
          <w:tcPr>
            <w:tcW w:w="1739" w:type="dxa"/>
            <w:tcBorders>
              <w:top w:val="single" w:sz="4" w:space="0" w:color="000000"/>
              <w:left w:val="single" w:sz="4" w:space="0" w:color="000000"/>
            </w:tcBorders>
          </w:tcPr>
          <w:p>
            <w:pPr>
              <w:pStyle w:val="TableParagraph"/>
              <w:spacing w:before="5"/>
              <w:ind w:right="64"/>
              <w:rPr>
                <w:sz w:val="15"/>
              </w:rPr>
            </w:pPr>
            <w:r>
              <w:rPr>
                <w:sz w:val="15"/>
              </w:rPr>
              <w:t>33159846330</w:t>
            </w:r>
          </w:p>
        </w:tc>
        <w:tc>
          <w:tcPr>
            <w:tcW w:w="1739" w:type="dxa"/>
            <w:tcBorders>
              <w:top w:val="single" w:sz="4" w:space="0" w:color="000000"/>
              <w:right w:val="single" w:sz="4" w:space="0" w:color="000000"/>
            </w:tcBorders>
          </w:tcPr>
          <w:p>
            <w:pPr>
              <w:pStyle w:val="TableParagraph"/>
              <w:spacing w:before="5"/>
              <w:ind w:right="64"/>
              <w:rPr>
                <w:sz w:val="15"/>
              </w:rPr>
            </w:pPr>
            <w:r>
              <w:rPr>
                <w:w w:val="105"/>
                <w:sz w:val="15"/>
              </w:rPr>
              <w:t>15.00258665</w:t>
            </w:r>
          </w:p>
        </w:tc>
      </w:tr>
      <w:tr>
        <w:trPr>
          <w:trHeight w:val="412" w:hRule="exact"/>
        </w:trPr>
        <w:tc>
          <w:tcPr>
            <w:tcW w:w="1738" w:type="dxa"/>
            <w:tcBorders>
              <w:left w:val="single" w:sz="4" w:space="0" w:color="000000"/>
              <w:bottom w:val="single" w:sz="4" w:space="0" w:color="000000"/>
              <w:right w:val="single" w:sz="4" w:space="0" w:color="000000"/>
            </w:tcBorders>
          </w:tcPr>
          <w:p>
            <w:pPr>
              <w:pStyle w:val="TableParagraph"/>
              <w:spacing w:before="10"/>
              <w:ind w:left="688"/>
              <w:jc w:val="left"/>
              <w:rPr>
                <w:sz w:val="15"/>
              </w:rPr>
            </w:pPr>
            <w:r>
              <w:rPr>
                <w:w w:val="105"/>
                <w:sz w:val="15"/>
              </w:rPr>
              <w:t>1997</w:t>
            </w:r>
          </w:p>
        </w:tc>
        <w:tc>
          <w:tcPr>
            <w:tcW w:w="1738" w:type="dxa"/>
            <w:tcBorders>
              <w:left w:val="single" w:sz="4" w:space="0" w:color="000000"/>
              <w:bottom w:val="single" w:sz="4" w:space="0" w:color="000000"/>
              <w:right w:val="single" w:sz="4" w:space="0" w:color="000000"/>
            </w:tcBorders>
          </w:tcPr>
          <w:p>
            <w:pPr>
              <w:pStyle w:val="TableParagraph"/>
              <w:spacing w:before="10"/>
              <w:ind w:right="62"/>
              <w:rPr>
                <w:sz w:val="15"/>
              </w:rPr>
            </w:pPr>
            <w:r>
              <w:rPr>
                <w:sz w:val="15"/>
              </w:rPr>
              <w:t>8.083</w:t>
            </w:r>
          </w:p>
        </w:tc>
        <w:tc>
          <w:tcPr>
            <w:tcW w:w="1738" w:type="dxa"/>
            <w:tcBorders>
              <w:left w:val="single" w:sz="4" w:space="0" w:color="000000"/>
              <w:bottom w:val="single" w:sz="4" w:space="0" w:color="000000"/>
              <w:right w:val="single" w:sz="4" w:space="0" w:color="000000"/>
            </w:tcBorders>
          </w:tcPr>
          <w:p>
            <w:pPr>
              <w:pStyle w:val="TableParagraph"/>
              <w:spacing w:before="10"/>
              <w:ind w:right="63"/>
              <w:rPr>
                <w:sz w:val="15"/>
              </w:rPr>
            </w:pPr>
            <w:r>
              <w:rPr>
                <w:sz w:val="15"/>
              </w:rPr>
              <w:t>4864800000</w:t>
            </w:r>
          </w:p>
        </w:tc>
        <w:tc>
          <w:tcPr>
            <w:tcW w:w="1739" w:type="dxa"/>
            <w:tcBorders>
              <w:left w:val="single" w:sz="4" w:space="0" w:color="000000"/>
              <w:bottom w:val="single" w:sz="4" w:space="0" w:color="000000"/>
            </w:tcBorders>
          </w:tcPr>
          <w:p>
            <w:pPr>
              <w:pStyle w:val="TableParagraph"/>
              <w:spacing w:before="10"/>
              <w:ind w:right="64"/>
              <w:rPr>
                <w:sz w:val="15"/>
              </w:rPr>
            </w:pPr>
            <w:r>
              <w:rPr>
                <w:sz w:val="15"/>
              </w:rPr>
              <w:t>39323637840</w:t>
            </w:r>
          </w:p>
        </w:tc>
        <w:tc>
          <w:tcPr>
            <w:tcW w:w="1739" w:type="dxa"/>
            <w:tcBorders>
              <w:bottom w:val="single" w:sz="4" w:space="0" w:color="000000"/>
              <w:right w:val="single" w:sz="4" w:space="0" w:color="000000"/>
            </w:tcBorders>
          </w:tcPr>
          <w:p>
            <w:pPr>
              <w:pStyle w:val="TableParagraph"/>
              <w:spacing w:before="10"/>
              <w:ind w:right="64"/>
              <w:rPr>
                <w:sz w:val="15"/>
              </w:rPr>
            </w:pPr>
            <w:r>
              <w:rPr>
                <w:w w:val="105"/>
                <w:sz w:val="15"/>
              </w:rPr>
              <w:t>15.17863485</w:t>
            </w:r>
          </w:p>
        </w:tc>
      </w:tr>
      <w:tr>
        <w:trPr>
          <w:trHeight w:val="410" w:hRule="exact"/>
        </w:trPr>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left="688"/>
              <w:jc w:val="left"/>
              <w:rPr>
                <w:sz w:val="15"/>
              </w:rPr>
            </w:pPr>
            <w:r>
              <w:rPr>
                <w:w w:val="105"/>
                <w:sz w:val="15"/>
              </w:rPr>
              <w:t>1998</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5"/>
              </w:rPr>
            </w:pPr>
            <w:r>
              <w:rPr>
                <w:sz w:val="15"/>
              </w:rPr>
              <w:t>9.865</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3"/>
              <w:rPr>
                <w:sz w:val="15"/>
              </w:rPr>
            </w:pPr>
            <w:r>
              <w:rPr>
                <w:sz w:val="15"/>
              </w:rPr>
              <w:t>5626900000</w:t>
            </w:r>
          </w:p>
        </w:tc>
        <w:tc>
          <w:tcPr>
            <w:tcW w:w="1739" w:type="dxa"/>
            <w:tcBorders>
              <w:top w:val="single" w:sz="4" w:space="0" w:color="000000"/>
              <w:left w:val="single" w:sz="4" w:space="0" w:color="000000"/>
              <w:bottom w:val="single" w:sz="4" w:space="0" w:color="000000"/>
            </w:tcBorders>
          </w:tcPr>
          <w:p>
            <w:pPr>
              <w:pStyle w:val="TableParagraph"/>
              <w:spacing w:before="5"/>
              <w:ind w:right="64"/>
              <w:rPr>
                <w:sz w:val="15"/>
              </w:rPr>
            </w:pPr>
            <w:r>
              <w:rPr>
                <w:sz w:val="15"/>
              </w:rPr>
              <w:t>55509368500</w:t>
            </w:r>
          </w:p>
        </w:tc>
        <w:tc>
          <w:tcPr>
            <w:tcW w:w="1739" w:type="dxa"/>
            <w:tcBorders>
              <w:top w:val="single" w:sz="4" w:space="0" w:color="000000"/>
              <w:bottom w:val="single" w:sz="4" w:space="0" w:color="000000"/>
              <w:right w:val="single" w:sz="4" w:space="0" w:color="000000"/>
            </w:tcBorders>
          </w:tcPr>
          <w:p>
            <w:pPr>
              <w:pStyle w:val="TableParagraph"/>
              <w:spacing w:before="5"/>
              <w:ind w:right="64"/>
              <w:rPr>
                <w:sz w:val="15"/>
              </w:rPr>
            </w:pPr>
            <w:r>
              <w:rPr>
                <w:w w:val="105"/>
                <w:sz w:val="15"/>
              </w:rPr>
              <w:t>15.66559776</w:t>
            </w:r>
          </w:p>
        </w:tc>
      </w:tr>
      <w:tr>
        <w:trPr>
          <w:trHeight w:val="409" w:hRule="exact"/>
        </w:trPr>
        <w:tc>
          <w:tcPr>
            <w:tcW w:w="1738" w:type="dxa"/>
            <w:tcBorders>
              <w:top w:val="single" w:sz="4" w:space="0" w:color="000000"/>
              <w:left w:val="single" w:sz="4" w:space="0" w:color="000000"/>
              <w:right w:val="single" w:sz="4" w:space="0" w:color="000000"/>
            </w:tcBorders>
          </w:tcPr>
          <w:p>
            <w:pPr>
              <w:pStyle w:val="TableParagraph"/>
              <w:spacing w:before="5"/>
              <w:ind w:left="688"/>
              <w:jc w:val="left"/>
              <w:rPr>
                <w:sz w:val="15"/>
              </w:rPr>
            </w:pPr>
            <w:r>
              <w:rPr>
                <w:w w:val="105"/>
                <w:sz w:val="15"/>
              </w:rPr>
              <w:t>1999</w:t>
            </w:r>
          </w:p>
        </w:tc>
        <w:tc>
          <w:tcPr>
            <w:tcW w:w="1738" w:type="dxa"/>
            <w:tcBorders>
              <w:top w:val="single" w:sz="4" w:space="0" w:color="000000"/>
              <w:left w:val="single" w:sz="4" w:space="0" w:color="000000"/>
              <w:right w:val="single" w:sz="4" w:space="0" w:color="000000"/>
            </w:tcBorders>
          </w:tcPr>
          <w:p>
            <w:pPr>
              <w:pStyle w:val="TableParagraph"/>
              <w:spacing w:before="5"/>
              <w:ind w:right="62"/>
              <w:rPr>
                <w:sz w:val="15"/>
              </w:rPr>
            </w:pPr>
            <w:r>
              <w:rPr>
                <w:sz w:val="15"/>
              </w:rPr>
              <w:t>9.514</w:t>
            </w:r>
          </w:p>
        </w:tc>
        <w:tc>
          <w:tcPr>
            <w:tcW w:w="1738" w:type="dxa"/>
            <w:tcBorders>
              <w:top w:val="single" w:sz="4" w:space="0" w:color="000000"/>
              <w:left w:val="single" w:sz="4" w:space="0" w:color="000000"/>
              <w:right w:val="single" w:sz="4" w:space="0" w:color="000000"/>
            </w:tcBorders>
          </w:tcPr>
          <w:p>
            <w:pPr>
              <w:pStyle w:val="TableParagraph"/>
              <w:spacing w:before="5"/>
              <w:ind w:right="63"/>
              <w:rPr>
                <w:sz w:val="15"/>
              </w:rPr>
            </w:pPr>
            <w:r>
              <w:rPr>
                <w:sz w:val="15"/>
              </w:rPr>
              <w:t>5909600000</w:t>
            </w:r>
          </w:p>
        </w:tc>
        <w:tc>
          <w:tcPr>
            <w:tcW w:w="1739" w:type="dxa"/>
            <w:tcBorders>
              <w:top w:val="single" w:sz="4" w:space="0" w:color="000000"/>
              <w:left w:val="single" w:sz="4" w:space="0" w:color="000000"/>
            </w:tcBorders>
          </w:tcPr>
          <w:p>
            <w:pPr>
              <w:pStyle w:val="TableParagraph"/>
              <w:spacing w:before="5"/>
              <w:ind w:right="64"/>
              <w:rPr>
                <w:sz w:val="15"/>
              </w:rPr>
            </w:pPr>
            <w:r>
              <w:rPr>
                <w:sz w:val="15"/>
              </w:rPr>
              <w:t>56225707280</w:t>
            </w:r>
          </w:p>
        </w:tc>
        <w:tc>
          <w:tcPr>
            <w:tcW w:w="1739" w:type="dxa"/>
            <w:tcBorders>
              <w:top w:val="single" w:sz="4" w:space="0" w:color="000000"/>
              <w:right w:val="single" w:sz="4" w:space="0" w:color="000000"/>
            </w:tcBorders>
          </w:tcPr>
          <w:p>
            <w:pPr>
              <w:pStyle w:val="TableParagraph"/>
              <w:spacing w:before="5"/>
              <w:ind w:right="64"/>
              <w:rPr>
                <w:sz w:val="15"/>
              </w:rPr>
            </w:pPr>
            <w:r>
              <w:rPr>
                <w:w w:val="105"/>
                <w:sz w:val="15"/>
              </w:rPr>
              <w:t>5.024080755</w:t>
            </w:r>
          </w:p>
        </w:tc>
      </w:tr>
      <w:tr>
        <w:trPr>
          <w:trHeight w:val="412" w:hRule="exact"/>
        </w:trPr>
        <w:tc>
          <w:tcPr>
            <w:tcW w:w="1738" w:type="dxa"/>
            <w:tcBorders>
              <w:left w:val="single" w:sz="4" w:space="0" w:color="000000"/>
              <w:bottom w:val="single" w:sz="4" w:space="0" w:color="000000"/>
              <w:right w:val="single" w:sz="4" w:space="0" w:color="000000"/>
            </w:tcBorders>
          </w:tcPr>
          <w:p>
            <w:pPr>
              <w:pStyle w:val="TableParagraph"/>
              <w:spacing w:before="10"/>
              <w:ind w:left="688"/>
              <w:jc w:val="left"/>
              <w:rPr>
                <w:sz w:val="15"/>
              </w:rPr>
            </w:pPr>
            <w:r>
              <w:rPr>
                <w:w w:val="105"/>
                <w:sz w:val="15"/>
              </w:rPr>
              <w:t>2000</w:t>
            </w:r>
          </w:p>
        </w:tc>
        <w:tc>
          <w:tcPr>
            <w:tcW w:w="1738" w:type="dxa"/>
            <w:tcBorders>
              <w:left w:val="single" w:sz="4" w:space="0" w:color="000000"/>
              <w:bottom w:val="single" w:sz="4" w:space="0" w:color="000000"/>
              <w:right w:val="single" w:sz="4" w:space="0" w:color="000000"/>
            </w:tcBorders>
          </w:tcPr>
          <w:p>
            <w:pPr>
              <w:pStyle w:val="TableParagraph"/>
              <w:spacing w:before="10"/>
              <w:ind w:right="62"/>
              <w:rPr>
                <w:sz w:val="15"/>
              </w:rPr>
            </w:pPr>
            <w:r>
              <w:rPr>
                <w:sz w:val="15"/>
              </w:rPr>
              <w:t>9.572</w:t>
            </w:r>
          </w:p>
        </w:tc>
        <w:tc>
          <w:tcPr>
            <w:tcW w:w="1738" w:type="dxa"/>
            <w:tcBorders>
              <w:left w:val="single" w:sz="4" w:space="0" w:color="000000"/>
              <w:bottom w:val="single" w:sz="4" w:space="0" w:color="000000"/>
              <w:right w:val="single" w:sz="4" w:space="0" w:color="000000"/>
            </w:tcBorders>
          </w:tcPr>
          <w:p>
            <w:pPr>
              <w:pStyle w:val="TableParagraph"/>
              <w:spacing w:before="10"/>
              <w:ind w:right="63"/>
              <w:rPr>
                <w:sz w:val="15"/>
              </w:rPr>
            </w:pPr>
            <w:r>
              <w:rPr>
                <w:sz w:val="15"/>
              </w:rPr>
              <w:t>6572500000</w:t>
            </w:r>
          </w:p>
        </w:tc>
        <w:tc>
          <w:tcPr>
            <w:tcW w:w="1739" w:type="dxa"/>
            <w:tcBorders>
              <w:left w:val="single" w:sz="4" w:space="0" w:color="000000"/>
              <w:bottom w:val="single" w:sz="4" w:space="0" w:color="000000"/>
            </w:tcBorders>
          </w:tcPr>
          <w:p>
            <w:pPr>
              <w:pStyle w:val="TableParagraph"/>
              <w:spacing w:before="10"/>
              <w:ind w:right="64"/>
              <w:rPr>
                <w:sz w:val="15"/>
              </w:rPr>
            </w:pPr>
            <w:r>
              <w:rPr>
                <w:sz w:val="15"/>
              </w:rPr>
              <w:t>62913284500</w:t>
            </w:r>
          </w:p>
        </w:tc>
        <w:tc>
          <w:tcPr>
            <w:tcW w:w="1739" w:type="dxa"/>
            <w:tcBorders>
              <w:bottom w:val="single" w:sz="4" w:space="0" w:color="000000"/>
              <w:right w:val="single" w:sz="4" w:space="0" w:color="000000"/>
            </w:tcBorders>
          </w:tcPr>
          <w:p>
            <w:pPr>
              <w:pStyle w:val="TableParagraph"/>
              <w:spacing w:before="10"/>
              <w:ind w:right="64"/>
              <w:rPr>
                <w:sz w:val="15"/>
              </w:rPr>
            </w:pPr>
            <w:r>
              <w:rPr>
                <w:w w:val="105"/>
                <w:sz w:val="15"/>
              </w:rPr>
              <w:t>11.21734128</w:t>
            </w:r>
          </w:p>
        </w:tc>
      </w:tr>
      <w:tr>
        <w:trPr>
          <w:trHeight w:val="410" w:hRule="exact"/>
        </w:trPr>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left="688"/>
              <w:jc w:val="left"/>
              <w:rPr>
                <w:sz w:val="15"/>
              </w:rPr>
            </w:pPr>
            <w:r>
              <w:rPr>
                <w:w w:val="105"/>
                <w:sz w:val="15"/>
              </w:rPr>
              <w:t>2001</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5"/>
              </w:rPr>
            </w:pPr>
            <w:r>
              <w:rPr>
                <w:sz w:val="15"/>
              </w:rPr>
              <w:t>9.142</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3"/>
              <w:rPr>
                <w:sz w:val="15"/>
              </w:rPr>
            </w:pPr>
            <w:r>
              <w:rPr>
                <w:sz w:val="15"/>
              </w:rPr>
              <w:t>8895200000</w:t>
            </w:r>
          </w:p>
        </w:tc>
        <w:tc>
          <w:tcPr>
            <w:tcW w:w="1739" w:type="dxa"/>
            <w:tcBorders>
              <w:top w:val="single" w:sz="4" w:space="0" w:color="000000"/>
              <w:left w:val="single" w:sz="4" w:space="0" w:color="000000"/>
              <w:bottom w:val="single" w:sz="4" w:space="0" w:color="000000"/>
            </w:tcBorders>
          </w:tcPr>
          <w:p>
            <w:pPr>
              <w:pStyle w:val="TableParagraph"/>
              <w:spacing w:before="5"/>
              <w:ind w:right="64"/>
              <w:rPr>
                <w:sz w:val="15"/>
              </w:rPr>
            </w:pPr>
            <w:r>
              <w:rPr>
                <w:sz w:val="15"/>
              </w:rPr>
              <w:t>81322586960</w:t>
            </w:r>
          </w:p>
        </w:tc>
        <w:tc>
          <w:tcPr>
            <w:tcW w:w="1739" w:type="dxa"/>
            <w:tcBorders>
              <w:top w:val="single" w:sz="4" w:space="0" w:color="000000"/>
              <w:bottom w:val="single" w:sz="4" w:space="0" w:color="000000"/>
              <w:right w:val="single" w:sz="4" w:space="0" w:color="000000"/>
            </w:tcBorders>
          </w:tcPr>
          <w:p>
            <w:pPr>
              <w:pStyle w:val="TableParagraph"/>
              <w:spacing w:before="5"/>
              <w:ind w:right="64"/>
              <w:rPr>
                <w:sz w:val="15"/>
              </w:rPr>
            </w:pPr>
            <w:r>
              <w:rPr>
                <w:w w:val="105"/>
                <w:sz w:val="15"/>
              </w:rPr>
              <w:t>35.33967288</w:t>
            </w:r>
          </w:p>
        </w:tc>
      </w:tr>
      <w:tr>
        <w:trPr>
          <w:trHeight w:val="408" w:hRule="exact"/>
        </w:trPr>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left="688"/>
              <w:jc w:val="left"/>
              <w:rPr>
                <w:sz w:val="15"/>
              </w:rPr>
            </w:pPr>
            <w:r>
              <w:rPr>
                <w:w w:val="105"/>
                <w:sz w:val="15"/>
              </w:rPr>
              <w:t>2002</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5"/>
              </w:rPr>
            </w:pPr>
            <w:r>
              <w:rPr>
                <w:sz w:val="15"/>
              </w:rPr>
              <w:t>10.313</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3"/>
              <w:rPr>
                <w:sz w:val="15"/>
              </w:rPr>
            </w:pPr>
            <w:r>
              <w:rPr>
                <w:sz w:val="15"/>
              </w:rPr>
              <w:t>9814400000</w:t>
            </w:r>
          </w:p>
        </w:tc>
        <w:tc>
          <w:tcPr>
            <w:tcW w:w="1739" w:type="dxa"/>
            <w:tcBorders>
              <w:top w:val="single" w:sz="4" w:space="0" w:color="000000"/>
              <w:left w:val="single" w:sz="4" w:space="0" w:color="000000"/>
              <w:bottom w:val="single" w:sz="4" w:space="0" w:color="000000"/>
            </w:tcBorders>
          </w:tcPr>
          <w:p>
            <w:pPr>
              <w:pStyle w:val="TableParagraph"/>
              <w:spacing w:before="5"/>
              <w:ind w:right="64"/>
              <w:rPr>
                <w:sz w:val="15"/>
              </w:rPr>
            </w:pPr>
            <w:r>
              <w:rPr>
                <w:sz w:val="15"/>
              </w:rPr>
              <w:t>101211000000</w:t>
            </w:r>
          </w:p>
        </w:tc>
        <w:tc>
          <w:tcPr>
            <w:tcW w:w="1739" w:type="dxa"/>
            <w:tcBorders>
              <w:top w:val="single" w:sz="4" w:space="0" w:color="000000"/>
              <w:bottom w:val="single" w:sz="4" w:space="0" w:color="000000"/>
              <w:right w:val="single" w:sz="4" w:space="0" w:color="000000"/>
            </w:tcBorders>
          </w:tcPr>
          <w:p>
            <w:pPr>
              <w:pStyle w:val="TableParagraph"/>
              <w:spacing w:before="5"/>
              <w:ind w:right="64"/>
              <w:rPr>
                <w:sz w:val="15"/>
              </w:rPr>
            </w:pPr>
            <w:r>
              <w:rPr>
                <w:w w:val="105"/>
                <w:sz w:val="15"/>
              </w:rPr>
              <w:t>10.3336631</w:t>
            </w:r>
          </w:p>
        </w:tc>
      </w:tr>
      <w:tr>
        <w:trPr>
          <w:trHeight w:val="413" w:hRule="exact"/>
        </w:trPr>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10"/>
              <w:ind w:left="688"/>
              <w:jc w:val="left"/>
              <w:rPr>
                <w:sz w:val="15"/>
              </w:rPr>
            </w:pPr>
            <w:r>
              <w:rPr>
                <w:w w:val="105"/>
                <w:sz w:val="15"/>
              </w:rPr>
              <w:t>2003</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10"/>
              <w:ind w:right="62"/>
              <w:rPr>
                <w:sz w:val="15"/>
              </w:rPr>
            </w:pPr>
            <w:r>
              <w:rPr>
                <w:sz w:val="15"/>
              </w:rPr>
              <w:t>11.236</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10"/>
              <w:ind w:right="61"/>
              <w:rPr>
                <w:sz w:val="15"/>
              </w:rPr>
            </w:pPr>
            <w:r>
              <w:rPr>
                <w:sz w:val="15"/>
              </w:rPr>
              <w:t>13396200000</w:t>
            </w:r>
          </w:p>
        </w:tc>
        <w:tc>
          <w:tcPr>
            <w:tcW w:w="1739" w:type="dxa"/>
            <w:tcBorders>
              <w:top w:val="single" w:sz="4" w:space="0" w:color="000000"/>
              <w:left w:val="single" w:sz="4" w:space="0" w:color="000000"/>
              <w:bottom w:val="single" w:sz="4" w:space="0" w:color="000000"/>
            </w:tcBorders>
          </w:tcPr>
          <w:p>
            <w:pPr>
              <w:pStyle w:val="TableParagraph"/>
              <w:spacing w:before="10"/>
              <w:ind w:right="64"/>
              <w:rPr>
                <w:sz w:val="15"/>
              </w:rPr>
            </w:pPr>
            <w:r>
              <w:rPr>
                <w:sz w:val="15"/>
              </w:rPr>
              <w:t>150519703200</w:t>
            </w:r>
          </w:p>
        </w:tc>
        <w:tc>
          <w:tcPr>
            <w:tcW w:w="1739" w:type="dxa"/>
            <w:tcBorders>
              <w:top w:val="single" w:sz="4" w:space="0" w:color="000000"/>
              <w:bottom w:val="single" w:sz="4" w:space="0" w:color="000000"/>
              <w:right w:val="single" w:sz="4" w:space="0" w:color="000000"/>
            </w:tcBorders>
          </w:tcPr>
          <w:p>
            <w:pPr>
              <w:pStyle w:val="TableParagraph"/>
              <w:spacing w:before="10"/>
              <w:ind w:right="64"/>
              <w:rPr>
                <w:sz w:val="15"/>
              </w:rPr>
            </w:pPr>
            <w:r>
              <w:rPr>
                <w:w w:val="105"/>
                <w:sz w:val="15"/>
              </w:rPr>
              <w:t>36.49535377</w:t>
            </w:r>
          </w:p>
        </w:tc>
      </w:tr>
      <w:tr>
        <w:trPr>
          <w:trHeight w:val="410" w:hRule="exact"/>
        </w:trPr>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left="688"/>
              <w:jc w:val="left"/>
              <w:rPr>
                <w:sz w:val="15"/>
              </w:rPr>
            </w:pPr>
            <w:r>
              <w:rPr>
                <w:w w:val="105"/>
                <w:sz w:val="15"/>
              </w:rPr>
              <w:t>2004</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5"/>
              </w:rPr>
            </w:pPr>
            <w:r>
              <w:rPr>
                <w:sz w:val="15"/>
              </w:rPr>
              <w:t>11.265</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1"/>
              <w:rPr>
                <w:sz w:val="15"/>
              </w:rPr>
            </w:pPr>
            <w:r>
              <w:rPr>
                <w:sz w:val="15"/>
              </w:rPr>
              <w:t>16612700000</w:t>
            </w:r>
          </w:p>
        </w:tc>
        <w:tc>
          <w:tcPr>
            <w:tcW w:w="1739" w:type="dxa"/>
            <w:tcBorders>
              <w:top w:val="single" w:sz="4" w:space="0" w:color="000000"/>
              <w:left w:val="single" w:sz="4" w:space="0" w:color="000000"/>
              <w:bottom w:val="single" w:sz="4" w:space="0" w:color="000000"/>
            </w:tcBorders>
          </w:tcPr>
          <w:p>
            <w:pPr>
              <w:pStyle w:val="TableParagraph"/>
              <w:spacing w:before="5"/>
              <w:ind w:right="64"/>
              <w:rPr>
                <w:sz w:val="15"/>
              </w:rPr>
            </w:pPr>
            <w:r>
              <w:rPr>
                <w:sz w:val="15"/>
              </w:rPr>
              <w:t>187138742960</w:t>
            </w:r>
          </w:p>
        </w:tc>
        <w:tc>
          <w:tcPr>
            <w:tcW w:w="1739" w:type="dxa"/>
            <w:tcBorders>
              <w:top w:val="single" w:sz="4" w:space="0" w:color="000000"/>
              <w:bottom w:val="single" w:sz="4" w:space="0" w:color="000000"/>
              <w:right w:val="single" w:sz="4" w:space="0" w:color="000000"/>
            </w:tcBorders>
          </w:tcPr>
          <w:p>
            <w:pPr>
              <w:pStyle w:val="TableParagraph"/>
              <w:spacing w:before="5"/>
              <w:ind w:right="64"/>
              <w:rPr>
                <w:sz w:val="15"/>
              </w:rPr>
            </w:pPr>
            <w:r>
              <w:rPr>
                <w:w w:val="105"/>
                <w:sz w:val="15"/>
              </w:rPr>
              <w:t>24.0105403</w:t>
            </w:r>
          </w:p>
        </w:tc>
      </w:tr>
      <w:tr>
        <w:trPr>
          <w:trHeight w:val="410" w:hRule="exact"/>
        </w:trPr>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left="688"/>
              <w:jc w:val="left"/>
              <w:rPr>
                <w:sz w:val="15"/>
              </w:rPr>
            </w:pPr>
            <w:r>
              <w:rPr>
                <w:w w:val="105"/>
                <w:sz w:val="15"/>
              </w:rPr>
              <w:t>2005</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5"/>
              </w:rPr>
            </w:pPr>
            <w:r>
              <w:rPr>
                <w:sz w:val="15"/>
              </w:rPr>
              <w:t>10.778</w:t>
            </w:r>
          </w:p>
        </w:tc>
        <w:tc>
          <w:tcPr>
            <w:tcW w:w="1738" w:type="dxa"/>
            <w:tcBorders>
              <w:top w:val="single" w:sz="4" w:space="0" w:color="000000"/>
              <w:left w:val="single" w:sz="4" w:space="0" w:color="000000"/>
              <w:bottom w:val="single" w:sz="4" w:space="0" w:color="000000"/>
              <w:right w:val="single" w:sz="4" w:space="0" w:color="000000"/>
            </w:tcBorders>
          </w:tcPr>
          <w:p>
            <w:pPr>
              <w:pStyle w:val="TableParagraph"/>
              <w:spacing w:before="5"/>
              <w:ind w:right="61"/>
              <w:rPr>
                <w:sz w:val="15"/>
              </w:rPr>
            </w:pPr>
            <w:r>
              <w:rPr>
                <w:sz w:val="15"/>
              </w:rPr>
              <w:t>20034800000</w:t>
            </w:r>
          </w:p>
        </w:tc>
        <w:tc>
          <w:tcPr>
            <w:tcW w:w="1739" w:type="dxa"/>
            <w:tcBorders>
              <w:top w:val="single" w:sz="4" w:space="0" w:color="000000"/>
              <w:left w:val="single" w:sz="4" w:space="0" w:color="000000"/>
              <w:bottom w:val="single" w:sz="4" w:space="0" w:color="000000"/>
            </w:tcBorders>
          </w:tcPr>
          <w:p>
            <w:pPr>
              <w:pStyle w:val="TableParagraph"/>
              <w:spacing w:before="5"/>
              <w:ind w:right="64"/>
              <w:rPr>
                <w:sz w:val="15"/>
              </w:rPr>
            </w:pPr>
            <w:r>
              <w:rPr>
                <w:sz w:val="15"/>
              </w:rPr>
              <w:t>215929063960</w:t>
            </w:r>
          </w:p>
        </w:tc>
        <w:tc>
          <w:tcPr>
            <w:tcW w:w="1739" w:type="dxa"/>
            <w:tcBorders>
              <w:top w:val="single" w:sz="4" w:space="0" w:color="000000"/>
              <w:bottom w:val="single" w:sz="4" w:space="0" w:color="000000"/>
              <w:right w:val="single" w:sz="4" w:space="0" w:color="000000"/>
            </w:tcBorders>
          </w:tcPr>
          <w:p>
            <w:pPr>
              <w:pStyle w:val="TableParagraph"/>
              <w:spacing w:before="5"/>
              <w:ind w:right="64"/>
              <w:rPr>
                <w:sz w:val="15"/>
              </w:rPr>
            </w:pPr>
            <w:r>
              <w:rPr>
                <w:w w:val="105"/>
                <w:sz w:val="15"/>
              </w:rPr>
              <w:t>20.59930054</w:t>
            </w:r>
          </w:p>
        </w:tc>
      </w:tr>
    </w:tbl>
    <w:p>
      <w:pPr>
        <w:tabs>
          <w:tab w:pos="1152" w:val="left" w:leader="none"/>
          <w:tab w:pos="2535" w:val="left" w:leader="none"/>
          <w:tab w:pos="3382" w:val="left" w:leader="none"/>
          <w:tab w:pos="3980" w:val="left" w:leader="none"/>
          <w:tab w:pos="4755" w:val="left" w:leader="none"/>
          <w:tab w:pos="5290" w:val="left" w:leader="none"/>
          <w:tab w:pos="6150" w:val="left" w:leader="none"/>
          <w:tab w:pos="6637" w:val="left" w:leader="none"/>
          <w:tab w:pos="7625" w:val="left" w:leader="none"/>
        </w:tabs>
        <w:spacing w:line="280" w:lineRule="auto" w:before="2"/>
        <w:ind w:left="175" w:right="183" w:firstLine="0"/>
        <w:jc w:val="left"/>
        <w:rPr>
          <w:sz w:val="21"/>
        </w:rPr>
      </w:pPr>
      <w:r>
        <w:rPr>
          <w:sz w:val="21"/>
        </w:rPr>
        <w:t>Fuente:</w:t>
        <w:tab/>
        <w:t>Elaboración</w:t>
        <w:tab/>
        <w:t>propia</w:t>
        <w:tab/>
        <w:t>con</w:t>
        <w:tab/>
        <w:t>datos</w:t>
        <w:tab/>
        <w:t>del</w:t>
        <w:tab/>
        <w:t>Banco</w:t>
        <w:tab/>
        <w:t>de</w:t>
        <w:tab/>
        <w:t>México.</w:t>
        <w:tab/>
      </w:r>
      <w:r>
        <w:rPr>
          <w:spacing w:val="-1"/>
          <w:sz w:val="21"/>
        </w:rPr>
        <w:t>Indicadores </w:t>
      </w:r>
      <w:r>
        <w:rPr>
          <w:sz w:val="21"/>
        </w:rPr>
        <w:t>económicos/Remesas Familiares; información disponible en la página </w:t>
      </w:r>
      <w:r>
        <w:rPr>
          <w:spacing w:val="58"/>
          <w:sz w:val="21"/>
        </w:rPr>
        <w:t> </w:t>
      </w:r>
      <w:r>
        <w:rPr>
          <w:sz w:val="21"/>
        </w:rPr>
        <w:t>electrónica.</w:t>
      </w:r>
    </w:p>
    <w:p>
      <w:pPr>
        <w:spacing w:after="0" w:line="280" w:lineRule="auto"/>
        <w:jc w:val="left"/>
        <w:rPr>
          <w:sz w:val="21"/>
        </w:rPr>
        <w:sectPr>
          <w:pgSz w:w="11900" w:h="16840"/>
          <w:pgMar w:header="0" w:footer="1679" w:top="1600" w:bottom="1860" w:left="1480" w:right="1500"/>
        </w:sectPr>
      </w:pPr>
    </w:p>
    <w:p>
      <w:pPr>
        <w:pStyle w:val="BodyText"/>
        <w:rPr>
          <w:sz w:val="20"/>
        </w:rPr>
      </w:pPr>
    </w:p>
    <w:p>
      <w:pPr>
        <w:pStyle w:val="BodyText"/>
        <w:spacing w:before="7"/>
        <w:rPr>
          <w:sz w:val="16"/>
        </w:rPr>
      </w:pPr>
    </w:p>
    <w:p>
      <w:pPr>
        <w:pStyle w:val="BodyText"/>
        <w:spacing w:line="364" w:lineRule="auto" w:before="74"/>
        <w:ind w:left="115" w:right="105"/>
        <w:jc w:val="both"/>
      </w:pPr>
      <w:r>
        <w:rPr/>
        <w:t>Se tiene que al cierre del 2003, las remesas familiares que los trabajadores migrantes enviaron a sus familiares en México alcanzaron el monto récord de 13  mil 396.2 millones de dólares, que significó un incremento del 36.49% respecto    del año 2002 (ver cuadro 3). Este resultado refleja por un lado, una  mejor  cobertura contable de las transacciones de remesas y, por otro  lado,  que  un mayor número de emigrantes efectuaron envíos de recursos a sus familiares en México.</w:t>
      </w:r>
    </w:p>
    <w:p>
      <w:pPr>
        <w:pStyle w:val="BodyText"/>
        <w:rPr>
          <w:sz w:val="22"/>
        </w:rPr>
      </w:pPr>
    </w:p>
    <w:p>
      <w:pPr>
        <w:pStyle w:val="BodyText"/>
        <w:rPr>
          <w:sz w:val="22"/>
        </w:rPr>
      </w:pPr>
    </w:p>
    <w:p>
      <w:pPr>
        <w:pStyle w:val="BodyText"/>
        <w:spacing w:before="3"/>
        <w:rPr>
          <w:sz w:val="25"/>
        </w:rPr>
      </w:pPr>
    </w:p>
    <w:p>
      <w:pPr>
        <w:pStyle w:val="Heading4"/>
        <w:ind w:left="115"/>
        <w:jc w:val="both"/>
      </w:pPr>
      <w:r>
        <w:rPr/>
        <w:t>Las remesas en el contexto nacional, movimientos y  desplazamientos</w:t>
      </w:r>
    </w:p>
    <w:p>
      <w:pPr>
        <w:pStyle w:val="BodyText"/>
        <w:spacing w:before="2"/>
        <w:rPr>
          <w:b/>
          <w:sz w:val="29"/>
        </w:rPr>
      </w:pPr>
    </w:p>
    <w:p>
      <w:pPr>
        <w:pStyle w:val="BodyText"/>
        <w:spacing w:line="364" w:lineRule="auto"/>
        <w:ind w:left="115" w:right="105"/>
        <w:jc w:val="both"/>
      </w:pPr>
      <w:r>
        <w:rPr/>
        <w:t>El año 2001 fue esencial para los ingresos por remesas, comienza a desplazar a  los ingresos por turismo por un monto no mayor de 494.6 millones de dólares, ubicándose en tercer lugar, pues todavía la inversión extranjera directa se coloco en ese año como el principal rubro de ingreso en el país, superando por 14,044.2 millones de dólares a los ingresos por petróleo, así como en 18,442.6 millones de dólares a los ingresos por remesas y en 17,948 millones de dólares a los ingresos por turismo, por lo que comenzaba a mostrarse la gran importancia de este rubro, ya para el año 2003, consolida su importancia, pues desplaza tanto al ingreso por turismo en 3,939 millones de dólares, como a la Inversión Extranjera Directa por   un monto de 2,612.7 millones de dólares respectivamente, siendo desde este año la segunda fuente generadora de divisas, después de los ingresos por exportación petrolera (ver figura</w:t>
      </w:r>
      <w:r>
        <w:rPr>
          <w:spacing w:val="26"/>
        </w:rPr>
        <w:t> </w:t>
      </w:r>
      <w:r>
        <w:rPr/>
        <w:t>10).</w:t>
      </w:r>
    </w:p>
    <w:p>
      <w:pPr>
        <w:spacing w:after="0" w:line="364" w:lineRule="auto"/>
        <w:jc w:val="both"/>
        <w:sectPr>
          <w:footerReference w:type="default" r:id="rId134"/>
          <w:pgSz w:w="11900" w:h="16840"/>
          <w:pgMar w:footer="1679" w:header="0" w:top="1600" w:bottom="1860" w:left="1540" w:right="1580"/>
          <w:pgNumType w:start="130"/>
        </w:sectPr>
      </w:pPr>
    </w:p>
    <w:p>
      <w:pPr>
        <w:pStyle w:val="BodyText"/>
        <w:rPr>
          <w:sz w:val="20"/>
        </w:rPr>
      </w:pPr>
    </w:p>
    <w:p>
      <w:pPr>
        <w:pStyle w:val="BodyText"/>
        <w:spacing w:before="5"/>
        <w:rPr>
          <w:sz w:val="16"/>
        </w:rPr>
      </w:pPr>
    </w:p>
    <w:p>
      <w:pPr>
        <w:pStyle w:val="Heading4"/>
        <w:spacing w:line="280" w:lineRule="auto" w:before="74"/>
        <w:ind w:left="178" w:right="1752" w:firstLine="2"/>
        <w:jc w:val="center"/>
      </w:pPr>
      <w:r>
        <w:rPr/>
        <w:pict>
          <v:group style="position:absolute;margin-left:85.740005pt;margin-top:62.185932pt;width:441.5pt;height:220pt;mso-position-horizontal-relative:page;mso-position-vertical-relative:paragraph;z-index:5416" coordorigin="1715,1244" coordsize="8830,4400">
            <v:rect style="position:absolute;left:1721;top:1250;width:8818;height:4387" filled="false" stroked="true" strokeweight=".567723pt" strokecolor="#000000"/>
            <v:shape style="position:absolute;left:3000;top:1480;width:7207;height:3146" type="#_x0000_t75" stroked="false">
              <v:imagedata r:id="rId135" o:title=""/>
            </v:shape>
            <v:shape style="position:absolute;left:22707;top:109246;width:54614;height:29137" coordorigin="22707,109246" coordsize="54614,29137" path="m10207,1478l10207,4624m10207,4624l2998,4624m2998,4624l2998,1478e" filled="false" stroked="true" strokeweight=".6042pt" strokecolor="#ffffff">
              <v:path arrowok="t"/>
            </v:shape>
            <v:shape style="position:absolute;left:24540;top:-96372;width:60520;height:26580" coordorigin="24540,-96372" coordsize="60520,26580" path="m2998,1478l2998,4624m2945,4624l2998,4624m2945,4101l2998,4101m2945,3580l2998,3580m2945,3057l2998,3057m2945,2524l2998,2524m2945,2001l2998,2001m2945,1478l2998,1478m2998,4624l10207,4624m2998,4667l2998,4624m3797,4667l3797,4624m4594,4667l4594,4624m5405,4667l5405,4624m6204,4667l6204,4624m7001,4667l7001,4624m7800,4667l7800,4624m8611,4667l8611,4624m9408,4667l9408,4624m10207,4667l10207,4624e" filled="false" stroked="true" strokeweight=".12pt" strokecolor="#000000">
              <v:path arrowok="t"/>
            </v:shape>
            <v:shape style="position:absolute;left:28761;top:111669;width:42506;height:13713" coordorigin="28761,111669" coordsize="42506,13713" path="m3797,4363l3996,4353,4195,4341m4195,4341l4394,4319,4594,4298m4594,4298l4793,4286,5006,4276m5006,4276l5405,4264m5405,4264l5604,4255,5803,4243m5803,4243l6005,4211,6204,4178m6204,4178l6602,4113m6602,4113l6802,4070,7001,4036m7001,4036l7200,4015,7399,4005m7399,4005l7601,3981,7692,3971,7800,3938m7800,3938l7853,3916,7894,3885,7999,3818,8093,3743,8198,3688m8198,3688l8251,3667,8304,3655,8398,3645,8503,3633,8558,3611,8611,3590m8611,3590l8664,3559,8717,3513,8810,3417,8916,3319,9010,3220m9010,3220l9209,3045,9408,2882e" filled="false" stroked="true" strokeweight="1.812601pt" strokecolor="#00007f">
              <v:path arrowok="t"/>
            </v:shape>
            <v:shape style="position:absolute;left:28761;top:116203;width:24271;height:4623" coordorigin="28761,116203" coordsize="24271,4623" path="m3797,3568l3890,3623,3996,3679,4090,3731,4195,3765m4195,3765l4289,3775,4394,3765,4488,3753,4594,3753m4594,3753l4702,3775,4793,3796,4901,3830,5006,3851m5006,3851l5206,3863,5405,3842m5405,3842l5498,3830,5604,3808,5698,3787,5803,3743m5803,3743l5858,3710,5897,3667,6005,3568,6058,3513,6096,3470,6151,3427,6204,3405m6204,3405l6298,3383,6403,3374,6497,3395,6602,3439m6602,3439l6655,3482,6696,3537,6749,3602,6802,3679,6854,3743,6895,3808,6948,3851,7001,3873e" filled="false" stroked="true" strokeweight="1.812601pt" strokecolor="#ff00ff">
              <v:path arrowok="t"/>
            </v:shape>
            <v:shape style="position:absolute;left:6983;top:3562;width:434;height:329" type="#_x0000_t75" stroked="false">
              <v:imagedata r:id="rId136" o:title=""/>
            </v:shape>
            <v:shape style="position:absolute;left:7399;top:2906;width:401;height:675" coordorigin="7399,2906" coordsize="401,675" path="m7399,3580l7454,3503,7493,3417,7546,3307,7601,3199,7654,3100,7692,3014,7747,2937,7774,2915,7800,2906e" filled="false" stroked="true" strokeweight="1.899322pt" strokecolor="#ff00ff">
              <v:path arrowok="t"/>
            </v:shape>
            <v:shape style="position:absolute;left:7782;top:2887;width:435;height:416" type="#_x0000_t75" stroked="false">
              <v:imagedata r:id="rId137" o:title=""/>
            </v:shape>
            <v:shape style="position:absolute;left:62103;top:121537;width:9163;height:10690" coordorigin="62103,121537" coordsize="9163,10690" path="m8198,3285l8251,3297,8304,3285,8357,3275,8398,3254,8503,3187,8611,3112m8611,3112l8717,3023,8810,2906,8916,2786,9010,2666m9010,2666l9103,2546,9209,2404,9408,2143e" filled="false" stroked="true" strokeweight="1.812601pt" strokecolor="#ff00ff">
              <v:path arrowok="t"/>
            </v:shape>
            <v:shape style="position:absolute;left:28761;top:111758;width:12181;height:8179" coordorigin="28761,111758" coordsize="12181,8179" path="m3797,4353l3890,4286,3996,4221,4090,4156,4142,4135,4195,4123m4195,4123l4248,4113,4289,4113,4394,4135,4488,4156,4594,4168m4594,4168l4646,4178,4702,4190,4793,4211,4848,4221,4901,4221,4954,4199,5006,4168m5006,4168l5033,4147,5059,4113,5112,4027,5153,3916,5206,3808,5258,3700,5311,3602,5352,3525,5378,3491,5405,3470e" filled="false" stroked="true" strokeweight="1.812601pt" strokecolor="#ffff00">
              <v:path arrowok="t"/>
            </v:shape>
            <v:shape style="position:absolute;left:5388;top:3431;width:433;height:209" type="#_x0000_t75" stroked="false">
              <v:imagedata r:id="rId138" o:title=""/>
            </v:shape>
            <v:shape style="position:absolute;left:43960;top:116492;width:27307;height:18869" coordorigin="43960,116492" coordsize="27307,18869" path="m5803,3623l5858,3655,5897,3688,6005,3775,6058,3808,6096,3830,6151,3842,6204,3830m6204,3830l6230,3818,6257,3796,6298,3731,6350,3655,6403,3559,6456,3470,6497,3383,6550,3319,6602,3275m6602,3275l6655,3254,6749,3254,6802,3275,6895,3307,6948,3328,7001,3328m7001,3328l7094,3319,7200,3307,7294,3285,7399,3242m7399,3242l7493,3187,7601,3122,7654,3079,7706,3023,7747,2959,7800,2882m7800,2882l7826,2829,7853,2764,7879,2687,7894,2611,7946,2426,7999,2241,8052,2066,8078,1991,8093,1924,8119,1871,8146,1828,8172,1804,8198,1804m8198,1804l8225,1828,8251,1859,8278,1915,8304,1979,8330,2056,8357,2155,8398,2349,8450,2555,8503,2764,8532,2860,8558,2949,8585,3014,8611,3079m8611,3079l8650,3165,8705,3254,8758,3328,8810,3395,8863,3439,8916,3482,8969,3491,9010,3491m9010,3491l9036,3482,9062,3460,9103,3395,9156,3319,9209,3220,9262,3112,9302,3002,9355,2906,9408,2807e" filled="false" stroked="true" strokeweight="1.812601pt" strokecolor="#ffff00">
              <v:path arrowok="t"/>
            </v:shape>
            <v:shape style="position:absolute;left:28761;top:113780;width:42506;height:5957" coordorigin="28761,113780" coordsize="42506,5957" path="m3797,4048l3996,4027,4195,4005m4195,4005l4594,3981m4594,3981l5006,3981m5006,3981l5112,3971,5206,3959,5311,3950,5405,3959m5405,3959l5458,3971,5498,3993,5604,4048,5698,4101,5750,4123,5803,4135m5803,4135l5897,4135,6005,4113,6096,4091,6204,4070m6204,4070l6602,4027m6602,4027l6802,4005,6895,3993,7001,3993m7001,3993l7094,4005,7200,4027,7294,4048,7399,4048m7399,4048l7493,4036,7601,4005,7692,3971,7800,3950m7800,3950l7894,3938,8198,3938m8198,3938l8398,3928,8611,3916m8611,3916l8810,3916,8916,3895,8957,3885,9010,3863m9010,3863l9062,3830,9103,3796,9209,3700,9302,3590,9408,3491e" filled="false" stroked="true" strokeweight="1.812601pt" strokecolor="#00ccff">
              <v:path arrowok="t"/>
            </v:shape>
            <v:shape style="position:absolute;left:28452;top:111469;width:43124;height:24181" coordorigin="28452,111469" coordsize="43124,24181" path="m3797,4353l3756,4319m3797,4353l3835,4384m3797,4353l3756,4384m3797,4353l3835,4319m3797,4353l3797,4319m3797,4353l3797,4384m4195,4123l4154,4091m4195,4123l4236,4156m4195,4123l4154,4156m4195,4123l4236,4091m4195,4123l4195,4091m4195,4123l4195,4156m4594,4168l4555,4135m4594,4168l4634,4199m4594,4168l4555,4199m4594,4168l4634,4135m4594,4168l4594,4135m4594,4168l4594,4199m5006,4168l4966,4135m5006,4168l5047,4199m5006,4168l4966,4199m5006,4168l5047,4135m5006,4168l5006,4135m5006,4168l5006,4199m5405,3470l5366,3439m5405,3470l5446,3503m5405,3470l5366,3503m5405,3470l5446,3439m5405,3470l5405,3439m5405,3470l5405,3503m5803,3623l5765,3590m5803,3623l5844,3655m5803,3623l5765,3655m5803,3623l5844,3590m5803,3623l5803,3590m5803,3623l5803,3655m6204,3830l6163,3796m6204,3830l6242,3863m6204,3830l6163,3863m6204,3830l6242,3796m6204,3830l6204,3796m6204,3830l6204,3863m6602,3275l6562,3242m6602,3275l6643,3307m6602,3275l6562,3307m6602,3275l6643,3242m6602,3275l6602,3242m6602,3275l6602,3307m7001,3328l6962,3297m7001,3328l7042,3362m7001,3328l6962,3362m7001,3328l7042,3297m7001,3328l7001,3297m7001,3328l7001,3362m7399,3242l7361,3208m7399,3242l7440,3275m7399,3242l7361,3275m7399,3242l7440,3208m7399,3242l7399,3208m7399,3242l7399,3275m7800,2882l7759,2851m7800,2882l7838,2915m7800,2882l7759,2915m7800,2882l7838,2851m7800,2882l7800,2851m7800,2882l7800,2915m8198,1804l8158,1773m8198,1804l8239,1838m8198,1804l8158,1838m8198,1804l8239,1773m8198,1804l8198,1773m8198,1804l8198,1838m8611,3079l8570,3045m8611,3079l8650,3112m8611,3079l8570,3112m8611,3079l8650,3045m8611,3079l8611,3045m8611,3079l8611,3112m9010,3491l8969,3460m9010,3491l9050,3525m9010,3491l8969,3525m9010,3491l9050,3460m9010,3491l9010,3460m9010,3491l9010,3525m9408,2807l9370,2774m9408,2807l9449,2839m9408,2807l9370,2839m9408,2807l9449,2774m9408,2807l9408,2774m9408,2807l9408,2839e" filled="false" stroked="true" strokeweight=".6042pt" strokecolor="#000000">
              <v:path arrowok="t"/>
            </v:shape>
            <v:rect style="position:absolute;left:4529;top:5342;width:4121;height:252" filled="false" stroked="true" strokeweight=".12pt" strokecolor="#000000"/>
            <v:line style="position:absolute" from="4594,5462" to="4927,5462" stroked="true" strokeweight="1.631161pt" strokecolor="#00007f"/>
            <v:line style="position:absolute" from="5777,5462" to="6110,5462" stroked="true" strokeweight="1.631161pt" strokecolor="#ff00ff"/>
            <v:line style="position:absolute" from="6869,5462" to="7200,5462" stroked="true" strokeweight="1.631161pt" strokecolor="#ffff00"/>
            <v:shape style="position:absolute;left:52941;top:101179;width:600;height:600" coordorigin="52941,101179" coordsize="600,600" path="m7027,5462l6989,5431m7027,5462l7068,5495m7027,5462l6989,5495m7027,5462l7068,5431m7027,5462l7027,5431m7027,5462l7027,5495e" filled="false" stroked="true" strokeweight=".6042pt" strokecolor="#000000">
              <v:path arrowok="t"/>
            </v:shape>
            <v:line style="position:absolute" from="7601,5462" to="7932,5462" stroked="true" strokeweight="1.631161pt" strokecolor="#00ccff"/>
            <v:rect style="position:absolute;left:1721;top:1250;width:8818;height:4387" filled="false" stroked="true" strokeweight=".567723pt" strokecolor="#000000"/>
            <v:shape style="position:absolute;left:4968;top:5388;width:720;height:142" type="#_x0000_t202" filled="false" stroked="false">
              <v:textbox inset="0,0,0,0">
                <w:txbxContent>
                  <w:p>
                    <w:pPr>
                      <w:spacing w:line="141" w:lineRule="exact" w:before="0"/>
                      <w:ind w:left="0" w:right="0" w:firstLine="0"/>
                      <w:jc w:val="left"/>
                      <w:rPr>
                        <w:sz w:val="14"/>
                      </w:rPr>
                    </w:pPr>
                    <w:r>
                      <w:rPr>
                        <w:w w:val="115"/>
                        <w:sz w:val="14"/>
                      </w:rPr>
                      <w:t>Remesas</w:t>
                    </w:r>
                  </w:p>
                </w:txbxContent>
              </v:textbox>
              <w10:wrap type="none"/>
            </v:shape>
            <v:shape style="position:absolute;left:6151;top:5388;width:635;height:142" type="#_x0000_t202" filled="false" stroked="false">
              <v:textbox inset="0,0,0,0">
                <w:txbxContent>
                  <w:p>
                    <w:pPr>
                      <w:spacing w:line="141" w:lineRule="exact" w:before="0"/>
                      <w:ind w:left="0" w:right="0" w:firstLine="0"/>
                      <w:jc w:val="left"/>
                      <w:rPr>
                        <w:sz w:val="14"/>
                      </w:rPr>
                    </w:pPr>
                    <w:r>
                      <w:rPr>
                        <w:w w:val="115"/>
                        <w:sz w:val="14"/>
                      </w:rPr>
                      <w:t>Petróleo</w:t>
                    </w:r>
                  </w:p>
                </w:txbxContent>
              </v:textbox>
              <w10:wrap type="none"/>
            </v:shape>
            <v:shape style="position:absolute;left:7241;top:5388;width:278;height:142" type="#_x0000_t202" filled="false" stroked="false">
              <v:textbox inset="0,0,0,0">
                <w:txbxContent>
                  <w:p>
                    <w:pPr>
                      <w:spacing w:line="141" w:lineRule="exact" w:before="0"/>
                      <w:ind w:left="0" w:right="-11" w:firstLine="0"/>
                      <w:jc w:val="left"/>
                      <w:rPr>
                        <w:sz w:val="14"/>
                      </w:rPr>
                    </w:pPr>
                    <w:r>
                      <w:rPr>
                        <w:w w:val="115"/>
                        <w:sz w:val="14"/>
                      </w:rPr>
                      <w:t>IED</w:t>
                    </w:r>
                  </w:p>
                </w:txbxContent>
              </v:textbox>
              <w10:wrap type="none"/>
            </v:shape>
            <v:shape style="position:absolute;left:7973;top:5388;width:609;height:142" type="#_x0000_t202" filled="false" stroked="false">
              <v:textbox inset="0,0,0,0">
                <w:txbxContent>
                  <w:p>
                    <w:pPr>
                      <w:spacing w:line="141" w:lineRule="exact" w:before="0"/>
                      <w:ind w:left="0" w:right="0" w:firstLine="0"/>
                      <w:jc w:val="left"/>
                      <w:rPr>
                        <w:sz w:val="14"/>
                      </w:rPr>
                    </w:pPr>
                    <w:r>
                      <w:rPr>
                        <w:w w:val="115"/>
                        <w:sz w:val="14"/>
                      </w:rPr>
                      <w:t>Turismo</w:t>
                    </w:r>
                  </w:p>
                </w:txbxContent>
              </v:textbox>
              <w10:wrap type="none"/>
            </v:shape>
            <v:shape style="position:absolute;left:2400;top:1406;width:784;height:3492" type="#_x0000_t202" filled="false" stroked="false">
              <v:textbox inset="0,0,0,0">
                <w:txbxContent>
                  <w:p>
                    <w:pPr>
                      <w:spacing w:line="144" w:lineRule="exact" w:before="0"/>
                      <w:ind w:left="0" w:right="-7" w:firstLine="0"/>
                      <w:jc w:val="left"/>
                      <w:rPr>
                        <w:sz w:val="14"/>
                      </w:rPr>
                    </w:pPr>
                    <w:r>
                      <w:rPr>
                        <w:w w:val="115"/>
                        <w:sz w:val="14"/>
                      </w:rPr>
                      <w:t>30000</w:t>
                    </w:r>
                  </w:p>
                  <w:p>
                    <w:pPr>
                      <w:spacing w:line="240" w:lineRule="auto" w:before="0"/>
                      <w:rPr>
                        <w:sz w:val="14"/>
                      </w:rPr>
                    </w:pPr>
                  </w:p>
                  <w:p>
                    <w:pPr>
                      <w:spacing w:line="240" w:lineRule="auto" w:before="3"/>
                      <w:rPr>
                        <w:sz w:val="17"/>
                      </w:rPr>
                    </w:pPr>
                  </w:p>
                  <w:p>
                    <w:pPr>
                      <w:spacing w:before="0"/>
                      <w:ind w:left="0" w:right="-7" w:firstLine="0"/>
                      <w:jc w:val="left"/>
                      <w:rPr>
                        <w:sz w:val="14"/>
                      </w:rPr>
                    </w:pPr>
                    <w:r>
                      <w:rPr>
                        <w:w w:val="115"/>
                        <w:sz w:val="14"/>
                      </w:rPr>
                      <w:t>25000</w:t>
                    </w:r>
                  </w:p>
                  <w:p>
                    <w:pPr>
                      <w:spacing w:line="240" w:lineRule="auto" w:before="0"/>
                      <w:rPr>
                        <w:sz w:val="14"/>
                      </w:rPr>
                    </w:pPr>
                  </w:p>
                  <w:p>
                    <w:pPr>
                      <w:spacing w:line="240" w:lineRule="auto" w:before="5"/>
                      <w:rPr>
                        <w:sz w:val="17"/>
                      </w:rPr>
                    </w:pPr>
                  </w:p>
                  <w:p>
                    <w:pPr>
                      <w:spacing w:before="0"/>
                      <w:ind w:left="0" w:right="-7" w:firstLine="0"/>
                      <w:jc w:val="left"/>
                      <w:rPr>
                        <w:sz w:val="14"/>
                      </w:rPr>
                    </w:pPr>
                    <w:r>
                      <w:rPr>
                        <w:w w:val="115"/>
                        <w:sz w:val="14"/>
                      </w:rPr>
                      <w:t>20000</w:t>
                    </w:r>
                  </w:p>
                  <w:p>
                    <w:pPr>
                      <w:spacing w:line="240" w:lineRule="auto" w:before="0"/>
                      <w:rPr>
                        <w:sz w:val="14"/>
                      </w:rPr>
                    </w:pPr>
                  </w:p>
                  <w:p>
                    <w:pPr>
                      <w:spacing w:line="240" w:lineRule="auto" w:before="3"/>
                      <w:rPr>
                        <w:sz w:val="18"/>
                      </w:rPr>
                    </w:pPr>
                  </w:p>
                  <w:p>
                    <w:pPr>
                      <w:spacing w:before="1"/>
                      <w:ind w:left="0" w:right="-7" w:firstLine="0"/>
                      <w:jc w:val="left"/>
                      <w:rPr>
                        <w:sz w:val="14"/>
                      </w:rPr>
                    </w:pPr>
                    <w:r>
                      <w:rPr>
                        <w:w w:val="115"/>
                        <w:sz w:val="14"/>
                      </w:rPr>
                      <w:t>15000</w:t>
                    </w:r>
                  </w:p>
                  <w:p>
                    <w:pPr>
                      <w:spacing w:line="240" w:lineRule="auto" w:before="0"/>
                      <w:rPr>
                        <w:sz w:val="14"/>
                      </w:rPr>
                    </w:pPr>
                  </w:p>
                  <w:p>
                    <w:pPr>
                      <w:spacing w:line="240" w:lineRule="auto" w:before="5"/>
                      <w:rPr>
                        <w:sz w:val="17"/>
                      </w:rPr>
                    </w:pPr>
                  </w:p>
                  <w:p>
                    <w:pPr>
                      <w:spacing w:before="0"/>
                      <w:ind w:left="0" w:right="-7" w:firstLine="0"/>
                      <w:jc w:val="left"/>
                      <w:rPr>
                        <w:sz w:val="14"/>
                      </w:rPr>
                    </w:pPr>
                    <w:r>
                      <w:rPr>
                        <w:w w:val="115"/>
                        <w:sz w:val="14"/>
                      </w:rPr>
                      <w:t>10000</w:t>
                    </w:r>
                  </w:p>
                  <w:p>
                    <w:pPr>
                      <w:spacing w:line="240" w:lineRule="auto" w:before="0"/>
                      <w:rPr>
                        <w:sz w:val="14"/>
                      </w:rPr>
                    </w:pPr>
                  </w:p>
                  <w:p>
                    <w:pPr>
                      <w:spacing w:line="240" w:lineRule="auto" w:before="5"/>
                      <w:rPr>
                        <w:sz w:val="17"/>
                      </w:rPr>
                    </w:pPr>
                  </w:p>
                  <w:p>
                    <w:pPr>
                      <w:spacing w:before="0"/>
                      <w:ind w:left="93" w:right="-7" w:firstLine="0"/>
                      <w:jc w:val="left"/>
                      <w:rPr>
                        <w:sz w:val="14"/>
                      </w:rPr>
                    </w:pPr>
                    <w:r>
                      <w:rPr>
                        <w:w w:val="115"/>
                        <w:sz w:val="14"/>
                      </w:rPr>
                      <w:t>5000</w:t>
                    </w:r>
                  </w:p>
                  <w:p>
                    <w:pPr>
                      <w:spacing w:line="240" w:lineRule="auto" w:before="0"/>
                      <w:rPr>
                        <w:sz w:val="14"/>
                      </w:rPr>
                    </w:pPr>
                  </w:p>
                  <w:p>
                    <w:pPr>
                      <w:spacing w:line="240" w:lineRule="auto" w:before="3"/>
                      <w:rPr>
                        <w:sz w:val="17"/>
                      </w:rPr>
                    </w:pPr>
                  </w:p>
                  <w:p>
                    <w:pPr>
                      <w:spacing w:before="0"/>
                      <w:ind w:left="55" w:right="0" w:firstLine="0"/>
                      <w:jc w:val="center"/>
                      <w:rPr>
                        <w:sz w:val="14"/>
                      </w:rPr>
                    </w:pPr>
                    <w:r>
                      <w:rPr>
                        <w:w w:val="115"/>
                        <w:sz w:val="14"/>
                      </w:rPr>
                      <w:t>0</w:t>
                    </w:r>
                  </w:p>
                  <w:p>
                    <w:pPr>
                      <w:spacing w:line="158" w:lineRule="exact" w:before="45"/>
                      <w:ind w:left="412" w:right="-7" w:firstLine="0"/>
                      <w:jc w:val="left"/>
                      <w:rPr>
                        <w:sz w:val="14"/>
                      </w:rPr>
                    </w:pPr>
                    <w:r>
                      <w:rPr>
                        <w:w w:val="115"/>
                        <w:sz w:val="14"/>
                      </w:rPr>
                      <w:t>1988</w:t>
                    </w:r>
                  </w:p>
                </w:txbxContent>
              </v:textbox>
              <w10:wrap type="none"/>
            </v:shape>
            <v:shape style="position:absolute;left:3612;top:4757;width:369;height:142" type="#_x0000_t202" filled="false" stroked="false">
              <v:textbox inset="0,0,0,0">
                <w:txbxContent>
                  <w:p>
                    <w:pPr>
                      <w:spacing w:line="141" w:lineRule="exact" w:before="0"/>
                      <w:ind w:left="0" w:right="-10" w:firstLine="0"/>
                      <w:jc w:val="left"/>
                      <w:rPr>
                        <w:sz w:val="14"/>
                      </w:rPr>
                    </w:pPr>
                    <w:r>
                      <w:rPr>
                        <w:w w:val="115"/>
                        <w:sz w:val="14"/>
                      </w:rPr>
                      <w:t>1990</w:t>
                    </w:r>
                  </w:p>
                </w:txbxContent>
              </v:textbox>
              <w10:wrap type="none"/>
            </v:shape>
            <v:shape style="position:absolute;left:4409;top:4757;width:371;height:142" type="#_x0000_t202" filled="false" stroked="false">
              <v:textbox inset="0,0,0,0">
                <w:txbxContent>
                  <w:p>
                    <w:pPr>
                      <w:spacing w:line="141" w:lineRule="exact" w:before="0"/>
                      <w:ind w:left="0" w:right="-8" w:firstLine="0"/>
                      <w:jc w:val="left"/>
                      <w:rPr>
                        <w:sz w:val="14"/>
                      </w:rPr>
                    </w:pPr>
                    <w:r>
                      <w:rPr>
                        <w:w w:val="115"/>
                        <w:sz w:val="14"/>
                      </w:rPr>
                      <w:t>1992</w:t>
                    </w:r>
                  </w:p>
                </w:txbxContent>
              </v:textbox>
              <w10:wrap type="none"/>
            </v:shape>
            <v:shape style="position:absolute;left:5220;top:4757;width:371;height:142" type="#_x0000_t202" filled="false" stroked="false">
              <v:textbox inset="0,0,0,0">
                <w:txbxContent>
                  <w:p>
                    <w:pPr>
                      <w:spacing w:line="141" w:lineRule="exact" w:before="0"/>
                      <w:ind w:left="0" w:right="-8" w:firstLine="0"/>
                      <w:jc w:val="left"/>
                      <w:rPr>
                        <w:sz w:val="14"/>
                      </w:rPr>
                    </w:pPr>
                    <w:r>
                      <w:rPr>
                        <w:w w:val="115"/>
                        <w:sz w:val="14"/>
                      </w:rPr>
                      <w:t>1994</w:t>
                    </w:r>
                  </w:p>
                </w:txbxContent>
              </v:textbox>
              <w10:wrap type="none"/>
            </v:shape>
            <v:shape style="position:absolute;left:6020;top:4757;width:369;height:142" type="#_x0000_t202" filled="false" stroked="false">
              <v:textbox inset="0,0,0,0">
                <w:txbxContent>
                  <w:p>
                    <w:pPr>
                      <w:spacing w:line="141" w:lineRule="exact" w:before="0"/>
                      <w:ind w:left="0" w:right="-10" w:firstLine="0"/>
                      <w:jc w:val="left"/>
                      <w:rPr>
                        <w:sz w:val="14"/>
                      </w:rPr>
                    </w:pPr>
                    <w:r>
                      <w:rPr>
                        <w:w w:val="115"/>
                        <w:sz w:val="14"/>
                      </w:rPr>
                      <w:t>1996</w:t>
                    </w:r>
                  </w:p>
                </w:txbxContent>
              </v:textbox>
              <w10:wrap type="none"/>
            </v:shape>
            <v:shape style="position:absolute;left:6403;top:4757;width:785;height:399" type="#_x0000_t202" filled="false" stroked="false">
              <v:textbox inset="0,0,0,0">
                <w:txbxContent>
                  <w:p>
                    <w:pPr>
                      <w:spacing w:line="144" w:lineRule="exact" w:before="0"/>
                      <w:ind w:left="413" w:right="-7" w:firstLine="0"/>
                      <w:jc w:val="left"/>
                      <w:rPr>
                        <w:sz w:val="14"/>
                      </w:rPr>
                    </w:pPr>
                    <w:r>
                      <w:rPr>
                        <w:w w:val="115"/>
                        <w:sz w:val="14"/>
                      </w:rPr>
                      <w:t>1998</w:t>
                    </w:r>
                  </w:p>
                  <w:p>
                    <w:pPr>
                      <w:spacing w:line="158" w:lineRule="exact" w:before="96"/>
                      <w:ind w:left="0" w:right="-7" w:firstLine="0"/>
                      <w:jc w:val="left"/>
                      <w:rPr>
                        <w:b/>
                        <w:sz w:val="14"/>
                      </w:rPr>
                    </w:pPr>
                    <w:r>
                      <w:rPr>
                        <w:b/>
                        <w:w w:val="115"/>
                        <w:sz w:val="14"/>
                      </w:rPr>
                      <w:t>Años</w:t>
                    </w:r>
                  </w:p>
                </w:txbxContent>
              </v:textbox>
              <w10:wrap type="none"/>
            </v:shape>
            <v:shape style="position:absolute;left:7616;top:4757;width:369;height:142" type="#_x0000_t202" filled="false" stroked="false">
              <v:textbox inset="0,0,0,0">
                <w:txbxContent>
                  <w:p>
                    <w:pPr>
                      <w:spacing w:line="141" w:lineRule="exact" w:before="0"/>
                      <w:ind w:left="0" w:right="-10" w:firstLine="0"/>
                      <w:jc w:val="left"/>
                      <w:rPr>
                        <w:sz w:val="14"/>
                      </w:rPr>
                    </w:pPr>
                    <w:r>
                      <w:rPr>
                        <w:w w:val="115"/>
                        <w:sz w:val="14"/>
                      </w:rPr>
                      <w:t>2000</w:t>
                    </w:r>
                  </w:p>
                </w:txbxContent>
              </v:textbox>
              <w10:wrap type="none"/>
            </v:shape>
            <v:shape style="position:absolute;left:8427;top:4757;width:369;height:142" type="#_x0000_t202" filled="false" stroked="false">
              <v:textbox inset="0,0,0,0">
                <w:txbxContent>
                  <w:p>
                    <w:pPr>
                      <w:spacing w:line="141" w:lineRule="exact" w:before="0"/>
                      <w:ind w:left="0" w:right="-10" w:firstLine="0"/>
                      <w:jc w:val="left"/>
                      <w:rPr>
                        <w:sz w:val="14"/>
                      </w:rPr>
                    </w:pPr>
                    <w:r>
                      <w:rPr>
                        <w:w w:val="115"/>
                        <w:sz w:val="14"/>
                      </w:rPr>
                      <w:t>2002</w:t>
                    </w:r>
                  </w:p>
                </w:txbxContent>
              </v:textbox>
              <w10:wrap type="none"/>
            </v:shape>
            <v:shape style="position:absolute;left:9224;top:4757;width:371;height:142" type="#_x0000_t202" filled="false" stroked="false">
              <v:textbox inset="0,0,0,0">
                <w:txbxContent>
                  <w:p>
                    <w:pPr>
                      <w:spacing w:line="141" w:lineRule="exact" w:before="0"/>
                      <w:ind w:left="0" w:right="-8" w:firstLine="0"/>
                      <w:jc w:val="left"/>
                      <w:rPr>
                        <w:sz w:val="14"/>
                      </w:rPr>
                    </w:pPr>
                    <w:r>
                      <w:rPr>
                        <w:w w:val="115"/>
                        <w:sz w:val="14"/>
                      </w:rPr>
                      <w:t>2004</w:t>
                    </w:r>
                  </w:p>
                </w:txbxContent>
              </v:textbox>
              <w10:wrap type="none"/>
            </v:shape>
            <v:shape style="position:absolute;left:10023;top:4757;width:369;height:142" type="#_x0000_t202" filled="false" stroked="false">
              <v:textbox inset="0,0,0,0">
                <w:txbxContent>
                  <w:p>
                    <w:pPr>
                      <w:spacing w:line="141" w:lineRule="exact" w:before="0"/>
                      <w:ind w:left="0" w:right="-10" w:firstLine="0"/>
                      <w:jc w:val="left"/>
                      <w:rPr>
                        <w:sz w:val="14"/>
                      </w:rPr>
                    </w:pPr>
                    <w:r>
                      <w:rPr>
                        <w:w w:val="115"/>
                        <w:sz w:val="14"/>
                      </w:rPr>
                      <w:t>2006</w:t>
                    </w:r>
                  </w:p>
                </w:txbxContent>
              </v:textbox>
              <w10:wrap type="none"/>
            </v:shape>
            <w10:wrap type="none"/>
          </v:group>
        </w:pict>
      </w:r>
      <w:r>
        <w:rPr/>
        <w:pict>
          <v:shape style="position:absolute;margin-left:95.267502pt;margin-top:120.226883pt;width:9.1pt;height:69.05pt;mso-position-horizontal-relative:page;mso-position-vertical-relative:paragraph;z-index:5440" type="#_x0000_t202" filled="false" stroked="false">
            <v:textbox inset="0,0,0,0" style="layout-flow:vertical;mso-layout-flow-alt:bottom-to-top">
              <w:txbxContent>
                <w:p>
                  <w:pPr>
                    <w:spacing w:before="3"/>
                    <w:ind w:left="20" w:right="-446" w:firstLine="0"/>
                    <w:jc w:val="left"/>
                    <w:rPr>
                      <w:b/>
                      <w:sz w:val="14"/>
                    </w:rPr>
                  </w:pPr>
                  <w:r>
                    <w:rPr>
                      <w:b/>
                      <w:spacing w:val="-15"/>
                      <w:w w:val="115"/>
                      <w:sz w:val="14"/>
                    </w:rPr>
                    <w:t>M</w:t>
                  </w:r>
                  <w:r>
                    <w:rPr>
                      <w:b/>
                      <w:spacing w:val="-2"/>
                      <w:w w:val="115"/>
                      <w:sz w:val="14"/>
                    </w:rPr>
                    <w:t>ill</w:t>
                  </w:r>
                  <w:r>
                    <w:rPr>
                      <w:b/>
                      <w:spacing w:val="-13"/>
                      <w:w w:val="115"/>
                      <w:sz w:val="14"/>
                    </w:rPr>
                    <w:t>o</w:t>
                  </w:r>
                  <w:r>
                    <w:rPr>
                      <w:b/>
                      <w:spacing w:val="-11"/>
                      <w:w w:val="115"/>
                      <w:sz w:val="14"/>
                    </w:rPr>
                    <w:t>n</w:t>
                  </w:r>
                  <w:r>
                    <w:rPr>
                      <w:b/>
                      <w:spacing w:val="-16"/>
                      <w:w w:val="115"/>
                      <w:sz w:val="14"/>
                    </w:rPr>
                    <w:t>e</w:t>
                  </w:r>
                  <w:r>
                    <w:rPr>
                      <w:b/>
                      <w:w w:val="115"/>
                      <w:sz w:val="14"/>
                    </w:rPr>
                    <w:t>s</w:t>
                  </w:r>
                  <w:r>
                    <w:rPr>
                      <w:b/>
                      <w:spacing w:val="-10"/>
                      <w:sz w:val="14"/>
                    </w:rPr>
                    <w:t> </w:t>
                  </w:r>
                  <w:r>
                    <w:rPr>
                      <w:b/>
                      <w:spacing w:val="-13"/>
                      <w:w w:val="115"/>
                      <w:sz w:val="14"/>
                    </w:rPr>
                    <w:t>d</w:t>
                  </w:r>
                  <w:r>
                    <w:rPr>
                      <w:b/>
                      <w:w w:val="115"/>
                      <w:sz w:val="14"/>
                    </w:rPr>
                    <w:t>e</w:t>
                  </w:r>
                  <w:r>
                    <w:rPr>
                      <w:b/>
                      <w:spacing w:val="-10"/>
                      <w:sz w:val="14"/>
                    </w:rPr>
                    <w:t> </w:t>
                  </w:r>
                  <w:r>
                    <w:rPr>
                      <w:b/>
                      <w:spacing w:val="-11"/>
                      <w:w w:val="115"/>
                      <w:sz w:val="14"/>
                    </w:rPr>
                    <w:t>d</w:t>
                  </w:r>
                  <w:r>
                    <w:rPr>
                      <w:b/>
                      <w:spacing w:val="-13"/>
                      <w:w w:val="115"/>
                      <w:sz w:val="14"/>
                    </w:rPr>
                    <w:t>ó</w:t>
                  </w:r>
                  <w:r>
                    <w:rPr>
                      <w:b/>
                      <w:spacing w:val="-2"/>
                      <w:w w:val="115"/>
                      <w:sz w:val="14"/>
                    </w:rPr>
                    <w:t>l</w:t>
                  </w:r>
                  <w:r>
                    <w:rPr>
                      <w:b/>
                      <w:spacing w:val="-14"/>
                      <w:w w:val="115"/>
                      <w:sz w:val="14"/>
                    </w:rPr>
                    <w:t>a</w:t>
                  </w:r>
                  <w:r>
                    <w:rPr>
                      <w:b/>
                      <w:spacing w:val="-11"/>
                      <w:w w:val="115"/>
                      <w:sz w:val="14"/>
                    </w:rPr>
                    <w:t>r</w:t>
                  </w:r>
                  <w:r>
                    <w:rPr>
                      <w:b/>
                      <w:spacing w:val="-14"/>
                      <w:w w:val="115"/>
                      <w:sz w:val="14"/>
                    </w:rPr>
                    <w:t>e</w:t>
                  </w:r>
                  <w:r>
                    <w:rPr>
                      <w:b/>
                      <w:w w:val="115"/>
                      <w:sz w:val="14"/>
                    </w:rPr>
                    <w:t>s</w:t>
                  </w:r>
                </w:p>
              </w:txbxContent>
            </v:textbox>
            <w10:wrap type="none"/>
          </v:shape>
        </w:pict>
      </w:r>
      <w:r>
        <w:rPr/>
        <w:t>Figura 10. Remesas Familiares respecto a Ingresos por Turismo, Exportaciones petroleras, e inversión extranjera directa, Periodo 1995-2004, (Millones de dólares)</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6"/>
        <w:rPr>
          <w:b/>
          <w:sz w:val="32"/>
        </w:rPr>
      </w:pPr>
    </w:p>
    <w:p>
      <w:pPr>
        <w:spacing w:before="0"/>
        <w:ind w:left="115" w:right="0" w:firstLine="0"/>
        <w:jc w:val="both"/>
        <w:rPr>
          <w:sz w:val="21"/>
        </w:rPr>
      </w:pPr>
      <w:r>
        <w:rPr>
          <w:sz w:val="21"/>
        </w:rPr>
        <w:t>Fuente: Elaboración propia con datos Daza, 2006   p.17.</w:t>
      </w:r>
    </w:p>
    <w:p>
      <w:pPr>
        <w:pStyle w:val="BodyText"/>
        <w:rPr>
          <w:sz w:val="20"/>
        </w:rPr>
      </w:pPr>
    </w:p>
    <w:p>
      <w:pPr>
        <w:pStyle w:val="BodyText"/>
        <w:rPr>
          <w:sz w:val="20"/>
        </w:rPr>
      </w:pPr>
    </w:p>
    <w:p>
      <w:pPr>
        <w:pStyle w:val="BodyText"/>
        <w:spacing w:before="1"/>
        <w:rPr>
          <w:sz w:val="22"/>
        </w:rPr>
      </w:pPr>
    </w:p>
    <w:p>
      <w:pPr>
        <w:pStyle w:val="BodyText"/>
        <w:spacing w:line="364" w:lineRule="auto"/>
        <w:ind w:left="115" w:right="1685"/>
        <w:jc w:val="both"/>
      </w:pPr>
      <w:r>
        <w:rPr/>
        <w:t>El hecho de que la banca estadounidense haya aceptado la matrícula consular como documento de identificación válido, para la apertura de cuentas de cheques   y ahorros en bancos de Estados Unidos ayuda a explicar el aumento del envío de remesas por vías formales, concretamente a través  de  transferencias  electrónicas, de más fácil contabilización, en detrimento de las remesas enviadas en especie y en efectivo. Asimismo, ha fomentado la disminución de los costos de envíos puesto que las instituciones bancarias son las que generalmente tienen costos totales menores. Además, instituciones bancarias mexicanas como Bancomer y Banamex han presentado alternativas a los medios tradicionales de envío.</w:t>
      </w:r>
    </w:p>
    <w:p>
      <w:pPr>
        <w:spacing w:after="0" w:line="364" w:lineRule="auto"/>
        <w:jc w:val="both"/>
        <w:sectPr>
          <w:pgSz w:w="11900" w:h="16840"/>
          <w:pgMar w:header="0" w:footer="1679" w:top="1600" w:bottom="1860" w:left="1540" w:right="0"/>
        </w:sectPr>
      </w:pPr>
    </w:p>
    <w:p>
      <w:pPr>
        <w:pStyle w:val="BodyText"/>
        <w:rPr>
          <w:sz w:val="20"/>
        </w:rPr>
      </w:pPr>
    </w:p>
    <w:p>
      <w:pPr>
        <w:pStyle w:val="BodyText"/>
        <w:spacing w:before="5"/>
        <w:rPr>
          <w:sz w:val="16"/>
        </w:rPr>
      </w:pPr>
    </w:p>
    <w:p>
      <w:pPr>
        <w:pStyle w:val="Heading4"/>
        <w:spacing w:before="74"/>
        <w:ind w:left="215"/>
        <w:jc w:val="both"/>
      </w:pPr>
      <w:r>
        <w:rPr/>
        <w:t>Principales estados receptores de</w:t>
      </w:r>
      <w:r>
        <w:rPr>
          <w:spacing w:val="54"/>
        </w:rPr>
        <w:t> </w:t>
      </w:r>
      <w:r>
        <w:rPr/>
        <w:t>remesas</w:t>
      </w:r>
    </w:p>
    <w:p>
      <w:pPr>
        <w:pStyle w:val="BodyText"/>
        <w:spacing w:before="2"/>
        <w:rPr>
          <w:b/>
          <w:sz w:val="29"/>
        </w:rPr>
      </w:pPr>
    </w:p>
    <w:p>
      <w:pPr>
        <w:pStyle w:val="BodyText"/>
        <w:spacing w:line="364" w:lineRule="auto"/>
        <w:ind w:left="215" w:right="226"/>
        <w:jc w:val="both"/>
      </w:pPr>
      <w:r>
        <w:rPr/>
        <w:t>Las remesas cobran importancia al paso del tiempo y es sabido que el ingreso de estas se encuentra concentrado en ciertos estados, muchos de los cuales constantemente sufren de fugas en mano de obra, la tendencia de estos Estados   a sido la misma en el periodo 2003 – 2006 (ver cuadro </w:t>
      </w:r>
      <w:r>
        <w:rPr>
          <w:spacing w:val="8"/>
        </w:rPr>
        <w:t> </w:t>
      </w:r>
      <w:r>
        <w:rPr/>
        <w:t>4).</w:t>
      </w:r>
    </w:p>
    <w:p>
      <w:pPr>
        <w:pStyle w:val="BodyText"/>
        <w:rPr>
          <w:sz w:val="22"/>
        </w:rPr>
      </w:pPr>
    </w:p>
    <w:p>
      <w:pPr>
        <w:pStyle w:val="BodyText"/>
        <w:rPr>
          <w:sz w:val="22"/>
        </w:rPr>
      </w:pPr>
    </w:p>
    <w:p>
      <w:pPr>
        <w:pStyle w:val="Heading4"/>
        <w:spacing w:before="195"/>
        <w:ind w:left="326"/>
      </w:pPr>
      <w:r>
        <w:rPr/>
        <w:t>Cuadro 4. Total de Remesas Familiares por Estado en el periodo  2003-2006</w:t>
      </w:r>
    </w:p>
    <w:p>
      <w:pPr>
        <w:pStyle w:val="BodyText"/>
        <w:spacing w:before="9"/>
        <w:rPr>
          <w:b/>
          <w:sz w:val="20"/>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35"/>
        <w:gridCol w:w="1583"/>
        <w:gridCol w:w="1582"/>
        <w:gridCol w:w="1584"/>
        <w:gridCol w:w="1582"/>
      </w:tblGrid>
      <w:tr>
        <w:trPr>
          <w:trHeight w:val="720" w:hRule="exact"/>
        </w:trPr>
        <w:tc>
          <w:tcPr>
            <w:tcW w:w="2435" w:type="dxa"/>
            <w:tcBorders>
              <w:right w:val="single" w:sz="3" w:space="0" w:color="000000"/>
            </w:tcBorders>
          </w:tcPr>
          <w:p>
            <w:pPr/>
          </w:p>
        </w:tc>
        <w:tc>
          <w:tcPr>
            <w:tcW w:w="6330" w:type="dxa"/>
            <w:gridSpan w:val="4"/>
            <w:tcBorders>
              <w:left w:val="single" w:sz="3" w:space="0" w:color="000000"/>
            </w:tcBorders>
          </w:tcPr>
          <w:p>
            <w:pPr>
              <w:pStyle w:val="TableParagraph"/>
              <w:spacing w:line="283" w:lineRule="auto" w:before="4"/>
              <w:ind w:left="2793" w:hanging="2593"/>
              <w:jc w:val="left"/>
              <w:rPr>
                <w:sz w:val="19"/>
              </w:rPr>
            </w:pPr>
            <w:r>
              <w:rPr>
                <w:sz w:val="19"/>
              </w:rPr>
              <w:t>Ingreso por Remesas Familiares por entidad Federativa (Millones de Dólares)</w:t>
            </w:r>
          </w:p>
        </w:tc>
      </w:tr>
      <w:tr>
        <w:trPr>
          <w:trHeight w:val="914" w:hRule="exact"/>
        </w:trPr>
        <w:tc>
          <w:tcPr>
            <w:tcW w:w="2435" w:type="dxa"/>
            <w:tcBorders>
              <w:right w:val="single" w:sz="3" w:space="0" w:color="000000"/>
            </w:tcBorders>
          </w:tcPr>
          <w:p>
            <w:pPr>
              <w:pStyle w:val="TableParagraph"/>
              <w:spacing w:before="4"/>
              <w:ind w:left="100"/>
              <w:jc w:val="left"/>
              <w:rPr>
                <w:sz w:val="19"/>
              </w:rPr>
            </w:pPr>
            <w:r>
              <w:rPr>
                <w:sz w:val="19"/>
              </w:rPr>
              <w:t>Estado</w:t>
            </w:r>
          </w:p>
        </w:tc>
        <w:tc>
          <w:tcPr>
            <w:tcW w:w="1583" w:type="dxa"/>
            <w:tcBorders>
              <w:left w:val="single" w:sz="3" w:space="0" w:color="000000"/>
            </w:tcBorders>
          </w:tcPr>
          <w:p>
            <w:pPr>
              <w:pStyle w:val="TableParagraph"/>
              <w:spacing w:line="496" w:lineRule="auto" w:before="4"/>
              <w:ind w:left="537" w:right="538"/>
              <w:jc w:val="center"/>
              <w:rPr>
                <w:sz w:val="19"/>
              </w:rPr>
            </w:pPr>
            <w:r>
              <w:rPr>
                <w:sz w:val="19"/>
              </w:rPr>
              <w:t>Anual 2003</w:t>
            </w:r>
          </w:p>
        </w:tc>
        <w:tc>
          <w:tcPr>
            <w:tcW w:w="1582" w:type="dxa"/>
          </w:tcPr>
          <w:p>
            <w:pPr>
              <w:pStyle w:val="TableParagraph"/>
              <w:spacing w:line="496" w:lineRule="auto" w:before="4"/>
              <w:ind w:left="535" w:right="538"/>
              <w:jc w:val="center"/>
              <w:rPr>
                <w:sz w:val="19"/>
              </w:rPr>
            </w:pPr>
            <w:r>
              <w:rPr>
                <w:sz w:val="19"/>
              </w:rPr>
              <w:t>Anual 2004</w:t>
            </w:r>
          </w:p>
        </w:tc>
        <w:tc>
          <w:tcPr>
            <w:tcW w:w="1584" w:type="dxa"/>
          </w:tcPr>
          <w:p>
            <w:pPr>
              <w:pStyle w:val="TableParagraph"/>
              <w:spacing w:line="496" w:lineRule="auto" w:before="4"/>
              <w:ind w:left="537" w:right="538"/>
              <w:jc w:val="center"/>
              <w:rPr>
                <w:sz w:val="19"/>
              </w:rPr>
            </w:pPr>
            <w:r>
              <w:rPr>
                <w:sz w:val="19"/>
              </w:rPr>
              <w:t>Anual 2005</w:t>
            </w:r>
          </w:p>
        </w:tc>
        <w:tc>
          <w:tcPr>
            <w:tcW w:w="1582" w:type="dxa"/>
          </w:tcPr>
          <w:p>
            <w:pPr>
              <w:pStyle w:val="TableParagraph"/>
              <w:spacing w:line="283" w:lineRule="auto" w:before="4"/>
              <w:ind w:left="568" w:hanging="303"/>
              <w:jc w:val="left"/>
              <w:rPr>
                <w:sz w:val="19"/>
              </w:rPr>
            </w:pPr>
            <w:r>
              <w:rPr>
                <w:sz w:val="19"/>
              </w:rPr>
              <w:t>Enero/Junio 2006</w:t>
            </w:r>
          </w:p>
        </w:tc>
      </w:tr>
      <w:tr>
        <w:trPr>
          <w:trHeight w:val="458" w:hRule="exact"/>
        </w:trPr>
        <w:tc>
          <w:tcPr>
            <w:tcW w:w="2435" w:type="dxa"/>
            <w:tcBorders>
              <w:right w:val="single" w:sz="3" w:space="0" w:color="000000"/>
            </w:tcBorders>
          </w:tcPr>
          <w:p>
            <w:pPr>
              <w:pStyle w:val="TableParagraph"/>
              <w:spacing w:before="4"/>
              <w:ind w:left="100"/>
              <w:jc w:val="left"/>
              <w:rPr>
                <w:sz w:val="19"/>
              </w:rPr>
            </w:pPr>
            <w:r>
              <w:rPr>
                <w:sz w:val="19"/>
              </w:rPr>
              <w:t>Aguascalientes</w:t>
            </w:r>
          </w:p>
        </w:tc>
        <w:tc>
          <w:tcPr>
            <w:tcW w:w="1583" w:type="dxa"/>
            <w:tcBorders>
              <w:left w:val="single" w:sz="3" w:space="0" w:color="000000"/>
            </w:tcBorders>
          </w:tcPr>
          <w:p>
            <w:pPr>
              <w:pStyle w:val="TableParagraph"/>
              <w:spacing w:before="4"/>
              <w:ind w:left="101"/>
              <w:jc w:val="left"/>
              <w:rPr>
                <w:sz w:val="19"/>
              </w:rPr>
            </w:pPr>
            <w:r>
              <w:rPr>
                <w:sz w:val="19"/>
              </w:rPr>
              <w:t>232.2</w:t>
            </w:r>
          </w:p>
        </w:tc>
        <w:tc>
          <w:tcPr>
            <w:tcW w:w="1582" w:type="dxa"/>
          </w:tcPr>
          <w:p>
            <w:pPr>
              <w:pStyle w:val="TableParagraph"/>
              <w:spacing w:before="4"/>
              <w:ind w:left="98"/>
              <w:jc w:val="left"/>
              <w:rPr>
                <w:sz w:val="19"/>
              </w:rPr>
            </w:pPr>
            <w:r>
              <w:rPr>
                <w:sz w:val="19"/>
              </w:rPr>
              <w:t>296.8</w:t>
            </w:r>
          </w:p>
        </w:tc>
        <w:tc>
          <w:tcPr>
            <w:tcW w:w="1584" w:type="dxa"/>
          </w:tcPr>
          <w:p>
            <w:pPr>
              <w:pStyle w:val="TableParagraph"/>
              <w:spacing w:before="4"/>
              <w:ind w:left="101"/>
              <w:jc w:val="left"/>
              <w:rPr>
                <w:sz w:val="19"/>
              </w:rPr>
            </w:pPr>
            <w:r>
              <w:rPr>
                <w:sz w:val="19"/>
              </w:rPr>
              <w:t>317</w:t>
            </w:r>
          </w:p>
        </w:tc>
        <w:tc>
          <w:tcPr>
            <w:tcW w:w="1582" w:type="dxa"/>
          </w:tcPr>
          <w:p>
            <w:pPr>
              <w:pStyle w:val="TableParagraph"/>
              <w:spacing w:before="4"/>
              <w:ind w:left="98"/>
              <w:jc w:val="left"/>
              <w:rPr>
                <w:sz w:val="19"/>
              </w:rPr>
            </w:pPr>
            <w:r>
              <w:rPr>
                <w:sz w:val="19"/>
              </w:rPr>
              <w:t>184.9</w:t>
            </w:r>
          </w:p>
        </w:tc>
      </w:tr>
      <w:tr>
        <w:trPr>
          <w:trHeight w:val="463" w:hRule="exact"/>
        </w:trPr>
        <w:tc>
          <w:tcPr>
            <w:tcW w:w="2435" w:type="dxa"/>
            <w:tcBorders>
              <w:right w:val="single" w:sz="3" w:space="0" w:color="000000"/>
            </w:tcBorders>
          </w:tcPr>
          <w:p>
            <w:pPr>
              <w:pStyle w:val="TableParagraph"/>
              <w:spacing w:before="6"/>
              <w:ind w:left="100"/>
              <w:jc w:val="left"/>
              <w:rPr>
                <w:sz w:val="19"/>
              </w:rPr>
            </w:pPr>
            <w:r>
              <w:rPr>
                <w:sz w:val="19"/>
              </w:rPr>
              <w:t>Baja California</w:t>
            </w:r>
          </w:p>
        </w:tc>
        <w:tc>
          <w:tcPr>
            <w:tcW w:w="1583" w:type="dxa"/>
            <w:tcBorders>
              <w:left w:val="single" w:sz="3" w:space="0" w:color="000000"/>
            </w:tcBorders>
          </w:tcPr>
          <w:p>
            <w:pPr>
              <w:pStyle w:val="TableParagraph"/>
              <w:spacing w:before="6"/>
              <w:ind w:left="101"/>
              <w:jc w:val="left"/>
              <w:rPr>
                <w:sz w:val="19"/>
              </w:rPr>
            </w:pPr>
            <w:r>
              <w:rPr>
                <w:sz w:val="19"/>
              </w:rPr>
              <w:t>124.8</w:t>
            </w:r>
          </w:p>
        </w:tc>
        <w:tc>
          <w:tcPr>
            <w:tcW w:w="1582" w:type="dxa"/>
          </w:tcPr>
          <w:p>
            <w:pPr>
              <w:pStyle w:val="TableParagraph"/>
              <w:spacing w:before="6"/>
              <w:ind w:left="98"/>
              <w:jc w:val="left"/>
              <w:rPr>
                <w:sz w:val="19"/>
              </w:rPr>
            </w:pPr>
            <w:r>
              <w:rPr>
                <w:sz w:val="19"/>
              </w:rPr>
              <w:t>149.1</w:t>
            </w:r>
          </w:p>
        </w:tc>
        <w:tc>
          <w:tcPr>
            <w:tcW w:w="1584" w:type="dxa"/>
          </w:tcPr>
          <w:p>
            <w:pPr>
              <w:pStyle w:val="TableParagraph"/>
              <w:spacing w:before="6"/>
              <w:ind w:left="101"/>
              <w:jc w:val="left"/>
              <w:rPr>
                <w:sz w:val="19"/>
              </w:rPr>
            </w:pPr>
            <w:r>
              <w:rPr>
                <w:sz w:val="19"/>
              </w:rPr>
              <w:t>187</w:t>
            </w:r>
          </w:p>
        </w:tc>
        <w:tc>
          <w:tcPr>
            <w:tcW w:w="1582" w:type="dxa"/>
          </w:tcPr>
          <w:p>
            <w:pPr>
              <w:pStyle w:val="TableParagraph"/>
              <w:spacing w:before="6"/>
              <w:ind w:left="98"/>
              <w:jc w:val="left"/>
              <w:rPr>
                <w:sz w:val="19"/>
              </w:rPr>
            </w:pPr>
            <w:r>
              <w:rPr>
                <w:sz w:val="19"/>
              </w:rPr>
              <w:t>110.3</w:t>
            </w:r>
          </w:p>
        </w:tc>
      </w:tr>
      <w:tr>
        <w:trPr>
          <w:trHeight w:val="463" w:hRule="exact"/>
        </w:trPr>
        <w:tc>
          <w:tcPr>
            <w:tcW w:w="2435" w:type="dxa"/>
            <w:tcBorders>
              <w:right w:val="single" w:sz="3" w:space="0" w:color="000000"/>
            </w:tcBorders>
          </w:tcPr>
          <w:p>
            <w:pPr>
              <w:pStyle w:val="TableParagraph"/>
              <w:spacing w:before="4"/>
              <w:ind w:left="100"/>
              <w:jc w:val="left"/>
              <w:rPr>
                <w:sz w:val="19"/>
              </w:rPr>
            </w:pPr>
            <w:r>
              <w:rPr>
                <w:sz w:val="19"/>
              </w:rPr>
              <w:t>Baja California Sur</w:t>
            </w:r>
          </w:p>
        </w:tc>
        <w:tc>
          <w:tcPr>
            <w:tcW w:w="1583" w:type="dxa"/>
            <w:tcBorders>
              <w:left w:val="single" w:sz="3" w:space="0" w:color="000000"/>
            </w:tcBorders>
          </w:tcPr>
          <w:p>
            <w:pPr>
              <w:pStyle w:val="TableParagraph"/>
              <w:spacing w:before="4"/>
              <w:ind w:left="101"/>
              <w:jc w:val="left"/>
              <w:rPr>
                <w:sz w:val="19"/>
              </w:rPr>
            </w:pPr>
            <w:r>
              <w:rPr>
                <w:sz w:val="19"/>
              </w:rPr>
              <w:t>17.9</w:t>
            </w:r>
          </w:p>
        </w:tc>
        <w:tc>
          <w:tcPr>
            <w:tcW w:w="1582" w:type="dxa"/>
          </w:tcPr>
          <w:p>
            <w:pPr>
              <w:pStyle w:val="TableParagraph"/>
              <w:spacing w:before="4"/>
              <w:ind w:left="98"/>
              <w:jc w:val="left"/>
              <w:rPr>
                <w:sz w:val="19"/>
              </w:rPr>
            </w:pPr>
            <w:r>
              <w:rPr>
                <w:sz w:val="19"/>
              </w:rPr>
              <w:t>16.8</w:t>
            </w:r>
          </w:p>
        </w:tc>
        <w:tc>
          <w:tcPr>
            <w:tcW w:w="1584" w:type="dxa"/>
          </w:tcPr>
          <w:p>
            <w:pPr>
              <w:pStyle w:val="TableParagraph"/>
              <w:spacing w:before="4"/>
              <w:ind w:left="101"/>
              <w:jc w:val="left"/>
              <w:rPr>
                <w:sz w:val="19"/>
              </w:rPr>
            </w:pPr>
            <w:r>
              <w:rPr>
                <w:sz w:val="19"/>
              </w:rPr>
              <w:t>20.9</w:t>
            </w:r>
          </w:p>
        </w:tc>
        <w:tc>
          <w:tcPr>
            <w:tcW w:w="1582" w:type="dxa"/>
          </w:tcPr>
          <w:p>
            <w:pPr>
              <w:pStyle w:val="TableParagraph"/>
              <w:spacing w:before="4"/>
              <w:ind w:left="98"/>
              <w:jc w:val="left"/>
              <w:rPr>
                <w:sz w:val="19"/>
              </w:rPr>
            </w:pPr>
            <w:r>
              <w:rPr>
                <w:sz w:val="19"/>
              </w:rPr>
              <w:t>12.1</w:t>
            </w:r>
          </w:p>
        </w:tc>
      </w:tr>
      <w:tr>
        <w:trPr>
          <w:trHeight w:val="462" w:hRule="exact"/>
        </w:trPr>
        <w:tc>
          <w:tcPr>
            <w:tcW w:w="2435" w:type="dxa"/>
            <w:tcBorders>
              <w:bottom w:val="single" w:sz="3" w:space="0" w:color="000000"/>
              <w:right w:val="single" w:sz="3" w:space="0" w:color="000000"/>
            </w:tcBorders>
          </w:tcPr>
          <w:p>
            <w:pPr>
              <w:pStyle w:val="TableParagraph"/>
              <w:spacing w:before="4"/>
              <w:ind w:left="100"/>
              <w:jc w:val="left"/>
              <w:rPr>
                <w:sz w:val="19"/>
              </w:rPr>
            </w:pPr>
            <w:r>
              <w:rPr>
                <w:sz w:val="19"/>
              </w:rPr>
              <w:t>Campeche</w:t>
            </w:r>
          </w:p>
        </w:tc>
        <w:tc>
          <w:tcPr>
            <w:tcW w:w="1583" w:type="dxa"/>
            <w:tcBorders>
              <w:left w:val="single" w:sz="3" w:space="0" w:color="000000"/>
              <w:bottom w:val="single" w:sz="3" w:space="0" w:color="000000"/>
            </w:tcBorders>
          </w:tcPr>
          <w:p>
            <w:pPr>
              <w:pStyle w:val="TableParagraph"/>
              <w:spacing w:before="4"/>
              <w:ind w:left="100"/>
              <w:jc w:val="left"/>
              <w:rPr>
                <w:sz w:val="19"/>
              </w:rPr>
            </w:pPr>
            <w:r>
              <w:rPr>
                <w:sz w:val="19"/>
              </w:rPr>
              <w:t>37.4</w:t>
            </w:r>
          </w:p>
        </w:tc>
        <w:tc>
          <w:tcPr>
            <w:tcW w:w="1582" w:type="dxa"/>
            <w:tcBorders>
              <w:bottom w:val="single" w:sz="3" w:space="0" w:color="000000"/>
            </w:tcBorders>
          </w:tcPr>
          <w:p>
            <w:pPr>
              <w:pStyle w:val="TableParagraph"/>
              <w:spacing w:before="4"/>
              <w:ind w:left="98"/>
              <w:jc w:val="left"/>
              <w:rPr>
                <w:sz w:val="19"/>
              </w:rPr>
            </w:pPr>
            <w:r>
              <w:rPr>
                <w:sz w:val="19"/>
              </w:rPr>
              <w:t>37.4</w:t>
            </w:r>
          </w:p>
        </w:tc>
        <w:tc>
          <w:tcPr>
            <w:tcW w:w="1584" w:type="dxa"/>
            <w:tcBorders>
              <w:bottom w:val="single" w:sz="3" w:space="0" w:color="000000"/>
            </w:tcBorders>
          </w:tcPr>
          <w:p>
            <w:pPr>
              <w:pStyle w:val="TableParagraph"/>
              <w:spacing w:before="4"/>
              <w:ind w:left="100"/>
              <w:jc w:val="left"/>
              <w:rPr>
                <w:sz w:val="19"/>
              </w:rPr>
            </w:pPr>
            <w:r>
              <w:rPr>
                <w:sz w:val="19"/>
              </w:rPr>
              <w:t>49.3</w:t>
            </w:r>
          </w:p>
        </w:tc>
        <w:tc>
          <w:tcPr>
            <w:tcW w:w="1582" w:type="dxa"/>
            <w:tcBorders>
              <w:bottom w:val="single" w:sz="3" w:space="0" w:color="000000"/>
            </w:tcBorders>
          </w:tcPr>
          <w:p>
            <w:pPr>
              <w:pStyle w:val="TableParagraph"/>
              <w:spacing w:before="4"/>
              <w:ind w:left="98"/>
              <w:jc w:val="left"/>
              <w:rPr>
                <w:sz w:val="19"/>
              </w:rPr>
            </w:pPr>
            <w:r>
              <w:rPr>
                <w:sz w:val="19"/>
              </w:rPr>
              <w:t>30.5</w:t>
            </w:r>
          </w:p>
        </w:tc>
      </w:tr>
      <w:tr>
        <w:trPr>
          <w:trHeight w:val="460" w:hRule="exact"/>
        </w:trPr>
        <w:tc>
          <w:tcPr>
            <w:tcW w:w="2435" w:type="dxa"/>
            <w:tcBorders>
              <w:top w:val="single" w:sz="3" w:space="0" w:color="000000"/>
              <w:right w:val="single" w:sz="3" w:space="0" w:color="000000"/>
            </w:tcBorders>
          </w:tcPr>
          <w:p>
            <w:pPr>
              <w:pStyle w:val="TableParagraph"/>
              <w:spacing w:before="4"/>
              <w:ind w:left="100"/>
              <w:jc w:val="left"/>
              <w:rPr>
                <w:sz w:val="19"/>
              </w:rPr>
            </w:pPr>
            <w:r>
              <w:rPr>
                <w:sz w:val="19"/>
              </w:rPr>
              <w:t>Coahuila</w:t>
            </w:r>
          </w:p>
        </w:tc>
        <w:tc>
          <w:tcPr>
            <w:tcW w:w="1583" w:type="dxa"/>
            <w:tcBorders>
              <w:top w:val="single" w:sz="3" w:space="0" w:color="000000"/>
              <w:left w:val="single" w:sz="3" w:space="0" w:color="000000"/>
            </w:tcBorders>
          </w:tcPr>
          <w:p>
            <w:pPr>
              <w:pStyle w:val="TableParagraph"/>
              <w:spacing w:before="4"/>
              <w:ind w:left="101"/>
              <w:jc w:val="left"/>
              <w:rPr>
                <w:sz w:val="19"/>
              </w:rPr>
            </w:pPr>
            <w:r>
              <w:rPr>
                <w:sz w:val="19"/>
              </w:rPr>
              <w:t>116.8</w:t>
            </w:r>
          </w:p>
        </w:tc>
        <w:tc>
          <w:tcPr>
            <w:tcW w:w="1582" w:type="dxa"/>
            <w:tcBorders>
              <w:top w:val="single" w:sz="3" w:space="0" w:color="000000"/>
            </w:tcBorders>
          </w:tcPr>
          <w:p>
            <w:pPr>
              <w:pStyle w:val="TableParagraph"/>
              <w:spacing w:before="4"/>
              <w:ind w:left="98"/>
              <w:jc w:val="left"/>
              <w:rPr>
                <w:sz w:val="19"/>
              </w:rPr>
            </w:pPr>
            <w:r>
              <w:rPr>
                <w:sz w:val="19"/>
              </w:rPr>
              <w:t>155.2</w:t>
            </w:r>
          </w:p>
        </w:tc>
        <w:tc>
          <w:tcPr>
            <w:tcW w:w="1584" w:type="dxa"/>
            <w:tcBorders>
              <w:top w:val="single" w:sz="3" w:space="0" w:color="000000"/>
            </w:tcBorders>
          </w:tcPr>
          <w:p>
            <w:pPr>
              <w:pStyle w:val="TableParagraph"/>
              <w:spacing w:before="4"/>
              <w:ind w:left="101"/>
              <w:jc w:val="left"/>
              <w:rPr>
                <w:sz w:val="19"/>
              </w:rPr>
            </w:pPr>
            <w:r>
              <w:rPr>
                <w:sz w:val="19"/>
              </w:rPr>
              <w:t>189.3</w:t>
            </w:r>
          </w:p>
        </w:tc>
        <w:tc>
          <w:tcPr>
            <w:tcW w:w="1582" w:type="dxa"/>
            <w:tcBorders>
              <w:top w:val="single" w:sz="3" w:space="0" w:color="000000"/>
            </w:tcBorders>
          </w:tcPr>
          <w:p>
            <w:pPr>
              <w:pStyle w:val="TableParagraph"/>
              <w:spacing w:before="4"/>
              <w:ind w:left="98"/>
              <w:jc w:val="left"/>
              <w:rPr>
                <w:sz w:val="19"/>
              </w:rPr>
            </w:pPr>
            <w:r>
              <w:rPr>
                <w:sz w:val="19"/>
              </w:rPr>
              <w:t>107.7</w:t>
            </w:r>
          </w:p>
        </w:tc>
      </w:tr>
      <w:tr>
        <w:trPr>
          <w:trHeight w:val="463" w:hRule="exact"/>
        </w:trPr>
        <w:tc>
          <w:tcPr>
            <w:tcW w:w="2435" w:type="dxa"/>
            <w:tcBorders>
              <w:right w:val="single" w:sz="3" w:space="0" w:color="000000"/>
            </w:tcBorders>
          </w:tcPr>
          <w:p>
            <w:pPr>
              <w:pStyle w:val="TableParagraph"/>
              <w:spacing w:before="4"/>
              <w:ind w:left="100"/>
              <w:jc w:val="left"/>
              <w:rPr>
                <w:sz w:val="19"/>
              </w:rPr>
            </w:pPr>
            <w:r>
              <w:rPr>
                <w:sz w:val="19"/>
              </w:rPr>
              <w:t>Colima</w:t>
            </w:r>
          </w:p>
        </w:tc>
        <w:tc>
          <w:tcPr>
            <w:tcW w:w="1583" w:type="dxa"/>
            <w:tcBorders>
              <w:left w:val="single" w:sz="3" w:space="0" w:color="000000"/>
            </w:tcBorders>
          </w:tcPr>
          <w:p>
            <w:pPr>
              <w:pStyle w:val="TableParagraph"/>
              <w:spacing w:before="4"/>
              <w:ind w:left="100"/>
              <w:jc w:val="left"/>
              <w:rPr>
                <w:sz w:val="19"/>
              </w:rPr>
            </w:pPr>
            <w:r>
              <w:rPr>
                <w:sz w:val="19"/>
              </w:rPr>
              <w:t>98.1</w:t>
            </w:r>
          </w:p>
        </w:tc>
        <w:tc>
          <w:tcPr>
            <w:tcW w:w="1582" w:type="dxa"/>
          </w:tcPr>
          <w:p>
            <w:pPr>
              <w:pStyle w:val="TableParagraph"/>
              <w:spacing w:before="4"/>
              <w:ind w:left="98"/>
              <w:jc w:val="left"/>
              <w:rPr>
                <w:sz w:val="19"/>
              </w:rPr>
            </w:pPr>
            <w:r>
              <w:rPr>
                <w:sz w:val="19"/>
              </w:rPr>
              <w:t>126.6</w:t>
            </w:r>
          </w:p>
        </w:tc>
        <w:tc>
          <w:tcPr>
            <w:tcW w:w="1584" w:type="dxa"/>
          </w:tcPr>
          <w:p>
            <w:pPr>
              <w:pStyle w:val="TableParagraph"/>
              <w:spacing w:before="4"/>
              <w:ind w:left="100"/>
              <w:jc w:val="left"/>
              <w:rPr>
                <w:sz w:val="19"/>
              </w:rPr>
            </w:pPr>
            <w:r>
              <w:rPr>
                <w:sz w:val="19"/>
              </w:rPr>
              <w:t>145.5</w:t>
            </w:r>
          </w:p>
        </w:tc>
        <w:tc>
          <w:tcPr>
            <w:tcW w:w="1582" w:type="dxa"/>
          </w:tcPr>
          <w:p>
            <w:pPr>
              <w:pStyle w:val="TableParagraph"/>
              <w:spacing w:before="4"/>
              <w:ind w:left="98"/>
              <w:jc w:val="left"/>
              <w:rPr>
                <w:sz w:val="19"/>
              </w:rPr>
            </w:pPr>
            <w:r>
              <w:rPr>
                <w:sz w:val="19"/>
              </w:rPr>
              <w:t>82.5</w:t>
            </w:r>
          </w:p>
        </w:tc>
      </w:tr>
      <w:tr>
        <w:trPr>
          <w:trHeight w:val="463" w:hRule="exact"/>
        </w:trPr>
        <w:tc>
          <w:tcPr>
            <w:tcW w:w="2435" w:type="dxa"/>
            <w:tcBorders>
              <w:right w:val="single" w:sz="3" w:space="0" w:color="000000"/>
            </w:tcBorders>
          </w:tcPr>
          <w:p>
            <w:pPr>
              <w:pStyle w:val="TableParagraph"/>
              <w:spacing w:before="4"/>
              <w:ind w:left="100"/>
              <w:jc w:val="left"/>
              <w:rPr>
                <w:sz w:val="19"/>
              </w:rPr>
            </w:pPr>
            <w:r>
              <w:rPr>
                <w:sz w:val="19"/>
              </w:rPr>
              <w:t>Chiapas</w:t>
            </w:r>
          </w:p>
        </w:tc>
        <w:tc>
          <w:tcPr>
            <w:tcW w:w="1583" w:type="dxa"/>
            <w:tcBorders>
              <w:left w:val="single" w:sz="3" w:space="0" w:color="000000"/>
            </w:tcBorders>
          </w:tcPr>
          <w:p>
            <w:pPr>
              <w:pStyle w:val="TableParagraph"/>
              <w:spacing w:before="4"/>
              <w:ind w:left="100"/>
              <w:jc w:val="left"/>
              <w:rPr>
                <w:sz w:val="19"/>
              </w:rPr>
            </w:pPr>
            <w:r>
              <w:rPr>
                <w:sz w:val="19"/>
              </w:rPr>
              <w:t>360.9</w:t>
            </w:r>
          </w:p>
        </w:tc>
        <w:tc>
          <w:tcPr>
            <w:tcW w:w="1582" w:type="dxa"/>
          </w:tcPr>
          <w:p>
            <w:pPr>
              <w:pStyle w:val="TableParagraph"/>
              <w:spacing w:before="4"/>
              <w:ind w:left="98"/>
              <w:jc w:val="left"/>
              <w:rPr>
                <w:sz w:val="19"/>
              </w:rPr>
            </w:pPr>
            <w:r>
              <w:rPr>
                <w:sz w:val="19"/>
              </w:rPr>
              <w:t>500.3</w:t>
            </w:r>
          </w:p>
        </w:tc>
        <w:tc>
          <w:tcPr>
            <w:tcW w:w="1584" w:type="dxa"/>
          </w:tcPr>
          <w:p>
            <w:pPr>
              <w:pStyle w:val="TableParagraph"/>
              <w:spacing w:before="4"/>
              <w:ind w:left="101"/>
              <w:jc w:val="left"/>
              <w:rPr>
                <w:sz w:val="19"/>
              </w:rPr>
            </w:pPr>
            <w:r>
              <w:rPr>
                <w:sz w:val="19"/>
              </w:rPr>
              <w:t>655.3</w:t>
            </w:r>
          </w:p>
        </w:tc>
        <w:tc>
          <w:tcPr>
            <w:tcW w:w="1582" w:type="dxa"/>
          </w:tcPr>
          <w:p>
            <w:pPr>
              <w:pStyle w:val="TableParagraph"/>
              <w:spacing w:before="4"/>
              <w:ind w:left="98"/>
              <w:jc w:val="left"/>
              <w:rPr>
                <w:sz w:val="19"/>
              </w:rPr>
            </w:pPr>
            <w:r>
              <w:rPr>
                <w:sz w:val="19"/>
              </w:rPr>
              <w:t>400.6</w:t>
            </w:r>
          </w:p>
        </w:tc>
      </w:tr>
      <w:tr>
        <w:trPr>
          <w:trHeight w:val="460" w:hRule="exact"/>
        </w:trPr>
        <w:tc>
          <w:tcPr>
            <w:tcW w:w="2435" w:type="dxa"/>
            <w:tcBorders>
              <w:bottom w:val="single" w:sz="3" w:space="0" w:color="000000"/>
              <w:right w:val="single" w:sz="3" w:space="0" w:color="000000"/>
            </w:tcBorders>
          </w:tcPr>
          <w:p>
            <w:pPr>
              <w:pStyle w:val="TableParagraph"/>
              <w:spacing w:before="4"/>
              <w:ind w:left="100"/>
              <w:jc w:val="left"/>
              <w:rPr>
                <w:sz w:val="19"/>
              </w:rPr>
            </w:pPr>
            <w:r>
              <w:rPr>
                <w:sz w:val="19"/>
              </w:rPr>
              <w:t>Chihuahua</w:t>
            </w:r>
          </w:p>
        </w:tc>
        <w:tc>
          <w:tcPr>
            <w:tcW w:w="1583" w:type="dxa"/>
            <w:tcBorders>
              <w:left w:val="single" w:sz="3" w:space="0" w:color="000000"/>
              <w:bottom w:val="single" w:sz="3" w:space="0" w:color="000000"/>
            </w:tcBorders>
          </w:tcPr>
          <w:p>
            <w:pPr>
              <w:pStyle w:val="TableParagraph"/>
              <w:spacing w:before="4"/>
              <w:ind w:left="101"/>
              <w:jc w:val="left"/>
              <w:rPr>
                <w:sz w:val="19"/>
              </w:rPr>
            </w:pPr>
            <w:r>
              <w:rPr>
                <w:sz w:val="19"/>
              </w:rPr>
              <w:t>191.6</w:t>
            </w:r>
          </w:p>
        </w:tc>
        <w:tc>
          <w:tcPr>
            <w:tcW w:w="1582" w:type="dxa"/>
            <w:tcBorders>
              <w:bottom w:val="single" w:sz="3" w:space="0" w:color="000000"/>
            </w:tcBorders>
          </w:tcPr>
          <w:p>
            <w:pPr>
              <w:pStyle w:val="TableParagraph"/>
              <w:spacing w:before="4"/>
              <w:ind w:left="98"/>
              <w:jc w:val="left"/>
              <w:rPr>
                <w:sz w:val="19"/>
              </w:rPr>
            </w:pPr>
            <w:r>
              <w:rPr>
                <w:sz w:val="19"/>
              </w:rPr>
              <w:t>219.8</w:t>
            </w:r>
          </w:p>
        </w:tc>
        <w:tc>
          <w:tcPr>
            <w:tcW w:w="1584" w:type="dxa"/>
            <w:tcBorders>
              <w:bottom w:val="single" w:sz="3" w:space="0" w:color="000000"/>
            </w:tcBorders>
          </w:tcPr>
          <w:p>
            <w:pPr>
              <w:pStyle w:val="TableParagraph"/>
              <w:spacing w:before="4"/>
              <w:ind w:left="101"/>
              <w:jc w:val="left"/>
              <w:rPr>
                <w:sz w:val="19"/>
              </w:rPr>
            </w:pPr>
            <w:r>
              <w:rPr>
                <w:sz w:val="19"/>
              </w:rPr>
              <w:t>293</w:t>
            </w:r>
          </w:p>
        </w:tc>
        <w:tc>
          <w:tcPr>
            <w:tcW w:w="1582" w:type="dxa"/>
            <w:tcBorders>
              <w:bottom w:val="single" w:sz="3" w:space="0" w:color="000000"/>
            </w:tcBorders>
          </w:tcPr>
          <w:p>
            <w:pPr>
              <w:pStyle w:val="TableParagraph"/>
              <w:spacing w:before="4"/>
              <w:ind w:left="98"/>
              <w:jc w:val="left"/>
              <w:rPr>
                <w:sz w:val="19"/>
              </w:rPr>
            </w:pPr>
            <w:r>
              <w:rPr>
                <w:sz w:val="19"/>
              </w:rPr>
              <w:t>188.3</w:t>
            </w:r>
          </w:p>
        </w:tc>
      </w:tr>
      <w:tr>
        <w:trPr>
          <w:trHeight w:val="462" w:hRule="exact"/>
        </w:trPr>
        <w:tc>
          <w:tcPr>
            <w:tcW w:w="2435" w:type="dxa"/>
            <w:tcBorders>
              <w:top w:val="single" w:sz="3" w:space="0" w:color="000000"/>
              <w:right w:val="single" w:sz="3" w:space="0" w:color="000000"/>
            </w:tcBorders>
          </w:tcPr>
          <w:p>
            <w:pPr>
              <w:pStyle w:val="TableParagraph"/>
              <w:spacing w:before="6"/>
              <w:ind w:left="100"/>
              <w:jc w:val="left"/>
              <w:rPr>
                <w:sz w:val="19"/>
              </w:rPr>
            </w:pPr>
            <w:r>
              <w:rPr>
                <w:sz w:val="19"/>
              </w:rPr>
              <w:t>Distrito Federal</w:t>
            </w:r>
          </w:p>
        </w:tc>
        <w:tc>
          <w:tcPr>
            <w:tcW w:w="1583" w:type="dxa"/>
            <w:tcBorders>
              <w:top w:val="single" w:sz="3" w:space="0" w:color="000000"/>
              <w:left w:val="single" w:sz="3" w:space="0" w:color="000000"/>
            </w:tcBorders>
          </w:tcPr>
          <w:p>
            <w:pPr>
              <w:pStyle w:val="TableParagraph"/>
              <w:spacing w:before="6"/>
              <w:ind w:left="100"/>
              <w:jc w:val="left"/>
              <w:rPr>
                <w:sz w:val="19"/>
              </w:rPr>
            </w:pPr>
            <w:r>
              <w:rPr>
                <w:sz w:val="19"/>
              </w:rPr>
              <w:t>849.6</w:t>
            </w:r>
          </w:p>
        </w:tc>
        <w:tc>
          <w:tcPr>
            <w:tcW w:w="1582" w:type="dxa"/>
            <w:tcBorders>
              <w:top w:val="single" w:sz="3" w:space="0" w:color="000000"/>
            </w:tcBorders>
          </w:tcPr>
          <w:p>
            <w:pPr>
              <w:pStyle w:val="TableParagraph"/>
              <w:spacing w:before="6"/>
              <w:ind w:left="98"/>
              <w:jc w:val="left"/>
              <w:rPr>
                <w:sz w:val="19"/>
              </w:rPr>
            </w:pPr>
            <w:r>
              <w:rPr>
                <w:sz w:val="19"/>
              </w:rPr>
              <w:t>954.1</w:t>
            </w:r>
          </w:p>
        </w:tc>
        <w:tc>
          <w:tcPr>
            <w:tcW w:w="1584" w:type="dxa"/>
            <w:tcBorders>
              <w:top w:val="single" w:sz="3" w:space="0" w:color="000000"/>
            </w:tcBorders>
          </w:tcPr>
          <w:p>
            <w:pPr>
              <w:pStyle w:val="TableParagraph"/>
              <w:spacing w:before="6"/>
              <w:ind w:left="101"/>
              <w:jc w:val="left"/>
              <w:rPr>
                <w:sz w:val="19"/>
              </w:rPr>
            </w:pPr>
            <w:r>
              <w:rPr>
                <w:sz w:val="19"/>
              </w:rPr>
              <w:t>1452</w:t>
            </w:r>
          </w:p>
        </w:tc>
        <w:tc>
          <w:tcPr>
            <w:tcW w:w="1582" w:type="dxa"/>
            <w:tcBorders>
              <w:top w:val="single" w:sz="3" w:space="0" w:color="000000"/>
            </w:tcBorders>
          </w:tcPr>
          <w:p>
            <w:pPr>
              <w:pStyle w:val="TableParagraph"/>
              <w:spacing w:before="6"/>
              <w:ind w:left="98"/>
              <w:jc w:val="left"/>
              <w:rPr>
                <w:sz w:val="19"/>
              </w:rPr>
            </w:pPr>
            <w:r>
              <w:rPr>
                <w:sz w:val="19"/>
              </w:rPr>
              <w:t>822.2</w:t>
            </w:r>
          </w:p>
        </w:tc>
      </w:tr>
      <w:tr>
        <w:trPr>
          <w:trHeight w:val="463" w:hRule="exact"/>
        </w:trPr>
        <w:tc>
          <w:tcPr>
            <w:tcW w:w="2435" w:type="dxa"/>
            <w:tcBorders>
              <w:right w:val="single" w:sz="3" w:space="0" w:color="000000"/>
            </w:tcBorders>
          </w:tcPr>
          <w:p>
            <w:pPr>
              <w:pStyle w:val="TableParagraph"/>
              <w:spacing w:before="4"/>
              <w:ind w:left="100"/>
              <w:jc w:val="left"/>
              <w:rPr>
                <w:sz w:val="19"/>
              </w:rPr>
            </w:pPr>
            <w:r>
              <w:rPr>
                <w:sz w:val="19"/>
              </w:rPr>
              <w:t>Durango</w:t>
            </w:r>
          </w:p>
        </w:tc>
        <w:tc>
          <w:tcPr>
            <w:tcW w:w="1583" w:type="dxa"/>
            <w:tcBorders>
              <w:left w:val="single" w:sz="3" w:space="0" w:color="000000"/>
            </w:tcBorders>
          </w:tcPr>
          <w:p>
            <w:pPr>
              <w:pStyle w:val="TableParagraph"/>
              <w:spacing w:before="4"/>
              <w:ind w:left="100"/>
              <w:jc w:val="left"/>
              <w:rPr>
                <w:sz w:val="19"/>
              </w:rPr>
            </w:pPr>
            <w:r>
              <w:rPr>
                <w:sz w:val="19"/>
              </w:rPr>
              <w:t>211.1</w:t>
            </w:r>
          </w:p>
        </w:tc>
        <w:tc>
          <w:tcPr>
            <w:tcW w:w="1582" w:type="dxa"/>
          </w:tcPr>
          <w:p>
            <w:pPr>
              <w:pStyle w:val="TableParagraph"/>
              <w:spacing w:before="4"/>
              <w:ind w:left="98"/>
              <w:jc w:val="left"/>
              <w:rPr>
                <w:sz w:val="19"/>
              </w:rPr>
            </w:pPr>
            <w:r>
              <w:rPr>
                <w:sz w:val="19"/>
              </w:rPr>
              <w:t>278.2</w:t>
            </w:r>
          </w:p>
        </w:tc>
        <w:tc>
          <w:tcPr>
            <w:tcW w:w="1584" w:type="dxa"/>
          </w:tcPr>
          <w:p>
            <w:pPr>
              <w:pStyle w:val="TableParagraph"/>
              <w:spacing w:before="4"/>
              <w:ind w:left="101"/>
              <w:jc w:val="left"/>
              <w:rPr>
                <w:sz w:val="19"/>
              </w:rPr>
            </w:pPr>
            <w:r>
              <w:rPr>
                <w:sz w:val="19"/>
              </w:rPr>
              <w:t>341.5</w:t>
            </w:r>
          </w:p>
        </w:tc>
        <w:tc>
          <w:tcPr>
            <w:tcW w:w="1582" w:type="dxa"/>
          </w:tcPr>
          <w:p>
            <w:pPr>
              <w:pStyle w:val="TableParagraph"/>
              <w:spacing w:before="4"/>
              <w:ind w:left="98"/>
              <w:jc w:val="left"/>
              <w:rPr>
                <w:sz w:val="19"/>
              </w:rPr>
            </w:pPr>
            <w:r>
              <w:rPr>
                <w:sz w:val="19"/>
              </w:rPr>
              <w:t>185.3</w:t>
            </w:r>
          </w:p>
        </w:tc>
      </w:tr>
      <w:tr>
        <w:trPr>
          <w:trHeight w:val="461" w:hRule="exact"/>
        </w:trPr>
        <w:tc>
          <w:tcPr>
            <w:tcW w:w="2435" w:type="dxa"/>
            <w:tcBorders>
              <w:right w:val="single" w:sz="3" w:space="0" w:color="000000"/>
            </w:tcBorders>
          </w:tcPr>
          <w:p>
            <w:pPr>
              <w:pStyle w:val="TableParagraph"/>
              <w:spacing w:before="4"/>
              <w:ind w:left="100"/>
              <w:jc w:val="left"/>
              <w:rPr>
                <w:sz w:val="19"/>
              </w:rPr>
            </w:pPr>
            <w:r>
              <w:rPr>
                <w:sz w:val="19"/>
              </w:rPr>
              <w:t>Estado de México</w:t>
            </w:r>
          </w:p>
        </w:tc>
        <w:tc>
          <w:tcPr>
            <w:tcW w:w="1583" w:type="dxa"/>
            <w:tcBorders>
              <w:left w:val="single" w:sz="3" w:space="0" w:color="000000"/>
            </w:tcBorders>
          </w:tcPr>
          <w:p>
            <w:pPr>
              <w:pStyle w:val="TableParagraph"/>
              <w:spacing w:before="4"/>
              <w:ind w:left="100"/>
              <w:jc w:val="left"/>
              <w:rPr>
                <w:sz w:val="19"/>
              </w:rPr>
            </w:pPr>
            <w:r>
              <w:rPr>
                <w:sz w:val="19"/>
              </w:rPr>
              <w:t>1040.4</w:t>
            </w:r>
          </w:p>
        </w:tc>
        <w:tc>
          <w:tcPr>
            <w:tcW w:w="1582" w:type="dxa"/>
          </w:tcPr>
          <w:p>
            <w:pPr>
              <w:pStyle w:val="TableParagraph"/>
              <w:spacing w:before="4"/>
              <w:ind w:left="98"/>
              <w:jc w:val="left"/>
              <w:rPr>
                <w:sz w:val="19"/>
              </w:rPr>
            </w:pPr>
            <w:r>
              <w:rPr>
                <w:sz w:val="19"/>
              </w:rPr>
              <w:t>1385</w:t>
            </w:r>
          </w:p>
        </w:tc>
        <w:tc>
          <w:tcPr>
            <w:tcW w:w="1584" w:type="dxa"/>
          </w:tcPr>
          <w:p>
            <w:pPr>
              <w:pStyle w:val="TableParagraph"/>
              <w:spacing w:before="4"/>
              <w:ind w:left="101"/>
              <w:jc w:val="left"/>
              <w:rPr>
                <w:sz w:val="19"/>
              </w:rPr>
            </w:pPr>
            <w:r>
              <w:rPr>
                <w:sz w:val="19"/>
              </w:rPr>
              <w:t>1675.2</w:t>
            </w:r>
          </w:p>
        </w:tc>
        <w:tc>
          <w:tcPr>
            <w:tcW w:w="1582" w:type="dxa"/>
          </w:tcPr>
          <w:p>
            <w:pPr>
              <w:pStyle w:val="TableParagraph"/>
              <w:spacing w:before="4"/>
              <w:ind w:left="98"/>
              <w:jc w:val="left"/>
              <w:rPr>
                <w:sz w:val="19"/>
              </w:rPr>
            </w:pPr>
            <w:r>
              <w:rPr>
                <w:sz w:val="19"/>
              </w:rPr>
              <w:t>966.4</w:t>
            </w:r>
          </w:p>
        </w:tc>
      </w:tr>
      <w:tr>
        <w:trPr>
          <w:trHeight w:val="461" w:hRule="exact"/>
        </w:trPr>
        <w:tc>
          <w:tcPr>
            <w:tcW w:w="2435" w:type="dxa"/>
            <w:tcBorders>
              <w:right w:val="single" w:sz="3" w:space="0" w:color="000000"/>
            </w:tcBorders>
          </w:tcPr>
          <w:p>
            <w:pPr>
              <w:pStyle w:val="TableParagraph"/>
              <w:spacing w:before="6"/>
              <w:ind w:left="100"/>
              <w:jc w:val="left"/>
              <w:rPr>
                <w:sz w:val="19"/>
              </w:rPr>
            </w:pPr>
            <w:r>
              <w:rPr>
                <w:sz w:val="19"/>
              </w:rPr>
              <w:t>Guanajuato</w:t>
            </w:r>
          </w:p>
        </w:tc>
        <w:tc>
          <w:tcPr>
            <w:tcW w:w="1583" w:type="dxa"/>
            <w:tcBorders>
              <w:left w:val="single" w:sz="3" w:space="0" w:color="000000"/>
            </w:tcBorders>
          </w:tcPr>
          <w:p>
            <w:pPr>
              <w:pStyle w:val="TableParagraph"/>
              <w:spacing w:before="6"/>
              <w:ind w:left="100"/>
              <w:jc w:val="left"/>
              <w:rPr>
                <w:sz w:val="19"/>
              </w:rPr>
            </w:pPr>
            <w:r>
              <w:rPr>
                <w:sz w:val="19"/>
              </w:rPr>
              <w:t>1209.8</w:t>
            </w:r>
          </w:p>
        </w:tc>
        <w:tc>
          <w:tcPr>
            <w:tcW w:w="1582" w:type="dxa"/>
          </w:tcPr>
          <w:p>
            <w:pPr>
              <w:pStyle w:val="TableParagraph"/>
              <w:spacing w:before="6"/>
              <w:ind w:left="98"/>
              <w:jc w:val="left"/>
              <w:rPr>
                <w:sz w:val="19"/>
              </w:rPr>
            </w:pPr>
            <w:r>
              <w:rPr>
                <w:sz w:val="19"/>
              </w:rPr>
              <w:t>1531.7</w:t>
            </w:r>
          </w:p>
        </w:tc>
        <w:tc>
          <w:tcPr>
            <w:tcW w:w="1584" w:type="dxa"/>
          </w:tcPr>
          <w:p>
            <w:pPr>
              <w:pStyle w:val="TableParagraph"/>
              <w:spacing w:before="6"/>
              <w:ind w:left="101"/>
              <w:jc w:val="left"/>
              <w:rPr>
                <w:sz w:val="19"/>
              </w:rPr>
            </w:pPr>
            <w:r>
              <w:rPr>
                <w:sz w:val="19"/>
              </w:rPr>
              <w:t>1714.4</w:t>
            </w:r>
          </w:p>
        </w:tc>
        <w:tc>
          <w:tcPr>
            <w:tcW w:w="1582" w:type="dxa"/>
          </w:tcPr>
          <w:p>
            <w:pPr>
              <w:pStyle w:val="TableParagraph"/>
              <w:spacing w:before="6"/>
              <w:ind w:left="98"/>
              <w:jc w:val="left"/>
              <w:rPr>
                <w:sz w:val="19"/>
              </w:rPr>
            </w:pPr>
            <w:r>
              <w:rPr>
                <w:sz w:val="19"/>
              </w:rPr>
              <w:t>980.9</w:t>
            </w:r>
          </w:p>
        </w:tc>
      </w:tr>
      <w:tr>
        <w:trPr>
          <w:trHeight w:val="463" w:hRule="exact"/>
        </w:trPr>
        <w:tc>
          <w:tcPr>
            <w:tcW w:w="2435" w:type="dxa"/>
            <w:tcBorders>
              <w:right w:val="single" w:sz="3" w:space="0" w:color="000000"/>
            </w:tcBorders>
          </w:tcPr>
          <w:p>
            <w:pPr>
              <w:pStyle w:val="TableParagraph"/>
              <w:spacing w:before="4"/>
              <w:ind w:left="100"/>
              <w:jc w:val="left"/>
              <w:rPr>
                <w:sz w:val="19"/>
              </w:rPr>
            </w:pPr>
            <w:r>
              <w:rPr>
                <w:sz w:val="19"/>
              </w:rPr>
              <w:t>Guerrero</w:t>
            </w:r>
          </w:p>
        </w:tc>
        <w:tc>
          <w:tcPr>
            <w:tcW w:w="1583" w:type="dxa"/>
            <w:tcBorders>
              <w:left w:val="single" w:sz="3" w:space="0" w:color="000000"/>
            </w:tcBorders>
          </w:tcPr>
          <w:p>
            <w:pPr>
              <w:pStyle w:val="TableParagraph"/>
              <w:spacing w:before="4"/>
              <w:ind w:left="100"/>
              <w:jc w:val="left"/>
              <w:rPr>
                <w:sz w:val="19"/>
              </w:rPr>
            </w:pPr>
            <w:r>
              <w:rPr>
                <w:sz w:val="19"/>
              </w:rPr>
              <w:t>688</w:t>
            </w:r>
          </w:p>
        </w:tc>
        <w:tc>
          <w:tcPr>
            <w:tcW w:w="1582" w:type="dxa"/>
          </w:tcPr>
          <w:p>
            <w:pPr>
              <w:pStyle w:val="TableParagraph"/>
              <w:spacing w:before="4"/>
              <w:ind w:left="98"/>
              <w:jc w:val="left"/>
              <w:rPr>
                <w:sz w:val="19"/>
              </w:rPr>
            </w:pPr>
            <w:r>
              <w:rPr>
                <w:sz w:val="19"/>
              </w:rPr>
              <w:t>826.3</w:t>
            </w:r>
          </w:p>
        </w:tc>
        <w:tc>
          <w:tcPr>
            <w:tcW w:w="1584" w:type="dxa"/>
          </w:tcPr>
          <w:p>
            <w:pPr>
              <w:pStyle w:val="TableParagraph"/>
              <w:spacing w:before="4"/>
              <w:ind w:left="100"/>
              <w:jc w:val="left"/>
              <w:rPr>
                <w:sz w:val="19"/>
              </w:rPr>
            </w:pPr>
            <w:r>
              <w:rPr>
                <w:sz w:val="19"/>
              </w:rPr>
              <w:t>957.4</w:t>
            </w:r>
          </w:p>
        </w:tc>
        <w:tc>
          <w:tcPr>
            <w:tcW w:w="1582" w:type="dxa"/>
          </w:tcPr>
          <w:p>
            <w:pPr>
              <w:pStyle w:val="TableParagraph"/>
              <w:spacing w:before="4"/>
              <w:ind w:left="98"/>
              <w:jc w:val="left"/>
              <w:rPr>
                <w:sz w:val="19"/>
              </w:rPr>
            </w:pPr>
            <w:r>
              <w:rPr>
                <w:sz w:val="19"/>
              </w:rPr>
              <w:t>572.1</w:t>
            </w:r>
          </w:p>
        </w:tc>
      </w:tr>
      <w:tr>
        <w:trPr>
          <w:trHeight w:val="463" w:hRule="exact"/>
        </w:trPr>
        <w:tc>
          <w:tcPr>
            <w:tcW w:w="2435" w:type="dxa"/>
            <w:tcBorders>
              <w:right w:val="single" w:sz="3" w:space="0" w:color="000000"/>
            </w:tcBorders>
          </w:tcPr>
          <w:p>
            <w:pPr>
              <w:pStyle w:val="TableParagraph"/>
              <w:spacing w:before="4"/>
              <w:ind w:left="100"/>
              <w:jc w:val="left"/>
              <w:rPr>
                <w:sz w:val="19"/>
              </w:rPr>
            </w:pPr>
            <w:r>
              <w:rPr>
                <w:sz w:val="19"/>
              </w:rPr>
              <w:t>Hidalgo</w:t>
            </w:r>
          </w:p>
        </w:tc>
        <w:tc>
          <w:tcPr>
            <w:tcW w:w="1583" w:type="dxa"/>
            <w:tcBorders>
              <w:left w:val="single" w:sz="3" w:space="0" w:color="000000"/>
            </w:tcBorders>
          </w:tcPr>
          <w:p>
            <w:pPr>
              <w:pStyle w:val="TableParagraph"/>
              <w:spacing w:before="4"/>
              <w:ind w:left="100"/>
              <w:jc w:val="left"/>
              <w:rPr>
                <w:sz w:val="19"/>
              </w:rPr>
            </w:pPr>
            <w:r>
              <w:rPr>
                <w:sz w:val="19"/>
              </w:rPr>
              <w:t>506</w:t>
            </w:r>
          </w:p>
        </w:tc>
        <w:tc>
          <w:tcPr>
            <w:tcW w:w="1582" w:type="dxa"/>
          </w:tcPr>
          <w:p>
            <w:pPr>
              <w:pStyle w:val="TableParagraph"/>
              <w:spacing w:before="4"/>
              <w:ind w:left="98"/>
              <w:jc w:val="left"/>
              <w:rPr>
                <w:sz w:val="19"/>
              </w:rPr>
            </w:pPr>
            <w:r>
              <w:rPr>
                <w:sz w:val="19"/>
              </w:rPr>
              <w:t>615.2</w:t>
            </w:r>
          </w:p>
        </w:tc>
        <w:tc>
          <w:tcPr>
            <w:tcW w:w="1584" w:type="dxa"/>
          </w:tcPr>
          <w:p>
            <w:pPr>
              <w:pStyle w:val="TableParagraph"/>
              <w:spacing w:before="4"/>
              <w:ind w:left="101"/>
              <w:jc w:val="left"/>
              <w:rPr>
                <w:sz w:val="19"/>
              </w:rPr>
            </w:pPr>
            <w:r>
              <w:rPr>
                <w:sz w:val="19"/>
              </w:rPr>
              <w:t>718.4</w:t>
            </w:r>
          </w:p>
        </w:tc>
        <w:tc>
          <w:tcPr>
            <w:tcW w:w="1582" w:type="dxa"/>
          </w:tcPr>
          <w:p>
            <w:pPr>
              <w:pStyle w:val="TableParagraph"/>
              <w:spacing w:before="4"/>
              <w:ind w:left="98"/>
              <w:jc w:val="left"/>
              <w:rPr>
                <w:sz w:val="19"/>
              </w:rPr>
            </w:pPr>
            <w:r>
              <w:rPr>
                <w:sz w:val="19"/>
              </w:rPr>
              <w:t>415.2</w:t>
            </w:r>
          </w:p>
        </w:tc>
      </w:tr>
      <w:tr>
        <w:trPr>
          <w:trHeight w:val="460" w:hRule="exact"/>
        </w:trPr>
        <w:tc>
          <w:tcPr>
            <w:tcW w:w="2435" w:type="dxa"/>
            <w:tcBorders>
              <w:bottom w:val="single" w:sz="3" w:space="0" w:color="000000"/>
              <w:right w:val="single" w:sz="3" w:space="0" w:color="000000"/>
            </w:tcBorders>
          </w:tcPr>
          <w:p>
            <w:pPr>
              <w:pStyle w:val="TableParagraph"/>
              <w:spacing w:before="4"/>
              <w:ind w:left="100"/>
              <w:jc w:val="left"/>
              <w:rPr>
                <w:sz w:val="19"/>
              </w:rPr>
            </w:pPr>
            <w:r>
              <w:rPr>
                <w:sz w:val="19"/>
              </w:rPr>
              <w:t>Jalisco</w:t>
            </w:r>
          </w:p>
        </w:tc>
        <w:tc>
          <w:tcPr>
            <w:tcW w:w="1583" w:type="dxa"/>
            <w:tcBorders>
              <w:left w:val="single" w:sz="3" w:space="0" w:color="000000"/>
              <w:bottom w:val="single" w:sz="3" w:space="0" w:color="000000"/>
            </w:tcBorders>
          </w:tcPr>
          <w:p>
            <w:pPr>
              <w:pStyle w:val="TableParagraph"/>
              <w:spacing w:before="4"/>
              <w:ind w:left="100"/>
              <w:jc w:val="left"/>
              <w:rPr>
                <w:sz w:val="19"/>
              </w:rPr>
            </w:pPr>
            <w:r>
              <w:rPr>
                <w:sz w:val="19"/>
              </w:rPr>
              <w:t>1298.6</w:t>
            </w:r>
          </w:p>
        </w:tc>
        <w:tc>
          <w:tcPr>
            <w:tcW w:w="1582" w:type="dxa"/>
            <w:tcBorders>
              <w:bottom w:val="single" w:sz="3" w:space="0" w:color="000000"/>
            </w:tcBorders>
          </w:tcPr>
          <w:p>
            <w:pPr>
              <w:pStyle w:val="TableParagraph"/>
              <w:spacing w:before="4"/>
              <w:ind w:left="98"/>
              <w:jc w:val="left"/>
              <w:rPr>
                <w:sz w:val="19"/>
              </w:rPr>
            </w:pPr>
            <w:r>
              <w:rPr>
                <w:sz w:val="19"/>
              </w:rPr>
              <w:t>1419.2</w:t>
            </w:r>
          </w:p>
        </w:tc>
        <w:tc>
          <w:tcPr>
            <w:tcW w:w="1584" w:type="dxa"/>
            <w:tcBorders>
              <w:bottom w:val="single" w:sz="3" w:space="0" w:color="000000"/>
            </w:tcBorders>
          </w:tcPr>
          <w:p>
            <w:pPr>
              <w:pStyle w:val="TableParagraph"/>
              <w:spacing w:before="4"/>
              <w:ind w:left="101"/>
              <w:jc w:val="left"/>
              <w:rPr>
                <w:sz w:val="19"/>
              </w:rPr>
            </w:pPr>
            <w:r>
              <w:rPr>
                <w:sz w:val="19"/>
              </w:rPr>
              <w:t>1693</w:t>
            </w:r>
          </w:p>
        </w:tc>
        <w:tc>
          <w:tcPr>
            <w:tcW w:w="1582" w:type="dxa"/>
            <w:tcBorders>
              <w:bottom w:val="single" w:sz="3" w:space="0" w:color="000000"/>
            </w:tcBorders>
          </w:tcPr>
          <w:p>
            <w:pPr>
              <w:pStyle w:val="TableParagraph"/>
              <w:spacing w:before="4"/>
              <w:ind w:left="98"/>
              <w:jc w:val="left"/>
              <w:rPr>
                <w:sz w:val="19"/>
              </w:rPr>
            </w:pPr>
            <w:r>
              <w:rPr>
                <w:sz w:val="19"/>
              </w:rPr>
              <w:t>991.8</w:t>
            </w:r>
          </w:p>
        </w:tc>
      </w:tr>
      <w:tr>
        <w:trPr>
          <w:trHeight w:val="462" w:hRule="exact"/>
        </w:trPr>
        <w:tc>
          <w:tcPr>
            <w:tcW w:w="2435" w:type="dxa"/>
            <w:tcBorders>
              <w:top w:val="single" w:sz="3" w:space="0" w:color="000000"/>
              <w:right w:val="single" w:sz="3" w:space="0" w:color="000000"/>
            </w:tcBorders>
          </w:tcPr>
          <w:p>
            <w:pPr>
              <w:pStyle w:val="TableParagraph"/>
              <w:spacing w:before="4"/>
              <w:ind w:left="100"/>
              <w:jc w:val="left"/>
              <w:rPr>
                <w:sz w:val="19"/>
              </w:rPr>
            </w:pPr>
            <w:r>
              <w:rPr>
                <w:sz w:val="19"/>
              </w:rPr>
              <w:t>Michoacán</w:t>
            </w:r>
          </w:p>
        </w:tc>
        <w:tc>
          <w:tcPr>
            <w:tcW w:w="1583" w:type="dxa"/>
            <w:tcBorders>
              <w:top w:val="single" w:sz="3" w:space="0" w:color="000000"/>
              <w:left w:val="single" w:sz="3" w:space="0" w:color="000000"/>
            </w:tcBorders>
          </w:tcPr>
          <w:p>
            <w:pPr>
              <w:pStyle w:val="TableParagraph"/>
              <w:spacing w:before="4"/>
              <w:ind w:left="100"/>
              <w:jc w:val="left"/>
              <w:rPr>
                <w:sz w:val="19"/>
              </w:rPr>
            </w:pPr>
            <w:r>
              <w:rPr>
                <w:sz w:val="19"/>
              </w:rPr>
              <w:t>1692.4</w:t>
            </w:r>
          </w:p>
        </w:tc>
        <w:tc>
          <w:tcPr>
            <w:tcW w:w="1582" w:type="dxa"/>
            <w:tcBorders>
              <w:top w:val="single" w:sz="3" w:space="0" w:color="000000"/>
            </w:tcBorders>
          </w:tcPr>
          <w:p>
            <w:pPr>
              <w:pStyle w:val="TableParagraph"/>
              <w:spacing w:before="4"/>
              <w:ind w:left="98"/>
              <w:jc w:val="left"/>
              <w:rPr>
                <w:sz w:val="19"/>
              </w:rPr>
            </w:pPr>
            <w:r>
              <w:rPr>
                <w:sz w:val="19"/>
              </w:rPr>
              <w:t>2195.6</w:t>
            </w:r>
          </w:p>
        </w:tc>
        <w:tc>
          <w:tcPr>
            <w:tcW w:w="1584" w:type="dxa"/>
            <w:tcBorders>
              <w:top w:val="single" w:sz="3" w:space="0" w:color="000000"/>
            </w:tcBorders>
          </w:tcPr>
          <w:p>
            <w:pPr>
              <w:pStyle w:val="TableParagraph"/>
              <w:spacing w:before="4"/>
              <w:ind w:left="101"/>
              <w:jc w:val="left"/>
              <w:rPr>
                <w:sz w:val="19"/>
              </w:rPr>
            </w:pPr>
            <w:r>
              <w:rPr>
                <w:sz w:val="19"/>
              </w:rPr>
              <w:t>2594.6</w:t>
            </w:r>
          </w:p>
        </w:tc>
        <w:tc>
          <w:tcPr>
            <w:tcW w:w="1582" w:type="dxa"/>
            <w:tcBorders>
              <w:top w:val="single" w:sz="3" w:space="0" w:color="000000"/>
            </w:tcBorders>
          </w:tcPr>
          <w:p>
            <w:pPr>
              <w:pStyle w:val="TableParagraph"/>
              <w:spacing w:before="4"/>
              <w:ind w:left="98"/>
              <w:jc w:val="left"/>
              <w:rPr>
                <w:sz w:val="19"/>
              </w:rPr>
            </w:pPr>
            <w:r>
              <w:rPr>
                <w:sz w:val="19"/>
              </w:rPr>
              <w:t>1257.6</w:t>
            </w:r>
          </w:p>
        </w:tc>
      </w:tr>
    </w:tbl>
    <w:p>
      <w:pPr>
        <w:spacing w:after="0"/>
        <w:jc w:val="left"/>
        <w:rPr>
          <w:sz w:val="19"/>
        </w:rPr>
        <w:sectPr>
          <w:pgSz w:w="11900" w:h="16840"/>
          <w:pgMar w:header="0" w:footer="1679" w:top="1600" w:bottom="1860" w:left="1440" w:right="1460"/>
        </w:sectPr>
      </w:pPr>
    </w:p>
    <w:p>
      <w:pPr>
        <w:pStyle w:val="BodyText"/>
        <w:rPr>
          <w:b/>
          <w:sz w:val="20"/>
        </w:rPr>
      </w:pPr>
    </w:p>
    <w:p>
      <w:pPr>
        <w:pStyle w:val="BodyText"/>
        <w:spacing w:before="9" w:after="1"/>
        <w:rPr>
          <w:b/>
          <w:sz w:val="22"/>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35"/>
        <w:gridCol w:w="1583"/>
        <w:gridCol w:w="1582"/>
        <w:gridCol w:w="1584"/>
        <w:gridCol w:w="1582"/>
      </w:tblGrid>
      <w:tr>
        <w:trPr>
          <w:trHeight w:val="463" w:hRule="exact"/>
        </w:trPr>
        <w:tc>
          <w:tcPr>
            <w:tcW w:w="2435" w:type="dxa"/>
            <w:tcBorders>
              <w:right w:val="single" w:sz="3" w:space="0" w:color="000000"/>
            </w:tcBorders>
          </w:tcPr>
          <w:p>
            <w:pPr>
              <w:pStyle w:val="TableParagraph"/>
              <w:spacing w:before="6"/>
              <w:ind w:left="100"/>
              <w:jc w:val="left"/>
              <w:rPr>
                <w:sz w:val="19"/>
              </w:rPr>
            </w:pPr>
            <w:r>
              <w:rPr>
                <w:sz w:val="19"/>
              </w:rPr>
              <w:t>Morelos</w:t>
            </w:r>
          </w:p>
        </w:tc>
        <w:tc>
          <w:tcPr>
            <w:tcW w:w="1583" w:type="dxa"/>
            <w:tcBorders>
              <w:left w:val="single" w:sz="3" w:space="0" w:color="000000"/>
            </w:tcBorders>
          </w:tcPr>
          <w:p>
            <w:pPr>
              <w:pStyle w:val="TableParagraph"/>
              <w:spacing w:before="6"/>
              <w:ind w:left="100"/>
              <w:jc w:val="left"/>
              <w:rPr>
                <w:sz w:val="19"/>
              </w:rPr>
            </w:pPr>
            <w:r>
              <w:rPr>
                <w:sz w:val="19"/>
              </w:rPr>
              <w:t>343.1</w:t>
            </w:r>
          </w:p>
        </w:tc>
        <w:tc>
          <w:tcPr>
            <w:tcW w:w="1582" w:type="dxa"/>
          </w:tcPr>
          <w:p>
            <w:pPr>
              <w:pStyle w:val="TableParagraph"/>
              <w:spacing w:before="6"/>
              <w:ind w:left="98"/>
              <w:jc w:val="left"/>
              <w:rPr>
                <w:sz w:val="19"/>
              </w:rPr>
            </w:pPr>
            <w:r>
              <w:rPr>
                <w:sz w:val="19"/>
              </w:rPr>
              <w:t>400</w:t>
            </w:r>
          </w:p>
        </w:tc>
        <w:tc>
          <w:tcPr>
            <w:tcW w:w="1584" w:type="dxa"/>
          </w:tcPr>
          <w:p>
            <w:pPr>
              <w:pStyle w:val="TableParagraph"/>
              <w:spacing w:before="6"/>
              <w:ind w:left="100"/>
              <w:jc w:val="left"/>
              <w:rPr>
                <w:sz w:val="19"/>
              </w:rPr>
            </w:pPr>
            <w:r>
              <w:rPr>
                <w:sz w:val="19"/>
              </w:rPr>
              <w:t>476</w:t>
            </w:r>
          </w:p>
        </w:tc>
        <w:tc>
          <w:tcPr>
            <w:tcW w:w="1582" w:type="dxa"/>
          </w:tcPr>
          <w:p>
            <w:pPr>
              <w:pStyle w:val="TableParagraph"/>
              <w:spacing w:before="6"/>
              <w:ind w:left="98"/>
              <w:jc w:val="left"/>
              <w:rPr>
                <w:sz w:val="19"/>
              </w:rPr>
            </w:pPr>
            <w:r>
              <w:rPr>
                <w:sz w:val="19"/>
              </w:rPr>
              <w:t>259.3</w:t>
            </w:r>
          </w:p>
        </w:tc>
      </w:tr>
      <w:tr>
        <w:trPr>
          <w:trHeight w:val="463" w:hRule="exact"/>
        </w:trPr>
        <w:tc>
          <w:tcPr>
            <w:tcW w:w="2435" w:type="dxa"/>
            <w:tcBorders>
              <w:right w:val="single" w:sz="3" w:space="0" w:color="000000"/>
            </w:tcBorders>
          </w:tcPr>
          <w:p>
            <w:pPr>
              <w:pStyle w:val="TableParagraph"/>
              <w:spacing w:before="4"/>
              <w:ind w:left="100"/>
              <w:jc w:val="left"/>
              <w:rPr>
                <w:sz w:val="19"/>
              </w:rPr>
            </w:pPr>
            <w:r>
              <w:rPr>
                <w:sz w:val="19"/>
              </w:rPr>
              <w:t>Nayarit</w:t>
            </w:r>
          </w:p>
        </w:tc>
        <w:tc>
          <w:tcPr>
            <w:tcW w:w="1583" w:type="dxa"/>
            <w:tcBorders>
              <w:left w:val="single" w:sz="3" w:space="0" w:color="000000"/>
            </w:tcBorders>
          </w:tcPr>
          <w:p>
            <w:pPr>
              <w:pStyle w:val="TableParagraph"/>
              <w:spacing w:before="4"/>
              <w:ind w:left="100"/>
              <w:jc w:val="left"/>
              <w:rPr>
                <w:sz w:val="19"/>
              </w:rPr>
            </w:pPr>
            <w:r>
              <w:rPr>
                <w:sz w:val="19"/>
              </w:rPr>
              <w:t>198.4</w:t>
            </w:r>
          </w:p>
        </w:tc>
        <w:tc>
          <w:tcPr>
            <w:tcW w:w="1582" w:type="dxa"/>
          </w:tcPr>
          <w:p>
            <w:pPr>
              <w:pStyle w:val="TableParagraph"/>
              <w:spacing w:before="4"/>
              <w:ind w:left="98"/>
              <w:jc w:val="left"/>
              <w:rPr>
                <w:sz w:val="19"/>
              </w:rPr>
            </w:pPr>
            <w:r>
              <w:rPr>
                <w:sz w:val="19"/>
              </w:rPr>
              <w:t>237.5</w:t>
            </w:r>
          </w:p>
        </w:tc>
        <w:tc>
          <w:tcPr>
            <w:tcW w:w="1584" w:type="dxa"/>
          </w:tcPr>
          <w:p>
            <w:pPr>
              <w:pStyle w:val="TableParagraph"/>
              <w:spacing w:before="4"/>
              <w:ind w:left="100"/>
              <w:jc w:val="left"/>
              <w:rPr>
                <w:sz w:val="19"/>
              </w:rPr>
            </w:pPr>
            <w:r>
              <w:rPr>
                <w:sz w:val="19"/>
              </w:rPr>
              <w:t>279.8</w:t>
            </w:r>
          </w:p>
        </w:tc>
        <w:tc>
          <w:tcPr>
            <w:tcW w:w="1582" w:type="dxa"/>
          </w:tcPr>
          <w:p>
            <w:pPr>
              <w:pStyle w:val="TableParagraph"/>
              <w:spacing w:before="4"/>
              <w:ind w:left="98"/>
              <w:jc w:val="left"/>
              <w:rPr>
                <w:sz w:val="19"/>
              </w:rPr>
            </w:pPr>
            <w:r>
              <w:rPr>
                <w:sz w:val="19"/>
              </w:rPr>
              <w:t>158.8</w:t>
            </w:r>
          </w:p>
        </w:tc>
      </w:tr>
      <w:tr>
        <w:trPr>
          <w:trHeight w:val="461" w:hRule="exact"/>
        </w:trPr>
        <w:tc>
          <w:tcPr>
            <w:tcW w:w="2435" w:type="dxa"/>
            <w:tcBorders>
              <w:right w:val="single" w:sz="3" w:space="0" w:color="000000"/>
            </w:tcBorders>
          </w:tcPr>
          <w:p>
            <w:pPr>
              <w:pStyle w:val="TableParagraph"/>
              <w:spacing w:before="4"/>
              <w:ind w:left="100"/>
              <w:jc w:val="left"/>
              <w:rPr>
                <w:sz w:val="19"/>
              </w:rPr>
            </w:pPr>
            <w:r>
              <w:rPr>
                <w:sz w:val="19"/>
              </w:rPr>
              <w:t>Nuevo León</w:t>
            </w:r>
          </w:p>
        </w:tc>
        <w:tc>
          <w:tcPr>
            <w:tcW w:w="1583" w:type="dxa"/>
            <w:tcBorders>
              <w:left w:val="single" w:sz="3" w:space="0" w:color="000000"/>
            </w:tcBorders>
          </w:tcPr>
          <w:p>
            <w:pPr>
              <w:pStyle w:val="TableParagraph"/>
              <w:spacing w:before="4"/>
              <w:ind w:left="100"/>
              <w:jc w:val="left"/>
              <w:rPr>
                <w:sz w:val="19"/>
              </w:rPr>
            </w:pPr>
            <w:r>
              <w:rPr>
                <w:sz w:val="19"/>
              </w:rPr>
              <w:t>166.6</w:t>
            </w:r>
          </w:p>
        </w:tc>
        <w:tc>
          <w:tcPr>
            <w:tcW w:w="1582" w:type="dxa"/>
          </w:tcPr>
          <w:p>
            <w:pPr>
              <w:pStyle w:val="TableParagraph"/>
              <w:spacing w:before="4"/>
              <w:ind w:left="98"/>
              <w:jc w:val="left"/>
              <w:rPr>
                <w:sz w:val="19"/>
              </w:rPr>
            </w:pPr>
            <w:r>
              <w:rPr>
                <w:sz w:val="19"/>
              </w:rPr>
              <w:t>281.7</w:t>
            </w:r>
          </w:p>
        </w:tc>
        <w:tc>
          <w:tcPr>
            <w:tcW w:w="1584" w:type="dxa"/>
          </w:tcPr>
          <w:p>
            <w:pPr>
              <w:pStyle w:val="TableParagraph"/>
              <w:spacing w:before="4"/>
              <w:ind w:left="101"/>
              <w:jc w:val="left"/>
              <w:rPr>
                <w:sz w:val="19"/>
              </w:rPr>
            </w:pPr>
            <w:r>
              <w:rPr>
                <w:sz w:val="19"/>
              </w:rPr>
              <w:t>231.2</w:t>
            </w:r>
          </w:p>
        </w:tc>
        <w:tc>
          <w:tcPr>
            <w:tcW w:w="1582" w:type="dxa"/>
          </w:tcPr>
          <w:p>
            <w:pPr>
              <w:pStyle w:val="TableParagraph"/>
              <w:spacing w:before="4"/>
              <w:ind w:left="98"/>
              <w:jc w:val="left"/>
              <w:rPr>
                <w:sz w:val="19"/>
              </w:rPr>
            </w:pPr>
            <w:r>
              <w:rPr>
                <w:sz w:val="19"/>
              </w:rPr>
              <w:t>141.1</w:t>
            </w:r>
          </w:p>
        </w:tc>
      </w:tr>
      <w:tr>
        <w:trPr>
          <w:trHeight w:val="461" w:hRule="exact"/>
        </w:trPr>
        <w:tc>
          <w:tcPr>
            <w:tcW w:w="2435" w:type="dxa"/>
            <w:tcBorders>
              <w:right w:val="single" w:sz="3" w:space="0" w:color="000000"/>
            </w:tcBorders>
          </w:tcPr>
          <w:p>
            <w:pPr>
              <w:pStyle w:val="TableParagraph"/>
              <w:spacing w:before="4"/>
              <w:ind w:left="100"/>
              <w:jc w:val="left"/>
              <w:rPr>
                <w:sz w:val="19"/>
              </w:rPr>
            </w:pPr>
            <w:r>
              <w:rPr>
                <w:sz w:val="19"/>
              </w:rPr>
              <w:t>Oaxaca</w:t>
            </w:r>
          </w:p>
        </w:tc>
        <w:tc>
          <w:tcPr>
            <w:tcW w:w="1583" w:type="dxa"/>
            <w:tcBorders>
              <w:left w:val="single" w:sz="3" w:space="0" w:color="000000"/>
            </w:tcBorders>
          </w:tcPr>
          <w:p>
            <w:pPr>
              <w:pStyle w:val="TableParagraph"/>
              <w:spacing w:before="4"/>
              <w:ind w:left="100"/>
              <w:jc w:val="left"/>
              <w:rPr>
                <w:sz w:val="19"/>
              </w:rPr>
            </w:pPr>
            <w:r>
              <w:rPr>
                <w:sz w:val="19"/>
              </w:rPr>
              <w:t>658.3</w:t>
            </w:r>
          </w:p>
        </w:tc>
        <w:tc>
          <w:tcPr>
            <w:tcW w:w="1582" w:type="dxa"/>
          </w:tcPr>
          <w:p>
            <w:pPr>
              <w:pStyle w:val="TableParagraph"/>
              <w:spacing w:before="4"/>
              <w:ind w:left="98"/>
              <w:jc w:val="left"/>
              <w:rPr>
                <w:sz w:val="19"/>
              </w:rPr>
            </w:pPr>
            <w:r>
              <w:rPr>
                <w:sz w:val="19"/>
              </w:rPr>
              <w:t>804</w:t>
            </w:r>
          </w:p>
        </w:tc>
        <w:tc>
          <w:tcPr>
            <w:tcW w:w="1584" w:type="dxa"/>
          </w:tcPr>
          <w:p>
            <w:pPr>
              <w:pStyle w:val="TableParagraph"/>
              <w:spacing w:before="4"/>
              <w:ind w:left="100"/>
              <w:jc w:val="left"/>
              <w:rPr>
                <w:sz w:val="19"/>
              </w:rPr>
            </w:pPr>
            <w:r>
              <w:rPr>
                <w:sz w:val="19"/>
              </w:rPr>
              <w:t>1002.1</w:t>
            </w:r>
          </w:p>
        </w:tc>
        <w:tc>
          <w:tcPr>
            <w:tcW w:w="1582" w:type="dxa"/>
          </w:tcPr>
          <w:p>
            <w:pPr>
              <w:pStyle w:val="TableParagraph"/>
              <w:spacing w:before="4"/>
              <w:ind w:left="98"/>
              <w:jc w:val="left"/>
              <w:rPr>
                <w:sz w:val="19"/>
              </w:rPr>
            </w:pPr>
            <w:r>
              <w:rPr>
                <w:sz w:val="19"/>
              </w:rPr>
              <w:t>585.3</w:t>
            </w:r>
          </w:p>
        </w:tc>
      </w:tr>
      <w:tr>
        <w:trPr>
          <w:trHeight w:val="463" w:hRule="exact"/>
        </w:trPr>
        <w:tc>
          <w:tcPr>
            <w:tcW w:w="2435" w:type="dxa"/>
            <w:tcBorders>
              <w:right w:val="single" w:sz="3" w:space="0" w:color="000000"/>
            </w:tcBorders>
          </w:tcPr>
          <w:p>
            <w:pPr>
              <w:pStyle w:val="TableParagraph"/>
              <w:spacing w:before="4"/>
              <w:ind w:left="100"/>
              <w:jc w:val="left"/>
              <w:rPr>
                <w:sz w:val="19"/>
              </w:rPr>
            </w:pPr>
            <w:r>
              <w:rPr>
                <w:sz w:val="19"/>
              </w:rPr>
              <w:t>Puebla</w:t>
            </w:r>
          </w:p>
        </w:tc>
        <w:tc>
          <w:tcPr>
            <w:tcW w:w="1583" w:type="dxa"/>
            <w:tcBorders>
              <w:left w:val="single" w:sz="3" w:space="0" w:color="000000"/>
            </w:tcBorders>
          </w:tcPr>
          <w:p>
            <w:pPr>
              <w:pStyle w:val="TableParagraph"/>
              <w:spacing w:before="4"/>
              <w:ind w:left="100"/>
              <w:jc w:val="left"/>
              <w:rPr>
                <w:sz w:val="19"/>
              </w:rPr>
            </w:pPr>
            <w:r>
              <w:rPr>
                <w:sz w:val="19"/>
              </w:rPr>
              <w:t>791.8</w:t>
            </w:r>
          </w:p>
        </w:tc>
        <w:tc>
          <w:tcPr>
            <w:tcW w:w="1582" w:type="dxa"/>
          </w:tcPr>
          <w:p>
            <w:pPr>
              <w:pStyle w:val="TableParagraph"/>
              <w:spacing w:before="4"/>
              <w:ind w:left="98"/>
              <w:jc w:val="left"/>
              <w:rPr>
                <w:sz w:val="19"/>
              </w:rPr>
            </w:pPr>
            <w:r>
              <w:rPr>
                <w:sz w:val="19"/>
              </w:rPr>
              <w:t>955.6</w:t>
            </w:r>
          </w:p>
        </w:tc>
        <w:tc>
          <w:tcPr>
            <w:tcW w:w="1584" w:type="dxa"/>
          </w:tcPr>
          <w:p>
            <w:pPr>
              <w:pStyle w:val="TableParagraph"/>
              <w:spacing w:before="4"/>
              <w:ind w:left="101"/>
              <w:jc w:val="left"/>
              <w:rPr>
                <w:sz w:val="19"/>
              </w:rPr>
            </w:pPr>
            <w:r>
              <w:rPr>
                <w:sz w:val="19"/>
              </w:rPr>
              <w:t>1173.9</w:t>
            </w:r>
          </w:p>
        </w:tc>
        <w:tc>
          <w:tcPr>
            <w:tcW w:w="1582" w:type="dxa"/>
          </w:tcPr>
          <w:p>
            <w:pPr>
              <w:pStyle w:val="TableParagraph"/>
              <w:spacing w:before="4"/>
              <w:ind w:left="98"/>
              <w:jc w:val="left"/>
              <w:rPr>
                <w:sz w:val="19"/>
              </w:rPr>
            </w:pPr>
            <w:r>
              <w:rPr>
                <w:sz w:val="19"/>
              </w:rPr>
              <w:t>665.8</w:t>
            </w:r>
          </w:p>
        </w:tc>
      </w:tr>
      <w:tr>
        <w:trPr>
          <w:trHeight w:val="463" w:hRule="exact"/>
        </w:trPr>
        <w:tc>
          <w:tcPr>
            <w:tcW w:w="2435" w:type="dxa"/>
            <w:tcBorders>
              <w:right w:val="single" w:sz="3" w:space="0" w:color="000000"/>
            </w:tcBorders>
          </w:tcPr>
          <w:p>
            <w:pPr>
              <w:pStyle w:val="TableParagraph"/>
              <w:spacing w:before="4"/>
              <w:ind w:left="100"/>
              <w:jc w:val="left"/>
              <w:rPr>
                <w:sz w:val="19"/>
              </w:rPr>
            </w:pPr>
            <w:r>
              <w:rPr>
                <w:sz w:val="19"/>
              </w:rPr>
              <w:t>Querétaro</w:t>
            </w:r>
          </w:p>
        </w:tc>
        <w:tc>
          <w:tcPr>
            <w:tcW w:w="1583" w:type="dxa"/>
            <w:tcBorders>
              <w:left w:val="single" w:sz="3" w:space="0" w:color="000000"/>
            </w:tcBorders>
          </w:tcPr>
          <w:p>
            <w:pPr>
              <w:pStyle w:val="TableParagraph"/>
              <w:spacing w:before="4"/>
              <w:ind w:left="100"/>
              <w:jc w:val="left"/>
              <w:rPr>
                <w:sz w:val="19"/>
              </w:rPr>
            </w:pPr>
            <w:r>
              <w:rPr>
                <w:sz w:val="19"/>
              </w:rPr>
              <w:t>228.6</w:t>
            </w:r>
          </w:p>
        </w:tc>
        <w:tc>
          <w:tcPr>
            <w:tcW w:w="1582" w:type="dxa"/>
          </w:tcPr>
          <w:p>
            <w:pPr>
              <w:pStyle w:val="TableParagraph"/>
              <w:spacing w:before="4"/>
              <w:ind w:left="98"/>
              <w:jc w:val="left"/>
              <w:rPr>
                <w:sz w:val="19"/>
              </w:rPr>
            </w:pPr>
            <w:r>
              <w:rPr>
                <w:sz w:val="19"/>
              </w:rPr>
              <w:t>337.3</w:t>
            </w:r>
          </w:p>
        </w:tc>
        <w:tc>
          <w:tcPr>
            <w:tcW w:w="1584" w:type="dxa"/>
          </w:tcPr>
          <w:p>
            <w:pPr>
              <w:pStyle w:val="TableParagraph"/>
              <w:spacing w:before="4"/>
              <w:ind w:left="100"/>
              <w:jc w:val="left"/>
              <w:rPr>
                <w:sz w:val="19"/>
              </w:rPr>
            </w:pPr>
            <w:r>
              <w:rPr>
                <w:sz w:val="19"/>
              </w:rPr>
              <w:t>392</w:t>
            </w:r>
          </w:p>
        </w:tc>
        <w:tc>
          <w:tcPr>
            <w:tcW w:w="1582" w:type="dxa"/>
          </w:tcPr>
          <w:p>
            <w:pPr>
              <w:pStyle w:val="TableParagraph"/>
              <w:spacing w:before="4"/>
              <w:ind w:left="98"/>
              <w:jc w:val="left"/>
              <w:rPr>
                <w:sz w:val="19"/>
              </w:rPr>
            </w:pPr>
            <w:r>
              <w:rPr>
                <w:sz w:val="19"/>
              </w:rPr>
              <w:t>232</w:t>
            </w:r>
          </w:p>
        </w:tc>
      </w:tr>
      <w:tr>
        <w:trPr>
          <w:trHeight w:val="458" w:hRule="exact"/>
        </w:trPr>
        <w:tc>
          <w:tcPr>
            <w:tcW w:w="2435" w:type="dxa"/>
            <w:tcBorders>
              <w:right w:val="single" w:sz="3" w:space="0" w:color="000000"/>
            </w:tcBorders>
          </w:tcPr>
          <w:p>
            <w:pPr>
              <w:pStyle w:val="TableParagraph"/>
              <w:spacing w:before="1"/>
              <w:ind w:left="100"/>
              <w:jc w:val="left"/>
              <w:rPr>
                <w:sz w:val="19"/>
              </w:rPr>
            </w:pPr>
            <w:r>
              <w:rPr>
                <w:sz w:val="19"/>
              </w:rPr>
              <w:t>Quintana Roo</w:t>
            </w:r>
          </w:p>
        </w:tc>
        <w:tc>
          <w:tcPr>
            <w:tcW w:w="1583" w:type="dxa"/>
            <w:tcBorders>
              <w:left w:val="single" w:sz="3" w:space="0" w:color="000000"/>
            </w:tcBorders>
          </w:tcPr>
          <w:p>
            <w:pPr>
              <w:pStyle w:val="TableParagraph"/>
              <w:spacing w:before="1"/>
              <w:ind w:left="100"/>
              <w:jc w:val="left"/>
              <w:rPr>
                <w:sz w:val="19"/>
              </w:rPr>
            </w:pPr>
            <w:r>
              <w:rPr>
                <w:sz w:val="19"/>
              </w:rPr>
              <w:t>71.3</w:t>
            </w:r>
          </w:p>
        </w:tc>
        <w:tc>
          <w:tcPr>
            <w:tcW w:w="1582" w:type="dxa"/>
          </w:tcPr>
          <w:p>
            <w:pPr>
              <w:pStyle w:val="TableParagraph"/>
              <w:spacing w:before="1"/>
              <w:ind w:left="98"/>
              <w:jc w:val="left"/>
              <w:rPr>
                <w:sz w:val="19"/>
              </w:rPr>
            </w:pPr>
            <w:r>
              <w:rPr>
                <w:sz w:val="19"/>
              </w:rPr>
              <w:t>71.7</w:t>
            </w:r>
          </w:p>
        </w:tc>
        <w:tc>
          <w:tcPr>
            <w:tcW w:w="1584" w:type="dxa"/>
          </w:tcPr>
          <w:p>
            <w:pPr>
              <w:pStyle w:val="TableParagraph"/>
              <w:spacing w:before="1"/>
              <w:ind w:left="100"/>
              <w:jc w:val="left"/>
              <w:rPr>
                <w:sz w:val="19"/>
              </w:rPr>
            </w:pPr>
            <w:r>
              <w:rPr>
                <w:sz w:val="19"/>
              </w:rPr>
              <w:t>73.3</w:t>
            </w:r>
          </w:p>
        </w:tc>
        <w:tc>
          <w:tcPr>
            <w:tcW w:w="1582" w:type="dxa"/>
          </w:tcPr>
          <w:p>
            <w:pPr>
              <w:pStyle w:val="TableParagraph"/>
              <w:spacing w:before="1"/>
              <w:ind w:left="98"/>
              <w:jc w:val="left"/>
              <w:rPr>
                <w:sz w:val="19"/>
              </w:rPr>
            </w:pPr>
            <w:r>
              <w:rPr>
                <w:sz w:val="19"/>
              </w:rPr>
              <w:t>37.7</w:t>
            </w:r>
          </w:p>
        </w:tc>
      </w:tr>
      <w:tr>
        <w:trPr>
          <w:trHeight w:val="463" w:hRule="exact"/>
        </w:trPr>
        <w:tc>
          <w:tcPr>
            <w:tcW w:w="2435" w:type="dxa"/>
            <w:tcBorders>
              <w:right w:val="single" w:sz="3" w:space="0" w:color="000000"/>
            </w:tcBorders>
          </w:tcPr>
          <w:p>
            <w:pPr>
              <w:pStyle w:val="TableParagraph"/>
              <w:spacing w:before="4"/>
              <w:ind w:left="100"/>
              <w:jc w:val="left"/>
              <w:rPr>
                <w:sz w:val="19"/>
              </w:rPr>
            </w:pPr>
            <w:r>
              <w:rPr>
                <w:sz w:val="19"/>
              </w:rPr>
              <w:t>San Luis Potosí</w:t>
            </w:r>
          </w:p>
        </w:tc>
        <w:tc>
          <w:tcPr>
            <w:tcW w:w="1583" w:type="dxa"/>
            <w:tcBorders>
              <w:left w:val="single" w:sz="3" w:space="0" w:color="000000"/>
            </w:tcBorders>
          </w:tcPr>
          <w:p>
            <w:pPr>
              <w:pStyle w:val="TableParagraph"/>
              <w:spacing w:before="4"/>
              <w:ind w:left="100"/>
              <w:jc w:val="left"/>
              <w:rPr>
                <w:sz w:val="19"/>
              </w:rPr>
            </w:pPr>
            <w:r>
              <w:rPr>
                <w:sz w:val="19"/>
              </w:rPr>
              <w:t>326.1</w:t>
            </w:r>
          </w:p>
        </w:tc>
        <w:tc>
          <w:tcPr>
            <w:tcW w:w="1582" w:type="dxa"/>
          </w:tcPr>
          <w:p>
            <w:pPr>
              <w:pStyle w:val="TableParagraph"/>
              <w:spacing w:before="4"/>
              <w:ind w:left="98"/>
              <w:jc w:val="left"/>
              <w:rPr>
                <w:sz w:val="19"/>
              </w:rPr>
            </w:pPr>
            <w:r>
              <w:rPr>
                <w:sz w:val="19"/>
              </w:rPr>
              <w:t>392.9</w:t>
            </w:r>
          </w:p>
        </w:tc>
        <w:tc>
          <w:tcPr>
            <w:tcW w:w="1584" w:type="dxa"/>
          </w:tcPr>
          <w:p>
            <w:pPr>
              <w:pStyle w:val="TableParagraph"/>
              <w:spacing w:before="4"/>
              <w:ind w:left="100"/>
              <w:jc w:val="left"/>
              <w:rPr>
                <w:sz w:val="19"/>
              </w:rPr>
            </w:pPr>
            <w:r>
              <w:rPr>
                <w:sz w:val="19"/>
              </w:rPr>
              <w:t>475.9</w:t>
            </w:r>
          </w:p>
        </w:tc>
        <w:tc>
          <w:tcPr>
            <w:tcW w:w="1582" w:type="dxa"/>
          </w:tcPr>
          <w:p>
            <w:pPr>
              <w:pStyle w:val="TableParagraph"/>
              <w:spacing w:before="4"/>
              <w:ind w:left="98"/>
              <w:jc w:val="left"/>
              <w:rPr>
                <w:sz w:val="19"/>
              </w:rPr>
            </w:pPr>
            <w:r>
              <w:rPr>
                <w:sz w:val="19"/>
              </w:rPr>
              <w:t>293.3</w:t>
            </w:r>
          </w:p>
        </w:tc>
      </w:tr>
      <w:tr>
        <w:trPr>
          <w:trHeight w:val="463" w:hRule="exact"/>
        </w:trPr>
        <w:tc>
          <w:tcPr>
            <w:tcW w:w="2435" w:type="dxa"/>
            <w:tcBorders>
              <w:right w:val="single" w:sz="3" w:space="0" w:color="000000"/>
            </w:tcBorders>
          </w:tcPr>
          <w:p>
            <w:pPr>
              <w:pStyle w:val="TableParagraph"/>
              <w:spacing w:before="4"/>
              <w:ind w:left="100"/>
              <w:jc w:val="left"/>
              <w:rPr>
                <w:sz w:val="19"/>
              </w:rPr>
            </w:pPr>
            <w:r>
              <w:rPr>
                <w:sz w:val="19"/>
              </w:rPr>
              <w:t>Sinaloa</w:t>
            </w:r>
          </w:p>
        </w:tc>
        <w:tc>
          <w:tcPr>
            <w:tcW w:w="1583" w:type="dxa"/>
            <w:tcBorders>
              <w:left w:val="single" w:sz="3" w:space="0" w:color="000000"/>
            </w:tcBorders>
          </w:tcPr>
          <w:p>
            <w:pPr>
              <w:pStyle w:val="TableParagraph"/>
              <w:spacing w:before="4"/>
              <w:ind w:left="100"/>
              <w:jc w:val="left"/>
              <w:rPr>
                <w:sz w:val="19"/>
              </w:rPr>
            </w:pPr>
            <w:r>
              <w:rPr>
                <w:sz w:val="19"/>
              </w:rPr>
              <w:t>257.8</w:t>
            </w:r>
          </w:p>
        </w:tc>
        <w:tc>
          <w:tcPr>
            <w:tcW w:w="1582" w:type="dxa"/>
          </w:tcPr>
          <w:p>
            <w:pPr>
              <w:pStyle w:val="TableParagraph"/>
              <w:spacing w:before="4"/>
              <w:ind w:left="98"/>
              <w:jc w:val="left"/>
              <w:rPr>
                <w:sz w:val="19"/>
              </w:rPr>
            </w:pPr>
            <w:r>
              <w:rPr>
                <w:sz w:val="19"/>
              </w:rPr>
              <w:t>315.2</w:t>
            </w:r>
          </w:p>
        </w:tc>
        <w:tc>
          <w:tcPr>
            <w:tcW w:w="1584" w:type="dxa"/>
          </w:tcPr>
          <w:p>
            <w:pPr>
              <w:pStyle w:val="TableParagraph"/>
              <w:spacing w:before="4"/>
              <w:ind w:left="101"/>
              <w:jc w:val="left"/>
              <w:rPr>
                <w:sz w:val="19"/>
              </w:rPr>
            </w:pPr>
            <w:r>
              <w:rPr>
                <w:sz w:val="19"/>
              </w:rPr>
              <w:t>370.6</w:t>
            </w:r>
          </w:p>
        </w:tc>
        <w:tc>
          <w:tcPr>
            <w:tcW w:w="1582" w:type="dxa"/>
          </w:tcPr>
          <w:p>
            <w:pPr>
              <w:pStyle w:val="TableParagraph"/>
              <w:spacing w:before="4"/>
              <w:ind w:left="98"/>
              <w:jc w:val="left"/>
              <w:rPr>
                <w:sz w:val="19"/>
              </w:rPr>
            </w:pPr>
            <w:r>
              <w:rPr>
                <w:sz w:val="19"/>
              </w:rPr>
              <w:t>208.6</w:t>
            </w:r>
          </w:p>
        </w:tc>
      </w:tr>
      <w:tr>
        <w:trPr>
          <w:trHeight w:val="460" w:hRule="exact"/>
        </w:trPr>
        <w:tc>
          <w:tcPr>
            <w:tcW w:w="2435" w:type="dxa"/>
            <w:tcBorders>
              <w:bottom w:val="single" w:sz="3" w:space="0" w:color="000000"/>
              <w:right w:val="single" w:sz="3" w:space="0" w:color="000000"/>
            </w:tcBorders>
          </w:tcPr>
          <w:p>
            <w:pPr>
              <w:pStyle w:val="TableParagraph"/>
              <w:spacing w:before="4"/>
              <w:ind w:left="100"/>
              <w:jc w:val="left"/>
              <w:rPr>
                <w:sz w:val="19"/>
              </w:rPr>
            </w:pPr>
            <w:r>
              <w:rPr>
                <w:sz w:val="19"/>
              </w:rPr>
              <w:t>Sonora</w:t>
            </w:r>
          </w:p>
        </w:tc>
        <w:tc>
          <w:tcPr>
            <w:tcW w:w="1583" w:type="dxa"/>
            <w:tcBorders>
              <w:left w:val="single" w:sz="3" w:space="0" w:color="000000"/>
              <w:bottom w:val="single" w:sz="3" w:space="0" w:color="000000"/>
            </w:tcBorders>
          </w:tcPr>
          <w:p>
            <w:pPr>
              <w:pStyle w:val="TableParagraph"/>
              <w:spacing w:before="4"/>
              <w:ind w:left="100"/>
              <w:jc w:val="left"/>
              <w:rPr>
                <w:sz w:val="19"/>
              </w:rPr>
            </w:pPr>
            <w:r>
              <w:rPr>
                <w:sz w:val="19"/>
              </w:rPr>
              <w:t>104.8</w:t>
            </w:r>
          </w:p>
        </w:tc>
        <w:tc>
          <w:tcPr>
            <w:tcW w:w="1582" w:type="dxa"/>
            <w:tcBorders>
              <w:bottom w:val="single" w:sz="3" w:space="0" w:color="000000"/>
            </w:tcBorders>
          </w:tcPr>
          <w:p>
            <w:pPr>
              <w:pStyle w:val="TableParagraph"/>
              <w:spacing w:before="4"/>
              <w:ind w:left="98"/>
              <w:jc w:val="left"/>
              <w:rPr>
                <w:sz w:val="19"/>
              </w:rPr>
            </w:pPr>
            <w:r>
              <w:rPr>
                <w:sz w:val="19"/>
              </w:rPr>
              <w:t>147.4</w:t>
            </w:r>
          </w:p>
        </w:tc>
        <w:tc>
          <w:tcPr>
            <w:tcW w:w="1584" w:type="dxa"/>
            <w:tcBorders>
              <w:bottom w:val="single" w:sz="3" w:space="0" w:color="000000"/>
            </w:tcBorders>
          </w:tcPr>
          <w:p>
            <w:pPr>
              <w:pStyle w:val="TableParagraph"/>
              <w:spacing w:before="4"/>
              <w:ind w:left="100"/>
              <w:jc w:val="left"/>
              <w:rPr>
                <w:sz w:val="19"/>
              </w:rPr>
            </w:pPr>
            <w:r>
              <w:rPr>
                <w:sz w:val="19"/>
              </w:rPr>
              <w:t>186.3</w:t>
            </w:r>
          </w:p>
        </w:tc>
        <w:tc>
          <w:tcPr>
            <w:tcW w:w="1582" w:type="dxa"/>
            <w:tcBorders>
              <w:bottom w:val="single" w:sz="3" w:space="0" w:color="000000"/>
            </w:tcBorders>
          </w:tcPr>
          <w:p>
            <w:pPr>
              <w:pStyle w:val="TableParagraph"/>
              <w:spacing w:before="4"/>
              <w:ind w:left="98"/>
              <w:jc w:val="left"/>
              <w:rPr>
                <w:sz w:val="19"/>
              </w:rPr>
            </w:pPr>
            <w:r>
              <w:rPr>
                <w:sz w:val="19"/>
              </w:rPr>
              <w:t>112.3</w:t>
            </w:r>
          </w:p>
        </w:tc>
      </w:tr>
      <w:tr>
        <w:trPr>
          <w:trHeight w:val="462" w:hRule="exact"/>
        </w:trPr>
        <w:tc>
          <w:tcPr>
            <w:tcW w:w="2435" w:type="dxa"/>
            <w:tcBorders>
              <w:top w:val="single" w:sz="3" w:space="0" w:color="000000"/>
              <w:right w:val="single" w:sz="3" w:space="0" w:color="000000"/>
            </w:tcBorders>
          </w:tcPr>
          <w:p>
            <w:pPr>
              <w:pStyle w:val="TableParagraph"/>
              <w:spacing w:before="6"/>
              <w:ind w:left="100"/>
              <w:jc w:val="left"/>
              <w:rPr>
                <w:sz w:val="19"/>
              </w:rPr>
            </w:pPr>
            <w:r>
              <w:rPr>
                <w:sz w:val="19"/>
              </w:rPr>
              <w:t>Tabasco</w:t>
            </w:r>
          </w:p>
        </w:tc>
        <w:tc>
          <w:tcPr>
            <w:tcW w:w="1583" w:type="dxa"/>
            <w:tcBorders>
              <w:top w:val="single" w:sz="3" w:space="0" w:color="000000"/>
              <w:left w:val="single" w:sz="3" w:space="0" w:color="000000"/>
            </w:tcBorders>
          </w:tcPr>
          <w:p>
            <w:pPr>
              <w:pStyle w:val="TableParagraph"/>
              <w:spacing w:before="6"/>
              <w:ind w:left="100"/>
              <w:jc w:val="left"/>
              <w:rPr>
                <w:sz w:val="19"/>
              </w:rPr>
            </w:pPr>
            <w:r>
              <w:rPr>
                <w:sz w:val="19"/>
              </w:rPr>
              <w:t>73.2</w:t>
            </w:r>
          </w:p>
        </w:tc>
        <w:tc>
          <w:tcPr>
            <w:tcW w:w="1582" w:type="dxa"/>
            <w:tcBorders>
              <w:top w:val="single" w:sz="3" w:space="0" w:color="000000"/>
            </w:tcBorders>
          </w:tcPr>
          <w:p>
            <w:pPr>
              <w:pStyle w:val="TableParagraph"/>
              <w:spacing w:before="6"/>
              <w:ind w:left="98"/>
              <w:jc w:val="left"/>
              <w:rPr>
                <w:sz w:val="19"/>
              </w:rPr>
            </w:pPr>
            <w:r>
              <w:rPr>
                <w:sz w:val="19"/>
              </w:rPr>
              <w:t>95</w:t>
            </w:r>
          </w:p>
        </w:tc>
        <w:tc>
          <w:tcPr>
            <w:tcW w:w="1584" w:type="dxa"/>
            <w:tcBorders>
              <w:top w:val="single" w:sz="3" w:space="0" w:color="000000"/>
            </w:tcBorders>
          </w:tcPr>
          <w:p>
            <w:pPr>
              <w:pStyle w:val="TableParagraph"/>
              <w:spacing w:before="6"/>
              <w:ind w:left="100"/>
              <w:jc w:val="left"/>
              <w:rPr>
                <w:sz w:val="19"/>
              </w:rPr>
            </w:pPr>
            <w:r>
              <w:rPr>
                <w:sz w:val="19"/>
              </w:rPr>
              <w:t>126</w:t>
            </w:r>
          </w:p>
        </w:tc>
        <w:tc>
          <w:tcPr>
            <w:tcW w:w="1582" w:type="dxa"/>
            <w:tcBorders>
              <w:top w:val="single" w:sz="3" w:space="0" w:color="000000"/>
            </w:tcBorders>
          </w:tcPr>
          <w:p>
            <w:pPr>
              <w:pStyle w:val="TableParagraph"/>
              <w:spacing w:before="6"/>
              <w:ind w:left="98"/>
              <w:jc w:val="left"/>
              <w:rPr>
                <w:sz w:val="19"/>
              </w:rPr>
            </w:pPr>
            <w:r>
              <w:rPr>
                <w:sz w:val="19"/>
              </w:rPr>
              <w:t>74.1</w:t>
            </w:r>
          </w:p>
        </w:tc>
      </w:tr>
      <w:tr>
        <w:trPr>
          <w:trHeight w:val="463" w:hRule="exact"/>
        </w:trPr>
        <w:tc>
          <w:tcPr>
            <w:tcW w:w="2435" w:type="dxa"/>
            <w:tcBorders>
              <w:right w:val="single" w:sz="3" w:space="0" w:color="000000"/>
            </w:tcBorders>
          </w:tcPr>
          <w:p>
            <w:pPr>
              <w:pStyle w:val="TableParagraph"/>
              <w:spacing w:before="4"/>
              <w:ind w:left="100"/>
              <w:jc w:val="left"/>
              <w:rPr>
                <w:sz w:val="19"/>
              </w:rPr>
            </w:pPr>
            <w:r>
              <w:rPr>
                <w:sz w:val="19"/>
              </w:rPr>
              <w:t>Tamaulipas</w:t>
            </w:r>
          </w:p>
        </w:tc>
        <w:tc>
          <w:tcPr>
            <w:tcW w:w="1583" w:type="dxa"/>
            <w:tcBorders>
              <w:left w:val="single" w:sz="3" w:space="0" w:color="000000"/>
            </w:tcBorders>
          </w:tcPr>
          <w:p>
            <w:pPr>
              <w:pStyle w:val="TableParagraph"/>
              <w:spacing w:before="4"/>
              <w:ind w:left="100"/>
              <w:jc w:val="left"/>
              <w:rPr>
                <w:sz w:val="19"/>
              </w:rPr>
            </w:pPr>
            <w:r>
              <w:rPr>
                <w:sz w:val="19"/>
              </w:rPr>
              <w:t>188.9</w:t>
            </w:r>
          </w:p>
        </w:tc>
        <w:tc>
          <w:tcPr>
            <w:tcW w:w="1582" w:type="dxa"/>
          </w:tcPr>
          <w:p>
            <w:pPr>
              <w:pStyle w:val="TableParagraph"/>
              <w:spacing w:before="4"/>
              <w:ind w:left="98"/>
              <w:jc w:val="left"/>
              <w:rPr>
                <w:sz w:val="19"/>
              </w:rPr>
            </w:pPr>
            <w:r>
              <w:rPr>
                <w:sz w:val="19"/>
              </w:rPr>
              <w:t>240.9</w:t>
            </w:r>
          </w:p>
        </w:tc>
        <w:tc>
          <w:tcPr>
            <w:tcW w:w="1584" w:type="dxa"/>
          </w:tcPr>
          <w:p>
            <w:pPr>
              <w:pStyle w:val="TableParagraph"/>
              <w:spacing w:before="4"/>
              <w:ind w:left="101"/>
              <w:jc w:val="left"/>
              <w:rPr>
                <w:sz w:val="19"/>
              </w:rPr>
            </w:pPr>
            <w:r>
              <w:rPr>
                <w:sz w:val="19"/>
              </w:rPr>
              <w:t>301.8</w:t>
            </w:r>
          </w:p>
        </w:tc>
        <w:tc>
          <w:tcPr>
            <w:tcW w:w="1582" w:type="dxa"/>
          </w:tcPr>
          <w:p>
            <w:pPr>
              <w:pStyle w:val="TableParagraph"/>
              <w:spacing w:before="4"/>
              <w:ind w:left="98"/>
              <w:jc w:val="left"/>
              <w:rPr>
                <w:sz w:val="19"/>
              </w:rPr>
            </w:pPr>
            <w:r>
              <w:rPr>
                <w:sz w:val="19"/>
              </w:rPr>
              <w:t>177</w:t>
            </w:r>
          </w:p>
        </w:tc>
      </w:tr>
      <w:tr>
        <w:trPr>
          <w:trHeight w:val="463" w:hRule="exact"/>
        </w:trPr>
        <w:tc>
          <w:tcPr>
            <w:tcW w:w="2435" w:type="dxa"/>
            <w:tcBorders>
              <w:right w:val="single" w:sz="3" w:space="0" w:color="000000"/>
            </w:tcBorders>
          </w:tcPr>
          <w:p>
            <w:pPr>
              <w:pStyle w:val="TableParagraph"/>
              <w:spacing w:before="4"/>
              <w:ind w:left="100"/>
              <w:jc w:val="left"/>
              <w:rPr>
                <w:sz w:val="19"/>
              </w:rPr>
            </w:pPr>
            <w:r>
              <w:rPr>
                <w:sz w:val="19"/>
              </w:rPr>
              <w:t>Tlaxcala</w:t>
            </w:r>
          </w:p>
        </w:tc>
        <w:tc>
          <w:tcPr>
            <w:tcW w:w="1583" w:type="dxa"/>
            <w:tcBorders>
              <w:left w:val="single" w:sz="3" w:space="0" w:color="000000"/>
            </w:tcBorders>
          </w:tcPr>
          <w:p>
            <w:pPr>
              <w:pStyle w:val="TableParagraph"/>
              <w:spacing w:before="4"/>
              <w:ind w:left="100"/>
              <w:jc w:val="left"/>
              <w:rPr>
                <w:sz w:val="19"/>
              </w:rPr>
            </w:pPr>
            <w:r>
              <w:rPr>
                <w:sz w:val="19"/>
              </w:rPr>
              <w:t>135.7</w:t>
            </w:r>
          </w:p>
        </w:tc>
        <w:tc>
          <w:tcPr>
            <w:tcW w:w="1582" w:type="dxa"/>
          </w:tcPr>
          <w:p>
            <w:pPr>
              <w:pStyle w:val="TableParagraph"/>
              <w:spacing w:before="4"/>
              <w:ind w:left="98"/>
              <w:jc w:val="left"/>
              <w:rPr>
                <w:sz w:val="19"/>
              </w:rPr>
            </w:pPr>
            <w:r>
              <w:rPr>
                <w:sz w:val="19"/>
              </w:rPr>
              <w:t>173.8</w:t>
            </w:r>
          </w:p>
        </w:tc>
        <w:tc>
          <w:tcPr>
            <w:tcW w:w="1584" w:type="dxa"/>
          </w:tcPr>
          <w:p>
            <w:pPr>
              <w:pStyle w:val="TableParagraph"/>
              <w:spacing w:before="4"/>
              <w:ind w:left="100"/>
              <w:jc w:val="left"/>
              <w:rPr>
                <w:sz w:val="19"/>
              </w:rPr>
            </w:pPr>
            <w:r>
              <w:rPr>
                <w:sz w:val="19"/>
              </w:rPr>
              <w:t>210.1</w:t>
            </w:r>
          </w:p>
        </w:tc>
        <w:tc>
          <w:tcPr>
            <w:tcW w:w="1582" w:type="dxa"/>
          </w:tcPr>
          <w:p>
            <w:pPr>
              <w:pStyle w:val="TableParagraph"/>
              <w:spacing w:before="4"/>
              <w:ind w:left="98"/>
              <w:jc w:val="left"/>
              <w:rPr>
                <w:sz w:val="19"/>
              </w:rPr>
            </w:pPr>
            <w:r>
              <w:rPr>
                <w:sz w:val="19"/>
              </w:rPr>
              <w:t>120.1</w:t>
            </w:r>
          </w:p>
        </w:tc>
      </w:tr>
      <w:tr>
        <w:trPr>
          <w:trHeight w:val="458" w:hRule="exact"/>
        </w:trPr>
        <w:tc>
          <w:tcPr>
            <w:tcW w:w="2435" w:type="dxa"/>
            <w:tcBorders>
              <w:right w:val="single" w:sz="3" w:space="0" w:color="000000"/>
            </w:tcBorders>
          </w:tcPr>
          <w:p>
            <w:pPr>
              <w:pStyle w:val="TableParagraph"/>
              <w:spacing w:before="4"/>
              <w:ind w:left="100"/>
              <w:jc w:val="left"/>
              <w:rPr>
                <w:sz w:val="19"/>
              </w:rPr>
            </w:pPr>
            <w:r>
              <w:rPr>
                <w:sz w:val="19"/>
              </w:rPr>
              <w:t>Veracruz</w:t>
            </w:r>
          </w:p>
        </w:tc>
        <w:tc>
          <w:tcPr>
            <w:tcW w:w="1583" w:type="dxa"/>
            <w:tcBorders>
              <w:left w:val="single" w:sz="3" w:space="0" w:color="000000"/>
            </w:tcBorders>
          </w:tcPr>
          <w:p>
            <w:pPr>
              <w:pStyle w:val="TableParagraph"/>
              <w:spacing w:before="4"/>
              <w:ind w:left="100"/>
              <w:jc w:val="left"/>
              <w:rPr>
                <w:sz w:val="19"/>
              </w:rPr>
            </w:pPr>
            <w:r>
              <w:rPr>
                <w:sz w:val="19"/>
              </w:rPr>
              <w:t>775.9</w:t>
            </w:r>
          </w:p>
        </w:tc>
        <w:tc>
          <w:tcPr>
            <w:tcW w:w="1582" w:type="dxa"/>
          </w:tcPr>
          <w:p>
            <w:pPr>
              <w:pStyle w:val="TableParagraph"/>
              <w:spacing w:before="4"/>
              <w:ind w:left="98"/>
              <w:jc w:val="left"/>
              <w:rPr>
                <w:sz w:val="19"/>
              </w:rPr>
            </w:pPr>
            <w:r>
              <w:rPr>
                <w:sz w:val="19"/>
              </w:rPr>
              <w:t>950.4</w:t>
            </w:r>
          </w:p>
        </w:tc>
        <w:tc>
          <w:tcPr>
            <w:tcW w:w="1584" w:type="dxa"/>
          </w:tcPr>
          <w:p>
            <w:pPr>
              <w:pStyle w:val="TableParagraph"/>
              <w:spacing w:before="4"/>
              <w:ind w:left="100"/>
              <w:jc w:val="left"/>
              <w:rPr>
                <w:sz w:val="19"/>
              </w:rPr>
            </w:pPr>
            <w:r>
              <w:rPr>
                <w:sz w:val="19"/>
              </w:rPr>
              <w:t>1154.7</w:t>
            </w:r>
          </w:p>
        </w:tc>
        <w:tc>
          <w:tcPr>
            <w:tcW w:w="1582" w:type="dxa"/>
          </w:tcPr>
          <w:p>
            <w:pPr>
              <w:pStyle w:val="TableParagraph"/>
              <w:spacing w:before="4"/>
              <w:ind w:left="98"/>
              <w:jc w:val="left"/>
              <w:rPr>
                <w:sz w:val="19"/>
              </w:rPr>
            </w:pPr>
            <w:r>
              <w:rPr>
                <w:sz w:val="19"/>
              </w:rPr>
              <w:t>692.9</w:t>
            </w:r>
          </w:p>
        </w:tc>
      </w:tr>
      <w:tr>
        <w:trPr>
          <w:trHeight w:val="463" w:hRule="exact"/>
        </w:trPr>
        <w:tc>
          <w:tcPr>
            <w:tcW w:w="2435" w:type="dxa"/>
            <w:tcBorders>
              <w:right w:val="single" w:sz="3" w:space="0" w:color="000000"/>
            </w:tcBorders>
          </w:tcPr>
          <w:p>
            <w:pPr>
              <w:pStyle w:val="TableParagraph"/>
              <w:spacing w:before="4"/>
              <w:ind w:left="100"/>
              <w:jc w:val="left"/>
              <w:rPr>
                <w:sz w:val="19"/>
              </w:rPr>
            </w:pPr>
            <w:r>
              <w:rPr>
                <w:sz w:val="19"/>
              </w:rPr>
              <w:t>Yucatán</w:t>
            </w:r>
          </w:p>
        </w:tc>
        <w:tc>
          <w:tcPr>
            <w:tcW w:w="1583" w:type="dxa"/>
            <w:tcBorders>
              <w:left w:val="single" w:sz="3" w:space="0" w:color="000000"/>
            </w:tcBorders>
          </w:tcPr>
          <w:p>
            <w:pPr>
              <w:pStyle w:val="TableParagraph"/>
              <w:spacing w:before="4"/>
              <w:ind w:left="100"/>
              <w:jc w:val="left"/>
              <w:rPr>
                <w:sz w:val="19"/>
              </w:rPr>
            </w:pPr>
            <w:r>
              <w:rPr>
                <w:sz w:val="19"/>
              </w:rPr>
              <w:t>52.1</w:t>
            </w:r>
          </w:p>
        </w:tc>
        <w:tc>
          <w:tcPr>
            <w:tcW w:w="1582" w:type="dxa"/>
          </w:tcPr>
          <w:p>
            <w:pPr>
              <w:pStyle w:val="TableParagraph"/>
              <w:spacing w:before="4"/>
              <w:ind w:left="98"/>
              <w:jc w:val="left"/>
              <w:rPr>
                <w:sz w:val="19"/>
              </w:rPr>
            </w:pPr>
            <w:r>
              <w:rPr>
                <w:sz w:val="19"/>
              </w:rPr>
              <w:t>80.3</w:t>
            </w:r>
          </w:p>
        </w:tc>
        <w:tc>
          <w:tcPr>
            <w:tcW w:w="1584" w:type="dxa"/>
          </w:tcPr>
          <w:p>
            <w:pPr>
              <w:pStyle w:val="TableParagraph"/>
              <w:spacing w:before="4"/>
              <w:ind w:left="100"/>
              <w:jc w:val="left"/>
              <w:rPr>
                <w:sz w:val="19"/>
              </w:rPr>
            </w:pPr>
            <w:r>
              <w:rPr>
                <w:sz w:val="19"/>
              </w:rPr>
              <w:t>80.3</w:t>
            </w:r>
          </w:p>
        </w:tc>
        <w:tc>
          <w:tcPr>
            <w:tcW w:w="1582" w:type="dxa"/>
          </w:tcPr>
          <w:p>
            <w:pPr>
              <w:pStyle w:val="TableParagraph"/>
              <w:spacing w:before="4"/>
              <w:ind w:left="98"/>
              <w:jc w:val="left"/>
              <w:rPr>
                <w:sz w:val="19"/>
              </w:rPr>
            </w:pPr>
            <w:r>
              <w:rPr>
                <w:sz w:val="19"/>
              </w:rPr>
              <w:t>52.8</w:t>
            </w:r>
          </w:p>
        </w:tc>
      </w:tr>
      <w:tr>
        <w:trPr>
          <w:trHeight w:val="463" w:hRule="exact"/>
        </w:trPr>
        <w:tc>
          <w:tcPr>
            <w:tcW w:w="2435" w:type="dxa"/>
            <w:tcBorders>
              <w:right w:val="single" w:sz="3" w:space="0" w:color="000000"/>
            </w:tcBorders>
          </w:tcPr>
          <w:p>
            <w:pPr>
              <w:pStyle w:val="TableParagraph"/>
              <w:spacing w:before="4"/>
              <w:ind w:left="100"/>
              <w:jc w:val="left"/>
              <w:rPr>
                <w:sz w:val="19"/>
              </w:rPr>
            </w:pPr>
            <w:r>
              <w:rPr>
                <w:sz w:val="19"/>
              </w:rPr>
              <w:t>Zacatecas</w:t>
            </w:r>
          </w:p>
        </w:tc>
        <w:tc>
          <w:tcPr>
            <w:tcW w:w="1583" w:type="dxa"/>
            <w:tcBorders>
              <w:left w:val="single" w:sz="3" w:space="0" w:color="000000"/>
            </w:tcBorders>
          </w:tcPr>
          <w:p>
            <w:pPr>
              <w:pStyle w:val="TableParagraph"/>
              <w:spacing w:before="4"/>
              <w:ind w:left="100"/>
              <w:jc w:val="left"/>
              <w:rPr>
                <w:sz w:val="19"/>
              </w:rPr>
            </w:pPr>
            <w:r>
              <w:rPr>
                <w:sz w:val="19"/>
              </w:rPr>
              <w:t>348.4</w:t>
            </w:r>
          </w:p>
        </w:tc>
        <w:tc>
          <w:tcPr>
            <w:tcW w:w="1582" w:type="dxa"/>
          </w:tcPr>
          <w:p>
            <w:pPr>
              <w:pStyle w:val="TableParagraph"/>
              <w:spacing w:before="4"/>
              <w:ind w:left="98"/>
              <w:jc w:val="left"/>
              <w:rPr>
                <w:sz w:val="19"/>
              </w:rPr>
            </w:pPr>
            <w:r>
              <w:rPr>
                <w:sz w:val="19"/>
              </w:rPr>
              <w:t>421.8</w:t>
            </w:r>
          </w:p>
        </w:tc>
        <w:tc>
          <w:tcPr>
            <w:tcW w:w="1584" w:type="dxa"/>
          </w:tcPr>
          <w:p>
            <w:pPr>
              <w:pStyle w:val="TableParagraph"/>
              <w:spacing w:before="4"/>
              <w:ind w:left="100"/>
              <w:jc w:val="left"/>
              <w:rPr>
                <w:sz w:val="19"/>
              </w:rPr>
            </w:pPr>
            <w:r>
              <w:rPr>
                <w:sz w:val="19"/>
              </w:rPr>
              <w:t>496.4</w:t>
            </w:r>
          </w:p>
        </w:tc>
        <w:tc>
          <w:tcPr>
            <w:tcW w:w="1582" w:type="dxa"/>
          </w:tcPr>
          <w:p>
            <w:pPr>
              <w:pStyle w:val="TableParagraph"/>
              <w:spacing w:before="4"/>
              <w:ind w:left="98"/>
              <w:jc w:val="left"/>
              <w:rPr>
                <w:sz w:val="19"/>
              </w:rPr>
            </w:pPr>
            <w:r>
              <w:rPr>
                <w:sz w:val="19"/>
              </w:rPr>
              <w:t>305.8</w:t>
            </w:r>
          </w:p>
        </w:tc>
      </w:tr>
      <w:tr>
        <w:trPr>
          <w:trHeight w:val="461" w:hRule="exact"/>
        </w:trPr>
        <w:tc>
          <w:tcPr>
            <w:tcW w:w="2435" w:type="dxa"/>
            <w:tcBorders>
              <w:right w:val="single" w:sz="3" w:space="0" w:color="000000"/>
            </w:tcBorders>
          </w:tcPr>
          <w:p>
            <w:pPr>
              <w:pStyle w:val="TableParagraph"/>
              <w:spacing w:line="215" w:lineRule="exact" w:before="0"/>
              <w:ind w:left="100"/>
              <w:jc w:val="left"/>
              <w:rPr>
                <w:b/>
                <w:sz w:val="19"/>
              </w:rPr>
            </w:pPr>
            <w:r>
              <w:rPr>
                <w:b/>
                <w:sz w:val="19"/>
              </w:rPr>
              <w:t>TOTAL</w:t>
            </w:r>
          </w:p>
        </w:tc>
        <w:tc>
          <w:tcPr>
            <w:tcW w:w="1583" w:type="dxa"/>
            <w:tcBorders>
              <w:left w:val="single" w:sz="3" w:space="0" w:color="000000"/>
            </w:tcBorders>
          </w:tcPr>
          <w:p>
            <w:pPr>
              <w:pStyle w:val="TableParagraph"/>
              <w:spacing w:line="215" w:lineRule="exact" w:before="0"/>
              <w:ind w:left="100"/>
              <w:jc w:val="left"/>
              <w:rPr>
                <w:b/>
                <w:sz w:val="19"/>
              </w:rPr>
            </w:pPr>
            <w:r>
              <w:rPr>
                <w:b/>
                <w:sz w:val="19"/>
              </w:rPr>
              <w:t>13396.2</w:t>
            </w:r>
          </w:p>
        </w:tc>
        <w:tc>
          <w:tcPr>
            <w:tcW w:w="1582" w:type="dxa"/>
          </w:tcPr>
          <w:p>
            <w:pPr>
              <w:pStyle w:val="TableParagraph"/>
              <w:spacing w:line="215" w:lineRule="exact" w:before="0"/>
              <w:ind w:left="98"/>
              <w:jc w:val="left"/>
              <w:rPr>
                <w:b/>
                <w:sz w:val="19"/>
              </w:rPr>
            </w:pPr>
            <w:r>
              <w:rPr>
                <w:b/>
                <w:sz w:val="19"/>
              </w:rPr>
              <w:t>16612.8</w:t>
            </w:r>
          </w:p>
        </w:tc>
        <w:tc>
          <w:tcPr>
            <w:tcW w:w="1584" w:type="dxa"/>
          </w:tcPr>
          <w:p>
            <w:pPr>
              <w:pStyle w:val="TableParagraph"/>
              <w:spacing w:line="215" w:lineRule="exact" w:before="0"/>
              <w:ind w:left="100"/>
              <w:jc w:val="left"/>
              <w:rPr>
                <w:b/>
                <w:sz w:val="19"/>
              </w:rPr>
            </w:pPr>
            <w:r>
              <w:rPr>
                <w:b/>
                <w:sz w:val="19"/>
              </w:rPr>
              <w:t>20034.9</w:t>
            </w:r>
          </w:p>
        </w:tc>
        <w:tc>
          <w:tcPr>
            <w:tcW w:w="1582" w:type="dxa"/>
          </w:tcPr>
          <w:p>
            <w:pPr>
              <w:pStyle w:val="TableParagraph"/>
              <w:spacing w:line="215" w:lineRule="exact" w:before="0"/>
              <w:ind w:left="98"/>
              <w:jc w:val="left"/>
              <w:rPr>
                <w:b/>
                <w:sz w:val="19"/>
              </w:rPr>
            </w:pPr>
            <w:r>
              <w:rPr>
                <w:b/>
                <w:sz w:val="19"/>
              </w:rPr>
              <w:t>11425</w:t>
            </w:r>
          </w:p>
        </w:tc>
      </w:tr>
    </w:tbl>
    <w:p>
      <w:pPr>
        <w:spacing w:before="0"/>
        <w:ind w:left="215" w:right="0" w:firstLine="0"/>
        <w:jc w:val="both"/>
        <w:rPr>
          <w:sz w:val="21"/>
        </w:rPr>
      </w:pPr>
      <w:r>
        <w:rPr>
          <w:sz w:val="21"/>
        </w:rPr>
        <w:t>Fuente: Elaboración propia con datos del Banco de  México.</w:t>
      </w:r>
    </w:p>
    <w:p>
      <w:pPr>
        <w:pStyle w:val="BodyText"/>
        <w:rPr>
          <w:sz w:val="20"/>
        </w:rPr>
      </w:pPr>
    </w:p>
    <w:p>
      <w:pPr>
        <w:pStyle w:val="BodyText"/>
        <w:rPr>
          <w:sz w:val="20"/>
        </w:rPr>
      </w:pPr>
    </w:p>
    <w:p>
      <w:pPr>
        <w:pStyle w:val="BodyText"/>
        <w:rPr>
          <w:sz w:val="20"/>
        </w:rPr>
      </w:pPr>
    </w:p>
    <w:p>
      <w:pPr>
        <w:pStyle w:val="BodyText"/>
        <w:spacing w:line="364" w:lineRule="auto" w:before="146"/>
        <w:ind w:left="215" w:right="221"/>
        <w:jc w:val="both"/>
      </w:pPr>
      <w:r>
        <w:rPr/>
        <w:t>En el cuadro anterior se observa que en el periodo 2003 a junio de 2006, existen tres estados que recaban alrededor de 30% del ingreso por remesas a nivel nacional: Michoacán con un monto de 7740.2 millones de dólares  representando  el 12.59%, Jalisco 5402.6 millones de dólares representando el 8.78% con y Guanajuato con 5436.8 millones de dólares representando el 8.84%. Existen  dentro del pías tres estados que perciben menor ingreso por el concepto de remesas: Quintana Roo con 254 millones de dólares que representan tan solo el 0.41%;  Campeche  con 154.6 millones de  dólares  representando  un  0.25%  y</w:t>
      </w:r>
      <w:r>
        <w:rPr>
          <w:spacing w:val="57"/>
        </w:rPr>
        <w:t> </w:t>
      </w:r>
      <w:r>
        <w:rPr/>
        <w:t>el</w:t>
      </w:r>
    </w:p>
    <w:p>
      <w:pPr>
        <w:spacing w:after="0" w:line="364" w:lineRule="auto"/>
        <w:jc w:val="both"/>
        <w:sectPr>
          <w:pgSz w:w="11900" w:h="16840"/>
          <w:pgMar w:header="0" w:footer="1679" w:top="1600" w:bottom="1860" w:left="1440" w:right="1460"/>
        </w:sectPr>
      </w:pPr>
    </w:p>
    <w:p>
      <w:pPr>
        <w:pStyle w:val="BodyText"/>
        <w:rPr>
          <w:sz w:val="20"/>
        </w:rPr>
      </w:pPr>
    </w:p>
    <w:p>
      <w:pPr>
        <w:pStyle w:val="BodyText"/>
        <w:spacing w:before="7"/>
        <w:rPr>
          <w:sz w:val="16"/>
        </w:rPr>
      </w:pPr>
    </w:p>
    <w:p>
      <w:pPr>
        <w:pStyle w:val="BodyText"/>
        <w:spacing w:line="364" w:lineRule="auto" w:before="74"/>
        <w:ind w:left="155" w:right="147"/>
        <w:jc w:val="both"/>
      </w:pPr>
      <w:r>
        <w:rPr/>
        <w:t>último Estado es Baja California Sur con 67.7 millones de dólares representando tan solo 0.11% del ingreso nacional por envió de  remesas.</w:t>
      </w:r>
    </w:p>
    <w:p>
      <w:pPr>
        <w:pStyle w:val="BodyText"/>
        <w:spacing w:before="4"/>
        <w:rPr>
          <w:sz w:val="17"/>
        </w:rPr>
      </w:pPr>
    </w:p>
    <w:p>
      <w:pPr>
        <w:pStyle w:val="BodyText"/>
        <w:spacing w:line="364" w:lineRule="auto"/>
        <w:ind w:left="155" w:right="145"/>
        <w:jc w:val="both"/>
      </w:pPr>
      <w:r>
        <w:rPr/>
        <w:t>La distribución geográfica de la República mexicana se encuentra dividida en 8 regiones. La región con mayor participación de 2003 a Junio del 2006 comprende  la Centro Occidente con una participación de 32.55%, siguiéndole la Centro Este con una 29.74% ambas suman más de la mitad de los Ingresos por remesas (ver cuadro 5), esto se ve explicado por qué dentro de ambas regiones se encuentran inmersos los principales estados que anualmente perciben remesas que superan por mucho a los otros estados de la</w:t>
      </w:r>
      <w:r>
        <w:rPr>
          <w:spacing w:val="48"/>
        </w:rPr>
        <w:t> </w:t>
      </w:r>
      <w:r>
        <w:rPr/>
        <w:t>república.</w:t>
      </w:r>
    </w:p>
    <w:p>
      <w:pPr>
        <w:pStyle w:val="BodyText"/>
        <w:rPr>
          <w:sz w:val="22"/>
        </w:rPr>
      </w:pPr>
    </w:p>
    <w:p>
      <w:pPr>
        <w:pStyle w:val="BodyText"/>
        <w:rPr>
          <w:sz w:val="22"/>
        </w:rPr>
      </w:pPr>
    </w:p>
    <w:p>
      <w:pPr>
        <w:pStyle w:val="BodyText"/>
        <w:spacing w:before="10"/>
        <w:rPr>
          <w:sz w:val="24"/>
        </w:rPr>
      </w:pPr>
    </w:p>
    <w:p>
      <w:pPr>
        <w:pStyle w:val="Heading4"/>
        <w:spacing w:line="283" w:lineRule="auto"/>
        <w:ind w:left="3907" w:right="228" w:hanging="3344"/>
      </w:pPr>
      <w:r>
        <w:rPr/>
        <w:t>Cuadro 5. Porcentaje de participación de las regiones de la República Mexicana</w:t>
      </w:r>
    </w:p>
    <w:p>
      <w:pPr>
        <w:pStyle w:val="BodyText"/>
        <w:spacing w:before="6"/>
        <w:rPr>
          <w:b/>
          <w:sz w:val="16"/>
        </w:rPr>
      </w:pPr>
    </w:p>
    <w:tbl>
      <w:tblPr>
        <w:tblW w:w="0" w:type="auto"/>
        <w:jc w:val="left"/>
        <w:tblInd w:w="11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039"/>
        <w:gridCol w:w="883"/>
        <w:gridCol w:w="967"/>
        <w:gridCol w:w="968"/>
        <w:gridCol w:w="967"/>
        <w:gridCol w:w="883"/>
        <w:gridCol w:w="967"/>
        <w:gridCol w:w="970"/>
        <w:gridCol w:w="970"/>
      </w:tblGrid>
      <w:tr>
        <w:trPr>
          <w:trHeight w:val="622" w:hRule="exact"/>
        </w:trPr>
        <w:tc>
          <w:tcPr>
            <w:tcW w:w="1039" w:type="dxa"/>
            <w:tcBorders>
              <w:left w:val="single" w:sz="5" w:space="0" w:color="000000"/>
              <w:right w:val="single" w:sz="5" w:space="0" w:color="000000"/>
            </w:tcBorders>
          </w:tcPr>
          <w:p>
            <w:pPr>
              <w:pStyle w:val="TableParagraph"/>
              <w:spacing w:before="3"/>
              <w:ind w:left="23" w:right="-7"/>
              <w:jc w:val="left"/>
              <w:rPr>
                <w:b/>
                <w:sz w:val="15"/>
              </w:rPr>
            </w:pPr>
            <w:r>
              <w:rPr>
                <w:b/>
                <w:w w:val="105"/>
                <w:sz w:val="15"/>
              </w:rPr>
              <w:t>Años</w:t>
            </w:r>
          </w:p>
        </w:tc>
        <w:tc>
          <w:tcPr>
            <w:tcW w:w="883" w:type="dxa"/>
            <w:tcBorders>
              <w:left w:val="single" w:sz="5" w:space="0" w:color="000000"/>
              <w:right w:val="single" w:sz="5" w:space="0" w:color="000000"/>
            </w:tcBorders>
          </w:tcPr>
          <w:p>
            <w:pPr>
              <w:pStyle w:val="TableParagraph"/>
              <w:spacing w:before="3"/>
              <w:ind w:right="1"/>
              <w:jc w:val="center"/>
              <w:rPr>
                <w:b/>
                <w:sz w:val="15"/>
              </w:rPr>
            </w:pPr>
            <w:r>
              <w:rPr>
                <w:b/>
                <w:w w:val="105"/>
                <w:sz w:val="15"/>
              </w:rPr>
              <w:t>Este</w:t>
            </w:r>
          </w:p>
        </w:tc>
        <w:tc>
          <w:tcPr>
            <w:tcW w:w="967" w:type="dxa"/>
            <w:tcBorders>
              <w:left w:val="single" w:sz="5" w:space="0" w:color="000000"/>
              <w:right w:val="single" w:sz="5" w:space="0" w:color="000000"/>
            </w:tcBorders>
          </w:tcPr>
          <w:p>
            <w:pPr>
              <w:pStyle w:val="TableParagraph"/>
              <w:spacing w:before="3"/>
              <w:ind w:right="35"/>
              <w:rPr>
                <w:b/>
                <w:sz w:val="15"/>
              </w:rPr>
            </w:pPr>
            <w:r>
              <w:rPr>
                <w:b/>
                <w:w w:val="105"/>
                <w:sz w:val="15"/>
              </w:rPr>
              <w:t>Centro Este</w:t>
            </w:r>
          </w:p>
        </w:tc>
        <w:tc>
          <w:tcPr>
            <w:tcW w:w="968" w:type="dxa"/>
            <w:tcBorders>
              <w:left w:val="single" w:sz="5" w:space="0" w:color="000000"/>
            </w:tcBorders>
          </w:tcPr>
          <w:p>
            <w:pPr>
              <w:pStyle w:val="TableParagraph"/>
              <w:spacing w:line="283" w:lineRule="auto" w:before="3"/>
              <w:ind w:left="100" w:firstLine="124"/>
              <w:jc w:val="left"/>
              <w:rPr>
                <w:b/>
                <w:sz w:val="15"/>
              </w:rPr>
            </w:pPr>
            <w:r>
              <w:rPr>
                <w:b/>
                <w:w w:val="105"/>
                <w:sz w:val="15"/>
              </w:rPr>
              <w:t>Centro </w:t>
            </w:r>
            <w:r>
              <w:rPr>
                <w:b/>
                <w:sz w:val="15"/>
              </w:rPr>
              <w:t>Occidente</w:t>
            </w:r>
          </w:p>
        </w:tc>
        <w:tc>
          <w:tcPr>
            <w:tcW w:w="967" w:type="dxa"/>
          </w:tcPr>
          <w:p>
            <w:pPr>
              <w:pStyle w:val="TableParagraph"/>
              <w:spacing w:line="283" w:lineRule="auto" w:before="3"/>
              <w:ind w:left="62" w:right="-8" w:firstLine="48"/>
              <w:jc w:val="left"/>
              <w:rPr>
                <w:b/>
                <w:sz w:val="15"/>
              </w:rPr>
            </w:pPr>
            <w:r>
              <w:rPr>
                <w:b/>
                <w:w w:val="105"/>
                <w:sz w:val="15"/>
              </w:rPr>
              <w:t>Península de Yucatán</w:t>
            </w:r>
          </w:p>
        </w:tc>
        <w:tc>
          <w:tcPr>
            <w:tcW w:w="883" w:type="dxa"/>
          </w:tcPr>
          <w:p>
            <w:pPr>
              <w:pStyle w:val="TableParagraph"/>
              <w:spacing w:before="3"/>
              <w:ind w:left="5"/>
              <w:jc w:val="center"/>
              <w:rPr>
                <w:b/>
                <w:sz w:val="15"/>
              </w:rPr>
            </w:pPr>
            <w:r>
              <w:rPr>
                <w:b/>
                <w:w w:val="105"/>
                <w:sz w:val="15"/>
              </w:rPr>
              <w:t>Sur</w:t>
            </w:r>
          </w:p>
        </w:tc>
        <w:tc>
          <w:tcPr>
            <w:tcW w:w="967" w:type="dxa"/>
          </w:tcPr>
          <w:p>
            <w:pPr>
              <w:pStyle w:val="TableParagraph"/>
              <w:spacing w:before="3"/>
              <w:ind w:left="17" w:right="14"/>
              <w:jc w:val="center"/>
              <w:rPr>
                <w:b/>
                <w:sz w:val="15"/>
              </w:rPr>
            </w:pPr>
            <w:r>
              <w:rPr>
                <w:b/>
                <w:w w:val="105"/>
                <w:sz w:val="15"/>
              </w:rPr>
              <w:t>Norte</w:t>
            </w:r>
          </w:p>
        </w:tc>
        <w:tc>
          <w:tcPr>
            <w:tcW w:w="970" w:type="dxa"/>
          </w:tcPr>
          <w:p>
            <w:pPr>
              <w:pStyle w:val="TableParagraph"/>
              <w:spacing w:before="3"/>
              <w:ind w:left="7" w:right="2"/>
              <w:jc w:val="center"/>
              <w:rPr>
                <w:b/>
                <w:sz w:val="15"/>
              </w:rPr>
            </w:pPr>
            <w:r>
              <w:rPr>
                <w:b/>
                <w:w w:val="105"/>
                <w:sz w:val="15"/>
              </w:rPr>
              <w:t>Noreste</w:t>
            </w:r>
          </w:p>
        </w:tc>
        <w:tc>
          <w:tcPr>
            <w:tcW w:w="970" w:type="dxa"/>
          </w:tcPr>
          <w:p>
            <w:pPr>
              <w:pStyle w:val="TableParagraph"/>
              <w:spacing w:before="3"/>
              <w:ind w:left="2" w:right="2"/>
              <w:jc w:val="center"/>
              <w:rPr>
                <w:b/>
                <w:sz w:val="15"/>
              </w:rPr>
            </w:pPr>
            <w:r>
              <w:rPr>
                <w:b/>
                <w:w w:val="105"/>
                <w:sz w:val="15"/>
              </w:rPr>
              <w:t>Noroeste</w:t>
            </w:r>
          </w:p>
        </w:tc>
      </w:tr>
      <w:tr>
        <w:trPr>
          <w:trHeight w:val="415" w:hRule="exact"/>
        </w:trPr>
        <w:tc>
          <w:tcPr>
            <w:tcW w:w="1039" w:type="dxa"/>
            <w:tcBorders>
              <w:left w:val="single" w:sz="5" w:space="0" w:color="000000"/>
              <w:right w:val="single" w:sz="5" w:space="0" w:color="000000"/>
            </w:tcBorders>
          </w:tcPr>
          <w:p>
            <w:pPr>
              <w:pStyle w:val="TableParagraph"/>
              <w:spacing w:before="5"/>
              <w:ind w:left="23" w:right="-7"/>
              <w:jc w:val="left"/>
              <w:rPr>
                <w:sz w:val="15"/>
              </w:rPr>
            </w:pPr>
            <w:r>
              <w:rPr>
                <w:w w:val="105"/>
                <w:sz w:val="15"/>
              </w:rPr>
              <w:t>2003</w:t>
            </w:r>
          </w:p>
        </w:tc>
        <w:tc>
          <w:tcPr>
            <w:tcW w:w="883" w:type="dxa"/>
            <w:tcBorders>
              <w:left w:val="single" w:sz="5" w:space="0" w:color="000000"/>
              <w:right w:val="single" w:sz="5" w:space="0" w:color="000000"/>
            </w:tcBorders>
          </w:tcPr>
          <w:p>
            <w:pPr>
              <w:pStyle w:val="TableParagraph"/>
              <w:spacing w:before="5"/>
              <w:ind w:right="4"/>
              <w:jc w:val="center"/>
              <w:rPr>
                <w:sz w:val="15"/>
              </w:rPr>
            </w:pPr>
            <w:r>
              <w:rPr>
                <w:w w:val="105"/>
                <w:sz w:val="15"/>
              </w:rPr>
              <w:t>6.33836461</w:t>
            </w:r>
          </w:p>
        </w:tc>
        <w:tc>
          <w:tcPr>
            <w:tcW w:w="967" w:type="dxa"/>
            <w:tcBorders>
              <w:left w:val="single" w:sz="5" w:space="0" w:color="000000"/>
              <w:right w:val="single" w:sz="5" w:space="0" w:color="000000"/>
            </w:tcBorders>
          </w:tcPr>
          <w:p>
            <w:pPr>
              <w:pStyle w:val="TableParagraph"/>
              <w:spacing w:before="5"/>
              <w:ind w:right="23"/>
              <w:rPr>
                <w:sz w:val="15"/>
              </w:rPr>
            </w:pPr>
            <w:r>
              <w:rPr>
                <w:sz w:val="15"/>
              </w:rPr>
              <w:t>29.07690241</w:t>
            </w:r>
          </w:p>
        </w:tc>
        <w:tc>
          <w:tcPr>
            <w:tcW w:w="968" w:type="dxa"/>
            <w:tcBorders>
              <w:left w:val="single" w:sz="5" w:space="0" w:color="000000"/>
            </w:tcBorders>
          </w:tcPr>
          <w:p>
            <w:pPr>
              <w:pStyle w:val="TableParagraph"/>
              <w:spacing w:before="5"/>
              <w:ind w:right="2"/>
              <w:jc w:val="center"/>
              <w:rPr>
                <w:sz w:val="15"/>
              </w:rPr>
            </w:pPr>
            <w:r>
              <w:rPr>
                <w:w w:val="105"/>
                <w:sz w:val="15"/>
              </w:rPr>
              <w:t>33.82377092</w:t>
            </w:r>
          </w:p>
        </w:tc>
        <w:tc>
          <w:tcPr>
            <w:tcW w:w="967" w:type="dxa"/>
          </w:tcPr>
          <w:p>
            <w:pPr>
              <w:pStyle w:val="TableParagraph"/>
              <w:spacing w:before="5"/>
              <w:ind w:left="21" w:right="-8"/>
              <w:jc w:val="left"/>
              <w:rPr>
                <w:sz w:val="15"/>
              </w:rPr>
            </w:pPr>
            <w:r>
              <w:rPr>
                <w:w w:val="105"/>
                <w:sz w:val="15"/>
              </w:rPr>
              <w:t>1.200340395</w:t>
            </w:r>
          </w:p>
        </w:tc>
        <w:tc>
          <w:tcPr>
            <w:tcW w:w="883" w:type="dxa"/>
          </w:tcPr>
          <w:p>
            <w:pPr>
              <w:pStyle w:val="TableParagraph"/>
              <w:spacing w:before="5"/>
              <w:jc w:val="center"/>
              <w:rPr>
                <w:sz w:val="15"/>
              </w:rPr>
            </w:pPr>
            <w:r>
              <w:rPr>
                <w:w w:val="105"/>
                <w:sz w:val="15"/>
              </w:rPr>
              <w:t>12.7439125</w:t>
            </w:r>
          </w:p>
        </w:tc>
        <w:tc>
          <w:tcPr>
            <w:tcW w:w="967" w:type="dxa"/>
          </w:tcPr>
          <w:p>
            <w:pPr>
              <w:pStyle w:val="TableParagraph"/>
              <w:spacing w:before="5"/>
              <w:ind w:left="17" w:right="18"/>
              <w:jc w:val="center"/>
              <w:rPr>
                <w:sz w:val="15"/>
              </w:rPr>
            </w:pPr>
            <w:r>
              <w:rPr>
                <w:sz w:val="15"/>
              </w:rPr>
              <w:t>8.912975321</w:t>
            </w:r>
          </w:p>
        </w:tc>
        <w:tc>
          <w:tcPr>
            <w:tcW w:w="970" w:type="dxa"/>
          </w:tcPr>
          <w:p>
            <w:pPr>
              <w:pStyle w:val="TableParagraph"/>
              <w:spacing w:before="5"/>
              <w:jc w:val="center"/>
              <w:rPr>
                <w:sz w:val="15"/>
              </w:rPr>
            </w:pPr>
            <w:r>
              <w:rPr>
                <w:w w:val="105"/>
                <w:sz w:val="15"/>
              </w:rPr>
              <w:t>2.653737627</w:t>
            </w:r>
          </w:p>
        </w:tc>
        <w:tc>
          <w:tcPr>
            <w:tcW w:w="970" w:type="dxa"/>
          </w:tcPr>
          <w:p>
            <w:pPr>
              <w:pStyle w:val="TableParagraph"/>
              <w:spacing w:before="5"/>
              <w:ind w:left="17" w:right="21"/>
              <w:jc w:val="center"/>
              <w:rPr>
                <w:sz w:val="15"/>
              </w:rPr>
            </w:pPr>
            <w:r>
              <w:rPr>
                <w:sz w:val="15"/>
              </w:rPr>
              <w:t>5.252982189</w:t>
            </w:r>
          </w:p>
        </w:tc>
      </w:tr>
      <w:tr>
        <w:trPr>
          <w:trHeight w:val="415" w:hRule="exact"/>
        </w:trPr>
        <w:tc>
          <w:tcPr>
            <w:tcW w:w="1039" w:type="dxa"/>
            <w:tcBorders>
              <w:left w:val="single" w:sz="5" w:space="0" w:color="000000"/>
              <w:right w:val="single" w:sz="5" w:space="0" w:color="000000"/>
            </w:tcBorders>
          </w:tcPr>
          <w:p>
            <w:pPr>
              <w:pStyle w:val="TableParagraph"/>
              <w:spacing w:before="8"/>
              <w:ind w:left="23" w:right="-7"/>
              <w:jc w:val="left"/>
              <w:rPr>
                <w:sz w:val="15"/>
              </w:rPr>
            </w:pPr>
            <w:r>
              <w:rPr>
                <w:w w:val="105"/>
                <w:sz w:val="15"/>
              </w:rPr>
              <w:t>2004</w:t>
            </w:r>
          </w:p>
        </w:tc>
        <w:tc>
          <w:tcPr>
            <w:tcW w:w="883" w:type="dxa"/>
            <w:tcBorders>
              <w:left w:val="single" w:sz="5" w:space="0" w:color="000000"/>
              <w:right w:val="single" w:sz="5" w:space="0" w:color="000000"/>
            </w:tcBorders>
          </w:tcPr>
          <w:p>
            <w:pPr>
              <w:pStyle w:val="TableParagraph"/>
              <w:spacing w:before="8"/>
              <w:ind w:right="4"/>
              <w:jc w:val="center"/>
              <w:rPr>
                <w:sz w:val="15"/>
              </w:rPr>
            </w:pPr>
            <w:r>
              <w:rPr>
                <w:w w:val="105"/>
                <w:sz w:val="15"/>
              </w:rPr>
              <w:t>6.29273813</w:t>
            </w:r>
          </w:p>
        </w:tc>
        <w:tc>
          <w:tcPr>
            <w:tcW w:w="967" w:type="dxa"/>
            <w:tcBorders>
              <w:left w:val="single" w:sz="5" w:space="0" w:color="000000"/>
              <w:right w:val="single" w:sz="5" w:space="0" w:color="000000"/>
            </w:tcBorders>
          </w:tcPr>
          <w:p>
            <w:pPr>
              <w:pStyle w:val="TableParagraph"/>
              <w:spacing w:before="8"/>
              <w:ind w:right="23"/>
              <w:rPr>
                <w:sz w:val="15"/>
              </w:rPr>
            </w:pPr>
            <w:r>
              <w:rPr>
                <w:sz w:val="15"/>
              </w:rPr>
              <w:t>29.01979197</w:t>
            </w:r>
          </w:p>
        </w:tc>
        <w:tc>
          <w:tcPr>
            <w:tcW w:w="968" w:type="dxa"/>
            <w:tcBorders>
              <w:left w:val="single" w:sz="5" w:space="0" w:color="000000"/>
            </w:tcBorders>
          </w:tcPr>
          <w:p>
            <w:pPr>
              <w:pStyle w:val="TableParagraph"/>
              <w:spacing w:before="8"/>
              <w:ind w:right="2"/>
              <w:jc w:val="center"/>
              <w:rPr>
                <w:sz w:val="15"/>
              </w:rPr>
            </w:pPr>
            <w:r>
              <w:rPr>
                <w:w w:val="105"/>
                <w:sz w:val="15"/>
              </w:rPr>
              <w:t>33.52776173</w:t>
            </w:r>
          </w:p>
        </w:tc>
        <w:tc>
          <w:tcPr>
            <w:tcW w:w="967" w:type="dxa"/>
          </w:tcPr>
          <w:p>
            <w:pPr>
              <w:pStyle w:val="TableParagraph"/>
              <w:spacing w:before="8"/>
              <w:ind w:left="21" w:right="-8"/>
              <w:jc w:val="left"/>
              <w:rPr>
                <w:sz w:val="15"/>
              </w:rPr>
            </w:pPr>
            <w:r>
              <w:rPr>
                <w:w w:val="105"/>
                <w:sz w:val="15"/>
              </w:rPr>
              <w:t>1.140084754</w:t>
            </w:r>
          </w:p>
        </w:tc>
        <w:tc>
          <w:tcPr>
            <w:tcW w:w="883" w:type="dxa"/>
          </w:tcPr>
          <w:p>
            <w:pPr>
              <w:pStyle w:val="TableParagraph"/>
              <w:spacing w:before="8"/>
              <w:jc w:val="center"/>
              <w:rPr>
                <w:sz w:val="15"/>
              </w:rPr>
            </w:pPr>
            <w:r>
              <w:rPr>
                <w:w w:val="105"/>
                <w:sz w:val="15"/>
              </w:rPr>
              <w:t>12.8250506</w:t>
            </w:r>
          </w:p>
        </w:tc>
        <w:tc>
          <w:tcPr>
            <w:tcW w:w="967" w:type="dxa"/>
          </w:tcPr>
          <w:p>
            <w:pPr>
              <w:pStyle w:val="TableParagraph"/>
              <w:spacing w:before="8"/>
              <w:ind w:left="17" w:right="18"/>
              <w:jc w:val="center"/>
              <w:rPr>
                <w:sz w:val="15"/>
              </w:rPr>
            </w:pPr>
            <w:r>
              <w:rPr>
                <w:sz w:val="15"/>
              </w:rPr>
              <w:t>8.835957816</w:t>
            </w:r>
          </w:p>
        </w:tc>
        <w:tc>
          <w:tcPr>
            <w:tcW w:w="970" w:type="dxa"/>
          </w:tcPr>
          <w:p>
            <w:pPr>
              <w:pStyle w:val="TableParagraph"/>
              <w:spacing w:before="8"/>
              <w:jc w:val="center"/>
              <w:rPr>
                <w:sz w:val="15"/>
              </w:rPr>
            </w:pPr>
            <w:r>
              <w:rPr>
                <w:w w:val="105"/>
                <w:sz w:val="15"/>
              </w:rPr>
              <w:t>3.145767119</w:t>
            </w:r>
          </w:p>
        </w:tc>
        <w:tc>
          <w:tcPr>
            <w:tcW w:w="970" w:type="dxa"/>
          </w:tcPr>
          <w:p>
            <w:pPr>
              <w:pStyle w:val="TableParagraph"/>
              <w:spacing w:before="8"/>
              <w:ind w:left="17" w:right="21"/>
              <w:jc w:val="center"/>
              <w:rPr>
                <w:sz w:val="15"/>
              </w:rPr>
            </w:pPr>
            <w:r>
              <w:rPr>
                <w:sz w:val="15"/>
              </w:rPr>
              <w:t>5.212847924</w:t>
            </w:r>
          </w:p>
        </w:tc>
      </w:tr>
      <w:tr>
        <w:trPr>
          <w:trHeight w:val="415" w:hRule="exact"/>
        </w:trPr>
        <w:tc>
          <w:tcPr>
            <w:tcW w:w="1039" w:type="dxa"/>
            <w:tcBorders>
              <w:left w:val="single" w:sz="5" w:space="0" w:color="000000"/>
              <w:right w:val="single" w:sz="5" w:space="0" w:color="000000"/>
            </w:tcBorders>
          </w:tcPr>
          <w:p>
            <w:pPr>
              <w:pStyle w:val="TableParagraph"/>
              <w:spacing w:before="8"/>
              <w:ind w:left="23" w:right="-7"/>
              <w:jc w:val="left"/>
              <w:rPr>
                <w:sz w:val="15"/>
              </w:rPr>
            </w:pPr>
            <w:r>
              <w:rPr>
                <w:w w:val="105"/>
                <w:sz w:val="15"/>
              </w:rPr>
              <w:t>2005</w:t>
            </w:r>
          </w:p>
        </w:tc>
        <w:tc>
          <w:tcPr>
            <w:tcW w:w="883" w:type="dxa"/>
            <w:tcBorders>
              <w:left w:val="single" w:sz="5" w:space="0" w:color="000000"/>
              <w:right w:val="single" w:sz="5" w:space="0" w:color="000000"/>
            </w:tcBorders>
          </w:tcPr>
          <w:p>
            <w:pPr>
              <w:pStyle w:val="TableParagraph"/>
              <w:spacing w:before="8"/>
              <w:ind w:right="4"/>
              <w:jc w:val="center"/>
              <w:rPr>
                <w:sz w:val="15"/>
              </w:rPr>
            </w:pPr>
            <w:r>
              <w:rPr>
                <w:w w:val="105"/>
                <w:sz w:val="15"/>
              </w:rPr>
              <w:t>6.39234536</w:t>
            </w:r>
          </w:p>
        </w:tc>
        <w:tc>
          <w:tcPr>
            <w:tcW w:w="967" w:type="dxa"/>
            <w:tcBorders>
              <w:left w:val="single" w:sz="5" w:space="0" w:color="000000"/>
              <w:right w:val="single" w:sz="5" w:space="0" w:color="000000"/>
            </w:tcBorders>
          </w:tcPr>
          <w:p>
            <w:pPr>
              <w:pStyle w:val="TableParagraph"/>
              <w:spacing w:before="8"/>
              <w:ind w:right="23"/>
              <w:rPr>
                <w:sz w:val="15"/>
              </w:rPr>
            </w:pPr>
            <w:r>
              <w:rPr>
                <w:sz w:val="15"/>
              </w:rPr>
              <w:t>30.43489112</w:t>
            </w:r>
          </w:p>
        </w:tc>
        <w:tc>
          <w:tcPr>
            <w:tcW w:w="968" w:type="dxa"/>
            <w:tcBorders>
              <w:left w:val="single" w:sz="5" w:space="0" w:color="000000"/>
            </w:tcBorders>
          </w:tcPr>
          <w:p>
            <w:pPr>
              <w:pStyle w:val="TableParagraph"/>
              <w:spacing w:before="8"/>
              <w:ind w:right="2"/>
              <w:jc w:val="center"/>
              <w:rPr>
                <w:sz w:val="15"/>
              </w:rPr>
            </w:pPr>
            <w:r>
              <w:rPr>
                <w:w w:val="105"/>
                <w:sz w:val="15"/>
              </w:rPr>
              <w:t>32.26619549</w:t>
            </w:r>
          </w:p>
        </w:tc>
        <w:tc>
          <w:tcPr>
            <w:tcW w:w="967" w:type="dxa"/>
          </w:tcPr>
          <w:p>
            <w:pPr>
              <w:pStyle w:val="TableParagraph"/>
              <w:spacing w:before="8"/>
              <w:ind w:left="21" w:right="-8"/>
              <w:jc w:val="left"/>
              <w:rPr>
                <w:sz w:val="15"/>
              </w:rPr>
            </w:pPr>
            <w:r>
              <w:rPr>
                <w:w w:val="105"/>
                <w:sz w:val="15"/>
              </w:rPr>
              <w:t>1.012732781</w:t>
            </w:r>
          </w:p>
        </w:tc>
        <w:tc>
          <w:tcPr>
            <w:tcW w:w="883" w:type="dxa"/>
          </w:tcPr>
          <w:p>
            <w:pPr>
              <w:pStyle w:val="TableParagraph"/>
              <w:spacing w:before="8"/>
              <w:jc w:val="center"/>
              <w:rPr>
                <w:sz w:val="15"/>
              </w:rPr>
            </w:pPr>
            <w:r>
              <w:rPr>
                <w:w w:val="105"/>
                <w:sz w:val="15"/>
              </w:rPr>
              <w:t>13.0512256</w:t>
            </w:r>
          </w:p>
        </w:tc>
        <w:tc>
          <w:tcPr>
            <w:tcW w:w="967" w:type="dxa"/>
          </w:tcPr>
          <w:p>
            <w:pPr>
              <w:pStyle w:val="TableParagraph"/>
              <w:spacing w:before="8"/>
              <w:ind w:left="17" w:right="18"/>
              <w:jc w:val="center"/>
              <w:rPr>
                <w:sz w:val="15"/>
              </w:rPr>
            </w:pPr>
            <w:r>
              <w:rPr>
                <w:sz w:val="15"/>
              </w:rPr>
              <w:t>8.964856326</w:t>
            </w:r>
          </w:p>
        </w:tc>
        <w:tc>
          <w:tcPr>
            <w:tcW w:w="970" w:type="dxa"/>
          </w:tcPr>
          <w:p>
            <w:pPr>
              <w:pStyle w:val="TableParagraph"/>
              <w:spacing w:before="8"/>
              <w:jc w:val="center"/>
              <w:rPr>
                <w:sz w:val="15"/>
              </w:rPr>
            </w:pPr>
            <w:r>
              <w:rPr>
                <w:w w:val="105"/>
                <w:sz w:val="15"/>
              </w:rPr>
              <w:t>2.660357676</w:t>
            </w:r>
          </w:p>
        </w:tc>
        <w:tc>
          <w:tcPr>
            <w:tcW w:w="970" w:type="dxa"/>
          </w:tcPr>
          <w:p>
            <w:pPr>
              <w:pStyle w:val="TableParagraph"/>
              <w:spacing w:before="8"/>
              <w:ind w:left="17" w:right="21"/>
              <w:jc w:val="center"/>
              <w:rPr>
                <w:sz w:val="15"/>
              </w:rPr>
            </w:pPr>
            <w:r>
              <w:rPr>
                <w:sz w:val="15"/>
              </w:rPr>
              <w:t>5.213901741</w:t>
            </w:r>
          </w:p>
        </w:tc>
      </w:tr>
      <w:tr>
        <w:trPr>
          <w:trHeight w:val="816" w:hRule="exact"/>
        </w:trPr>
        <w:tc>
          <w:tcPr>
            <w:tcW w:w="1039" w:type="dxa"/>
            <w:tcBorders>
              <w:left w:val="single" w:sz="5" w:space="0" w:color="000000"/>
              <w:right w:val="single" w:sz="5" w:space="0" w:color="000000"/>
            </w:tcBorders>
          </w:tcPr>
          <w:p>
            <w:pPr>
              <w:pStyle w:val="TableParagraph"/>
              <w:spacing w:before="5"/>
              <w:ind w:left="23" w:right="-7"/>
              <w:jc w:val="left"/>
              <w:rPr>
                <w:sz w:val="15"/>
              </w:rPr>
            </w:pPr>
            <w:r>
              <w:rPr>
                <w:w w:val="105"/>
                <w:sz w:val="15"/>
              </w:rPr>
              <w:t>2006</w:t>
            </w:r>
          </w:p>
          <w:p>
            <w:pPr>
              <w:pStyle w:val="TableParagraph"/>
              <w:spacing w:before="0"/>
              <w:jc w:val="left"/>
              <w:rPr>
                <w:b/>
                <w:sz w:val="20"/>
              </w:rPr>
            </w:pPr>
          </w:p>
          <w:p>
            <w:pPr>
              <w:pStyle w:val="TableParagraph"/>
              <w:spacing w:before="0"/>
              <w:ind w:left="23" w:right="-7"/>
              <w:jc w:val="left"/>
              <w:rPr>
                <w:sz w:val="15"/>
              </w:rPr>
            </w:pPr>
            <w:r>
              <w:rPr>
                <w:w w:val="105"/>
                <w:sz w:val="15"/>
              </w:rPr>
              <w:t>(Enero/Junio)</w:t>
            </w:r>
          </w:p>
        </w:tc>
        <w:tc>
          <w:tcPr>
            <w:tcW w:w="883" w:type="dxa"/>
            <w:tcBorders>
              <w:left w:val="single" w:sz="5" w:space="0" w:color="000000"/>
              <w:right w:val="single" w:sz="5" w:space="0" w:color="000000"/>
            </w:tcBorders>
          </w:tcPr>
          <w:p>
            <w:pPr>
              <w:pStyle w:val="TableParagraph"/>
              <w:spacing w:before="5"/>
              <w:ind w:right="4"/>
              <w:jc w:val="center"/>
              <w:rPr>
                <w:sz w:val="15"/>
              </w:rPr>
            </w:pPr>
            <w:r>
              <w:rPr>
                <w:w w:val="105"/>
                <w:sz w:val="15"/>
              </w:rPr>
              <w:t>6.71334792</w:t>
            </w:r>
          </w:p>
        </w:tc>
        <w:tc>
          <w:tcPr>
            <w:tcW w:w="967" w:type="dxa"/>
            <w:tcBorders>
              <w:left w:val="single" w:sz="5" w:space="0" w:color="000000"/>
              <w:right w:val="single" w:sz="5" w:space="0" w:color="000000"/>
            </w:tcBorders>
          </w:tcPr>
          <w:p>
            <w:pPr>
              <w:pStyle w:val="TableParagraph"/>
              <w:spacing w:before="5"/>
              <w:ind w:right="23"/>
              <w:rPr>
                <w:sz w:val="15"/>
              </w:rPr>
            </w:pPr>
            <w:r>
              <w:rPr>
                <w:sz w:val="15"/>
              </w:rPr>
              <w:t>30.46827133</w:t>
            </w:r>
          </w:p>
        </w:tc>
        <w:tc>
          <w:tcPr>
            <w:tcW w:w="968" w:type="dxa"/>
            <w:tcBorders>
              <w:left w:val="single" w:sz="5" w:space="0" w:color="000000"/>
            </w:tcBorders>
          </w:tcPr>
          <w:p>
            <w:pPr>
              <w:pStyle w:val="TableParagraph"/>
              <w:spacing w:before="5"/>
              <w:ind w:right="2"/>
              <w:jc w:val="center"/>
              <w:rPr>
                <w:sz w:val="15"/>
              </w:rPr>
            </w:pPr>
            <w:r>
              <w:rPr>
                <w:w w:val="105"/>
                <w:sz w:val="15"/>
              </w:rPr>
              <w:t>30.61444201</w:t>
            </w:r>
          </w:p>
        </w:tc>
        <w:tc>
          <w:tcPr>
            <w:tcW w:w="967" w:type="dxa"/>
          </w:tcPr>
          <w:p>
            <w:pPr>
              <w:pStyle w:val="TableParagraph"/>
              <w:spacing w:before="5"/>
              <w:ind w:left="21" w:right="-8"/>
              <w:jc w:val="left"/>
              <w:rPr>
                <w:sz w:val="15"/>
              </w:rPr>
            </w:pPr>
            <w:r>
              <w:rPr>
                <w:w w:val="105"/>
                <w:sz w:val="15"/>
              </w:rPr>
              <w:t>1.059080963</w:t>
            </w:r>
          </w:p>
        </w:tc>
        <w:tc>
          <w:tcPr>
            <w:tcW w:w="883" w:type="dxa"/>
          </w:tcPr>
          <w:p>
            <w:pPr>
              <w:pStyle w:val="TableParagraph"/>
              <w:spacing w:before="5"/>
              <w:jc w:val="center"/>
              <w:rPr>
                <w:sz w:val="15"/>
              </w:rPr>
            </w:pPr>
            <w:r>
              <w:rPr>
                <w:w w:val="105"/>
                <w:sz w:val="15"/>
              </w:rPr>
              <w:t>13.6367615</w:t>
            </w:r>
          </w:p>
        </w:tc>
        <w:tc>
          <w:tcPr>
            <w:tcW w:w="967" w:type="dxa"/>
          </w:tcPr>
          <w:p>
            <w:pPr>
              <w:pStyle w:val="TableParagraph"/>
              <w:spacing w:before="5"/>
              <w:ind w:left="17" w:right="18"/>
              <w:jc w:val="center"/>
              <w:rPr>
                <w:sz w:val="15"/>
              </w:rPr>
            </w:pPr>
            <w:r>
              <w:rPr>
                <w:sz w:val="15"/>
              </w:rPr>
              <w:t>9.456455142</w:t>
            </w:r>
          </w:p>
        </w:tc>
        <w:tc>
          <w:tcPr>
            <w:tcW w:w="970" w:type="dxa"/>
          </w:tcPr>
          <w:p>
            <w:pPr>
              <w:pStyle w:val="TableParagraph"/>
              <w:spacing w:before="5"/>
              <w:jc w:val="center"/>
              <w:rPr>
                <w:sz w:val="15"/>
              </w:rPr>
            </w:pPr>
            <w:r>
              <w:rPr>
                <w:w w:val="105"/>
                <w:sz w:val="15"/>
              </w:rPr>
              <w:t>2.784245077</w:t>
            </w:r>
          </w:p>
        </w:tc>
        <w:tc>
          <w:tcPr>
            <w:tcW w:w="970" w:type="dxa"/>
          </w:tcPr>
          <w:p>
            <w:pPr>
              <w:pStyle w:val="TableParagraph"/>
              <w:spacing w:before="5"/>
              <w:ind w:left="17" w:right="21"/>
              <w:jc w:val="center"/>
              <w:rPr>
                <w:sz w:val="15"/>
              </w:rPr>
            </w:pPr>
            <w:r>
              <w:rPr>
                <w:sz w:val="15"/>
              </w:rPr>
              <w:t>5.270021882</w:t>
            </w:r>
          </w:p>
        </w:tc>
      </w:tr>
      <w:tr>
        <w:trPr>
          <w:trHeight w:val="816" w:hRule="exact"/>
        </w:trPr>
        <w:tc>
          <w:tcPr>
            <w:tcW w:w="1039" w:type="dxa"/>
            <w:tcBorders>
              <w:left w:val="single" w:sz="5" w:space="0" w:color="000000"/>
              <w:right w:val="single" w:sz="5" w:space="0" w:color="000000"/>
            </w:tcBorders>
          </w:tcPr>
          <w:p>
            <w:pPr>
              <w:pStyle w:val="TableParagraph"/>
              <w:spacing w:line="288" w:lineRule="auto" w:before="3"/>
              <w:ind w:left="393" w:right="-7" w:hanging="368"/>
              <w:jc w:val="left"/>
              <w:rPr>
                <w:b/>
                <w:sz w:val="15"/>
              </w:rPr>
            </w:pPr>
            <w:r>
              <w:rPr>
                <w:b/>
                <w:w w:val="105"/>
                <w:sz w:val="15"/>
              </w:rPr>
              <w:t>Participación (%)</w:t>
            </w:r>
          </w:p>
        </w:tc>
        <w:tc>
          <w:tcPr>
            <w:tcW w:w="883" w:type="dxa"/>
            <w:tcBorders>
              <w:left w:val="single" w:sz="5" w:space="0" w:color="000000"/>
              <w:right w:val="single" w:sz="5" w:space="0" w:color="000000"/>
            </w:tcBorders>
          </w:tcPr>
          <w:p>
            <w:pPr>
              <w:pStyle w:val="TableParagraph"/>
              <w:spacing w:before="0"/>
              <w:jc w:val="left"/>
              <w:rPr>
                <w:b/>
                <w:sz w:val="16"/>
              </w:rPr>
            </w:pPr>
          </w:p>
          <w:p>
            <w:pPr>
              <w:pStyle w:val="TableParagraph"/>
              <w:spacing w:before="10"/>
              <w:jc w:val="left"/>
              <w:rPr>
                <w:b/>
                <w:sz w:val="18"/>
              </w:rPr>
            </w:pPr>
          </w:p>
          <w:p>
            <w:pPr>
              <w:pStyle w:val="TableParagraph"/>
              <w:spacing w:before="0"/>
              <w:ind w:right="4"/>
              <w:jc w:val="center"/>
              <w:rPr>
                <w:b/>
                <w:sz w:val="15"/>
              </w:rPr>
            </w:pPr>
            <w:r>
              <w:rPr>
                <w:b/>
                <w:w w:val="105"/>
                <w:sz w:val="15"/>
              </w:rPr>
              <w:t>6.434199</w:t>
            </w:r>
          </w:p>
        </w:tc>
        <w:tc>
          <w:tcPr>
            <w:tcW w:w="967" w:type="dxa"/>
            <w:tcBorders>
              <w:left w:val="single" w:sz="5" w:space="0" w:color="000000"/>
              <w:right w:val="single" w:sz="5" w:space="0" w:color="000000"/>
            </w:tcBorders>
          </w:tcPr>
          <w:p>
            <w:pPr>
              <w:pStyle w:val="TableParagraph"/>
              <w:spacing w:before="0"/>
              <w:jc w:val="left"/>
              <w:rPr>
                <w:b/>
                <w:sz w:val="16"/>
              </w:rPr>
            </w:pPr>
          </w:p>
          <w:p>
            <w:pPr>
              <w:pStyle w:val="TableParagraph"/>
              <w:spacing w:before="10"/>
              <w:jc w:val="left"/>
              <w:rPr>
                <w:b/>
                <w:sz w:val="18"/>
              </w:rPr>
            </w:pPr>
          </w:p>
          <w:p>
            <w:pPr>
              <w:pStyle w:val="TableParagraph"/>
              <w:spacing w:before="0"/>
              <w:ind w:right="23"/>
              <w:rPr>
                <w:b/>
                <w:sz w:val="15"/>
              </w:rPr>
            </w:pPr>
            <w:r>
              <w:rPr>
                <w:b/>
                <w:sz w:val="15"/>
              </w:rPr>
              <w:t>29.74996421</w:t>
            </w:r>
          </w:p>
        </w:tc>
        <w:tc>
          <w:tcPr>
            <w:tcW w:w="968" w:type="dxa"/>
            <w:tcBorders>
              <w:left w:val="single" w:sz="5" w:space="0" w:color="000000"/>
            </w:tcBorders>
          </w:tcPr>
          <w:p>
            <w:pPr>
              <w:pStyle w:val="TableParagraph"/>
              <w:spacing w:before="0"/>
              <w:jc w:val="left"/>
              <w:rPr>
                <w:b/>
                <w:sz w:val="16"/>
              </w:rPr>
            </w:pPr>
          </w:p>
          <w:p>
            <w:pPr>
              <w:pStyle w:val="TableParagraph"/>
              <w:spacing w:before="10"/>
              <w:jc w:val="left"/>
              <w:rPr>
                <w:b/>
                <w:sz w:val="18"/>
              </w:rPr>
            </w:pPr>
          </w:p>
          <w:p>
            <w:pPr>
              <w:pStyle w:val="TableParagraph"/>
              <w:spacing w:before="0"/>
              <w:ind w:right="2"/>
              <w:jc w:val="center"/>
              <w:rPr>
                <w:b/>
                <w:sz w:val="15"/>
              </w:rPr>
            </w:pPr>
            <w:r>
              <w:rPr>
                <w:b/>
                <w:w w:val="105"/>
                <w:sz w:val="15"/>
              </w:rPr>
              <w:t>32.55804254</w:t>
            </w:r>
          </w:p>
        </w:tc>
        <w:tc>
          <w:tcPr>
            <w:tcW w:w="967" w:type="dxa"/>
          </w:tcPr>
          <w:p>
            <w:pPr>
              <w:pStyle w:val="TableParagraph"/>
              <w:spacing w:before="0"/>
              <w:jc w:val="left"/>
              <w:rPr>
                <w:b/>
                <w:sz w:val="16"/>
              </w:rPr>
            </w:pPr>
          </w:p>
          <w:p>
            <w:pPr>
              <w:pStyle w:val="TableParagraph"/>
              <w:spacing w:before="10"/>
              <w:jc w:val="left"/>
              <w:rPr>
                <w:b/>
                <w:sz w:val="18"/>
              </w:rPr>
            </w:pPr>
          </w:p>
          <w:p>
            <w:pPr>
              <w:pStyle w:val="TableParagraph"/>
              <w:spacing w:before="0"/>
              <w:ind w:left="21" w:right="-8"/>
              <w:jc w:val="left"/>
              <w:rPr>
                <w:b/>
                <w:sz w:val="15"/>
              </w:rPr>
            </w:pPr>
            <w:r>
              <w:rPr>
                <w:b/>
                <w:w w:val="105"/>
                <w:sz w:val="15"/>
              </w:rPr>
              <w:t>1.103059723</w:t>
            </w:r>
          </w:p>
        </w:tc>
        <w:tc>
          <w:tcPr>
            <w:tcW w:w="883" w:type="dxa"/>
          </w:tcPr>
          <w:p>
            <w:pPr>
              <w:pStyle w:val="TableParagraph"/>
              <w:spacing w:before="0"/>
              <w:jc w:val="left"/>
              <w:rPr>
                <w:b/>
                <w:sz w:val="16"/>
              </w:rPr>
            </w:pPr>
          </w:p>
          <w:p>
            <w:pPr>
              <w:pStyle w:val="TableParagraph"/>
              <w:spacing w:before="10"/>
              <w:jc w:val="left"/>
              <w:rPr>
                <w:b/>
                <w:sz w:val="18"/>
              </w:rPr>
            </w:pPr>
          </w:p>
          <w:p>
            <w:pPr>
              <w:pStyle w:val="TableParagraph"/>
              <w:spacing w:before="0"/>
              <w:jc w:val="center"/>
              <w:rPr>
                <w:b/>
                <w:sz w:val="15"/>
              </w:rPr>
            </w:pPr>
            <w:r>
              <w:rPr>
                <w:b/>
                <w:w w:val="105"/>
                <w:sz w:val="15"/>
              </w:rPr>
              <w:t>13.0642375</w:t>
            </w:r>
          </w:p>
        </w:tc>
        <w:tc>
          <w:tcPr>
            <w:tcW w:w="967" w:type="dxa"/>
          </w:tcPr>
          <w:p>
            <w:pPr>
              <w:pStyle w:val="TableParagraph"/>
              <w:spacing w:before="0"/>
              <w:jc w:val="left"/>
              <w:rPr>
                <w:b/>
                <w:sz w:val="16"/>
              </w:rPr>
            </w:pPr>
          </w:p>
          <w:p>
            <w:pPr>
              <w:pStyle w:val="TableParagraph"/>
              <w:spacing w:before="10"/>
              <w:jc w:val="left"/>
              <w:rPr>
                <w:b/>
                <w:sz w:val="18"/>
              </w:rPr>
            </w:pPr>
          </w:p>
          <w:p>
            <w:pPr>
              <w:pStyle w:val="TableParagraph"/>
              <w:spacing w:before="0"/>
              <w:ind w:left="17" w:right="18"/>
              <w:jc w:val="center"/>
              <w:rPr>
                <w:b/>
                <w:sz w:val="15"/>
              </w:rPr>
            </w:pPr>
            <w:r>
              <w:rPr>
                <w:b/>
                <w:sz w:val="15"/>
              </w:rPr>
              <w:t>9.042561151</w:t>
            </w:r>
          </w:p>
        </w:tc>
        <w:tc>
          <w:tcPr>
            <w:tcW w:w="970" w:type="dxa"/>
          </w:tcPr>
          <w:p>
            <w:pPr>
              <w:pStyle w:val="TableParagraph"/>
              <w:spacing w:before="0"/>
              <w:jc w:val="left"/>
              <w:rPr>
                <w:b/>
                <w:sz w:val="16"/>
              </w:rPr>
            </w:pPr>
          </w:p>
          <w:p>
            <w:pPr>
              <w:pStyle w:val="TableParagraph"/>
              <w:spacing w:before="10"/>
              <w:jc w:val="left"/>
              <w:rPr>
                <w:b/>
                <w:sz w:val="18"/>
              </w:rPr>
            </w:pPr>
          </w:p>
          <w:p>
            <w:pPr>
              <w:pStyle w:val="TableParagraph"/>
              <w:spacing w:before="0"/>
              <w:jc w:val="center"/>
              <w:rPr>
                <w:b/>
                <w:sz w:val="15"/>
              </w:rPr>
            </w:pPr>
            <w:r>
              <w:rPr>
                <w:b/>
                <w:w w:val="105"/>
                <w:sz w:val="15"/>
              </w:rPr>
              <w:t>2.811026875</w:t>
            </w:r>
          </w:p>
        </w:tc>
        <w:tc>
          <w:tcPr>
            <w:tcW w:w="970" w:type="dxa"/>
          </w:tcPr>
          <w:p>
            <w:pPr>
              <w:pStyle w:val="TableParagraph"/>
              <w:spacing w:before="0"/>
              <w:jc w:val="left"/>
              <w:rPr>
                <w:b/>
                <w:sz w:val="16"/>
              </w:rPr>
            </w:pPr>
          </w:p>
          <w:p>
            <w:pPr>
              <w:pStyle w:val="TableParagraph"/>
              <w:spacing w:before="10"/>
              <w:jc w:val="left"/>
              <w:rPr>
                <w:b/>
                <w:sz w:val="18"/>
              </w:rPr>
            </w:pPr>
          </w:p>
          <w:p>
            <w:pPr>
              <w:pStyle w:val="TableParagraph"/>
              <w:spacing w:before="0"/>
              <w:ind w:left="17" w:right="21"/>
              <w:jc w:val="center"/>
              <w:rPr>
                <w:b/>
                <w:sz w:val="15"/>
              </w:rPr>
            </w:pPr>
            <w:r>
              <w:rPr>
                <w:b/>
                <w:sz w:val="15"/>
              </w:rPr>
              <w:t>5.237438434</w:t>
            </w:r>
          </w:p>
        </w:tc>
      </w:tr>
    </w:tbl>
    <w:p>
      <w:pPr>
        <w:spacing w:before="2"/>
        <w:ind w:left="155" w:right="0" w:firstLine="0"/>
        <w:jc w:val="both"/>
        <w:rPr>
          <w:sz w:val="21"/>
        </w:rPr>
      </w:pPr>
      <w:r>
        <w:rPr>
          <w:sz w:val="21"/>
        </w:rPr>
        <w:t>Fuente: Elaboración propia con datos del Banco de  México.</w:t>
      </w:r>
    </w:p>
    <w:p>
      <w:pPr>
        <w:pStyle w:val="BodyText"/>
        <w:rPr>
          <w:sz w:val="20"/>
        </w:rPr>
      </w:pPr>
    </w:p>
    <w:p>
      <w:pPr>
        <w:pStyle w:val="BodyText"/>
        <w:rPr>
          <w:sz w:val="20"/>
        </w:rPr>
      </w:pPr>
    </w:p>
    <w:p>
      <w:pPr>
        <w:pStyle w:val="BodyText"/>
        <w:spacing w:before="10"/>
        <w:rPr>
          <w:sz w:val="21"/>
        </w:rPr>
      </w:pPr>
    </w:p>
    <w:p>
      <w:pPr>
        <w:pStyle w:val="Heading4"/>
        <w:ind w:left="155"/>
        <w:jc w:val="both"/>
      </w:pPr>
      <w:r>
        <w:rPr/>
        <w:t>Ingresos monetarios México/Estados</w:t>
      </w:r>
      <w:r>
        <w:rPr>
          <w:spacing w:val="55"/>
        </w:rPr>
        <w:t> </w:t>
      </w:r>
      <w:r>
        <w:rPr/>
        <w:t>Unidos</w:t>
      </w:r>
    </w:p>
    <w:p>
      <w:pPr>
        <w:pStyle w:val="BodyText"/>
        <w:spacing w:before="2"/>
        <w:rPr>
          <w:b/>
          <w:sz w:val="29"/>
        </w:rPr>
      </w:pPr>
    </w:p>
    <w:p>
      <w:pPr>
        <w:pStyle w:val="BodyText"/>
        <w:spacing w:line="364" w:lineRule="auto"/>
        <w:ind w:left="155" w:right="145"/>
        <w:jc w:val="both"/>
      </w:pPr>
      <w:r>
        <w:rPr/>
        <w:t>El periodo que comprende 1997 – 2006, los salarios mínimos que existen en Estados Unidos y México son enormes, pues mientras en uno se ha mantenido constante, el otro sufre variaciones significativas (ver cuadro  6).</w:t>
      </w:r>
    </w:p>
    <w:p>
      <w:pPr>
        <w:spacing w:after="0" w:line="364" w:lineRule="auto"/>
        <w:jc w:val="both"/>
        <w:sectPr>
          <w:pgSz w:w="11900" w:h="16840"/>
          <w:pgMar w:header="0" w:footer="1679" w:top="1600" w:bottom="1860" w:left="1500" w:right="1540"/>
        </w:sectPr>
      </w:pPr>
    </w:p>
    <w:p>
      <w:pPr>
        <w:pStyle w:val="BodyText"/>
        <w:rPr>
          <w:sz w:val="20"/>
        </w:rPr>
      </w:pPr>
    </w:p>
    <w:p>
      <w:pPr>
        <w:pStyle w:val="BodyText"/>
        <w:spacing w:before="5"/>
        <w:rPr>
          <w:sz w:val="16"/>
        </w:rPr>
      </w:pPr>
    </w:p>
    <w:p>
      <w:pPr>
        <w:pStyle w:val="Heading4"/>
        <w:spacing w:before="74"/>
        <w:ind w:left="915" w:right="223"/>
      </w:pPr>
      <w:r>
        <w:rPr/>
        <w:t>Cuadro 6. Salario mínimo México vs. Estados Unidos  1997-2006</w:t>
      </w:r>
    </w:p>
    <w:p>
      <w:pPr>
        <w:pStyle w:val="BodyText"/>
        <w:rPr>
          <w:b/>
          <w:sz w:val="21"/>
        </w:rPr>
      </w:pPr>
    </w:p>
    <w:tbl>
      <w:tblPr>
        <w:tblW w:w="0" w:type="auto"/>
        <w:jc w:val="left"/>
        <w:tblInd w:w="10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27"/>
        <w:gridCol w:w="1349"/>
        <w:gridCol w:w="1302"/>
        <w:gridCol w:w="1300"/>
        <w:gridCol w:w="1303"/>
        <w:gridCol w:w="2110"/>
      </w:tblGrid>
      <w:tr>
        <w:trPr>
          <w:trHeight w:val="913" w:hRule="exact"/>
        </w:trPr>
        <w:tc>
          <w:tcPr>
            <w:tcW w:w="1327" w:type="dxa"/>
            <w:vMerge w:val="restart"/>
            <w:tcBorders>
              <w:left w:val="single" w:sz="4" w:space="0" w:color="000000"/>
              <w:right w:val="single" w:sz="4" w:space="0" w:color="000000"/>
            </w:tcBorders>
          </w:tcPr>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10"/>
              <w:jc w:val="left"/>
              <w:rPr>
                <w:b/>
                <w:sz w:val="25"/>
              </w:rPr>
            </w:pPr>
          </w:p>
          <w:p>
            <w:pPr>
              <w:pStyle w:val="TableParagraph"/>
              <w:spacing w:before="0"/>
              <w:ind w:left="431" w:right="434"/>
              <w:jc w:val="center"/>
              <w:rPr>
                <w:sz w:val="19"/>
              </w:rPr>
            </w:pPr>
            <w:r>
              <w:rPr>
                <w:sz w:val="19"/>
              </w:rPr>
              <w:t>AÑO</w:t>
            </w:r>
          </w:p>
        </w:tc>
        <w:tc>
          <w:tcPr>
            <w:tcW w:w="5254" w:type="dxa"/>
            <w:gridSpan w:val="4"/>
            <w:tcBorders>
              <w:left w:val="single" w:sz="4" w:space="0" w:color="000000"/>
              <w:bottom w:val="single" w:sz="4" w:space="0" w:color="000000"/>
              <w:right w:val="single" w:sz="4" w:space="0" w:color="000000"/>
            </w:tcBorders>
          </w:tcPr>
          <w:p>
            <w:pPr>
              <w:pStyle w:val="TableParagraph"/>
              <w:spacing w:line="499" w:lineRule="auto" w:before="4"/>
              <w:ind w:left="2016" w:right="849" w:hanging="780"/>
              <w:jc w:val="left"/>
              <w:rPr>
                <w:sz w:val="19"/>
              </w:rPr>
            </w:pPr>
            <w:r>
              <w:rPr>
                <w:sz w:val="19"/>
              </w:rPr>
              <w:t>Salario mínimo anual en México (peso por día)</w:t>
            </w:r>
          </w:p>
        </w:tc>
        <w:tc>
          <w:tcPr>
            <w:tcW w:w="2110" w:type="dxa"/>
            <w:vMerge w:val="restart"/>
            <w:tcBorders>
              <w:left w:val="single" w:sz="4" w:space="0" w:color="000000"/>
              <w:right w:val="single" w:sz="4" w:space="0" w:color="000000"/>
            </w:tcBorders>
          </w:tcPr>
          <w:p>
            <w:pPr>
              <w:pStyle w:val="TableParagraph"/>
              <w:spacing w:before="3"/>
              <w:jc w:val="left"/>
              <w:rPr>
                <w:b/>
                <w:sz w:val="18"/>
              </w:rPr>
            </w:pPr>
          </w:p>
          <w:p>
            <w:pPr>
              <w:pStyle w:val="TableParagraph"/>
              <w:spacing w:line="283" w:lineRule="auto" w:before="0"/>
              <w:ind w:left="266" w:right="264"/>
              <w:jc w:val="center"/>
              <w:rPr>
                <w:sz w:val="19"/>
              </w:rPr>
            </w:pPr>
            <w:r>
              <w:rPr>
                <w:sz w:val="19"/>
              </w:rPr>
              <w:t>Salario mínimo en Estados Unidos</w:t>
            </w:r>
          </w:p>
          <w:p>
            <w:pPr>
              <w:pStyle w:val="TableParagraph"/>
              <w:spacing w:before="10"/>
              <w:jc w:val="left"/>
              <w:rPr>
                <w:b/>
                <w:sz w:val="16"/>
              </w:rPr>
            </w:pPr>
          </w:p>
          <w:p>
            <w:pPr>
              <w:pStyle w:val="TableParagraph"/>
              <w:spacing w:before="0"/>
              <w:ind w:left="262" w:right="264"/>
              <w:jc w:val="center"/>
              <w:rPr>
                <w:sz w:val="19"/>
              </w:rPr>
            </w:pPr>
            <w:r>
              <w:rPr>
                <w:sz w:val="19"/>
              </w:rPr>
              <w:t>(dólar por hora)</w:t>
            </w:r>
          </w:p>
        </w:tc>
      </w:tr>
      <w:tr>
        <w:trPr>
          <w:trHeight w:val="463" w:hRule="exact"/>
        </w:trPr>
        <w:tc>
          <w:tcPr>
            <w:tcW w:w="1327" w:type="dxa"/>
            <w:vMerge/>
            <w:tcBorders>
              <w:left w:val="single" w:sz="4" w:space="0" w:color="000000"/>
              <w:bottom w:val="single" w:sz="4" w:space="0" w:color="000000"/>
              <w:right w:val="single" w:sz="4" w:space="0" w:color="000000"/>
            </w:tcBorders>
          </w:tcPr>
          <w:p>
            <w:pPr/>
          </w:p>
        </w:tc>
        <w:tc>
          <w:tcPr>
            <w:tcW w:w="1349" w:type="dxa"/>
            <w:tcBorders>
              <w:top w:val="single" w:sz="4" w:space="0" w:color="000000"/>
              <w:left w:val="single" w:sz="4" w:space="0" w:color="000000"/>
              <w:bottom w:val="single" w:sz="4" w:space="0" w:color="000000"/>
              <w:right w:val="single" w:sz="4" w:space="0" w:color="000000"/>
            </w:tcBorders>
          </w:tcPr>
          <w:p>
            <w:pPr>
              <w:pStyle w:val="TableParagraph"/>
              <w:spacing w:before="4"/>
              <w:ind w:left="203"/>
              <w:jc w:val="left"/>
              <w:rPr>
                <w:sz w:val="19"/>
              </w:rPr>
            </w:pPr>
            <w:r>
              <w:rPr>
                <w:sz w:val="19"/>
              </w:rPr>
              <w:t>GENERAL</w:t>
            </w:r>
          </w:p>
        </w:tc>
        <w:tc>
          <w:tcPr>
            <w:tcW w:w="1302" w:type="dxa"/>
            <w:tcBorders>
              <w:top w:val="single" w:sz="4" w:space="0" w:color="000000"/>
              <w:left w:val="single" w:sz="4" w:space="0" w:color="000000"/>
              <w:bottom w:val="single" w:sz="4" w:space="0" w:color="000000"/>
            </w:tcBorders>
          </w:tcPr>
          <w:p>
            <w:pPr>
              <w:pStyle w:val="TableParagraph"/>
              <w:spacing w:before="4"/>
              <w:ind w:left="283"/>
              <w:jc w:val="left"/>
              <w:rPr>
                <w:sz w:val="19"/>
              </w:rPr>
            </w:pPr>
            <w:r>
              <w:rPr>
                <w:sz w:val="19"/>
              </w:rPr>
              <w:t>Área “A”</w:t>
            </w:r>
          </w:p>
        </w:tc>
        <w:tc>
          <w:tcPr>
            <w:tcW w:w="1300" w:type="dxa"/>
            <w:tcBorders>
              <w:top w:val="single" w:sz="4" w:space="0" w:color="000000"/>
              <w:bottom w:val="single" w:sz="4" w:space="0" w:color="000000"/>
              <w:right w:val="single" w:sz="4" w:space="0" w:color="000000"/>
            </w:tcBorders>
          </w:tcPr>
          <w:p>
            <w:pPr>
              <w:pStyle w:val="TableParagraph"/>
              <w:spacing w:before="4"/>
              <w:ind w:left="283"/>
              <w:jc w:val="left"/>
              <w:rPr>
                <w:sz w:val="19"/>
              </w:rPr>
            </w:pPr>
            <w:r>
              <w:rPr>
                <w:sz w:val="19"/>
              </w:rPr>
              <w:t>Área “B”</w:t>
            </w:r>
          </w:p>
        </w:tc>
        <w:tc>
          <w:tcPr>
            <w:tcW w:w="1303" w:type="dxa"/>
            <w:tcBorders>
              <w:top w:val="single" w:sz="4" w:space="0" w:color="000000"/>
              <w:left w:val="single" w:sz="4" w:space="0" w:color="000000"/>
              <w:bottom w:val="single" w:sz="4" w:space="0" w:color="000000"/>
              <w:right w:val="single" w:sz="4" w:space="0" w:color="000000"/>
            </w:tcBorders>
          </w:tcPr>
          <w:p>
            <w:pPr>
              <w:pStyle w:val="TableParagraph"/>
              <w:spacing w:before="4"/>
              <w:ind w:left="276"/>
              <w:jc w:val="left"/>
              <w:rPr>
                <w:sz w:val="19"/>
              </w:rPr>
            </w:pPr>
            <w:r>
              <w:rPr>
                <w:sz w:val="19"/>
              </w:rPr>
              <w:t>Área “C”</w:t>
            </w:r>
          </w:p>
        </w:tc>
        <w:tc>
          <w:tcPr>
            <w:tcW w:w="2110" w:type="dxa"/>
            <w:vMerge/>
            <w:tcBorders>
              <w:left w:val="single" w:sz="4" w:space="0" w:color="000000"/>
              <w:bottom w:val="single" w:sz="4" w:space="0" w:color="000000"/>
              <w:right w:val="single" w:sz="4" w:space="0" w:color="000000"/>
            </w:tcBorders>
          </w:tcPr>
          <w:p>
            <w:pPr/>
          </w:p>
        </w:tc>
      </w:tr>
      <w:tr>
        <w:trPr>
          <w:trHeight w:val="462" w:hRule="exact"/>
        </w:trPr>
        <w:tc>
          <w:tcPr>
            <w:tcW w:w="1327" w:type="dxa"/>
            <w:tcBorders>
              <w:top w:val="single" w:sz="4" w:space="0" w:color="000000"/>
              <w:left w:val="single" w:sz="4" w:space="0" w:color="000000"/>
              <w:right w:val="single" w:sz="4" w:space="0" w:color="000000"/>
            </w:tcBorders>
          </w:tcPr>
          <w:p>
            <w:pPr>
              <w:pStyle w:val="TableParagraph"/>
              <w:spacing w:before="4"/>
              <w:ind w:right="62"/>
              <w:rPr>
                <w:sz w:val="19"/>
              </w:rPr>
            </w:pPr>
            <w:r>
              <w:rPr>
                <w:sz w:val="19"/>
              </w:rPr>
              <w:t>1997</w:t>
            </w:r>
          </w:p>
        </w:tc>
        <w:tc>
          <w:tcPr>
            <w:tcW w:w="1349" w:type="dxa"/>
            <w:tcBorders>
              <w:top w:val="single" w:sz="4" w:space="0" w:color="000000"/>
              <w:left w:val="single" w:sz="4" w:space="0" w:color="000000"/>
              <w:right w:val="single" w:sz="4" w:space="0" w:color="000000"/>
            </w:tcBorders>
          </w:tcPr>
          <w:p>
            <w:pPr>
              <w:pStyle w:val="TableParagraph"/>
              <w:spacing w:before="4"/>
              <w:ind w:right="60"/>
              <w:rPr>
                <w:sz w:val="19"/>
              </w:rPr>
            </w:pPr>
            <w:r>
              <w:rPr>
                <w:sz w:val="19"/>
              </w:rPr>
              <w:t>24.3</w:t>
            </w:r>
          </w:p>
        </w:tc>
        <w:tc>
          <w:tcPr>
            <w:tcW w:w="1302" w:type="dxa"/>
            <w:tcBorders>
              <w:top w:val="single" w:sz="4" w:space="0" w:color="000000"/>
              <w:left w:val="single" w:sz="4" w:space="0" w:color="000000"/>
            </w:tcBorders>
          </w:tcPr>
          <w:p>
            <w:pPr>
              <w:pStyle w:val="TableParagraph"/>
              <w:spacing w:before="4"/>
              <w:ind w:right="65"/>
              <w:rPr>
                <w:sz w:val="19"/>
              </w:rPr>
            </w:pPr>
            <w:r>
              <w:rPr>
                <w:sz w:val="19"/>
              </w:rPr>
              <w:t>26.45</w:t>
            </w:r>
          </w:p>
        </w:tc>
        <w:tc>
          <w:tcPr>
            <w:tcW w:w="1300" w:type="dxa"/>
            <w:tcBorders>
              <w:top w:val="single" w:sz="4" w:space="0" w:color="000000"/>
              <w:right w:val="single" w:sz="4" w:space="0" w:color="000000"/>
            </w:tcBorders>
          </w:tcPr>
          <w:p>
            <w:pPr>
              <w:pStyle w:val="TableParagraph"/>
              <w:spacing w:before="4"/>
              <w:ind w:right="60"/>
              <w:rPr>
                <w:sz w:val="19"/>
              </w:rPr>
            </w:pPr>
            <w:r>
              <w:rPr>
                <w:sz w:val="19"/>
              </w:rPr>
              <w:t>24.5</w:t>
            </w:r>
          </w:p>
        </w:tc>
        <w:tc>
          <w:tcPr>
            <w:tcW w:w="1303" w:type="dxa"/>
            <w:tcBorders>
              <w:top w:val="single" w:sz="4" w:space="0" w:color="000000"/>
              <w:left w:val="single" w:sz="4" w:space="0" w:color="000000"/>
              <w:right w:val="single" w:sz="4" w:space="0" w:color="000000"/>
            </w:tcBorders>
          </w:tcPr>
          <w:p>
            <w:pPr>
              <w:pStyle w:val="TableParagraph"/>
              <w:spacing w:before="4"/>
              <w:ind w:right="63"/>
              <w:rPr>
                <w:sz w:val="19"/>
              </w:rPr>
            </w:pPr>
            <w:r>
              <w:rPr>
                <w:sz w:val="19"/>
              </w:rPr>
              <w:t>22.5</w:t>
            </w:r>
          </w:p>
        </w:tc>
        <w:tc>
          <w:tcPr>
            <w:tcW w:w="2110" w:type="dxa"/>
            <w:tcBorders>
              <w:top w:val="single" w:sz="4" w:space="0" w:color="000000"/>
              <w:left w:val="single" w:sz="4" w:space="0" w:color="000000"/>
              <w:right w:val="single" w:sz="4" w:space="0" w:color="000000"/>
            </w:tcBorders>
          </w:tcPr>
          <w:p>
            <w:pPr>
              <w:pStyle w:val="TableParagraph"/>
              <w:spacing w:before="4"/>
              <w:ind w:right="60"/>
              <w:rPr>
                <w:sz w:val="19"/>
              </w:rPr>
            </w:pPr>
            <w:r>
              <w:rPr>
                <w:sz w:val="19"/>
              </w:rPr>
              <w:t>5.15</w:t>
            </w:r>
          </w:p>
        </w:tc>
      </w:tr>
      <w:tr>
        <w:trPr>
          <w:trHeight w:val="460" w:hRule="exact"/>
        </w:trPr>
        <w:tc>
          <w:tcPr>
            <w:tcW w:w="1327" w:type="dxa"/>
            <w:tcBorders>
              <w:left w:val="single" w:sz="4" w:space="0" w:color="000000"/>
              <w:bottom w:val="single" w:sz="4" w:space="0" w:color="000000"/>
              <w:right w:val="single" w:sz="4" w:space="0" w:color="000000"/>
            </w:tcBorders>
          </w:tcPr>
          <w:p>
            <w:pPr>
              <w:pStyle w:val="TableParagraph"/>
              <w:spacing w:before="4"/>
              <w:ind w:right="62"/>
              <w:rPr>
                <w:sz w:val="19"/>
              </w:rPr>
            </w:pPr>
            <w:r>
              <w:rPr>
                <w:sz w:val="19"/>
              </w:rPr>
              <w:t>1998</w:t>
            </w:r>
          </w:p>
        </w:tc>
        <w:tc>
          <w:tcPr>
            <w:tcW w:w="1349" w:type="dxa"/>
            <w:tcBorders>
              <w:left w:val="single" w:sz="4" w:space="0" w:color="000000"/>
              <w:bottom w:val="single" w:sz="4" w:space="0" w:color="000000"/>
              <w:right w:val="single" w:sz="4" w:space="0" w:color="000000"/>
            </w:tcBorders>
          </w:tcPr>
          <w:p>
            <w:pPr>
              <w:pStyle w:val="TableParagraph"/>
              <w:spacing w:before="4"/>
              <w:ind w:right="62"/>
              <w:rPr>
                <w:sz w:val="19"/>
              </w:rPr>
            </w:pPr>
            <w:r>
              <w:rPr>
                <w:sz w:val="19"/>
              </w:rPr>
              <w:t>27.99</w:t>
            </w:r>
          </w:p>
        </w:tc>
        <w:tc>
          <w:tcPr>
            <w:tcW w:w="1302" w:type="dxa"/>
            <w:tcBorders>
              <w:left w:val="single" w:sz="4" w:space="0" w:color="000000"/>
              <w:bottom w:val="single" w:sz="4" w:space="0" w:color="000000"/>
            </w:tcBorders>
          </w:tcPr>
          <w:p>
            <w:pPr>
              <w:pStyle w:val="TableParagraph"/>
              <w:spacing w:before="4"/>
              <w:ind w:right="63"/>
              <w:rPr>
                <w:sz w:val="19"/>
              </w:rPr>
            </w:pPr>
            <w:r>
              <w:rPr>
                <w:sz w:val="19"/>
              </w:rPr>
              <w:t>30.2</w:t>
            </w:r>
          </w:p>
        </w:tc>
        <w:tc>
          <w:tcPr>
            <w:tcW w:w="1300" w:type="dxa"/>
            <w:tcBorders>
              <w:bottom w:val="single" w:sz="4" w:space="0" w:color="000000"/>
              <w:right w:val="single" w:sz="4" w:space="0" w:color="000000"/>
            </w:tcBorders>
          </w:tcPr>
          <w:p>
            <w:pPr>
              <w:pStyle w:val="TableParagraph"/>
              <w:spacing w:before="4"/>
              <w:ind w:right="63"/>
              <w:rPr>
                <w:sz w:val="19"/>
              </w:rPr>
            </w:pPr>
            <w:r>
              <w:rPr>
                <w:sz w:val="19"/>
              </w:rPr>
              <w:t>28</w:t>
            </w:r>
          </w:p>
        </w:tc>
        <w:tc>
          <w:tcPr>
            <w:tcW w:w="1303" w:type="dxa"/>
            <w:tcBorders>
              <w:left w:val="single" w:sz="4" w:space="0" w:color="000000"/>
              <w:bottom w:val="single" w:sz="4" w:space="0" w:color="000000"/>
              <w:right w:val="single" w:sz="4" w:space="0" w:color="000000"/>
            </w:tcBorders>
          </w:tcPr>
          <w:p>
            <w:pPr>
              <w:pStyle w:val="TableParagraph"/>
              <w:spacing w:before="4"/>
              <w:ind w:right="65"/>
              <w:rPr>
                <w:sz w:val="19"/>
              </w:rPr>
            </w:pPr>
            <w:r>
              <w:rPr>
                <w:sz w:val="19"/>
              </w:rPr>
              <w:t>26.06</w:t>
            </w:r>
          </w:p>
        </w:tc>
        <w:tc>
          <w:tcPr>
            <w:tcW w:w="2110" w:type="dxa"/>
            <w:tcBorders>
              <w:left w:val="single" w:sz="4" w:space="0" w:color="000000"/>
              <w:bottom w:val="single" w:sz="4" w:space="0" w:color="000000"/>
              <w:right w:val="single" w:sz="4" w:space="0" w:color="000000"/>
            </w:tcBorders>
          </w:tcPr>
          <w:p>
            <w:pPr>
              <w:pStyle w:val="TableParagraph"/>
              <w:spacing w:before="4"/>
              <w:ind w:right="60"/>
              <w:rPr>
                <w:sz w:val="19"/>
              </w:rPr>
            </w:pPr>
            <w:r>
              <w:rPr>
                <w:sz w:val="19"/>
              </w:rPr>
              <w:t>5.15</w:t>
            </w:r>
          </w:p>
        </w:tc>
      </w:tr>
      <w:tr>
        <w:trPr>
          <w:trHeight w:val="463" w:hRule="exact"/>
        </w:trPr>
        <w:tc>
          <w:tcPr>
            <w:tcW w:w="1327" w:type="dxa"/>
            <w:tcBorders>
              <w:top w:val="single" w:sz="4" w:space="0" w:color="000000"/>
              <w:left w:val="single" w:sz="4" w:space="0" w:color="000000"/>
              <w:bottom w:val="single" w:sz="4" w:space="0" w:color="000000"/>
              <w:right w:val="single" w:sz="4" w:space="0" w:color="000000"/>
            </w:tcBorders>
          </w:tcPr>
          <w:p>
            <w:pPr>
              <w:pStyle w:val="TableParagraph"/>
              <w:spacing w:before="4"/>
              <w:ind w:right="62"/>
              <w:rPr>
                <w:sz w:val="19"/>
              </w:rPr>
            </w:pPr>
            <w:r>
              <w:rPr>
                <w:sz w:val="19"/>
              </w:rPr>
              <w:t>1999</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spacing w:before="4"/>
              <w:ind w:right="62"/>
              <w:rPr>
                <w:sz w:val="19"/>
              </w:rPr>
            </w:pPr>
            <w:r>
              <w:rPr>
                <w:sz w:val="19"/>
              </w:rPr>
              <w:t>31.91</w:t>
            </w:r>
          </w:p>
        </w:tc>
        <w:tc>
          <w:tcPr>
            <w:tcW w:w="1302" w:type="dxa"/>
            <w:tcBorders>
              <w:top w:val="single" w:sz="4" w:space="0" w:color="000000"/>
              <w:left w:val="single" w:sz="4" w:space="0" w:color="000000"/>
              <w:bottom w:val="single" w:sz="4" w:space="0" w:color="000000"/>
            </w:tcBorders>
          </w:tcPr>
          <w:p>
            <w:pPr>
              <w:pStyle w:val="TableParagraph"/>
              <w:spacing w:before="4"/>
              <w:ind w:right="65"/>
              <w:rPr>
                <w:sz w:val="19"/>
              </w:rPr>
            </w:pPr>
            <w:r>
              <w:rPr>
                <w:sz w:val="19"/>
              </w:rPr>
              <w:t>34.45</w:t>
            </w:r>
          </w:p>
        </w:tc>
        <w:tc>
          <w:tcPr>
            <w:tcW w:w="1300" w:type="dxa"/>
            <w:tcBorders>
              <w:top w:val="single" w:sz="4" w:space="0" w:color="000000"/>
              <w:bottom w:val="single" w:sz="4" w:space="0" w:color="000000"/>
              <w:right w:val="single" w:sz="4" w:space="0" w:color="000000"/>
            </w:tcBorders>
          </w:tcPr>
          <w:p>
            <w:pPr>
              <w:pStyle w:val="TableParagraph"/>
              <w:spacing w:before="4"/>
              <w:ind w:right="60"/>
              <w:rPr>
                <w:sz w:val="19"/>
              </w:rPr>
            </w:pPr>
            <w:r>
              <w:rPr>
                <w:sz w:val="19"/>
              </w:rPr>
              <w:t>31.9</w:t>
            </w:r>
          </w:p>
        </w:tc>
        <w:tc>
          <w:tcPr>
            <w:tcW w:w="1303" w:type="dxa"/>
            <w:tcBorders>
              <w:top w:val="single" w:sz="4" w:space="0" w:color="000000"/>
              <w:left w:val="single" w:sz="4" w:space="0" w:color="000000"/>
              <w:bottom w:val="single" w:sz="4" w:space="0" w:color="000000"/>
              <w:right w:val="single" w:sz="4" w:space="0" w:color="000000"/>
            </w:tcBorders>
          </w:tcPr>
          <w:p>
            <w:pPr>
              <w:pStyle w:val="TableParagraph"/>
              <w:spacing w:before="4"/>
              <w:ind w:right="63"/>
              <w:rPr>
                <w:sz w:val="19"/>
              </w:rPr>
            </w:pPr>
            <w:r>
              <w:rPr>
                <w:sz w:val="19"/>
              </w:rPr>
              <w:t>29.7</w:t>
            </w:r>
          </w:p>
        </w:tc>
        <w:tc>
          <w:tcPr>
            <w:tcW w:w="2110" w:type="dxa"/>
            <w:tcBorders>
              <w:top w:val="single" w:sz="4" w:space="0" w:color="000000"/>
              <w:left w:val="single" w:sz="4" w:space="0" w:color="000000"/>
              <w:bottom w:val="single" w:sz="4" w:space="0" w:color="000000"/>
              <w:right w:val="single" w:sz="4" w:space="0" w:color="000000"/>
            </w:tcBorders>
          </w:tcPr>
          <w:p>
            <w:pPr>
              <w:pStyle w:val="TableParagraph"/>
              <w:spacing w:before="4"/>
              <w:ind w:right="60"/>
              <w:rPr>
                <w:sz w:val="19"/>
              </w:rPr>
            </w:pPr>
            <w:r>
              <w:rPr>
                <w:sz w:val="19"/>
              </w:rPr>
              <w:t>5.15</w:t>
            </w:r>
          </w:p>
        </w:tc>
      </w:tr>
      <w:tr>
        <w:trPr>
          <w:trHeight w:val="463" w:hRule="exact"/>
        </w:trPr>
        <w:tc>
          <w:tcPr>
            <w:tcW w:w="1327" w:type="dxa"/>
            <w:tcBorders>
              <w:top w:val="single" w:sz="4" w:space="0" w:color="000000"/>
              <w:left w:val="single" w:sz="4" w:space="0" w:color="000000"/>
              <w:bottom w:val="single" w:sz="4" w:space="0" w:color="000000"/>
              <w:right w:val="single" w:sz="4" w:space="0" w:color="000000"/>
            </w:tcBorders>
          </w:tcPr>
          <w:p>
            <w:pPr>
              <w:pStyle w:val="TableParagraph"/>
              <w:spacing w:before="4"/>
              <w:ind w:right="62"/>
              <w:rPr>
                <w:sz w:val="19"/>
              </w:rPr>
            </w:pPr>
            <w:r>
              <w:rPr>
                <w:sz w:val="19"/>
              </w:rPr>
              <w:t>2000</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spacing w:before="4"/>
              <w:ind w:right="62"/>
              <w:rPr>
                <w:sz w:val="19"/>
              </w:rPr>
            </w:pPr>
            <w:r>
              <w:rPr>
                <w:sz w:val="19"/>
              </w:rPr>
              <w:t>35.12</w:t>
            </w:r>
          </w:p>
        </w:tc>
        <w:tc>
          <w:tcPr>
            <w:tcW w:w="1302" w:type="dxa"/>
            <w:tcBorders>
              <w:top w:val="single" w:sz="4" w:space="0" w:color="000000"/>
              <w:left w:val="single" w:sz="4" w:space="0" w:color="000000"/>
              <w:bottom w:val="single" w:sz="4" w:space="0" w:color="000000"/>
            </w:tcBorders>
          </w:tcPr>
          <w:p>
            <w:pPr>
              <w:pStyle w:val="TableParagraph"/>
              <w:spacing w:before="4"/>
              <w:ind w:right="65"/>
              <w:rPr>
                <w:sz w:val="19"/>
              </w:rPr>
            </w:pPr>
            <w:r>
              <w:rPr>
                <w:sz w:val="19"/>
              </w:rPr>
              <w:t>37.90</w:t>
            </w:r>
          </w:p>
        </w:tc>
        <w:tc>
          <w:tcPr>
            <w:tcW w:w="1300" w:type="dxa"/>
            <w:tcBorders>
              <w:top w:val="single" w:sz="4" w:space="0" w:color="000000"/>
              <w:bottom w:val="single" w:sz="4" w:space="0" w:color="000000"/>
              <w:right w:val="single" w:sz="4" w:space="0" w:color="000000"/>
            </w:tcBorders>
          </w:tcPr>
          <w:p>
            <w:pPr>
              <w:pStyle w:val="TableParagraph"/>
              <w:spacing w:before="4"/>
              <w:ind w:right="60"/>
              <w:rPr>
                <w:sz w:val="19"/>
              </w:rPr>
            </w:pPr>
            <w:r>
              <w:rPr>
                <w:sz w:val="19"/>
              </w:rPr>
              <w:t>35.1</w:t>
            </w:r>
          </w:p>
        </w:tc>
        <w:tc>
          <w:tcPr>
            <w:tcW w:w="1303" w:type="dxa"/>
            <w:tcBorders>
              <w:top w:val="single" w:sz="4" w:space="0" w:color="000000"/>
              <w:left w:val="single" w:sz="4" w:space="0" w:color="000000"/>
              <w:bottom w:val="single" w:sz="4" w:space="0" w:color="000000"/>
              <w:right w:val="single" w:sz="4" w:space="0" w:color="000000"/>
            </w:tcBorders>
          </w:tcPr>
          <w:p>
            <w:pPr>
              <w:pStyle w:val="TableParagraph"/>
              <w:spacing w:before="4"/>
              <w:ind w:right="63"/>
              <w:rPr>
                <w:sz w:val="19"/>
              </w:rPr>
            </w:pPr>
            <w:r>
              <w:rPr>
                <w:sz w:val="19"/>
              </w:rPr>
              <w:t>32.7</w:t>
            </w:r>
          </w:p>
        </w:tc>
        <w:tc>
          <w:tcPr>
            <w:tcW w:w="2110" w:type="dxa"/>
            <w:tcBorders>
              <w:top w:val="single" w:sz="4" w:space="0" w:color="000000"/>
              <w:left w:val="single" w:sz="4" w:space="0" w:color="000000"/>
              <w:bottom w:val="single" w:sz="4" w:space="0" w:color="000000"/>
              <w:right w:val="single" w:sz="4" w:space="0" w:color="000000"/>
            </w:tcBorders>
          </w:tcPr>
          <w:p>
            <w:pPr>
              <w:pStyle w:val="TableParagraph"/>
              <w:spacing w:before="4"/>
              <w:ind w:right="60"/>
              <w:rPr>
                <w:sz w:val="19"/>
              </w:rPr>
            </w:pPr>
            <w:r>
              <w:rPr>
                <w:sz w:val="19"/>
              </w:rPr>
              <w:t>5.15</w:t>
            </w:r>
          </w:p>
        </w:tc>
      </w:tr>
      <w:tr>
        <w:trPr>
          <w:trHeight w:val="458" w:hRule="exact"/>
        </w:trPr>
        <w:tc>
          <w:tcPr>
            <w:tcW w:w="1327" w:type="dxa"/>
            <w:tcBorders>
              <w:top w:val="single" w:sz="4" w:space="0" w:color="000000"/>
              <w:left w:val="single" w:sz="4" w:space="0" w:color="000000"/>
              <w:bottom w:val="single" w:sz="4" w:space="0" w:color="000000"/>
              <w:right w:val="single" w:sz="4" w:space="0" w:color="000000"/>
            </w:tcBorders>
          </w:tcPr>
          <w:p>
            <w:pPr>
              <w:pStyle w:val="TableParagraph"/>
              <w:spacing w:before="4"/>
              <w:ind w:right="62"/>
              <w:rPr>
                <w:sz w:val="19"/>
              </w:rPr>
            </w:pPr>
            <w:r>
              <w:rPr>
                <w:sz w:val="19"/>
              </w:rPr>
              <w:t>2001</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spacing w:before="4"/>
              <w:ind w:right="62"/>
              <w:rPr>
                <w:sz w:val="19"/>
              </w:rPr>
            </w:pPr>
            <w:r>
              <w:rPr>
                <w:sz w:val="19"/>
              </w:rPr>
              <w:t>37.57</w:t>
            </w:r>
          </w:p>
        </w:tc>
        <w:tc>
          <w:tcPr>
            <w:tcW w:w="1302" w:type="dxa"/>
            <w:tcBorders>
              <w:top w:val="single" w:sz="4" w:space="0" w:color="000000"/>
              <w:left w:val="single" w:sz="4" w:space="0" w:color="000000"/>
              <w:bottom w:val="single" w:sz="4" w:space="0" w:color="000000"/>
            </w:tcBorders>
          </w:tcPr>
          <w:p>
            <w:pPr>
              <w:pStyle w:val="TableParagraph"/>
              <w:spacing w:before="4"/>
              <w:ind w:right="65"/>
              <w:rPr>
                <w:sz w:val="19"/>
              </w:rPr>
            </w:pPr>
            <w:r>
              <w:rPr>
                <w:sz w:val="19"/>
              </w:rPr>
              <w:t>40.35</w:t>
            </w:r>
          </w:p>
        </w:tc>
        <w:tc>
          <w:tcPr>
            <w:tcW w:w="1300" w:type="dxa"/>
            <w:tcBorders>
              <w:top w:val="single" w:sz="4" w:space="0" w:color="000000"/>
              <w:bottom w:val="single" w:sz="4" w:space="0" w:color="000000"/>
              <w:right w:val="single" w:sz="4" w:space="0" w:color="000000"/>
            </w:tcBorders>
          </w:tcPr>
          <w:p>
            <w:pPr>
              <w:pStyle w:val="TableParagraph"/>
              <w:spacing w:before="4"/>
              <w:ind w:right="64"/>
              <w:rPr>
                <w:sz w:val="19"/>
              </w:rPr>
            </w:pPr>
            <w:r>
              <w:rPr>
                <w:sz w:val="19"/>
              </w:rPr>
              <w:t>37.95</w:t>
            </w:r>
          </w:p>
        </w:tc>
        <w:tc>
          <w:tcPr>
            <w:tcW w:w="1303" w:type="dxa"/>
            <w:tcBorders>
              <w:top w:val="single" w:sz="4" w:space="0" w:color="000000"/>
              <w:left w:val="single" w:sz="4" w:space="0" w:color="000000"/>
              <w:bottom w:val="single" w:sz="4" w:space="0" w:color="000000"/>
              <w:right w:val="single" w:sz="4" w:space="0" w:color="000000"/>
            </w:tcBorders>
          </w:tcPr>
          <w:p>
            <w:pPr>
              <w:pStyle w:val="TableParagraph"/>
              <w:spacing w:before="4"/>
              <w:ind w:right="65"/>
              <w:rPr>
                <w:sz w:val="19"/>
              </w:rPr>
            </w:pPr>
            <w:r>
              <w:rPr>
                <w:sz w:val="19"/>
              </w:rPr>
              <w:t>35.85</w:t>
            </w:r>
          </w:p>
        </w:tc>
        <w:tc>
          <w:tcPr>
            <w:tcW w:w="2110" w:type="dxa"/>
            <w:tcBorders>
              <w:top w:val="single" w:sz="4" w:space="0" w:color="000000"/>
              <w:left w:val="single" w:sz="4" w:space="0" w:color="000000"/>
              <w:bottom w:val="single" w:sz="4" w:space="0" w:color="000000"/>
              <w:right w:val="single" w:sz="4" w:space="0" w:color="000000"/>
            </w:tcBorders>
          </w:tcPr>
          <w:p>
            <w:pPr>
              <w:pStyle w:val="TableParagraph"/>
              <w:spacing w:before="4"/>
              <w:ind w:right="60"/>
              <w:rPr>
                <w:sz w:val="19"/>
              </w:rPr>
            </w:pPr>
            <w:r>
              <w:rPr>
                <w:sz w:val="19"/>
              </w:rPr>
              <w:t>5.15</w:t>
            </w:r>
          </w:p>
        </w:tc>
      </w:tr>
      <w:tr>
        <w:trPr>
          <w:trHeight w:val="463" w:hRule="exact"/>
        </w:trPr>
        <w:tc>
          <w:tcPr>
            <w:tcW w:w="1327" w:type="dxa"/>
            <w:tcBorders>
              <w:top w:val="single" w:sz="4" w:space="0" w:color="000000"/>
              <w:left w:val="single" w:sz="4" w:space="0" w:color="000000"/>
              <w:bottom w:val="single" w:sz="4" w:space="0" w:color="000000"/>
              <w:right w:val="single" w:sz="4" w:space="0" w:color="000000"/>
            </w:tcBorders>
          </w:tcPr>
          <w:p>
            <w:pPr>
              <w:pStyle w:val="TableParagraph"/>
              <w:spacing w:before="6"/>
              <w:ind w:right="62"/>
              <w:rPr>
                <w:sz w:val="19"/>
              </w:rPr>
            </w:pPr>
            <w:r>
              <w:rPr>
                <w:sz w:val="19"/>
              </w:rPr>
              <w:t>2002</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spacing w:before="6"/>
              <w:ind w:right="62"/>
              <w:rPr>
                <w:sz w:val="19"/>
              </w:rPr>
            </w:pPr>
            <w:r>
              <w:rPr>
                <w:sz w:val="19"/>
              </w:rPr>
              <w:t>39.74</w:t>
            </w:r>
          </w:p>
        </w:tc>
        <w:tc>
          <w:tcPr>
            <w:tcW w:w="1302" w:type="dxa"/>
            <w:tcBorders>
              <w:top w:val="single" w:sz="4" w:space="0" w:color="000000"/>
              <w:left w:val="single" w:sz="4" w:space="0" w:color="000000"/>
              <w:bottom w:val="single" w:sz="4" w:space="0" w:color="000000"/>
            </w:tcBorders>
          </w:tcPr>
          <w:p>
            <w:pPr>
              <w:pStyle w:val="TableParagraph"/>
              <w:spacing w:before="6"/>
              <w:ind w:right="65"/>
              <w:rPr>
                <w:sz w:val="19"/>
              </w:rPr>
            </w:pPr>
            <w:r>
              <w:rPr>
                <w:sz w:val="19"/>
              </w:rPr>
              <w:t>42.15</w:t>
            </w:r>
          </w:p>
        </w:tc>
        <w:tc>
          <w:tcPr>
            <w:tcW w:w="1300" w:type="dxa"/>
            <w:tcBorders>
              <w:top w:val="single" w:sz="4" w:space="0" w:color="000000"/>
              <w:bottom w:val="single" w:sz="4" w:space="0" w:color="000000"/>
              <w:right w:val="single" w:sz="4" w:space="0" w:color="000000"/>
            </w:tcBorders>
          </w:tcPr>
          <w:p>
            <w:pPr>
              <w:pStyle w:val="TableParagraph"/>
              <w:spacing w:before="6"/>
              <w:ind w:right="60"/>
              <w:rPr>
                <w:sz w:val="19"/>
              </w:rPr>
            </w:pPr>
            <w:r>
              <w:rPr>
                <w:sz w:val="19"/>
              </w:rPr>
              <w:t>40.1</w:t>
            </w:r>
          </w:p>
        </w:tc>
        <w:tc>
          <w:tcPr>
            <w:tcW w:w="1303" w:type="dxa"/>
            <w:tcBorders>
              <w:top w:val="single" w:sz="4" w:space="0" w:color="000000"/>
              <w:left w:val="single" w:sz="4" w:space="0" w:color="000000"/>
              <w:bottom w:val="single" w:sz="4" w:space="0" w:color="000000"/>
              <w:right w:val="single" w:sz="4" w:space="0" w:color="000000"/>
            </w:tcBorders>
          </w:tcPr>
          <w:p>
            <w:pPr>
              <w:pStyle w:val="TableParagraph"/>
              <w:spacing w:before="6"/>
              <w:ind w:right="63"/>
              <w:rPr>
                <w:sz w:val="19"/>
              </w:rPr>
            </w:pPr>
            <w:r>
              <w:rPr>
                <w:sz w:val="19"/>
              </w:rPr>
              <w:t>38.3</w:t>
            </w:r>
          </w:p>
        </w:tc>
        <w:tc>
          <w:tcPr>
            <w:tcW w:w="2110" w:type="dxa"/>
            <w:tcBorders>
              <w:top w:val="single" w:sz="4" w:space="0" w:color="000000"/>
              <w:left w:val="single" w:sz="4" w:space="0" w:color="000000"/>
              <w:bottom w:val="single" w:sz="4" w:space="0" w:color="000000"/>
              <w:right w:val="single" w:sz="4" w:space="0" w:color="000000"/>
            </w:tcBorders>
          </w:tcPr>
          <w:p>
            <w:pPr>
              <w:pStyle w:val="TableParagraph"/>
              <w:spacing w:before="6"/>
              <w:ind w:right="60"/>
              <w:rPr>
                <w:sz w:val="19"/>
              </w:rPr>
            </w:pPr>
            <w:r>
              <w:rPr>
                <w:sz w:val="19"/>
              </w:rPr>
              <w:t>5.15</w:t>
            </w:r>
          </w:p>
        </w:tc>
      </w:tr>
      <w:tr>
        <w:trPr>
          <w:trHeight w:val="463" w:hRule="exact"/>
        </w:trPr>
        <w:tc>
          <w:tcPr>
            <w:tcW w:w="1327" w:type="dxa"/>
            <w:tcBorders>
              <w:top w:val="single" w:sz="4" w:space="0" w:color="000000"/>
              <w:left w:val="single" w:sz="4" w:space="0" w:color="000000"/>
              <w:bottom w:val="single" w:sz="4" w:space="0" w:color="000000"/>
              <w:right w:val="single" w:sz="4" w:space="0" w:color="000000"/>
            </w:tcBorders>
          </w:tcPr>
          <w:p>
            <w:pPr>
              <w:pStyle w:val="TableParagraph"/>
              <w:spacing w:before="4"/>
              <w:ind w:right="62"/>
              <w:rPr>
                <w:sz w:val="19"/>
              </w:rPr>
            </w:pPr>
            <w:r>
              <w:rPr>
                <w:sz w:val="19"/>
              </w:rPr>
              <w:t>2003</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spacing w:before="4"/>
              <w:ind w:right="62"/>
              <w:rPr>
                <w:sz w:val="19"/>
              </w:rPr>
            </w:pPr>
            <w:r>
              <w:rPr>
                <w:sz w:val="19"/>
              </w:rPr>
              <w:t>41.53</w:t>
            </w:r>
          </w:p>
        </w:tc>
        <w:tc>
          <w:tcPr>
            <w:tcW w:w="1302" w:type="dxa"/>
            <w:tcBorders>
              <w:top w:val="single" w:sz="4" w:space="0" w:color="000000"/>
              <w:left w:val="single" w:sz="4" w:space="0" w:color="000000"/>
              <w:bottom w:val="single" w:sz="4" w:space="0" w:color="000000"/>
            </w:tcBorders>
          </w:tcPr>
          <w:p>
            <w:pPr>
              <w:pStyle w:val="TableParagraph"/>
              <w:spacing w:before="4"/>
              <w:ind w:right="65"/>
              <w:rPr>
                <w:sz w:val="19"/>
              </w:rPr>
            </w:pPr>
            <w:r>
              <w:rPr>
                <w:sz w:val="19"/>
              </w:rPr>
              <w:t>43.65</w:t>
            </w:r>
          </w:p>
        </w:tc>
        <w:tc>
          <w:tcPr>
            <w:tcW w:w="1300" w:type="dxa"/>
            <w:tcBorders>
              <w:top w:val="single" w:sz="4" w:space="0" w:color="000000"/>
              <w:bottom w:val="single" w:sz="4" w:space="0" w:color="000000"/>
              <w:right w:val="single" w:sz="4" w:space="0" w:color="000000"/>
            </w:tcBorders>
          </w:tcPr>
          <w:p>
            <w:pPr>
              <w:pStyle w:val="TableParagraph"/>
              <w:spacing w:before="4"/>
              <w:ind w:right="64"/>
              <w:rPr>
                <w:sz w:val="19"/>
              </w:rPr>
            </w:pPr>
            <w:r>
              <w:rPr>
                <w:sz w:val="19"/>
              </w:rPr>
              <w:t>41.85</w:t>
            </w:r>
          </w:p>
        </w:tc>
        <w:tc>
          <w:tcPr>
            <w:tcW w:w="1303" w:type="dxa"/>
            <w:tcBorders>
              <w:top w:val="single" w:sz="4" w:space="0" w:color="000000"/>
              <w:left w:val="single" w:sz="4" w:space="0" w:color="000000"/>
              <w:bottom w:val="single" w:sz="4" w:space="0" w:color="000000"/>
              <w:right w:val="single" w:sz="4" w:space="0" w:color="000000"/>
            </w:tcBorders>
          </w:tcPr>
          <w:p>
            <w:pPr>
              <w:pStyle w:val="TableParagraph"/>
              <w:spacing w:before="4"/>
              <w:ind w:right="63"/>
              <w:rPr>
                <w:sz w:val="19"/>
              </w:rPr>
            </w:pPr>
            <w:r>
              <w:rPr>
                <w:sz w:val="19"/>
              </w:rPr>
              <w:t>40.3</w:t>
            </w:r>
          </w:p>
        </w:tc>
        <w:tc>
          <w:tcPr>
            <w:tcW w:w="2110" w:type="dxa"/>
            <w:tcBorders>
              <w:top w:val="single" w:sz="4" w:space="0" w:color="000000"/>
              <w:left w:val="single" w:sz="4" w:space="0" w:color="000000"/>
              <w:bottom w:val="single" w:sz="4" w:space="0" w:color="000000"/>
              <w:right w:val="single" w:sz="4" w:space="0" w:color="000000"/>
            </w:tcBorders>
          </w:tcPr>
          <w:p>
            <w:pPr>
              <w:pStyle w:val="TableParagraph"/>
              <w:spacing w:before="4"/>
              <w:ind w:right="60"/>
              <w:rPr>
                <w:sz w:val="19"/>
              </w:rPr>
            </w:pPr>
            <w:r>
              <w:rPr>
                <w:sz w:val="19"/>
              </w:rPr>
              <w:t>5.15</w:t>
            </w:r>
          </w:p>
        </w:tc>
      </w:tr>
      <w:tr>
        <w:trPr>
          <w:trHeight w:val="463" w:hRule="exact"/>
        </w:trPr>
        <w:tc>
          <w:tcPr>
            <w:tcW w:w="1327" w:type="dxa"/>
            <w:tcBorders>
              <w:top w:val="single" w:sz="4" w:space="0" w:color="000000"/>
              <w:left w:val="single" w:sz="4" w:space="0" w:color="000000"/>
              <w:bottom w:val="single" w:sz="4" w:space="0" w:color="000000"/>
              <w:right w:val="single" w:sz="4" w:space="0" w:color="000000"/>
            </w:tcBorders>
          </w:tcPr>
          <w:p>
            <w:pPr>
              <w:pStyle w:val="TableParagraph"/>
              <w:spacing w:before="4"/>
              <w:ind w:right="62"/>
              <w:rPr>
                <w:sz w:val="19"/>
              </w:rPr>
            </w:pPr>
            <w:r>
              <w:rPr>
                <w:sz w:val="19"/>
              </w:rPr>
              <w:t>2004</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spacing w:before="4"/>
              <w:ind w:right="62"/>
              <w:rPr>
                <w:sz w:val="19"/>
              </w:rPr>
            </w:pPr>
            <w:r>
              <w:rPr>
                <w:sz w:val="19"/>
              </w:rPr>
              <w:t>43.297</w:t>
            </w:r>
          </w:p>
        </w:tc>
        <w:tc>
          <w:tcPr>
            <w:tcW w:w="1302" w:type="dxa"/>
            <w:tcBorders>
              <w:top w:val="single" w:sz="4" w:space="0" w:color="000000"/>
              <w:left w:val="single" w:sz="4" w:space="0" w:color="000000"/>
              <w:bottom w:val="single" w:sz="4" w:space="0" w:color="000000"/>
            </w:tcBorders>
          </w:tcPr>
          <w:p>
            <w:pPr>
              <w:pStyle w:val="TableParagraph"/>
              <w:spacing w:before="4"/>
              <w:ind w:right="65"/>
              <w:rPr>
                <w:sz w:val="19"/>
              </w:rPr>
            </w:pPr>
            <w:r>
              <w:rPr>
                <w:sz w:val="19"/>
              </w:rPr>
              <w:t>45.24</w:t>
            </w:r>
          </w:p>
        </w:tc>
        <w:tc>
          <w:tcPr>
            <w:tcW w:w="1300" w:type="dxa"/>
            <w:tcBorders>
              <w:top w:val="single" w:sz="4" w:space="0" w:color="000000"/>
              <w:bottom w:val="single" w:sz="4" w:space="0" w:color="000000"/>
              <w:right w:val="single" w:sz="4" w:space="0" w:color="000000"/>
            </w:tcBorders>
          </w:tcPr>
          <w:p>
            <w:pPr>
              <w:pStyle w:val="TableParagraph"/>
              <w:spacing w:before="4"/>
              <w:ind w:right="64"/>
              <w:rPr>
                <w:sz w:val="19"/>
              </w:rPr>
            </w:pPr>
            <w:r>
              <w:rPr>
                <w:sz w:val="19"/>
              </w:rPr>
              <w:t>43.73</w:t>
            </w:r>
          </w:p>
        </w:tc>
        <w:tc>
          <w:tcPr>
            <w:tcW w:w="1303" w:type="dxa"/>
            <w:tcBorders>
              <w:top w:val="single" w:sz="4" w:space="0" w:color="000000"/>
              <w:left w:val="single" w:sz="4" w:space="0" w:color="000000"/>
              <w:bottom w:val="single" w:sz="4" w:space="0" w:color="000000"/>
              <w:right w:val="single" w:sz="4" w:space="0" w:color="000000"/>
            </w:tcBorders>
          </w:tcPr>
          <w:p>
            <w:pPr>
              <w:pStyle w:val="TableParagraph"/>
              <w:spacing w:before="4"/>
              <w:ind w:right="65"/>
              <w:rPr>
                <w:sz w:val="19"/>
              </w:rPr>
            </w:pPr>
            <w:r>
              <w:rPr>
                <w:sz w:val="19"/>
              </w:rPr>
              <w:t>42.11</w:t>
            </w:r>
          </w:p>
        </w:tc>
        <w:tc>
          <w:tcPr>
            <w:tcW w:w="2110" w:type="dxa"/>
            <w:tcBorders>
              <w:top w:val="single" w:sz="4" w:space="0" w:color="000000"/>
              <w:left w:val="single" w:sz="4" w:space="0" w:color="000000"/>
              <w:bottom w:val="single" w:sz="4" w:space="0" w:color="000000"/>
              <w:right w:val="single" w:sz="4" w:space="0" w:color="000000"/>
            </w:tcBorders>
          </w:tcPr>
          <w:p>
            <w:pPr>
              <w:pStyle w:val="TableParagraph"/>
              <w:spacing w:before="4"/>
              <w:ind w:right="60"/>
              <w:rPr>
                <w:sz w:val="19"/>
              </w:rPr>
            </w:pPr>
            <w:r>
              <w:rPr>
                <w:sz w:val="19"/>
              </w:rPr>
              <w:t>5.15</w:t>
            </w:r>
          </w:p>
        </w:tc>
      </w:tr>
      <w:tr>
        <w:trPr>
          <w:trHeight w:val="458" w:hRule="exact"/>
        </w:trPr>
        <w:tc>
          <w:tcPr>
            <w:tcW w:w="1327" w:type="dxa"/>
            <w:tcBorders>
              <w:top w:val="single" w:sz="4" w:space="0" w:color="000000"/>
              <w:left w:val="single" w:sz="4" w:space="0" w:color="000000"/>
              <w:bottom w:val="single" w:sz="4" w:space="0" w:color="000000"/>
              <w:right w:val="single" w:sz="4" w:space="0" w:color="000000"/>
            </w:tcBorders>
          </w:tcPr>
          <w:p>
            <w:pPr>
              <w:pStyle w:val="TableParagraph"/>
              <w:spacing w:before="1"/>
              <w:ind w:right="62"/>
              <w:rPr>
                <w:sz w:val="19"/>
              </w:rPr>
            </w:pPr>
            <w:r>
              <w:rPr>
                <w:sz w:val="19"/>
              </w:rPr>
              <w:t>2005</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spacing w:before="1"/>
              <w:ind w:right="62"/>
              <w:rPr>
                <w:sz w:val="19"/>
              </w:rPr>
            </w:pPr>
            <w:r>
              <w:rPr>
                <w:sz w:val="19"/>
              </w:rPr>
              <w:t>45.24</w:t>
            </w:r>
          </w:p>
        </w:tc>
        <w:tc>
          <w:tcPr>
            <w:tcW w:w="1302" w:type="dxa"/>
            <w:tcBorders>
              <w:top w:val="single" w:sz="4" w:space="0" w:color="000000"/>
              <w:left w:val="single" w:sz="4" w:space="0" w:color="000000"/>
              <w:bottom w:val="single" w:sz="4" w:space="0" w:color="000000"/>
            </w:tcBorders>
          </w:tcPr>
          <w:p>
            <w:pPr>
              <w:pStyle w:val="TableParagraph"/>
              <w:spacing w:before="1"/>
              <w:ind w:right="63"/>
              <w:rPr>
                <w:sz w:val="19"/>
              </w:rPr>
            </w:pPr>
            <w:r>
              <w:rPr>
                <w:sz w:val="19"/>
              </w:rPr>
              <w:t>46.8</w:t>
            </w:r>
          </w:p>
        </w:tc>
        <w:tc>
          <w:tcPr>
            <w:tcW w:w="1300" w:type="dxa"/>
            <w:tcBorders>
              <w:top w:val="single" w:sz="4" w:space="0" w:color="000000"/>
              <w:bottom w:val="single" w:sz="4" w:space="0" w:color="000000"/>
              <w:right w:val="single" w:sz="4" w:space="0" w:color="000000"/>
            </w:tcBorders>
          </w:tcPr>
          <w:p>
            <w:pPr>
              <w:pStyle w:val="TableParagraph"/>
              <w:spacing w:before="1"/>
              <w:ind w:right="62"/>
              <w:rPr>
                <w:sz w:val="19"/>
              </w:rPr>
            </w:pPr>
            <w:r>
              <w:rPr>
                <w:sz w:val="19"/>
              </w:rPr>
              <w:t>45.348</w:t>
            </w:r>
          </w:p>
        </w:tc>
        <w:tc>
          <w:tcPr>
            <w:tcW w:w="1303" w:type="dxa"/>
            <w:tcBorders>
              <w:top w:val="single" w:sz="4" w:space="0" w:color="000000"/>
              <w:left w:val="single" w:sz="4" w:space="0" w:color="000000"/>
              <w:bottom w:val="single" w:sz="4" w:space="0" w:color="000000"/>
              <w:right w:val="single" w:sz="4" w:space="0" w:color="000000"/>
            </w:tcBorders>
          </w:tcPr>
          <w:p>
            <w:pPr>
              <w:pStyle w:val="TableParagraph"/>
              <w:spacing w:before="1"/>
              <w:ind w:right="65"/>
              <w:rPr>
                <w:sz w:val="19"/>
              </w:rPr>
            </w:pPr>
            <w:r>
              <w:rPr>
                <w:sz w:val="19"/>
              </w:rPr>
              <w:t>44.04710</w:t>
            </w:r>
          </w:p>
        </w:tc>
        <w:tc>
          <w:tcPr>
            <w:tcW w:w="2110" w:type="dxa"/>
            <w:tcBorders>
              <w:top w:val="single" w:sz="4" w:space="0" w:color="000000"/>
              <w:left w:val="single" w:sz="4" w:space="0" w:color="000000"/>
              <w:bottom w:val="single" w:sz="4" w:space="0" w:color="000000"/>
              <w:right w:val="single" w:sz="4" w:space="0" w:color="000000"/>
            </w:tcBorders>
          </w:tcPr>
          <w:p>
            <w:pPr>
              <w:pStyle w:val="TableParagraph"/>
              <w:spacing w:before="1"/>
              <w:ind w:right="60"/>
              <w:rPr>
                <w:sz w:val="19"/>
              </w:rPr>
            </w:pPr>
            <w:r>
              <w:rPr>
                <w:sz w:val="19"/>
              </w:rPr>
              <w:t>5.15</w:t>
            </w:r>
          </w:p>
        </w:tc>
      </w:tr>
      <w:tr>
        <w:trPr>
          <w:trHeight w:val="463" w:hRule="exact"/>
        </w:trPr>
        <w:tc>
          <w:tcPr>
            <w:tcW w:w="1327" w:type="dxa"/>
            <w:tcBorders>
              <w:top w:val="single" w:sz="4" w:space="0" w:color="000000"/>
              <w:left w:val="single" w:sz="4" w:space="0" w:color="000000"/>
              <w:bottom w:val="single" w:sz="4" w:space="0" w:color="000000"/>
              <w:right w:val="single" w:sz="4" w:space="0" w:color="000000"/>
            </w:tcBorders>
          </w:tcPr>
          <w:p>
            <w:pPr>
              <w:pStyle w:val="TableParagraph"/>
              <w:spacing w:before="4"/>
              <w:ind w:right="61"/>
              <w:rPr>
                <w:sz w:val="19"/>
              </w:rPr>
            </w:pPr>
            <w:r>
              <w:rPr>
                <w:sz w:val="19"/>
              </w:rPr>
              <w:t>2006 Oct.</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spacing w:before="4"/>
              <w:ind w:right="62"/>
              <w:rPr>
                <w:sz w:val="19"/>
              </w:rPr>
            </w:pPr>
            <w:r>
              <w:rPr>
                <w:sz w:val="19"/>
              </w:rPr>
              <w:t>47.05064</w:t>
            </w:r>
          </w:p>
        </w:tc>
        <w:tc>
          <w:tcPr>
            <w:tcW w:w="1302" w:type="dxa"/>
            <w:tcBorders>
              <w:top w:val="single" w:sz="4" w:space="0" w:color="000000"/>
              <w:left w:val="single" w:sz="4" w:space="0" w:color="000000"/>
              <w:bottom w:val="single" w:sz="4" w:space="0" w:color="000000"/>
            </w:tcBorders>
          </w:tcPr>
          <w:p>
            <w:pPr>
              <w:pStyle w:val="TableParagraph"/>
              <w:spacing w:before="4"/>
              <w:ind w:right="65"/>
              <w:rPr>
                <w:sz w:val="19"/>
              </w:rPr>
            </w:pPr>
            <w:r>
              <w:rPr>
                <w:sz w:val="19"/>
              </w:rPr>
              <w:t>48.672</w:t>
            </w:r>
          </w:p>
        </w:tc>
        <w:tc>
          <w:tcPr>
            <w:tcW w:w="1300" w:type="dxa"/>
            <w:tcBorders>
              <w:top w:val="single" w:sz="4" w:space="0" w:color="000000"/>
              <w:bottom w:val="single" w:sz="4" w:space="0" w:color="000000"/>
              <w:right w:val="single" w:sz="4" w:space="0" w:color="000000"/>
            </w:tcBorders>
          </w:tcPr>
          <w:p>
            <w:pPr>
              <w:pStyle w:val="TableParagraph"/>
              <w:spacing w:before="4"/>
              <w:ind w:right="62"/>
              <w:rPr>
                <w:sz w:val="19"/>
              </w:rPr>
            </w:pPr>
            <w:r>
              <w:rPr>
                <w:sz w:val="19"/>
              </w:rPr>
              <w:t>47.16192</w:t>
            </w:r>
          </w:p>
        </w:tc>
        <w:tc>
          <w:tcPr>
            <w:tcW w:w="1303" w:type="dxa"/>
            <w:tcBorders>
              <w:top w:val="single" w:sz="4" w:space="0" w:color="000000"/>
              <w:left w:val="single" w:sz="4" w:space="0" w:color="000000"/>
              <w:bottom w:val="single" w:sz="4" w:space="0" w:color="000000"/>
              <w:right w:val="single" w:sz="4" w:space="0" w:color="000000"/>
            </w:tcBorders>
          </w:tcPr>
          <w:p>
            <w:pPr>
              <w:pStyle w:val="TableParagraph"/>
              <w:spacing w:before="4"/>
              <w:ind w:right="65"/>
              <w:rPr>
                <w:sz w:val="19"/>
              </w:rPr>
            </w:pPr>
            <w:r>
              <w:rPr>
                <w:sz w:val="19"/>
              </w:rPr>
              <w:t>45.80898</w:t>
            </w:r>
          </w:p>
        </w:tc>
        <w:tc>
          <w:tcPr>
            <w:tcW w:w="2110" w:type="dxa"/>
            <w:tcBorders>
              <w:top w:val="single" w:sz="4" w:space="0" w:color="000000"/>
              <w:left w:val="single" w:sz="4" w:space="0" w:color="000000"/>
              <w:bottom w:val="single" w:sz="4" w:space="0" w:color="000000"/>
              <w:right w:val="single" w:sz="4" w:space="0" w:color="000000"/>
            </w:tcBorders>
          </w:tcPr>
          <w:p>
            <w:pPr>
              <w:pStyle w:val="TableParagraph"/>
              <w:spacing w:before="4"/>
              <w:ind w:right="60"/>
              <w:rPr>
                <w:sz w:val="19"/>
              </w:rPr>
            </w:pPr>
            <w:r>
              <w:rPr>
                <w:sz w:val="19"/>
              </w:rPr>
              <w:t>5.15</w:t>
            </w:r>
          </w:p>
        </w:tc>
      </w:tr>
    </w:tbl>
    <w:p>
      <w:pPr>
        <w:spacing w:line="280" w:lineRule="auto" w:before="2"/>
        <w:ind w:left="175" w:right="183" w:firstLine="0"/>
        <w:jc w:val="both"/>
        <w:rPr>
          <w:sz w:val="21"/>
        </w:rPr>
      </w:pPr>
      <w:r>
        <w:rPr>
          <w:sz w:val="21"/>
        </w:rPr>
        <w:t>Fuente: Elaboración propia con datos del banco de México y de la Cámara de representantes de Washington</w:t>
      </w:r>
    </w:p>
    <w:p>
      <w:pPr>
        <w:pStyle w:val="BodyText"/>
        <w:rPr>
          <w:sz w:val="20"/>
        </w:rPr>
      </w:pPr>
    </w:p>
    <w:p>
      <w:pPr>
        <w:pStyle w:val="BodyText"/>
        <w:rPr>
          <w:sz w:val="20"/>
        </w:rPr>
      </w:pPr>
    </w:p>
    <w:p>
      <w:pPr>
        <w:pStyle w:val="BodyText"/>
        <w:spacing w:before="4"/>
        <w:rPr>
          <w:sz w:val="18"/>
        </w:rPr>
      </w:pPr>
    </w:p>
    <w:p>
      <w:pPr>
        <w:pStyle w:val="BodyText"/>
        <w:spacing w:line="364" w:lineRule="auto" w:before="1"/>
        <w:ind w:left="175" w:right="185"/>
        <w:jc w:val="both"/>
      </w:pPr>
      <w:r>
        <w:rPr/>
        <w:t>Estas diferencias de la población rural y urbana emigran hacia  los  Estados  Unidos, pues observamos que lo que un trabajador de México gana por día, en norte América lo percibe por hora trabajada. Sin embargo  comparando  los  salarios con el costo de vida de cada país (México -Estados Unidos), los salarios percibidos por los migrantes mexicanos indocumentados en Estados Unidos, son muy bajos con respecto al nivel de vida de ese país, pero altos en comparación  con el nivel de vida de las comunidades rurales mexicanas (Daza, </w:t>
      </w:r>
      <w:r>
        <w:rPr>
          <w:spacing w:val="14"/>
        </w:rPr>
        <w:t> </w:t>
      </w:r>
      <w:r>
        <w:rPr/>
        <w:t>2006).</w:t>
      </w:r>
    </w:p>
    <w:p>
      <w:pPr>
        <w:spacing w:after="0" w:line="364" w:lineRule="auto"/>
        <w:jc w:val="both"/>
        <w:sectPr>
          <w:pgSz w:w="11900" w:h="16840"/>
          <w:pgMar w:header="0" w:footer="1679" w:top="1600" w:bottom="1860" w:left="1480" w:right="1500"/>
        </w:sectPr>
      </w:pPr>
    </w:p>
    <w:p>
      <w:pPr>
        <w:pStyle w:val="BodyText"/>
        <w:rPr>
          <w:sz w:val="20"/>
        </w:rPr>
      </w:pPr>
    </w:p>
    <w:p>
      <w:pPr>
        <w:pStyle w:val="BodyText"/>
        <w:spacing w:before="6"/>
        <w:rPr>
          <w:sz w:val="16"/>
        </w:rPr>
      </w:pPr>
    </w:p>
    <w:p>
      <w:pPr>
        <w:pStyle w:val="Heading3"/>
        <w:tabs>
          <w:tab w:pos="1727" w:val="left" w:leader="none"/>
        </w:tabs>
        <w:spacing w:before="69"/>
        <w:ind w:left="1027" w:right="110"/>
        <w:jc w:val="left"/>
      </w:pPr>
      <w:r>
        <w:rPr/>
        <w:t>V.</w:t>
        <w:tab/>
        <w:t>REFERENCIAS</w:t>
      </w:r>
      <w:r>
        <w:rPr>
          <w:spacing w:val="26"/>
        </w:rPr>
        <w:t> </w:t>
      </w:r>
      <w:r>
        <w:rPr/>
        <w:t>BIBLIOGRÁFICAS</w:t>
      </w:r>
    </w:p>
    <w:p>
      <w:pPr>
        <w:pStyle w:val="BodyText"/>
        <w:spacing w:before="6"/>
        <w:rPr>
          <w:b/>
          <w:sz w:val="21"/>
        </w:rPr>
      </w:pPr>
    </w:p>
    <w:p>
      <w:pPr>
        <w:pStyle w:val="ListParagraph"/>
        <w:numPr>
          <w:ilvl w:val="2"/>
          <w:numId w:val="5"/>
        </w:numPr>
        <w:tabs>
          <w:tab w:pos="677" w:val="left" w:leader="none"/>
        </w:tabs>
        <w:spacing w:line="367" w:lineRule="auto" w:before="0" w:after="0"/>
        <w:ind w:left="676" w:right="105" w:hanging="350"/>
        <w:jc w:val="both"/>
        <w:rPr>
          <w:sz w:val="23"/>
        </w:rPr>
      </w:pPr>
      <w:r>
        <w:rPr>
          <w:sz w:val="23"/>
        </w:rPr>
        <w:t>Alba, Francisco, </w:t>
      </w:r>
      <w:r>
        <w:rPr>
          <w:i/>
          <w:sz w:val="23"/>
        </w:rPr>
        <w:t>Integración económica y políticas de migración: un </w:t>
      </w:r>
      <w:r>
        <w:rPr>
          <w:i/>
          <w:sz w:val="23"/>
        </w:rPr>
        <w:t>consenso en revisión</w:t>
      </w:r>
      <w:r>
        <w:rPr>
          <w:sz w:val="23"/>
        </w:rPr>
        <w:t>, en: Rodolfo Tuirán, coordinador, </w:t>
      </w:r>
      <w:r>
        <w:rPr>
          <w:i/>
          <w:sz w:val="23"/>
        </w:rPr>
        <w:t>Migración México- </w:t>
      </w:r>
      <w:r>
        <w:rPr>
          <w:i/>
          <w:sz w:val="23"/>
        </w:rPr>
        <w:t>Estados Unidos, Presente y Futuro, </w:t>
      </w:r>
      <w:r>
        <w:rPr>
          <w:sz w:val="23"/>
        </w:rPr>
        <w:t>Consejo Nacional de Población (CONAPO), México.</w:t>
      </w:r>
      <w:r>
        <w:rPr>
          <w:spacing w:val="31"/>
          <w:sz w:val="23"/>
        </w:rPr>
        <w:t> </w:t>
      </w:r>
      <w:r>
        <w:rPr>
          <w:sz w:val="23"/>
        </w:rPr>
        <w:t>2003.</w:t>
      </w:r>
    </w:p>
    <w:p>
      <w:pPr>
        <w:pStyle w:val="ListParagraph"/>
        <w:numPr>
          <w:ilvl w:val="2"/>
          <w:numId w:val="5"/>
        </w:numPr>
        <w:tabs>
          <w:tab w:pos="677" w:val="left" w:leader="none"/>
        </w:tabs>
        <w:spacing w:line="367" w:lineRule="auto" w:before="194" w:after="0"/>
        <w:ind w:left="676" w:right="104" w:hanging="350"/>
        <w:jc w:val="both"/>
        <w:rPr>
          <w:sz w:val="23"/>
        </w:rPr>
      </w:pPr>
      <w:r>
        <w:rPr>
          <w:sz w:val="23"/>
        </w:rPr>
        <w:t>Arroyo, Alejandre Jesús, Salvador Berumen Sandoval</w:t>
      </w:r>
      <w:r>
        <w:rPr>
          <w:i/>
          <w:sz w:val="23"/>
        </w:rPr>
        <w:t>, La ley de población   </w:t>
      </w:r>
      <w:r>
        <w:rPr>
          <w:i/>
          <w:sz w:val="23"/>
        </w:rPr>
        <w:t>y la migración de mexicanos a Estados Unidos, </w:t>
      </w:r>
      <w:r>
        <w:rPr>
          <w:sz w:val="23"/>
        </w:rPr>
        <w:t>División de Economía y Sociedad, Universidad de Guadalajara.</w:t>
      </w:r>
      <w:r>
        <w:rPr>
          <w:spacing w:val="53"/>
          <w:sz w:val="23"/>
        </w:rPr>
        <w:t> </w:t>
      </w:r>
      <w:r>
        <w:rPr>
          <w:sz w:val="23"/>
        </w:rPr>
        <w:t>2000.</w:t>
      </w:r>
    </w:p>
    <w:p>
      <w:pPr>
        <w:pStyle w:val="ListParagraph"/>
        <w:numPr>
          <w:ilvl w:val="2"/>
          <w:numId w:val="5"/>
        </w:numPr>
        <w:tabs>
          <w:tab w:pos="677" w:val="left" w:leader="none"/>
        </w:tabs>
        <w:spacing w:line="364" w:lineRule="auto" w:before="194" w:after="0"/>
        <w:ind w:left="676" w:right="106" w:hanging="350"/>
        <w:jc w:val="both"/>
        <w:rPr>
          <w:sz w:val="23"/>
        </w:rPr>
      </w:pPr>
      <w:r>
        <w:rPr>
          <w:sz w:val="23"/>
        </w:rPr>
        <w:t>Arroyo Alejandre Jesús, Berumen Sandoval Salvador;  </w:t>
      </w:r>
      <w:r>
        <w:rPr>
          <w:i/>
          <w:sz w:val="23"/>
        </w:rPr>
        <w:t>Efectos  </w:t>
      </w:r>
      <w:r>
        <w:rPr>
          <w:i/>
          <w:sz w:val="23"/>
        </w:rPr>
        <w:t>subregionales de las remesas de emigrantes mexicanos en  Estados  Unidos</w:t>
      </w:r>
      <w:r>
        <w:rPr>
          <w:sz w:val="23"/>
        </w:rPr>
        <w:t>; Comercio Exterior,</w:t>
      </w:r>
      <w:r>
        <w:rPr>
          <w:spacing w:val="35"/>
          <w:sz w:val="23"/>
        </w:rPr>
        <w:t> </w:t>
      </w:r>
      <w:r>
        <w:rPr>
          <w:sz w:val="23"/>
        </w:rPr>
        <w:t>2000.</w:t>
      </w:r>
    </w:p>
    <w:p>
      <w:pPr>
        <w:pStyle w:val="BodyText"/>
        <w:spacing w:before="4"/>
        <w:rPr>
          <w:sz w:val="17"/>
        </w:rPr>
      </w:pPr>
    </w:p>
    <w:p>
      <w:pPr>
        <w:pStyle w:val="ListParagraph"/>
        <w:numPr>
          <w:ilvl w:val="2"/>
          <w:numId w:val="5"/>
        </w:numPr>
        <w:tabs>
          <w:tab w:pos="677" w:val="left" w:leader="none"/>
        </w:tabs>
        <w:spacing w:line="364" w:lineRule="auto" w:before="0" w:after="0"/>
        <w:ind w:left="676" w:right="115" w:hanging="350"/>
        <w:jc w:val="left"/>
        <w:rPr>
          <w:sz w:val="23"/>
        </w:rPr>
      </w:pPr>
      <w:r>
        <w:rPr>
          <w:sz w:val="23"/>
        </w:rPr>
        <w:t>Arroyo, Jesús, Rodolfo García Zamora, </w:t>
      </w:r>
      <w:r>
        <w:rPr>
          <w:i/>
          <w:sz w:val="23"/>
        </w:rPr>
        <w:t>Remesas y crecimiento económico  </w:t>
      </w:r>
      <w:r>
        <w:rPr>
          <w:i/>
          <w:sz w:val="23"/>
        </w:rPr>
        <w:t>y regional: propuestas para la formulación de políticas públicas</w:t>
      </w:r>
      <w:r>
        <w:rPr>
          <w:sz w:val="23"/>
        </w:rPr>
        <w:t>, en: Rodolfo Tuirán, coordinador, </w:t>
      </w:r>
      <w:r>
        <w:rPr>
          <w:i/>
          <w:sz w:val="23"/>
        </w:rPr>
        <w:t>Migración México-Estados Unidos, Presente y Futuro, </w:t>
      </w:r>
      <w:r>
        <w:rPr>
          <w:sz w:val="23"/>
        </w:rPr>
        <w:t>Consejo Nacional de Población, (CONAPO), México. </w:t>
      </w:r>
      <w:r>
        <w:rPr>
          <w:spacing w:val="2"/>
          <w:sz w:val="23"/>
        </w:rPr>
        <w:t> </w:t>
      </w:r>
      <w:r>
        <w:rPr>
          <w:sz w:val="23"/>
        </w:rPr>
        <w:t>2003.</w:t>
      </w:r>
    </w:p>
    <w:p>
      <w:pPr>
        <w:pStyle w:val="ListParagraph"/>
        <w:numPr>
          <w:ilvl w:val="2"/>
          <w:numId w:val="5"/>
        </w:numPr>
        <w:tabs>
          <w:tab w:pos="677" w:val="left" w:leader="none"/>
        </w:tabs>
        <w:spacing w:line="240" w:lineRule="auto" w:before="197" w:after="0"/>
        <w:ind w:left="676" w:right="0" w:hanging="350"/>
        <w:jc w:val="left"/>
        <w:rPr>
          <w:sz w:val="23"/>
        </w:rPr>
      </w:pPr>
      <w:r>
        <w:rPr>
          <w:sz w:val="23"/>
        </w:rPr>
        <w:t>Banxico, </w:t>
      </w:r>
      <w:r>
        <w:rPr>
          <w:i/>
          <w:sz w:val="23"/>
        </w:rPr>
        <w:t>Indicadores Económicos</w:t>
      </w:r>
      <w:r>
        <w:rPr>
          <w:sz w:val="23"/>
        </w:rPr>
        <w:t>, Carpeta Electrónica, México, </w:t>
      </w:r>
      <w:r>
        <w:rPr>
          <w:spacing w:val="12"/>
          <w:sz w:val="23"/>
        </w:rPr>
        <w:t> </w:t>
      </w:r>
      <w:r>
        <w:rPr>
          <w:sz w:val="23"/>
        </w:rPr>
        <w:t>2001.</w:t>
      </w:r>
    </w:p>
    <w:p>
      <w:pPr>
        <w:pStyle w:val="BodyText"/>
        <w:spacing w:before="11"/>
        <w:rPr>
          <w:sz w:val="28"/>
        </w:rPr>
      </w:pPr>
    </w:p>
    <w:p>
      <w:pPr>
        <w:pStyle w:val="ListParagraph"/>
        <w:numPr>
          <w:ilvl w:val="2"/>
          <w:numId w:val="5"/>
        </w:numPr>
        <w:tabs>
          <w:tab w:pos="677" w:val="left" w:leader="none"/>
        </w:tabs>
        <w:spacing w:line="240" w:lineRule="auto" w:before="0" w:after="0"/>
        <w:ind w:left="676" w:right="0" w:hanging="350"/>
        <w:jc w:val="left"/>
        <w:rPr>
          <w:sz w:val="23"/>
        </w:rPr>
      </w:pPr>
      <w:r>
        <w:rPr>
          <w:sz w:val="23"/>
        </w:rPr>
        <w:t>Banco Mundial, </w:t>
      </w:r>
      <w:r>
        <w:rPr>
          <w:i/>
          <w:sz w:val="23"/>
        </w:rPr>
        <w:t>News Release</w:t>
      </w:r>
      <w:r>
        <w:rPr>
          <w:sz w:val="23"/>
        </w:rPr>
        <w:t>.</w:t>
      </w:r>
      <w:r>
        <w:rPr>
          <w:spacing w:val="44"/>
          <w:sz w:val="23"/>
        </w:rPr>
        <w:t> </w:t>
      </w:r>
      <w:r>
        <w:rPr>
          <w:sz w:val="23"/>
        </w:rPr>
        <w:t>2006</w:t>
      </w:r>
    </w:p>
    <w:p>
      <w:pPr>
        <w:pStyle w:val="BodyText"/>
        <w:spacing w:before="4"/>
        <w:rPr>
          <w:sz w:val="29"/>
        </w:rPr>
      </w:pPr>
    </w:p>
    <w:p>
      <w:pPr>
        <w:pStyle w:val="ListParagraph"/>
        <w:numPr>
          <w:ilvl w:val="2"/>
          <w:numId w:val="5"/>
        </w:numPr>
        <w:tabs>
          <w:tab w:pos="677" w:val="left" w:leader="none"/>
        </w:tabs>
        <w:spacing w:line="240" w:lineRule="auto" w:before="0" w:after="0"/>
        <w:ind w:left="676" w:right="0" w:hanging="350"/>
        <w:jc w:val="left"/>
        <w:rPr>
          <w:sz w:val="23"/>
        </w:rPr>
      </w:pPr>
      <w:r>
        <w:rPr>
          <w:sz w:val="23"/>
        </w:rPr>
        <w:t>Banco de México.</w:t>
      </w:r>
      <w:r>
        <w:rPr>
          <w:spacing w:val="28"/>
          <w:sz w:val="23"/>
        </w:rPr>
        <w:t> </w:t>
      </w:r>
      <w:r>
        <w:rPr>
          <w:sz w:val="23"/>
        </w:rPr>
        <w:t>2007.</w:t>
      </w:r>
    </w:p>
    <w:p>
      <w:pPr>
        <w:pStyle w:val="BodyText"/>
        <w:spacing w:before="8"/>
        <w:rPr>
          <w:sz w:val="28"/>
        </w:rPr>
      </w:pPr>
    </w:p>
    <w:p>
      <w:pPr>
        <w:pStyle w:val="ListParagraph"/>
        <w:numPr>
          <w:ilvl w:val="2"/>
          <w:numId w:val="5"/>
        </w:numPr>
        <w:tabs>
          <w:tab w:pos="677" w:val="left" w:leader="none"/>
        </w:tabs>
        <w:spacing w:line="364" w:lineRule="auto" w:before="0" w:after="0"/>
        <w:ind w:left="676" w:right="105" w:hanging="350"/>
        <w:jc w:val="both"/>
        <w:rPr>
          <w:sz w:val="23"/>
        </w:rPr>
      </w:pPr>
      <w:r>
        <w:rPr>
          <w:sz w:val="23"/>
        </w:rPr>
        <w:t>Becerril, Andrea, </w:t>
      </w:r>
      <w:r>
        <w:rPr>
          <w:i/>
          <w:sz w:val="23"/>
        </w:rPr>
        <w:t>Exige el Senado a Fox protestar por el Programa de </w:t>
      </w:r>
      <w:r>
        <w:rPr>
          <w:i/>
          <w:sz w:val="23"/>
        </w:rPr>
        <w:t>Repatriación Lateral</w:t>
      </w:r>
      <w:r>
        <w:rPr>
          <w:sz w:val="23"/>
        </w:rPr>
        <w:t>, </w:t>
      </w:r>
      <w:r>
        <w:rPr>
          <w:i/>
          <w:sz w:val="23"/>
        </w:rPr>
        <w:t>La Jornada, </w:t>
      </w:r>
      <w:r>
        <w:rPr>
          <w:sz w:val="23"/>
        </w:rPr>
        <w:t>México, 26 de septiembre, 2003 p. </w:t>
      </w:r>
      <w:r>
        <w:rPr>
          <w:spacing w:val="13"/>
          <w:sz w:val="23"/>
        </w:rPr>
        <w:t> </w:t>
      </w:r>
      <w:r>
        <w:rPr>
          <w:sz w:val="23"/>
        </w:rPr>
        <w:t>21.</w:t>
      </w:r>
    </w:p>
    <w:p>
      <w:pPr>
        <w:pStyle w:val="BodyText"/>
        <w:spacing w:before="4"/>
        <w:rPr>
          <w:sz w:val="17"/>
        </w:rPr>
      </w:pPr>
    </w:p>
    <w:p>
      <w:pPr>
        <w:pStyle w:val="ListParagraph"/>
        <w:numPr>
          <w:ilvl w:val="2"/>
          <w:numId w:val="5"/>
        </w:numPr>
        <w:tabs>
          <w:tab w:pos="677" w:val="left" w:leader="none"/>
        </w:tabs>
        <w:spacing w:line="364" w:lineRule="auto" w:before="0" w:after="0"/>
        <w:ind w:left="676" w:right="107" w:hanging="350"/>
        <w:jc w:val="both"/>
        <w:rPr>
          <w:sz w:val="23"/>
        </w:rPr>
      </w:pPr>
      <w:r>
        <w:rPr>
          <w:sz w:val="23"/>
        </w:rPr>
        <w:t>Bellizia Mónica, “Medio Oeste”, en: </w:t>
      </w:r>
      <w:r>
        <w:rPr>
          <w:i/>
          <w:sz w:val="23"/>
        </w:rPr>
        <w:t>Serie de estudios sobre el Mercado </w:t>
      </w:r>
      <w:r>
        <w:rPr>
          <w:i/>
          <w:sz w:val="23"/>
        </w:rPr>
        <w:t>Hispano de Estados  Unidos,  </w:t>
      </w:r>
      <w:r>
        <w:rPr>
          <w:sz w:val="23"/>
        </w:rPr>
        <w:t>Fundación  Solidaridad </w:t>
      </w:r>
      <w:r>
        <w:rPr>
          <w:spacing w:val="21"/>
          <w:sz w:val="23"/>
        </w:rPr>
        <w:t> </w:t>
      </w:r>
      <w:r>
        <w:rPr>
          <w:sz w:val="23"/>
        </w:rPr>
        <w:t>Mexicano-Americana,</w:t>
      </w:r>
    </w:p>
    <w:p>
      <w:pPr>
        <w:pStyle w:val="BodyText"/>
        <w:spacing w:before="7"/>
        <w:ind w:left="676" w:right="110"/>
      </w:pPr>
      <w:r>
        <w:rPr/>
        <w:t>S.C. 2003.</w:t>
      </w:r>
    </w:p>
    <w:p>
      <w:pPr>
        <w:pStyle w:val="BodyText"/>
        <w:rPr>
          <w:sz w:val="22"/>
        </w:rPr>
      </w:pPr>
    </w:p>
    <w:p>
      <w:pPr>
        <w:pStyle w:val="BodyText"/>
        <w:rPr>
          <w:sz w:val="22"/>
        </w:rPr>
      </w:pPr>
    </w:p>
    <w:p>
      <w:pPr>
        <w:pStyle w:val="BodyText"/>
        <w:rPr>
          <w:sz w:val="22"/>
        </w:rPr>
      </w:pPr>
    </w:p>
    <w:p>
      <w:pPr>
        <w:pStyle w:val="ListParagraph"/>
        <w:numPr>
          <w:ilvl w:val="2"/>
          <w:numId w:val="5"/>
        </w:numPr>
        <w:tabs>
          <w:tab w:pos="677" w:val="left" w:leader="none"/>
        </w:tabs>
        <w:spacing w:line="364" w:lineRule="auto" w:before="169" w:after="0"/>
        <w:ind w:left="676" w:right="108" w:hanging="350"/>
        <w:jc w:val="both"/>
        <w:rPr>
          <w:i/>
          <w:sz w:val="23"/>
        </w:rPr>
      </w:pPr>
      <w:r>
        <w:rPr>
          <w:sz w:val="23"/>
        </w:rPr>
        <w:t>Bustamante, Jorge, </w:t>
      </w:r>
      <w:r>
        <w:rPr>
          <w:i/>
          <w:sz w:val="23"/>
        </w:rPr>
        <w:t>Mercados laborales internacionales:  tres  propuestas</w:t>
      </w:r>
      <w:r>
        <w:rPr>
          <w:sz w:val="23"/>
        </w:rPr>
        <w:t>, en:    Rodolfo    Tuirán    coordinador,    </w:t>
      </w:r>
      <w:r>
        <w:rPr>
          <w:i/>
          <w:sz w:val="23"/>
        </w:rPr>
        <w:t>Migración    México-Estados</w:t>
      </w:r>
      <w:r>
        <w:rPr>
          <w:i/>
          <w:spacing w:val="19"/>
          <w:sz w:val="23"/>
        </w:rPr>
        <w:t> </w:t>
      </w:r>
      <w:r>
        <w:rPr>
          <w:i/>
          <w:sz w:val="23"/>
        </w:rPr>
        <w:t>Unidos,</w:t>
      </w:r>
    </w:p>
    <w:p>
      <w:pPr>
        <w:spacing w:after="0" w:line="364" w:lineRule="auto"/>
        <w:jc w:val="both"/>
        <w:rPr>
          <w:sz w:val="23"/>
        </w:rPr>
        <w:sectPr>
          <w:pgSz w:w="11900" w:h="16840"/>
          <w:pgMar w:header="0" w:footer="1679" w:top="1600" w:bottom="1860" w:left="1680" w:right="1580"/>
        </w:sectPr>
      </w:pPr>
    </w:p>
    <w:p>
      <w:pPr>
        <w:pStyle w:val="BodyText"/>
        <w:rPr>
          <w:i/>
          <w:sz w:val="20"/>
        </w:rPr>
      </w:pPr>
    </w:p>
    <w:p>
      <w:pPr>
        <w:pStyle w:val="BodyText"/>
        <w:spacing w:before="5"/>
        <w:rPr>
          <w:i/>
          <w:sz w:val="16"/>
        </w:rPr>
      </w:pPr>
    </w:p>
    <w:p>
      <w:pPr>
        <w:spacing w:line="367" w:lineRule="auto" w:before="74"/>
        <w:ind w:left="676" w:right="110" w:firstLine="0"/>
        <w:jc w:val="left"/>
        <w:rPr>
          <w:sz w:val="23"/>
        </w:rPr>
      </w:pPr>
      <w:r>
        <w:rPr>
          <w:i/>
          <w:sz w:val="23"/>
        </w:rPr>
        <w:t>Presente y Futuro, </w:t>
      </w:r>
      <w:r>
        <w:rPr>
          <w:sz w:val="23"/>
        </w:rPr>
        <w:t>Consejo Nacional de Población (CONAPO), México. 2003.</w:t>
      </w:r>
    </w:p>
    <w:p>
      <w:pPr>
        <w:pStyle w:val="ListParagraph"/>
        <w:numPr>
          <w:ilvl w:val="2"/>
          <w:numId w:val="5"/>
        </w:numPr>
        <w:tabs>
          <w:tab w:pos="742" w:val="left" w:leader="none"/>
        </w:tabs>
        <w:spacing w:line="367" w:lineRule="auto" w:before="194" w:after="0"/>
        <w:ind w:left="676" w:right="104" w:hanging="350"/>
        <w:jc w:val="both"/>
        <w:rPr>
          <w:sz w:val="23"/>
        </w:rPr>
      </w:pPr>
      <w:r>
        <w:rPr>
          <w:sz w:val="23"/>
        </w:rPr>
        <w:t>Canales, Alejandro I., </w:t>
      </w:r>
      <w:r>
        <w:rPr>
          <w:i/>
          <w:sz w:val="23"/>
        </w:rPr>
        <w:t>Remesas e  Inversión  Productiva en Comunidades </w:t>
      </w:r>
      <w:r>
        <w:rPr>
          <w:i/>
          <w:sz w:val="23"/>
        </w:rPr>
        <w:t>de alta migración, </w:t>
      </w:r>
      <w:r>
        <w:rPr>
          <w:sz w:val="23"/>
        </w:rPr>
        <w:t>Universidad de Guadalajara, Centro Universitario de Ciencias Económicas Administrativas, Departamento Estudios Regionales - INESER, México, mayo</w:t>
      </w:r>
      <w:r>
        <w:rPr>
          <w:spacing w:val="32"/>
          <w:sz w:val="23"/>
        </w:rPr>
        <w:t> </w:t>
      </w:r>
      <w:r>
        <w:rPr>
          <w:sz w:val="23"/>
        </w:rPr>
        <w:t>2003.</w:t>
      </w:r>
    </w:p>
    <w:p>
      <w:pPr>
        <w:pStyle w:val="ListParagraph"/>
        <w:numPr>
          <w:ilvl w:val="2"/>
          <w:numId w:val="5"/>
        </w:numPr>
        <w:tabs>
          <w:tab w:pos="742" w:val="left" w:leader="none"/>
        </w:tabs>
        <w:spacing w:line="367" w:lineRule="auto" w:before="194" w:after="0"/>
        <w:ind w:left="676" w:right="108" w:hanging="350"/>
        <w:jc w:val="both"/>
        <w:rPr>
          <w:sz w:val="23"/>
        </w:rPr>
      </w:pPr>
      <w:r>
        <w:rPr>
          <w:sz w:val="23"/>
        </w:rPr>
        <w:t>Consejo Nacional de Población, </w:t>
      </w:r>
      <w:r>
        <w:rPr>
          <w:i/>
          <w:sz w:val="23"/>
        </w:rPr>
        <w:t>Boletín de Migración Internacional 1</w:t>
      </w:r>
      <w:r>
        <w:rPr>
          <w:sz w:val="23"/>
        </w:rPr>
        <w:t>: </w:t>
      </w:r>
      <w:r>
        <w:rPr>
          <w:i/>
          <w:sz w:val="23"/>
        </w:rPr>
        <w:t>Nuevas orientaciones del flujo migratorio laboral México-Estados Unidos</w:t>
      </w:r>
      <w:r>
        <w:rPr>
          <w:sz w:val="23"/>
        </w:rPr>
        <w:t>, México, mayo,</w:t>
      </w:r>
      <w:r>
        <w:rPr>
          <w:spacing w:val="21"/>
          <w:sz w:val="23"/>
        </w:rPr>
        <w:t> </w:t>
      </w:r>
      <w:r>
        <w:rPr>
          <w:sz w:val="23"/>
        </w:rPr>
        <w:t>1997.</w:t>
      </w:r>
    </w:p>
    <w:p>
      <w:pPr>
        <w:pStyle w:val="ListParagraph"/>
        <w:numPr>
          <w:ilvl w:val="2"/>
          <w:numId w:val="5"/>
        </w:numPr>
        <w:tabs>
          <w:tab w:pos="677" w:val="left" w:leader="none"/>
        </w:tabs>
        <w:spacing w:line="364" w:lineRule="auto" w:before="194" w:after="0"/>
        <w:ind w:left="676" w:right="108" w:hanging="350"/>
        <w:jc w:val="both"/>
        <w:rPr>
          <w:sz w:val="23"/>
        </w:rPr>
      </w:pPr>
      <w:r>
        <w:rPr>
          <w:sz w:val="23"/>
        </w:rPr>
        <w:t>Consejo Nacional de Población, </w:t>
      </w:r>
      <w:r>
        <w:rPr>
          <w:i/>
          <w:sz w:val="23"/>
        </w:rPr>
        <w:t>Boletín de Migración Internacional 2</w:t>
      </w:r>
      <w:r>
        <w:rPr>
          <w:sz w:val="23"/>
        </w:rPr>
        <w:t>: </w:t>
      </w:r>
      <w:r>
        <w:rPr>
          <w:i/>
          <w:sz w:val="23"/>
        </w:rPr>
        <w:t>Migración indocumentada a los Estados Unidos; devoluciones realizadas  </w:t>
      </w:r>
      <w:r>
        <w:rPr>
          <w:i/>
          <w:sz w:val="23"/>
        </w:rPr>
        <w:t>por la patrulla</w:t>
      </w:r>
      <w:r>
        <w:rPr>
          <w:sz w:val="23"/>
        </w:rPr>
        <w:t>, México, julio-agosto,</w:t>
      </w:r>
      <w:r>
        <w:rPr>
          <w:spacing w:val="40"/>
          <w:sz w:val="23"/>
        </w:rPr>
        <w:t> </w:t>
      </w:r>
      <w:r>
        <w:rPr>
          <w:sz w:val="23"/>
        </w:rPr>
        <w:t>1997.</w:t>
      </w:r>
    </w:p>
    <w:p>
      <w:pPr>
        <w:pStyle w:val="BodyText"/>
        <w:spacing w:before="6"/>
        <w:rPr>
          <w:sz w:val="17"/>
        </w:rPr>
      </w:pPr>
    </w:p>
    <w:p>
      <w:pPr>
        <w:pStyle w:val="ListParagraph"/>
        <w:numPr>
          <w:ilvl w:val="2"/>
          <w:numId w:val="5"/>
        </w:numPr>
        <w:tabs>
          <w:tab w:pos="677" w:val="left" w:leader="none"/>
        </w:tabs>
        <w:spacing w:line="364" w:lineRule="auto" w:before="0" w:after="0"/>
        <w:ind w:left="676" w:right="261" w:hanging="350"/>
        <w:jc w:val="left"/>
        <w:rPr>
          <w:sz w:val="23"/>
        </w:rPr>
      </w:pPr>
      <w:r>
        <w:rPr>
          <w:sz w:val="23"/>
        </w:rPr>
        <w:t>Conapo, Secretaría del Trabajo y Previsión Social y El Colegio de la Frontera Norte, </w:t>
      </w:r>
      <w:r>
        <w:rPr>
          <w:i/>
          <w:sz w:val="23"/>
        </w:rPr>
        <w:t>Encuesta sobre Migración en la Frontera Norte de México, </w:t>
      </w:r>
      <w:r>
        <w:rPr>
          <w:i/>
          <w:sz w:val="23"/>
        </w:rPr>
        <w:t>1995</w:t>
      </w:r>
      <w:r>
        <w:rPr>
          <w:sz w:val="23"/>
        </w:rPr>
        <w:t>, Tijuana, México,</w:t>
      </w:r>
      <w:r>
        <w:rPr>
          <w:spacing w:val="30"/>
          <w:sz w:val="23"/>
        </w:rPr>
        <w:t> </w:t>
      </w:r>
      <w:r>
        <w:rPr>
          <w:sz w:val="23"/>
        </w:rPr>
        <w:t>1998.</w:t>
      </w:r>
    </w:p>
    <w:p>
      <w:pPr>
        <w:pStyle w:val="ListParagraph"/>
        <w:numPr>
          <w:ilvl w:val="2"/>
          <w:numId w:val="5"/>
        </w:numPr>
        <w:tabs>
          <w:tab w:pos="677" w:val="left" w:leader="none"/>
        </w:tabs>
        <w:spacing w:line="240" w:lineRule="auto" w:before="197" w:after="0"/>
        <w:ind w:left="676" w:right="0" w:hanging="350"/>
        <w:jc w:val="left"/>
        <w:rPr>
          <w:sz w:val="23"/>
        </w:rPr>
      </w:pPr>
      <w:r>
        <w:rPr>
          <w:sz w:val="23"/>
        </w:rPr>
        <w:t>Damodar N. Gujarati. </w:t>
      </w:r>
      <w:r>
        <w:rPr>
          <w:i/>
          <w:sz w:val="23"/>
        </w:rPr>
        <w:t>Econometría. McGaw Hill.</w:t>
      </w:r>
      <w:r>
        <w:rPr>
          <w:i/>
          <w:spacing w:val="61"/>
          <w:sz w:val="23"/>
        </w:rPr>
        <w:t> </w:t>
      </w:r>
      <w:r>
        <w:rPr>
          <w:sz w:val="23"/>
        </w:rPr>
        <w:t>2003.</w:t>
      </w:r>
    </w:p>
    <w:p>
      <w:pPr>
        <w:pStyle w:val="BodyText"/>
        <w:spacing w:before="11"/>
        <w:rPr>
          <w:sz w:val="28"/>
        </w:rPr>
      </w:pPr>
    </w:p>
    <w:p>
      <w:pPr>
        <w:pStyle w:val="ListParagraph"/>
        <w:numPr>
          <w:ilvl w:val="2"/>
          <w:numId w:val="5"/>
        </w:numPr>
        <w:tabs>
          <w:tab w:pos="677" w:val="left" w:leader="none"/>
        </w:tabs>
        <w:spacing w:line="367" w:lineRule="auto" w:before="0" w:after="0"/>
        <w:ind w:left="676" w:right="107" w:hanging="350"/>
        <w:jc w:val="both"/>
        <w:rPr>
          <w:sz w:val="23"/>
        </w:rPr>
      </w:pPr>
      <w:r>
        <w:rPr>
          <w:sz w:val="23"/>
        </w:rPr>
        <w:t>Donald F. Ferry, Steven R. Wilson. </w:t>
      </w:r>
      <w:r>
        <w:rPr>
          <w:i/>
          <w:sz w:val="23"/>
        </w:rPr>
        <w:t>Remesas de  inmigrantes.  2005.  </w:t>
      </w:r>
      <w:r>
        <w:rPr>
          <w:i/>
          <w:sz w:val="23"/>
        </w:rPr>
        <w:t>moneda de cambio económico y social</w:t>
      </w:r>
      <w:r>
        <w:rPr>
          <w:sz w:val="23"/>
        </w:rPr>
        <w:t>. Banco Interamericano  de  Desarrollo. The Word Express, Inc.</w:t>
      </w:r>
      <w:r>
        <w:rPr>
          <w:spacing w:val="45"/>
          <w:sz w:val="23"/>
        </w:rPr>
        <w:t> </w:t>
      </w:r>
      <w:r>
        <w:rPr>
          <w:sz w:val="23"/>
        </w:rPr>
        <w:t>2005.</w:t>
      </w:r>
    </w:p>
    <w:p>
      <w:pPr>
        <w:pStyle w:val="ListParagraph"/>
        <w:numPr>
          <w:ilvl w:val="2"/>
          <w:numId w:val="5"/>
        </w:numPr>
        <w:tabs>
          <w:tab w:pos="677" w:val="left" w:leader="none"/>
        </w:tabs>
        <w:spacing w:line="367" w:lineRule="auto" w:before="194" w:after="0"/>
        <w:ind w:left="676" w:right="105" w:hanging="350"/>
        <w:jc w:val="both"/>
        <w:rPr>
          <w:sz w:val="23"/>
        </w:rPr>
      </w:pPr>
      <w:r>
        <w:rPr>
          <w:sz w:val="23"/>
        </w:rPr>
        <w:t>Douglas S. Massey. </w:t>
      </w:r>
      <w:r>
        <w:rPr>
          <w:i/>
          <w:sz w:val="23"/>
        </w:rPr>
        <w:t>Teoría sobre la migración internacional: una reseña y </w:t>
      </w:r>
      <w:r>
        <w:rPr>
          <w:i/>
          <w:sz w:val="23"/>
        </w:rPr>
        <w:t>evaluación. En: Migraciones y mercados de trabajo</w:t>
      </w:r>
      <w:r>
        <w:rPr>
          <w:sz w:val="23"/>
        </w:rPr>
        <w:t>. UAM, UNAM y Plaza Valdés. México, D.F.</w:t>
      </w:r>
      <w:r>
        <w:rPr>
          <w:spacing w:val="27"/>
          <w:sz w:val="23"/>
        </w:rPr>
        <w:t> </w:t>
      </w:r>
      <w:r>
        <w:rPr>
          <w:sz w:val="23"/>
        </w:rPr>
        <w:t>2000.</w:t>
      </w:r>
    </w:p>
    <w:p>
      <w:pPr>
        <w:pStyle w:val="BodyText"/>
        <w:spacing w:before="5"/>
        <w:rPr>
          <w:sz w:val="25"/>
        </w:rPr>
      </w:pPr>
    </w:p>
    <w:p>
      <w:pPr>
        <w:pStyle w:val="ListParagraph"/>
        <w:numPr>
          <w:ilvl w:val="2"/>
          <w:numId w:val="5"/>
        </w:numPr>
        <w:tabs>
          <w:tab w:pos="677" w:val="left" w:leader="none"/>
        </w:tabs>
        <w:spacing w:line="364" w:lineRule="auto" w:before="0" w:after="0"/>
        <w:ind w:left="676" w:right="299" w:hanging="350"/>
        <w:jc w:val="both"/>
        <w:rPr>
          <w:sz w:val="23"/>
        </w:rPr>
      </w:pPr>
      <w:r>
        <w:rPr>
          <w:sz w:val="23"/>
        </w:rPr>
        <w:t>El-Sakka, Mohammed. </w:t>
      </w:r>
      <w:r>
        <w:rPr>
          <w:i/>
          <w:sz w:val="23"/>
        </w:rPr>
        <w:t>Una perspectiva de las remesas en Medio Oriente </w:t>
      </w:r>
      <w:r>
        <w:rPr>
          <w:i/>
          <w:sz w:val="23"/>
        </w:rPr>
        <w:t>y el norte de África</w:t>
      </w:r>
      <w:r>
        <w:rPr>
          <w:sz w:val="23"/>
        </w:rPr>
        <w:t>. Banco Interamericano de Desarrollo. The Word Express, Inc.</w:t>
      </w:r>
      <w:r>
        <w:rPr>
          <w:spacing w:val="21"/>
          <w:sz w:val="23"/>
        </w:rPr>
        <w:t> </w:t>
      </w:r>
      <w:r>
        <w:rPr>
          <w:sz w:val="23"/>
        </w:rPr>
        <w:t>2005</w:t>
      </w:r>
    </w:p>
    <w:p>
      <w:pPr>
        <w:spacing w:after="0" w:line="364" w:lineRule="auto"/>
        <w:jc w:val="both"/>
        <w:rPr>
          <w:sz w:val="23"/>
        </w:rPr>
        <w:sectPr>
          <w:pgSz w:w="11900" w:h="16840"/>
          <w:pgMar w:header="0" w:footer="1679" w:top="1600" w:bottom="1860" w:left="1680" w:right="1580"/>
        </w:sectPr>
      </w:pPr>
    </w:p>
    <w:p>
      <w:pPr>
        <w:pStyle w:val="BodyText"/>
        <w:rPr>
          <w:sz w:val="20"/>
        </w:rPr>
      </w:pPr>
    </w:p>
    <w:p>
      <w:pPr>
        <w:pStyle w:val="BodyText"/>
        <w:spacing w:before="5"/>
        <w:rPr>
          <w:sz w:val="16"/>
        </w:rPr>
      </w:pPr>
    </w:p>
    <w:p>
      <w:pPr>
        <w:pStyle w:val="ListParagraph"/>
        <w:numPr>
          <w:ilvl w:val="2"/>
          <w:numId w:val="5"/>
        </w:numPr>
        <w:tabs>
          <w:tab w:pos="677" w:val="left" w:leader="none"/>
        </w:tabs>
        <w:spacing w:line="364" w:lineRule="auto" w:before="74" w:after="0"/>
        <w:ind w:left="676" w:right="107" w:hanging="350"/>
        <w:jc w:val="both"/>
        <w:rPr>
          <w:sz w:val="23"/>
        </w:rPr>
      </w:pPr>
      <w:r>
        <w:rPr>
          <w:sz w:val="23"/>
        </w:rPr>
        <w:t>Hernández-Coss, Raúl. </w:t>
      </w:r>
      <w:r>
        <w:rPr>
          <w:i/>
          <w:sz w:val="23"/>
        </w:rPr>
        <w:t>Lecciones sobre el cambio de sistemas de </w:t>
      </w:r>
      <w:r>
        <w:rPr>
          <w:i/>
          <w:sz w:val="23"/>
        </w:rPr>
        <w:t>transferencias informales a formales en el corredor de remesas Estados Unidos – México</w:t>
      </w:r>
      <w:r>
        <w:rPr>
          <w:sz w:val="23"/>
        </w:rPr>
        <w:t>. Banco Mundial. Washington, D.C. </w:t>
      </w:r>
      <w:r>
        <w:rPr>
          <w:spacing w:val="1"/>
          <w:sz w:val="23"/>
        </w:rPr>
        <w:t> </w:t>
      </w:r>
      <w:r>
        <w:rPr>
          <w:sz w:val="23"/>
        </w:rPr>
        <w:t>2004.</w:t>
      </w:r>
    </w:p>
    <w:p>
      <w:pPr>
        <w:pStyle w:val="BodyText"/>
        <w:spacing w:before="4"/>
        <w:rPr>
          <w:sz w:val="17"/>
        </w:rPr>
      </w:pPr>
    </w:p>
    <w:p>
      <w:pPr>
        <w:pStyle w:val="ListParagraph"/>
        <w:numPr>
          <w:ilvl w:val="2"/>
          <w:numId w:val="5"/>
        </w:numPr>
        <w:tabs>
          <w:tab w:pos="677" w:val="left" w:leader="none"/>
        </w:tabs>
        <w:spacing w:line="367" w:lineRule="auto" w:before="0" w:after="0"/>
        <w:ind w:left="676" w:right="552" w:hanging="350"/>
        <w:jc w:val="left"/>
        <w:rPr>
          <w:sz w:val="23"/>
        </w:rPr>
      </w:pPr>
      <w:r>
        <w:rPr>
          <w:sz w:val="23"/>
        </w:rPr>
        <w:t>Intriligator Michael D. </w:t>
      </w:r>
      <w:r>
        <w:rPr>
          <w:i/>
          <w:sz w:val="23"/>
        </w:rPr>
        <w:t>Modelos Econométricos, Técnicas y aplicaciones</w:t>
      </w:r>
      <w:r>
        <w:rPr>
          <w:sz w:val="23"/>
        </w:rPr>
        <w:t>. Fondo de Cultura Económica. México, D. F.</w:t>
      </w:r>
      <w:r>
        <w:rPr>
          <w:spacing w:val="53"/>
          <w:sz w:val="23"/>
        </w:rPr>
        <w:t> </w:t>
      </w:r>
      <w:r>
        <w:rPr>
          <w:sz w:val="23"/>
        </w:rPr>
        <w:t>1990.</w:t>
      </w:r>
    </w:p>
    <w:p>
      <w:pPr>
        <w:pStyle w:val="ListParagraph"/>
        <w:numPr>
          <w:ilvl w:val="2"/>
          <w:numId w:val="5"/>
        </w:numPr>
        <w:tabs>
          <w:tab w:pos="677" w:val="left" w:leader="none"/>
        </w:tabs>
        <w:spacing w:line="367" w:lineRule="auto" w:before="194" w:after="0"/>
        <w:ind w:left="676" w:right="521" w:hanging="350"/>
        <w:jc w:val="left"/>
        <w:rPr>
          <w:sz w:val="23"/>
        </w:rPr>
      </w:pPr>
      <w:r>
        <w:rPr>
          <w:sz w:val="23"/>
        </w:rPr>
        <w:t>Lianos, Theodore P. y Glytsos, Nicholas. </w:t>
      </w:r>
      <w:r>
        <w:rPr>
          <w:i/>
          <w:sz w:val="23"/>
        </w:rPr>
        <w:t>Las Remesas en Europa. </w:t>
      </w:r>
      <w:r>
        <w:rPr>
          <w:sz w:val="23"/>
        </w:rPr>
        <w:t>BID. 2005.</w:t>
      </w:r>
    </w:p>
    <w:p>
      <w:pPr>
        <w:pStyle w:val="ListParagraph"/>
        <w:numPr>
          <w:ilvl w:val="2"/>
          <w:numId w:val="5"/>
        </w:numPr>
        <w:tabs>
          <w:tab w:pos="677" w:val="left" w:leader="none"/>
        </w:tabs>
        <w:spacing w:line="364" w:lineRule="auto" w:before="194" w:after="0"/>
        <w:ind w:left="676" w:right="597" w:hanging="350"/>
        <w:jc w:val="left"/>
        <w:rPr>
          <w:sz w:val="23"/>
        </w:rPr>
      </w:pPr>
      <w:r>
        <w:rPr>
          <w:sz w:val="23"/>
        </w:rPr>
        <w:t>Martin, P.L. The Unfinished Store: </w:t>
      </w:r>
      <w:r>
        <w:rPr>
          <w:i/>
          <w:sz w:val="23"/>
        </w:rPr>
        <w:t>Turkish Labour Migration to Western </w:t>
      </w:r>
      <w:r>
        <w:rPr>
          <w:i/>
          <w:sz w:val="23"/>
        </w:rPr>
        <w:t>Europe. Geneva: International Labour  Organization</w:t>
      </w:r>
      <w:r>
        <w:rPr>
          <w:sz w:val="23"/>
        </w:rPr>
        <w:t>.  1995.</w:t>
      </w:r>
    </w:p>
    <w:p>
      <w:pPr>
        <w:pStyle w:val="BodyText"/>
        <w:spacing w:before="6"/>
        <w:rPr>
          <w:sz w:val="17"/>
        </w:rPr>
      </w:pPr>
    </w:p>
    <w:p>
      <w:pPr>
        <w:pStyle w:val="ListParagraph"/>
        <w:numPr>
          <w:ilvl w:val="2"/>
          <w:numId w:val="5"/>
        </w:numPr>
        <w:tabs>
          <w:tab w:pos="677" w:val="left" w:leader="none"/>
        </w:tabs>
        <w:spacing w:line="367" w:lineRule="auto" w:before="0" w:after="0"/>
        <w:ind w:left="676" w:right="108" w:hanging="350"/>
        <w:jc w:val="left"/>
        <w:rPr>
          <w:sz w:val="23"/>
        </w:rPr>
      </w:pPr>
      <w:r>
        <w:rPr>
          <w:sz w:val="23"/>
        </w:rPr>
        <w:t>Murono, Alexis Frances. </w:t>
      </w:r>
      <w:r>
        <w:rPr>
          <w:i/>
          <w:sz w:val="23"/>
        </w:rPr>
        <w:t>History of the Japanese Inmigrantes in Peru</w:t>
      </w:r>
      <w:r>
        <w:rPr>
          <w:sz w:val="23"/>
        </w:rPr>
        <w:t>. En Peruvian Japanese Internment. Wake Forest University.  2002.</w:t>
      </w:r>
    </w:p>
    <w:p>
      <w:pPr>
        <w:pStyle w:val="ListParagraph"/>
        <w:numPr>
          <w:ilvl w:val="2"/>
          <w:numId w:val="5"/>
        </w:numPr>
        <w:tabs>
          <w:tab w:pos="677" w:val="left" w:leader="none"/>
        </w:tabs>
        <w:spacing w:line="240" w:lineRule="auto" w:before="192" w:after="0"/>
        <w:ind w:left="676" w:right="0" w:hanging="350"/>
        <w:jc w:val="left"/>
        <w:rPr>
          <w:sz w:val="23"/>
        </w:rPr>
      </w:pPr>
      <w:r>
        <w:rPr>
          <w:sz w:val="23"/>
        </w:rPr>
        <w:t>Samuelson, Paul A., Nordhaus, William D. </w:t>
      </w:r>
      <w:r>
        <w:rPr>
          <w:i/>
          <w:sz w:val="23"/>
        </w:rPr>
        <w:t>Economía</w:t>
      </w:r>
      <w:r>
        <w:rPr>
          <w:sz w:val="23"/>
        </w:rPr>
        <w:t>. MacGrawHill. </w:t>
      </w:r>
      <w:r>
        <w:rPr>
          <w:spacing w:val="16"/>
          <w:sz w:val="23"/>
        </w:rPr>
        <w:t> </w:t>
      </w:r>
      <w:r>
        <w:rPr>
          <w:sz w:val="23"/>
        </w:rPr>
        <w:t>2002</w:t>
      </w:r>
    </w:p>
    <w:p>
      <w:pPr>
        <w:pStyle w:val="BodyText"/>
        <w:spacing w:before="11"/>
        <w:rPr>
          <w:sz w:val="28"/>
        </w:rPr>
      </w:pPr>
    </w:p>
    <w:p>
      <w:pPr>
        <w:pStyle w:val="ListParagraph"/>
        <w:numPr>
          <w:ilvl w:val="2"/>
          <w:numId w:val="5"/>
        </w:numPr>
        <w:tabs>
          <w:tab w:pos="677" w:val="left" w:leader="none"/>
        </w:tabs>
        <w:spacing w:line="367" w:lineRule="auto" w:before="0" w:after="0"/>
        <w:ind w:left="676" w:right="105" w:hanging="350"/>
        <w:jc w:val="left"/>
        <w:rPr>
          <w:sz w:val="23"/>
        </w:rPr>
      </w:pPr>
      <w:r>
        <w:rPr>
          <w:sz w:val="23"/>
        </w:rPr>
        <w:t>Sergio Bendixen y Erin St. Onge. </w:t>
      </w:r>
      <w:r>
        <w:rPr>
          <w:i/>
          <w:sz w:val="23"/>
        </w:rPr>
        <w:t>Remesas de Estados Unidos y Japón a </w:t>
      </w:r>
      <w:r>
        <w:rPr>
          <w:i/>
          <w:sz w:val="23"/>
        </w:rPr>
        <w:t>América Latina: análisis de encuestas</w:t>
      </w:r>
      <w:r>
        <w:rPr>
          <w:sz w:val="23"/>
        </w:rPr>
        <w:t>. BID.</w:t>
      </w:r>
      <w:r>
        <w:rPr>
          <w:spacing w:val="51"/>
          <w:sz w:val="23"/>
        </w:rPr>
        <w:t> </w:t>
      </w:r>
      <w:r>
        <w:rPr>
          <w:sz w:val="23"/>
        </w:rPr>
        <w:t>2005.</w:t>
      </w:r>
    </w:p>
    <w:p>
      <w:pPr>
        <w:pStyle w:val="ListParagraph"/>
        <w:numPr>
          <w:ilvl w:val="2"/>
          <w:numId w:val="5"/>
        </w:numPr>
        <w:tabs>
          <w:tab w:pos="677" w:val="left" w:leader="none"/>
        </w:tabs>
        <w:spacing w:line="240" w:lineRule="auto" w:before="197" w:after="0"/>
        <w:ind w:left="676" w:right="0" w:hanging="350"/>
        <w:jc w:val="left"/>
        <w:rPr>
          <w:i/>
          <w:sz w:val="23"/>
        </w:rPr>
      </w:pPr>
      <w:r>
        <w:rPr>
          <w:sz w:val="23"/>
        </w:rPr>
        <w:t>Zeller, Manfred. </w:t>
      </w:r>
      <w:r>
        <w:rPr>
          <w:i/>
          <w:sz w:val="23"/>
        </w:rPr>
        <w:t>Models of Rural</w:t>
      </w:r>
      <w:r>
        <w:rPr>
          <w:i/>
          <w:spacing w:val="41"/>
          <w:sz w:val="23"/>
        </w:rPr>
        <w:t> </w:t>
      </w:r>
      <w:r>
        <w:rPr>
          <w:i/>
          <w:sz w:val="23"/>
        </w:rPr>
        <w:t>Fin</w:t>
      </w:r>
    </w:p>
    <w:p>
      <w:pPr>
        <w:spacing w:after="0" w:line="240" w:lineRule="auto"/>
        <w:jc w:val="left"/>
        <w:rPr>
          <w:sz w:val="23"/>
        </w:rPr>
        <w:sectPr>
          <w:pgSz w:w="11900" w:h="16840"/>
          <w:pgMar w:header="0" w:footer="1679" w:top="1600" w:bottom="1860" w:left="1680" w:right="1580"/>
        </w:sectPr>
      </w:pPr>
    </w:p>
    <w:p>
      <w:pPr>
        <w:pStyle w:val="BodyText"/>
        <w:rPr>
          <w:i/>
          <w:sz w:val="20"/>
        </w:rPr>
      </w:pPr>
    </w:p>
    <w:p>
      <w:pPr>
        <w:pStyle w:val="BodyText"/>
        <w:spacing w:before="7"/>
        <w:rPr>
          <w:i/>
          <w:sz w:val="17"/>
        </w:rPr>
      </w:pPr>
    </w:p>
    <w:p>
      <w:pPr>
        <w:pStyle w:val="Heading1"/>
        <w:spacing w:line="362" w:lineRule="auto" w:before="56"/>
        <w:ind w:left="2815" w:right="921" w:hanging="1880"/>
      </w:pPr>
      <w:r>
        <w:rPr/>
        <w:t>3. ANÁLISIS DE LA MIGRACIÓN MÉXICO- ESTADOS UNIDOS</w:t>
      </w:r>
    </w:p>
    <w:p>
      <w:pPr>
        <w:pStyle w:val="Heading4"/>
        <w:spacing w:before="197"/>
        <w:ind w:left="105" w:right="101"/>
        <w:jc w:val="center"/>
      </w:pPr>
      <w:r>
        <w:rPr/>
        <w:t>Esther Figueroa Hernández</w:t>
      </w:r>
    </w:p>
    <w:p>
      <w:pPr>
        <w:spacing w:before="10"/>
        <w:ind w:left="102" w:right="101" w:firstLine="0"/>
        <w:jc w:val="center"/>
        <w:rPr>
          <w:sz w:val="19"/>
        </w:rPr>
      </w:pPr>
      <w:r>
        <w:rPr>
          <w:sz w:val="19"/>
        </w:rPr>
        <w:t>Universidad Autônoma del Estado de México,   </w:t>
      </w:r>
      <w:hyperlink r:id="rId17">
        <w:r>
          <w:rPr>
            <w:sz w:val="19"/>
          </w:rPr>
          <w:t>esfigue_3@yahoo.com.mx</w:t>
        </w:r>
      </w:hyperlink>
    </w:p>
    <w:p>
      <w:pPr>
        <w:pStyle w:val="BodyText"/>
        <w:spacing w:before="8"/>
        <w:rPr>
          <w:sz w:val="16"/>
        </w:rPr>
      </w:pPr>
    </w:p>
    <w:p>
      <w:pPr>
        <w:pStyle w:val="Heading4"/>
        <w:spacing w:before="1"/>
        <w:ind w:left="102" w:right="101"/>
        <w:jc w:val="center"/>
      </w:pPr>
      <w:r>
        <w:rPr/>
        <w:t>Francisco Pérez Soto</w:t>
      </w:r>
    </w:p>
    <w:p>
      <w:pPr>
        <w:spacing w:before="10"/>
        <w:ind w:left="109" w:right="101" w:firstLine="0"/>
        <w:jc w:val="center"/>
        <w:rPr>
          <w:sz w:val="19"/>
        </w:rPr>
      </w:pPr>
      <w:r>
        <w:rPr>
          <w:sz w:val="19"/>
        </w:rPr>
        <w:t>Universidad  Autônoma  Chapingo, </w:t>
      </w:r>
      <w:hyperlink r:id="rId19">
        <w:r>
          <w:rPr>
            <w:sz w:val="19"/>
          </w:rPr>
          <w:t>perezsotof@hotmail.com</w:t>
        </w:r>
      </w:hyperlink>
    </w:p>
    <w:p>
      <w:pPr>
        <w:pStyle w:val="BodyText"/>
        <w:spacing w:before="11"/>
        <w:rPr>
          <w:sz w:val="16"/>
        </w:rPr>
      </w:pPr>
    </w:p>
    <w:p>
      <w:pPr>
        <w:pStyle w:val="Heading4"/>
        <w:ind w:left="106" w:right="101"/>
        <w:jc w:val="center"/>
      </w:pPr>
      <w:r>
        <w:rPr/>
        <w:t>Gerónimo Barrios Puente</w:t>
      </w:r>
    </w:p>
    <w:p>
      <w:pPr>
        <w:spacing w:before="123"/>
        <w:ind w:left="105" w:right="101" w:firstLine="0"/>
        <w:jc w:val="center"/>
        <w:rPr>
          <w:sz w:val="19"/>
        </w:rPr>
      </w:pPr>
      <w:r>
        <w:rPr>
          <w:sz w:val="19"/>
        </w:rPr>
        <w:t>Universidad  Autônoma  Chapingo, </w:t>
      </w:r>
      <w:hyperlink r:id="rId139">
        <w:r>
          <w:rPr>
            <w:sz w:val="19"/>
          </w:rPr>
          <w:t>gbarrios@yahoo.com.mx</w:t>
        </w:r>
      </w:hyperlink>
    </w:p>
    <w:p>
      <w:pPr>
        <w:pStyle w:val="Heading4"/>
        <w:spacing w:before="118"/>
        <w:ind w:left="107" w:right="101"/>
        <w:jc w:val="center"/>
      </w:pPr>
      <w:r>
        <w:rPr/>
        <w:t>Orsohe Ramírez Abarca</w:t>
      </w:r>
    </w:p>
    <w:p>
      <w:pPr>
        <w:spacing w:before="10"/>
        <w:ind w:left="107" w:right="101" w:firstLine="0"/>
        <w:jc w:val="center"/>
        <w:rPr>
          <w:sz w:val="19"/>
        </w:rPr>
      </w:pPr>
      <w:r>
        <w:rPr>
          <w:sz w:val="19"/>
        </w:rPr>
        <w:t>Universidad Autônoma Del Estado de México,   </w:t>
      </w:r>
      <w:hyperlink r:id="rId18">
        <w:r>
          <w:rPr>
            <w:sz w:val="19"/>
          </w:rPr>
          <w:t>orsohe@yahoo.com</w:t>
        </w:r>
      </w:hyperlink>
    </w:p>
    <w:p>
      <w:pPr>
        <w:pStyle w:val="BodyText"/>
        <w:spacing w:before="8"/>
        <w:rPr>
          <w:sz w:val="16"/>
        </w:rPr>
      </w:pPr>
    </w:p>
    <w:p>
      <w:pPr>
        <w:pStyle w:val="Heading4"/>
        <w:spacing w:before="1"/>
        <w:ind w:left="105" w:right="101"/>
        <w:jc w:val="center"/>
      </w:pPr>
      <w:r>
        <w:rPr/>
        <w:t>Jesús Loera Martínez</w:t>
      </w:r>
    </w:p>
    <w:p>
      <w:pPr>
        <w:spacing w:before="126"/>
        <w:ind w:left="105" w:right="101" w:firstLine="0"/>
        <w:jc w:val="center"/>
        <w:rPr>
          <w:sz w:val="19"/>
        </w:rPr>
      </w:pPr>
      <w:r>
        <w:rPr>
          <w:sz w:val="19"/>
        </w:rPr>
        <w:t>Universidad  Autónoma  Chapingo,  jloeramtz2004@yahoo.com.mx; </w:t>
      </w:r>
      <w:hyperlink r:id="rId20">
        <w:r>
          <w:rPr>
            <w:sz w:val="19"/>
          </w:rPr>
          <w:t>jloeramtz2004@gmail.com</w:t>
        </w:r>
      </w:hyperlink>
    </w:p>
    <w:p>
      <w:pPr>
        <w:pStyle w:val="BodyText"/>
        <w:rPr>
          <w:sz w:val="18"/>
        </w:rPr>
      </w:pPr>
    </w:p>
    <w:p>
      <w:pPr>
        <w:pStyle w:val="BodyText"/>
        <w:rPr>
          <w:sz w:val="18"/>
        </w:rPr>
      </w:pPr>
    </w:p>
    <w:p>
      <w:pPr>
        <w:pStyle w:val="ListParagraph"/>
        <w:numPr>
          <w:ilvl w:val="3"/>
          <w:numId w:val="5"/>
        </w:numPr>
        <w:tabs>
          <w:tab w:pos="1166" w:val="left" w:leader="none"/>
          <w:tab w:pos="1168" w:val="left" w:leader="none"/>
        </w:tabs>
        <w:spacing w:line="240" w:lineRule="auto" w:before="147" w:after="0"/>
        <w:ind w:left="1167" w:right="0" w:hanging="701"/>
        <w:jc w:val="left"/>
        <w:rPr>
          <w:b/>
          <w:sz w:val="31"/>
        </w:rPr>
      </w:pPr>
      <w:r>
        <w:rPr>
          <w:b/>
          <w:sz w:val="31"/>
        </w:rPr>
        <w:t>INTRODUCCIÓN</w:t>
      </w:r>
    </w:p>
    <w:p>
      <w:pPr>
        <w:pStyle w:val="BodyText"/>
        <w:spacing w:before="10"/>
        <w:rPr>
          <w:b/>
          <w:sz w:val="32"/>
        </w:rPr>
      </w:pPr>
    </w:p>
    <w:p>
      <w:pPr>
        <w:pStyle w:val="BodyText"/>
        <w:spacing w:line="364" w:lineRule="auto"/>
        <w:ind w:left="115" w:right="105"/>
        <w:jc w:val="both"/>
      </w:pPr>
      <w:r>
        <w:rPr/>
        <w:t>La migración internacional es uno de los grandes fenómenos globales de nuestros días. En el mundo contemporáneo es cada vez mayor la movilidad de personas  que cruzan límites internacionales y se desplazan a países incluso distantes. La mayoría de los movimientos poblacionales en todas las regiones geográficas del mundo obedecen a motivaciones vinculadas con la búsqueda de mejores condiciones de vida, a lo cual subyace la operación de diversos y complejos factores estructurales, como son las asimetrías económicas, la creciente interdependencia y las intensas relaciones e intercambios entre los </w:t>
      </w:r>
      <w:r>
        <w:rPr>
          <w:spacing w:val="16"/>
        </w:rPr>
        <w:t> </w:t>
      </w:r>
      <w:r>
        <w:rPr/>
        <w:t>países.</w:t>
      </w:r>
    </w:p>
    <w:p>
      <w:pPr>
        <w:pStyle w:val="BodyText"/>
        <w:rPr>
          <w:sz w:val="22"/>
        </w:rPr>
      </w:pPr>
    </w:p>
    <w:p>
      <w:pPr>
        <w:pStyle w:val="BodyText"/>
        <w:rPr>
          <w:sz w:val="22"/>
        </w:rPr>
      </w:pPr>
    </w:p>
    <w:p>
      <w:pPr>
        <w:pStyle w:val="BodyText"/>
        <w:spacing w:before="1"/>
        <w:rPr>
          <w:sz w:val="25"/>
        </w:rPr>
      </w:pPr>
    </w:p>
    <w:p>
      <w:pPr>
        <w:pStyle w:val="BodyText"/>
        <w:spacing w:line="364" w:lineRule="auto"/>
        <w:ind w:left="115" w:right="106"/>
        <w:jc w:val="both"/>
      </w:pPr>
      <w:r>
        <w:rPr/>
        <w:t>El funcionamiento de complejas redes sociales y familiares entre los países de origen y destino ha contribuido, a su vez, a propiciar que los migrantes respondan con cierta rapidez a informaciones y oportunidades que se originan en países vecinos  o distantes, conformando mercados laborales </w:t>
      </w:r>
      <w:r>
        <w:rPr>
          <w:i/>
        </w:rPr>
        <w:t>de facto </w:t>
      </w:r>
      <w:r>
        <w:rPr/>
        <w:t>que trascienden   las fronteras</w:t>
      </w:r>
      <w:r>
        <w:rPr>
          <w:spacing w:val="27"/>
        </w:rPr>
        <w:t> </w:t>
      </w:r>
      <w:r>
        <w:rPr/>
        <w:t>nacionales.</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25" w:right="184"/>
        <w:jc w:val="both"/>
      </w:pPr>
      <w:r>
        <w:rPr/>
        <w:t>La población emigrante internacional se incremento significativamente durante la década de los ochenta. El volumen de  migrantes creció a un 0.7% en el periodo  de 1960-1970, mientras que el periodo 1980-1990 lo hizo a un ritmo anual de  4.3%, en cambio en la última década del siglo XX el crecimiento de los migrantes en el mundo creció a 1.3% anual, el cual representa un aumento de 20.9 millones de migrantes para ese</w:t>
      </w:r>
      <w:r>
        <w:rPr>
          <w:spacing w:val="37"/>
        </w:rPr>
        <w:t> </w:t>
      </w:r>
      <w:r>
        <w:rPr/>
        <w:t>periodo.</w:t>
      </w:r>
    </w:p>
    <w:p>
      <w:pPr>
        <w:pStyle w:val="BodyText"/>
        <w:rPr>
          <w:sz w:val="22"/>
        </w:rPr>
      </w:pPr>
    </w:p>
    <w:p>
      <w:pPr>
        <w:pStyle w:val="BodyText"/>
        <w:spacing w:before="11"/>
        <w:rPr>
          <w:sz w:val="29"/>
        </w:rPr>
      </w:pPr>
    </w:p>
    <w:p>
      <w:pPr>
        <w:pStyle w:val="Heading4"/>
        <w:ind w:left="490" w:right="228"/>
      </w:pPr>
      <w:r>
        <w:rPr/>
        <w:t>Figura 1. Volumen de inmigrantes por regiones (%), 1990,  2000 y  2005</w:t>
      </w:r>
    </w:p>
    <w:p>
      <w:pPr>
        <w:pStyle w:val="BodyText"/>
        <w:spacing w:before="8"/>
        <w:rPr>
          <w:b/>
          <w:sz w:val="10"/>
        </w:rPr>
      </w:pPr>
      <w:r>
        <w:rPr/>
        <w:pict>
          <v:group style="position:absolute;margin-left:83.759995pt;margin-top:8.122384pt;width:430.35pt;height:202.45pt;mso-position-horizontal-relative:page;mso-position-vertical-relative:paragraph;z-index:6136;mso-wrap-distance-left:0;mso-wrap-distance-right:0" coordorigin="1675,162" coordsize="8607,4049">
            <v:rect style="position:absolute;left:1762;top:244;width:8417;height:3881" filled="false" stroked="true" strokeweight=".12pt" strokecolor="#7f7f7f"/>
            <v:shape style="position:absolute;left:2436;top:2754;width:7383;height:116" coordorigin="2436,2754" coordsize="7383,116" path="m2436,2870l2602,2754,9818,2754e" filled="false" stroked="true" strokeweight=".12pt" strokecolor="#7f7f7f">
              <v:path arrowok="t"/>
            </v:shape>
            <v:shape style="position:absolute;left:2436;top:2344;width:7383;height:118" coordorigin="2436,2344" coordsize="7383,118" path="m2436,2462l2602,2344,9818,2344e" filled="false" stroked="true" strokeweight=".12pt" strokecolor="#7f7f7f">
              <v:path arrowok="t"/>
            </v:shape>
            <v:shape style="position:absolute;left:2436;top:1936;width:7383;height:118" coordorigin="2436,1936" coordsize="7383,118" path="m2436,2054l2602,1936,9818,1936e" filled="false" stroked="true" strokeweight=".12pt" strokecolor="#7f7f7f">
              <v:path arrowok="t"/>
            </v:shape>
            <v:shape style="position:absolute;left:2436;top:1528;width:7383;height:118" coordorigin="2436,1528" coordsize="7383,118" path="m2436,1646l2602,1528,9818,1528e" filled="false" stroked="true" strokeweight=".12pt" strokecolor="#7f7f7f">
              <v:path arrowok="t"/>
            </v:shape>
            <v:shape style="position:absolute;left:2436;top:1120;width:7383;height:116" coordorigin="2436,1120" coordsize="7383,116" path="m2436,1235l2602,1120,9818,1120e" filled="false" stroked="true" strokeweight=".12pt" strokecolor="#7f7f7f">
              <v:path arrowok="t"/>
            </v:shape>
            <v:shape style="position:absolute;left:2436;top:710;width:7383;height:118" coordorigin="2436,710" coordsize="7383,118" path="m2436,827l2602,710,9818,710e" filled="false" stroked="true" strokeweight=".12pt" strokecolor="#7f7f7f">
              <v:path arrowok="t"/>
            </v:shape>
            <v:shape style="position:absolute;left:2436;top:302;width:7383;height:118" coordorigin="2436,302" coordsize="7383,118" path="m2436,419l2602,302,9818,302e" filled="false" stroked="true" strokeweight=".12pt" strokecolor="#7f7f7f">
              <v:path arrowok="t"/>
            </v:shape>
            <v:shape style="position:absolute;left:2436;top:2754;width:7383;height:116" coordorigin="2436,2754" coordsize="7383,116" path="m9818,2754l9653,2870,2436,2870,2602,2754,9818,2754xe" filled="false" stroked="true" strokeweight=".12pt" strokecolor="#7f7f7f">
              <v:path arrowok="t"/>
            </v:shape>
            <v:shape style="position:absolute;left:2630;top:2550;width:677;height:290" type="#_x0000_t75" stroked="false">
              <v:imagedata r:id="rId141" o:title=""/>
            </v:shape>
            <v:shape style="position:absolute;left:3533;top:2505;width:674;height:336" type="#_x0000_t75" stroked="false">
              <v:imagedata r:id="rId142" o:title=""/>
            </v:shape>
            <v:shape style="position:absolute;left:5542;top:2126;width:77;height:716" coordorigin="5542,2126" coordsize="77,716" path="m5618,2126l5542,2171,5542,2841,5618,2783,5618,2126xe" filled="true" fillcolor="#27405f" stroked="false">
              <v:path arrowok="t"/>
              <v:fill type="solid"/>
            </v:shape>
            <v:rect style="position:absolute;left:5347;top:2171;width:194;height:670" filled="true" fillcolor="#4f80bc" stroked="false">
              <v:fill type="solid"/>
            </v:rect>
            <v:shape style="position:absolute;left:5347;top:2126;width:272;height:46" coordorigin="5347,2126" coordsize="272,46" path="m5618,2126l5407,2126,5347,2171,5542,2171,5618,2126xe" filled="true" fillcolor="#3a608d" stroked="false">
              <v:path arrowok="t"/>
              <v:fill type="solid"/>
            </v:shape>
            <v:shape style="position:absolute;left:5738;top:2126;width:75;height:716" coordorigin="5738,2126" coordsize="75,716" path="m5813,2126l5738,2171,5738,2841,5813,2783,5813,2126xe" filled="true" fillcolor="#5f2726" stroked="false">
              <v:path arrowok="t"/>
              <v:fill type="solid"/>
            </v:shape>
            <v:rect style="position:absolute;left:5542;top:2171;width:197;height:670" filled="true" fillcolor="#bf4f4d" stroked="false">
              <v:fill type="solid"/>
            </v:rect>
            <v:shape style="position:absolute;left:5542;top:2126;width:272;height:46" coordorigin="5542,2126" coordsize="272,46" path="m5813,2126l5618,2126,5542,2171,5738,2171,5813,2126xe" filled="true" fillcolor="#8f3b39" stroked="false">
              <v:path arrowok="t"/>
              <v:fill type="solid"/>
            </v:shape>
            <v:shape style="position:absolute;left:5738;top:2418;width:269;height:422" type="#_x0000_t75" stroked="false">
              <v:imagedata r:id="rId143" o:title=""/>
            </v:shape>
            <v:rect style="position:absolute;left:6247;top:1703;width:194;height:1138" filled="true" fillcolor="#4f80bc" stroked="false">
              <v:fill type="solid"/>
            </v:rect>
            <v:shape style="position:absolute;left:6247;top:1660;width:272;height:44" coordorigin="6247,1660" coordsize="272,44" path="m6518,1660l6307,1660,6247,1703,6442,1703,6518,1660xe" filled="true" fillcolor="#3a608d" stroked="false">
              <v:path arrowok="t"/>
              <v:fill type="solid"/>
            </v:shape>
            <v:line style="position:absolute" from="6676,1120" to="6676,1893" stroked="true" strokeweight="3.72pt" strokecolor="#5f2726"/>
            <v:rect style="position:absolute;left:6442;top:1163;width:197;height:1678" filled="true" fillcolor="#bf4f4d" stroked="false">
              <v:fill type="solid"/>
            </v:rect>
            <v:shape style="position:absolute;left:6442;top:1120;width:272;height:44" coordorigin="6442,1120" coordsize="272,44" path="m6713,1120l6518,1120,6442,1163,6638,1163,6713,1120xe" filled="true" fillcolor="#8f3b39" stroked="false">
              <v:path arrowok="t"/>
              <v:fill type="solid"/>
            </v:shape>
            <v:line style="position:absolute" from="6877,1835" to="6877,2841" stroked="true" strokeweight="3.0pt" strokecolor="#4e5e2d"/>
            <v:rect style="position:absolute;left:6638;top:1893;width:209;height:948" filled="true" fillcolor="#9aba59" stroked="false">
              <v:fill type="solid"/>
            </v:rect>
            <v:shape style="position:absolute;left:6638;top:1835;width:269;height:58" coordorigin="6638,1835" coordsize="269,58" path="m6907,1835l6713,1835,6638,1893,6847,1893,6907,1835xe" filled="true" fillcolor="#738b42" stroked="false">
              <v:path arrowok="t"/>
              <v:fill type="solid"/>
            </v:shape>
            <v:line style="position:absolute" from="8281,741" to="8281,798" stroked="true" strokeweight="3.72pt" strokecolor="#27405f"/>
            <v:rect style="position:absolute;left:8047;top:798;width:197;height:2042" filled="true" fillcolor="#4f80bc" stroked="false">
              <v:fill type="solid"/>
            </v:rect>
            <v:shape style="position:absolute;left:8047;top:741;width:272;height:58" coordorigin="8047,741" coordsize="272,58" path="m8318,741l8124,741,8047,798,8244,798,8318,741xe" filled="true" fillcolor="#3a608d" stroked="false">
              <v:path arrowok="t"/>
              <v:fill type="solid"/>
            </v:shape>
            <v:line style="position:absolute" from="8483,755" to="8483,1689" stroked="true" strokeweight="3.0pt" strokecolor="#5f2726"/>
            <v:rect style="position:absolute;left:8244;top:798;width:209;height:2042" filled="true" fillcolor="#bf4f4d" stroked="false">
              <v:fill type="solid"/>
            </v:rect>
            <v:shape style="position:absolute;left:8244;top:755;width:269;height:44" coordorigin="8244,755" coordsize="269,44" path="m8513,755l8318,755,8244,798,8453,798,8513,755xe" filled="true" fillcolor="#8f3b39" stroked="false">
              <v:path arrowok="t"/>
              <v:fill type="solid"/>
            </v:shape>
            <v:line style="position:absolute" from="8687,1646" to="8687,2841" stroked="true" strokeweight="3.72pt" strokecolor="#4e5e2d"/>
            <v:rect style="position:absolute;left:8453;top:1689;width:197;height:1152" filled="true" fillcolor="#9aba59" stroked="false">
              <v:fill type="solid"/>
            </v:rect>
            <v:shape style="position:absolute;left:8453;top:1646;width:272;height:44" coordorigin="8453,1646" coordsize="272,44" path="m8724,1646l8513,1646,8453,1689,8650,1689,8724,1646xe" filled="true" fillcolor="#738b42" stroked="false">
              <v:path arrowok="t"/>
              <v:fill type="solid"/>
            </v:shape>
            <v:rect style="position:absolute;left:8950;top:856;width:194;height:1985" filled="true" fillcolor="#4f80bc" stroked="false">
              <v:fill type="solid"/>
            </v:rect>
            <v:shape style="position:absolute;left:8950;top:813;width:269;height:44" coordorigin="8950,813" coordsize="269,44" path="m9218,813l9024,813,8950,856,9144,856,9218,813xe" filled="true" fillcolor="#3a608d" stroked="false">
              <v:path arrowok="t"/>
              <v:fill type="solid"/>
            </v:shape>
            <v:line style="position:absolute" from="9383,491" to="9383,1470" stroked="true" strokeweight="3.0pt" strokecolor="#5f2726"/>
            <v:rect style="position:absolute;left:9144;top:537;width:209;height:2304" filled="true" fillcolor="#bf4f4d" stroked="false">
              <v:fill type="solid"/>
            </v:rect>
            <v:shape style="position:absolute;left:9144;top:491;width:269;height:46" coordorigin="9144,491" coordsize="269,46" path="m9413,491l9218,491,9144,537,9353,537,9413,491xe" filled="true" fillcolor="#8f3b39" stroked="false">
              <v:path arrowok="t"/>
              <v:fill type="solid"/>
            </v:shape>
            <v:line style="position:absolute" from="9587,1410" to="9587,2841" stroked="true" strokeweight="3.72pt" strokecolor="#4e5e2d"/>
            <v:rect style="position:absolute;left:9353;top:1470;width:197;height:1370" filled="true" fillcolor="#9aba59" stroked="false">
              <v:fill type="solid"/>
            </v:rect>
            <v:shape style="position:absolute;left:9353;top:1410;width:272;height:60" coordorigin="9353,1410" coordsize="272,60" path="m9624,1410l9413,1410,9353,1470,9550,1470,9624,1410xe" filled="true" fillcolor="#738b42" stroked="false">
              <v:path arrowok="t"/>
              <v:fill type="solid"/>
            </v:shape>
            <v:line style="position:absolute" from="2436,2870" to="2436,419" stroked="true" strokeweight=".12pt" strokecolor="#7f7f7f"/>
            <v:line style="position:absolute" from="2436,2870" to="2390,2870" stroked="true" strokeweight=".12pt" strokecolor="#7f7f7f"/>
            <v:line style="position:absolute" from="2436,2462" to="2390,2462" stroked="true" strokeweight=".12pt" strokecolor="#7f7f7f"/>
            <v:line style="position:absolute" from="2436,2054" to="2390,2054" stroked="true" strokeweight=".12pt" strokecolor="#7f7f7f"/>
            <v:line style="position:absolute" from="2436,1646" to="2390,1646" stroked="true" strokeweight=".12pt" strokecolor="#7f7f7f"/>
            <v:line style="position:absolute" from="2436,1235" to="2390,1235" stroked="true" strokeweight=".12pt" strokecolor="#7f7f7f"/>
            <v:line style="position:absolute" from="2436,827" to="2390,827" stroked="true" strokeweight=".12pt" strokecolor="#7f7f7f"/>
            <v:line style="position:absolute" from="2436,419" to="2390,419" stroked="true" strokeweight=".12pt" strokecolor="#7f7f7f"/>
            <v:line style="position:absolute" from="2436,2870" to="9653,2870" stroked="true" strokeweight=".12pt" strokecolor="#7f7f7f"/>
            <v:rect style="position:absolute;left:4942;top:3849;width:106;height:101" filled="true" fillcolor="#4f80bc" stroked="false">
              <v:fill type="solid"/>
            </v:rect>
            <v:rect style="position:absolute;left:5693;top:3849;width:106;height:101" filled="true" fillcolor="#bf4f4d" stroked="false">
              <v:fill type="solid"/>
            </v:rect>
            <v:rect style="position:absolute;left:6442;top:3849;width:106;height:101" filled="true" fillcolor="#9aba59" stroked="false">
              <v:fill type="solid"/>
            </v:rect>
            <v:rect style="position:absolute;left:1762;top:244;width:8417;height:3881" filled="false" stroked="true" strokeweight=".12pt" strokecolor="#7f7f7f"/>
            <v:shape style="position:absolute;left:1675;top:162;width:8607;height:4049" coordorigin="1675,162" coordsize="8607,4049" path="m10282,162l1675,162,1675,4211,10282,4211,10282,4206,1687,4206,1680,4202,1687,4202,1687,172,1680,172,1687,167,10282,167,10282,162xm1687,4202l1680,4202,1687,4206,1687,4202xm10272,4202l1687,4202,1687,4206,10272,4206,10272,4202xm10272,167l10272,4206,10277,4202,10282,4202,10282,172,10277,172,10272,167xm10282,4202l10277,4202,10272,4206,10282,4206,10282,4202xm1687,167l1680,172,1687,172,1687,167xm10272,167l1687,167,1687,172,10272,172,10272,167xm10282,167l10272,167,10277,172,10282,172,10282,167xe" filled="true" fillcolor="#000000" stroked="false">
              <v:path arrowok="t"/>
              <v:fill type="solid"/>
            </v:shape>
            <v:shape style="position:absolute;left:2153;top:342;width:205;height:190" type="#_x0000_t202" filled="false" stroked="false">
              <v:textbox inset="0,0,0,0">
                <w:txbxContent>
                  <w:p>
                    <w:pPr>
                      <w:spacing w:line="190" w:lineRule="exact" w:before="0"/>
                      <w:ind w:left="0" w:right="-8" w:firstLine="0"/>
                      <w:jc w:val="left"/>
                      <w:rPr>
                        <w:rFonts w:ascii="Calibri"/>
                        <w:sz w:val="19"/>
                      </w:rPr>
                    </w:pPr>
                    <w:r>
                      <w:rPr>
                        <w:rFonts w:ascii="Calibri"/>
                        <w:sz w:val="19"/>
                      </w:rPr>
                      <w:t>60</w:t>
                    </w:r>
                  </w:p>
                </w:txbxContent>
              </v:textbox>
              <w10:wrap type="none"/>
            </v:shape>
            <v:shape style="position:absolute;left:8155;top:454;width:346;height:176" type="#_x0000_t202" filled="false" stroked="false">
              <v:textbox inset="0,0,0,0">
                <w:txbxContent>
                  <w:p>
                    <w:pPr>
                      <w:spacing w:line="175" w:lineRule="exact" w:before="0"/>
                      <w:ind w:left="0" w:right="-14" w:firstLine="0"/>
                      <w:jc w:val="left"/>
                      <w:rPr>
                        <w:rFonts w:ascii="Calibri"/>
                        <w:sz w:val="17"/>
                      </w:rPr>
                    </w:pPr>
                    <w:r>
                      <w:rPr>
                        <w:rFonts w:ascii="Calibri"/>
                        <w:w w:val="105"/>
                        <w:sz w:val="17"/>
                      </w:rPr>
                      <w:t>49.8</w:t>
                    </w:r>
                  </w:p>
                </w:txbxContent>
              </v:textbox>
              <w10:wrap type="none"/>
            </v:shape>
            <v:shape style="position:absolute;left:2153;top:750;width:205;height:190" type="#_x0000_t202" filled="false" stroked="false">
              <v:textbox inset="0,0,0,0">
                <w:txbxContent>
                  <w:p>
                    <w:pPr>
                      <w:spacing w:line="190" w:lineRule="exact" w:before="0"/>
                      <w:ind w:left="0" w:right="-8" w:firstLine="0"/>
                      <w:jc w:val="left"/>
                      <w:rPr>
                        <w:rFonts w:ascii="Calibri"/>
                        <w:sz w:val="19"/>
                      </w:rPr>
                    </w:pPr>
                    <w:r>
                      <w:rPr>
                        <w:rFonts w:ascii="Calibri"/>
                        <w:sz w:val="19"/>
                      </w:rPr>
                      <w:t>50</w:t>
                    </w:r>
                  </w:p>
                </w:txbxContent>
              </v:textbox>
              <w10:wrap type="none"/>
            </v:shape>
            <v:shape style="position:absolute;left:7898;top:673;width:175;height:161" type="#_x0000_t202" filled="false" stroked="false">
              <v:textbox inset="0,0,0,0">
                <w:txbxContent>
                  <w:p>
                    <w:pPr>
                      <w:spacing w:line="160" w:lineRule="exact" w:before="0"/>
                      <w:ind w:left="0" w:right="-8" w:firstLine="0"/>
                      <w:jc w:val="left"/>
                      <w:rPr>
                        <w:rFonts w:ascii="Calibri"/>
                        <w:sz w:val="16"/>
                      </w:rPr>
                    </w:pPr>
                    <w:r>
                      <w:rPr>
                        <w:rFonts w:ascii="Calibri"/>
                        <w:sz w:val="16"/>
                      </w:rPr>
                      <w:t>50</w:t>
                    </w:r>
                  </w:p>
                </w:txbxContent>
              </v:textbox>
              <w10:wrap type="none"/>
            </v:shape>
            <v:shape style="position:absolute;left:8815;top:324;width:632;height:479" type="#_x0000_t202" filled="false" stroked="false">
              <v:textbox inset="0,0,0,0">
                <w:txbxContent>
                  <w:p>
                    <w:pPr>
                      <w:spacing w:line="177" w:lineRule="exact" w:before="0"/>
                      <w:ind w:left="283" w:right="0" w:firstLine="0"/>
                      <w:jc w:val="left"/>
                      <w:rPr>
                        <w:rFonts w:ascii="Calibri"/>
                        <w:sz w:val="17"/>
                      </w:rPr>
                    </w:pPr>
                    <w:r>
                      <w:rPr>
                        <w:rFonts w:ascii="Calibri"/>
                        <w:w w:val="105"/>
                        <w:sz w:val="17"/>
                      </w:rPr>
                      <w:t>56.1</w:t>
                    </w:r>
                  </w:p>
                  <w:p>
                    <w:pPr>
                      <w:spacing w:line="192" w:lineRule="exact" w:before="109"/>
                      <w:ind w:left="0" w:right="0" w:firstLine="0"/>
                      <w:jc w:val="left"/>
                      <w:rPr>
                        <w:rFonts w:ascii="Calibri"/>
                        <w:sz w:val="16"/>
                      </w:rPr>
                    </w:pPr>
                    <w:r>
                      <w:rPr>
                        <w:rFonts w:ascii="Calibri"/>
                        <w:w w:val="105"/>
                        <w:sz w:val="16"/>
                      </w:rPr>
                      <w:t>48.4</w:t>
                    </w:r>
                  </w:p>
                </w:txbxContent>
              </v:textbox>
              <w10:wrap type="none"/>
            </v:shape>
            <v:shape style="position:absolute;left:6473;top:922;width:349;height:176" type="#_x0000_t202" filled="false" stroked="false">
              <v:textbox inset="0,0,0,0">
                <w:txbxContent>
                  <w:p>
                    <w:pPr>
                      <w:spacing w:line="175" w:lineRule="exact" w:before="0"/>
                      <w:ind w:left="0" w:right="0" w:firstLine="0"/>
                      <w:jc w:val="left"/>
                      <w:rPr>
                        <w:rFonts w:ascii="Calibri"/>
                        <w:sz w:val="17"/>
                      </w:rPr>
                    </w:pPr>
                    <w:r>
                      <w:rPr>
                        <w:rFonts w:ascii="Calibri"/>
                        <w:w w:val="105"/>
                        <w:sz w:val="17"/>
                      </w:rPr>
                      <w:t>40.8</w:t>
                    </w:r>
                  </w:p>
                </w:txbxContent>
              </v:textbox>
              <w10:wrap type="none"/>
            </v:shape>
            <v:shape style="position:absolute;left:2153;top:1158;width:205;height:190" type="#_x0000_t202" filled="false" stroked="false">
              <v:textbox inset="0,0,0,0">
                <w:txbxContent>
                  <w:p>
                    <w:pPr>
                      <w:spacing w:line="190" w:lineRule="exact" w:before="0"/>
                      <w:ind w:left="0" w:right="-8" w:firstLine="0"/>
                      <w:jc w:val="left"/>
                      <w:rPr>
                        <w:rFonts w:ascii="Calibri"/>
                        <w:sz w:val="19"/>
                      </w:rPr>
                    </w:pPr>
                    <w:r>
                      <w:rPr>
                        <w:rFonts w:ascii="Calibri"/>
                        <w:sz w:val="19"/>
                      </w:rPr>
                      <w:t>40</w:t>
                    </w:r>
                  </w:p>
                </w:txbxContent>
              </v:textbox>
              <w10:wrap type="none"/>
            </v:shape>
            <v:shape style="position:absolute;left:9475;top:1243;width:346;height:176" type="#_x0000_t202" filled="false" stroked="false">
              <v:textbox inset="0,0,0,0">
                <w:txbxContent>
                  <w:p>
                    <w:pPr>
                      <w:spacing w:line="175" w:lineRule="exact" w:before="0"/>
                      <w:ind w:left="0" w:right="-14" w:firstLine="0"/>
                      <w:jc w:val="left"/>
                      <w:rPr>
                        <w:rFonts w:ascii="Calibri"/>
                        <w:sz w:val="17"/>
                      </w:rPr>
                    </w:pPr>
                    <w:r>
                      <w:rPr>
                        <w:rFonts w:ascii="Calibri"/>
                        <w:w w:val="105"/>
                        <w:sz w:val="17"/>
                      </w:rPr>
                      <w:t>33.6</w:t>
                    </w:r>
                  </w:p>
                </w:txbxContent>
              </v:textbox>
              <w10:wrap type="none"/>
            </v:shape>
            <v:shape style="position:absolute;left:2153;top:1566;width:205;height:190" type="#_x0000_t202" filled="false" stroked="false">
              <v:textbox inset="0,0,0,0">
                <w:txbxContent>
                  <w:p>
                    <w:pPr>
                      <w:spacing w:line="190" w:lineRule="exact" w:before="0"/>
                      <w:ind w:left="0" w:right="-8" w:firstLine="0"/>
                      <w:jc w:val="left"/>
                      <w:rPr>
                        <w:rFonts w:ascii="Calibri"/>
                        <w:sz w:val="19"/>
                      </w:rPr>
                    </w:pPr>
                    <w:r>
                      <w:rPr>
                        <w:rFonts w:ascii="Calibri"/>
                        <w:sz w:val="19"/>
                      </w:rPr>
                      <w:t>30</w:t>
                    </w:r>
                  </w:p>
                </w:txbxContent>
              </v:textbox>
              <w10:wrap type="none"/>
            </v:shape>
            <v:shape style="position:absolute;left:6053;top:1489;width:310;height:161" type="#_x0000_t202" filled="false" stroked="false">
              <v:textbox inset="0,0,0,0">
                <w:txbxContent>
                  <w:p>
                    <w:pPr>
                      <w:spacing w:line="160" w:lineRule="exact" w:before="0"/>
                      <w:ind w:left="0" w:right="0" w:firstLine="0"/>
                      <w:jc w:val="left"/>
                      <w:rPr>
                        <w:rFonts w:ascii="Calibri"/>
                        <w:sz w:val="16"/>
                      </w:rPr>
                    </w:pPr>
                    <w:r>
                      <w:rPr>
                        <w:rFonts w:ascii="Calibri"/>
                        <w:sz w:val="16"/>
                      </w:rPr>
                      <w:t>27.6</w:t>
                    </w:r>
                  </w:p>
                </w:txbxContent>
              </v:textbox>
              <w10:wrap type="none"/>
            </v:shape>
            <v:shape style="position:absolute;left:8590;top:1447;width:197;height:176" type="#_x0000_t202" filled="false" stroked="false">
              <v:textbox inset="0,0,0,0">
                <w:txbxContent>
                  <w:p>
                    <w:pPr>
                      <w:spacing w:line="175" w:lineRule="exact" w:before="0"/>
                      <w:ind w:left="0" w:right="-4" w:firstLine="0"/>
                      <w:jc w:val="left"/>
                      <w:rPr>
                        <w:rFonts w:ascii="Calibri"/>
                        <w:sz w:val="17"/>
                      </w:rPr>
                    </w:pPr>
                    <w:r>
                      <w:rPr>
                        <w:rFonts w:ascii="Calibri"/>
                        <w:w w:val="105"/>
                        <w:sz w:val="17"/>
                      </w:rPr>
                      <w:t>28</w:t>
                    </w:r>
                  </w:p>
                </w:txbxContent>
              </v:textbox>
              <w10:wrap type="none"/>
            </v:shape>
            <v:shape style="position:absolute;left:6758;top:1680;width:346;height:176" type="#_x0000_t202" filled="false" stroked="false">
              <v:textbox inset="0,0,0,0">
                <w:txbxContent>
                  <w:p>
                    <w:pPr>
                      <w:spacing w:line="175" w:lineRule="exact" w:before="0"/>
                      <w:ind w:left="0" w:right="-14" w:firstLine="0"/>
                      <w:jc w:val="left"/>
                      <w:rPr>
                        <w:rFonts w:ascii="Calibri"/>
                        <w:sz w:val="17"/>
                      </w:rPr>
                    </w:pPr>
                    <w:r>
                      <w:rPr>
                        <w:rFonts w:ascii="Calibri"/>
                        <w:w w:val="105"/>
                        <w:sz w:val="17"/>
                      </w:rPr>
                      <w:t>23.3</w:t>
                    </w:r>
                  </w:p>
                </w:txbxContent>
              </v:textbox>
              <w10:wrap type="none"/>
            </v:shape>
            <v:shape style="position:absolute;left:2153;top:1976;width:205;height:190" type="#_x0000_t202" filled="false" stroked="false">
              <v:textbox inset="0,0,0,0">
                <w:txbxContent>
                  <w:p>
                    <w:pPr>
                      <w:spacing w:line="190" w:lineRule="exact" w:before="0"/>
                      <w:ind w:left="0" w:right="-8" w:firstLine="0"/>
                      <w:jc w:val="left"/>
                      <w:rPr>
                        <w:rFonts w:ascii="Calibri"/>
                        <w:sz w:val="19"/>
                      </w:rPr>
                    </w:pPr>
                    <w:r>
                      <w:rPr>
                        <w:rFonts w:ascii="Calibri"/>
                        <w:sz w:val="19"/>
                      </w:rPr>
                      <w:t>20</w:t>
                    </w:r>
                  </w:p>
                </w:txbxContent>
              </v:textbox>
              <w10:wrap type="none"/>
            </v:shape>
            <v:shape style="position:absolute;left:5138;top:1927;width:721;height:292" type="#_x0000_t202" filled="false" stroked="false">
              <v:textbox inset="0,0,0,0">
                <w:txbxContent>
                  <w:p>
                    <w:pPr>
                      <w:spacing w:line="138" w:lineRule="exact" w:before="0"/>
                      <w:ind w:left="374" w:right="0" w:firstLine="0"/>
                      <w:jc w:val="left"/>
                      <w:rPr>
                        <w:rFonts w:ascii="Calibri"/>
                        <w:sz w:val="17"/>
                      </w:rPr>
                    </w:pPr>
                    <w:r>
                      <w:rPr>
                        <w:rFonts w:ascii="Calibri"/>
                        <w:w w:val="105"/>
                        <w:sz w:val="17"/>
                      </w:rPr>
                      <w:t>16.3</w:t>
                    </w:r>
                  </w:p>
                  <w:p>
                    <w:pPr>
                      <w:spacing w:line="153" w:lineRule="exact" w:before="0"/>
                      <w:ind w:left="0" w:right="0" w:firstLine="0"/>
                      <w:jc w:val="left"/>
                      <w:rPr>
                        <w:rFonts w:ascii="Calibri"/>
                        <w:sz w:val="16"/>
                      </w:rPr>
                    </w:pPr>
                    <w:r>
                      <w:rPr>
                        <w:rFonts w:ascii="Calibri"/>
                        <w:w w:val="105"/>
                        <w:sz w:val="16"/>
                      </w:rPr>
                      <w:t>16.2</w:t>
                    </w:r>
                  </w:p>
                </w:txbxContent>
              </v:textbox>
              <w10:wrap type="none"/>
            </v:shape>
            <v:shape style="position:absolute;left:2153;top:2384;width:205;height:190" type="#_x0000_t202" filled="false" stroked="false">
              <v:textbox inset="0,0,0,0">
                <w:txbxContent>
                  <w:p>
                    <w:pPr>
                      <w:spacing w:line="190" w:lineRule="exact" w:before="0"/>
                      <w:ind w:left="0" w:right="-8" w:firstLine="0"/>
                      <w:jc w:val="left"/>
                      <w:rPr>
                        <w:rFonts w:ascii="Calibri"/>
                        <w:sz w:val="19"/>
                      </w:rPr>
                    </w:pPr>
                    <w:r>
                      <w:rPr>
                        <w:rFonts w:ascii="Calibri"/>
                        <w:sz w:val="19"/>
                      </w:rPr>
                      <w:t>10</w:t>
                    </w:r>
                  </w:p>
                </w:txbxContent>
              </v:textbox>
              <w10:wrap type="none"/>
            </v:shape>
            <v:shape style="position:absolute;left:2602;top:2323;width:483;height:290" type="#_x0000_t202" filled="false" stroked="false">
              <v:textbox inset="0,0,0,0">
                <w:txbxContent>
                  <w:p>
                    <w:pPr>
                      <w:spacing w:line="137" w:lineRule="exact" w:before="0"/>
                      <w:ind w:left="239" w:right="-2" w:firstLine="0"/>
                      <w:jc w:val="left"/>
                      <w:rPr>
                        <w:rFonts w:ascii="Calibri"/>
                        <w:sz w:val="17"/>
                      </w:rPr>
                    </w:pPr>
                    <w:r>
                      <w:rPr>
                        <w:rFonts w:ascii="Calibri"/>
                        <w:w w:val="105"/>
                        <w:sz w:val="17"/>
                      </w:rPr>
                      <w:t>5.8</w:t>
                    </w:r>
                  </w:p>
                  <w:p>
                    <w:pPr>
                      <w:spacing w:line="152" w:lineRule="exact" w:before="0"/>
                      <w:ind w:left="0" w:right="-2" w:firstLine="0"/>
                      <w:jc w:val="left"/>
                      <w:rPr>
                        <w:rFonts w:ascii="Calibri"/>
                        <w:sz w:val="16"/>
                      </w:rPr>
                    </w:pPr>
                    <w:r>
                      <w:rPr>
                        <w:rFonts w:ascii="Calibri"/>
                        <w:w w:val="105"/>
                        <w:sz w:val="16"/>
                      </w:rPr>
                      <w:t>4.8</w:t>
                    </w:r>
                  </w:p>
                </w:txbxContent>
              </v:textbox>
              <w10:wrap type="none"/>
            </v:shape>
            <v:shape style="position:absolute;left:3562;top:2322;width:84;height:161" type="#_x0000_t202" filled="false" stroked="false">
              <v:textbox inset="0,0,0,0">
                <w:txbxContent>
                  <w:p>
                    <w:pPr>
                      <w:spacing w:line="160" w:lineRule="exact" w:before="0"/>
                      <w:ind w:left="0" w:right="0" w:firstLine="0"/>
                      <w:jc w:val="left"/>
                      <w:rPr>
                        <w:rFonts w:ascii="Calibri"/>
                        <w:sz w:val="16"/>
                      </w:rPr>
                    </w:pPr>
                    <w:r>
                      <w:rPr>
                        <w:rFonts w:ascii="Calibri"/>
                        <w:w w:val="103"/>
                        <w:sz w:val="16"/>
                      </w:rPr>
                      <w:t>7</w:t>
                    </w:r>
                  </w:p>
                </w:txbxContent>
              </v:textbox>
              <w10:wrap type="none"/>
            </v:shape>
            <v:shape style="position:absolute;left:5950;top:2234;width:92;height:176" type="#_x0000_t202" filled="false" stroked="false">
              <v:textbox inset="0,0,0,0">
                <w:txbxContent>
                  <w:p>
                    <w:pPr>
                      <w:spacing w:line="175" w:lineRule="exact" w:before="0"/>
                      <w:ind w:left="0" w:right="0" w:firstLine="0"/>
                      <w:jc w:val="left"/>
                      <w:rPr>
                        <w:rFonts w:ascii="Calibri"/>
                        <w:sz w:val="17"/>
                      </w:rPr>
                    </w:pPr>
                    <w:r>
                      <w:rPr>
                        <w:rFonts w:ascii="Calibri"/>
                        <w:w w:val="105"/>
                        <w:sz w:val="17"/>
                      </w:rPr>
                      <w:t>9</w:t>
                    </w:r>
                  </w:p>
                </w:txbxContent>
              </v:textbox>
              <w10:wrap type="none"/>
            </v:shape>
            <v:shape style="position:absolute;left:3173;top:2513;width:240;height:176" type="#_x0000_t202" filled="false" stroked="false">
              <v:textbox inset="0,0,0,0">
                <w:txbxContent>
                  <w:p>
                    <w:pPr>
                      <w:spacing w:line="175" w:lineRule="exact" w:before="0"/>
                      <w:ind w:left="0" w:right="-6" w:firstLine="0"/>
                      <w:jc w:val="left"/>
                      <w:rPr>
                        <w:rFonts w:ascii="Calibri"/>
                        <w:sz w:val="17"/>
                      </w:rPr>
                    </w:pPr>
                    <w:r>
                      <w:rPr>
                        <w:rFonts w:ascii="Calibri"/>
                        <w:w w:val="105"/>
                        <w:sz w:val="17"/>
                      </w:rPr>
                      <w:t>2.6</w:t>
                    </w:r>
                  </w:p>
                </w:txbxContent>
              </v:textbox>
              <w10:wrap type="none"/>
            </v:shape>
            <v:shape style="position:absolute;left:3758;top:2381;width:240;height:176" type="#_x0000_t202" filled="false" stroked="false">
              <v:textbox inset="0,0,0,0">
                <w:txbxContent>
                  <w:p>
                    <w:pPr>
                      <w:spacing w:line="175" w:lineRule="exact" w:before="0"/>
                      <w:ind w:left="0" w:right="-6" w:firstLine="0"/>
                      <w:jc w:val="left"/>
                      <w:rPr>
                        <w:rFonts w:ascii="Calibri"/>
                        <w:sz w:val="17"/>
                      </w:rPr>
                    </w:pPr>
                    <w:r>
                      <w:rPr>
                        <w:rFonts w:ascii="Calibri"/>
                        <w:w w:val="105"/>
                        <w:sz w:val="17"/>
                      </w:rPr>
                      <w:t>5.9</w:t>
                    </w:r>
                  </w:p>
                </w:txbxContent>
              </v:textbox>
              <w10:wrap type="none"/>
            </v:shape>
            <v:shape style="position:absolute;left:4133;top:2556;width:243;height:176" type="#_x0000_t202" filled="false" stroked="false">
              <v:textbox inset="0,0,0,0">
                <w:txbxContent>
                  <w:p>
                    <w:pPr>
                      <w:spacing w:line="175" w:lineRule="exact" w:before="0"/>
                      <w:ind w:left="0" w:right="-3" w:firstLine="0"/>
                      <w:jc w:val="left"/>
                      <w:rPr>
                        <w:rFonts w:ascii="Calibri"/>
                        <w:sz w:val="17"/>
                      </w:rPr>
                    </w:pPr>
                    <w:r>
                      <w:rPr>
                        <w:rFonts w:ascii="Calibri"/>
                        <w:w w:val="105"/>
                        <w:sz w:val="17"/>
                      </w:rPr>
                      <w:t>3.5</w:t>
                    </w:r>
                  </w:p>
                </w:txbxContent>
              </v:textbox>
              <w10:wrap type="none"/>
            </v:shape>
            <v:shape style="position:absolute;left:2258;top:2792;width:99;height:190" type="#_x0000_t202" filled="false" stroked="false">
              <v:textbox inset="0,0,0,0">
                <w:txbxContent>
                  <w:p>
                    <w:pPr>
                      <w:spacing w:line="190" w:lineRule="exact" w:before="0"/>
                      <w:ind w:left="0" w:right="0" w:firstLine="0"/>
                      <w:jc w:val="left"/>
                      <w:rPr>
                        <w:rFonts w:ascii="Calibri"/>
                        <w:sz w:val="19"/>
                      </w:rPr>
                    </w:pPr>
                    <w:r>
                      <w:rPr>
                        <w:rFonts w:ascii="Calibri"/>
                        <w:w w:val="102"/>
                        <w:sz w:val="19"/>
                      </w:rPr>
                      <w:t>0</w:t>
                    </w:r>
                  </w:p>
                </w:txbxContent>
              </v:textbox>
              <w10:wrap type="none"/>
            </v:shape>
            <v:shape style="position:absolute;left:2527;top:2953;width:1611;height:437" type="#_x0000_t202" filled="false" stroked="false">
              <v:textbox inset="0,0,0,0">
                <w:txbxContent>
                  <w:p>
                    <w:pPr>
                      <w:spacing w:line="193" w:lineRule="exact" w:before="0"/>
                      <w:ind w:left="0" w:right="0" w:firstLine="0"/>
                      <w:jc w:val="left"/>
                      <w:rPr>
                        <w:rFonts w:ascii="Calibri"/>
                        <w:sz w:val="19"/>
                      </w:rPr>
                    </w:pPr>
                    <w:r>
                      <w:rPr>
                        <w:rFonts w:ascii="Calibri"/>
                        <w:w w:val="105"/>
                        <w:sz w:val="19"/>
                      </w:rPr>
                      <w:t>Oceania   America</w:t>
                    </w:r>
                  </w:p>
                  <w:p>
                    <w:pPr>
                      <w:spacing w:line="228" w:lineRule="exact" w:before="15"/>
                      <w:ind w:left="1005" w:right="0" w:firstLine="0"/>
                      <w:jc w:val="left"/>
                      <w:rPr>
                        <w:rFonts w:ascii="Calibri"/>
                        <w:sz w:val="19"/>
                      </w:rPr>
                    </w:pPr>
                    <w:r>
                      <w:rPr>
                        <w:rFonts w:ascii="Calibri"/>
                        <w:w w:val="105"/>
                        <w:sz w:val="19"/>
                      </w:rPr>
                      <w:t>Latina</w:t>
                    </w:r>
                  </w:p>
                </w:txbxContent>
              </v:textbox>
              <w10:wrap type="none"/>
            </v:shape>
            <v:shape style="position:absolute;left:5347;top:2953;width:485;height:190" type="#_x0000_t202" filled="false" stroked="false">
              <v:textbox inset="0,0,0,0">
                <w:txbxContent>
                  <w:p>
                    <w:pPr>
                      <w:spacing w:line="190" w:lineRule="exact" w:before="0"/>
                      <w:ind w:left="0" w:right="-10" w:firstLine="0"/>
                      <w:jc w:val="left"/>
                      <w:rPr>
                        <w:rFonts w:ascii="Calibri"/>
                        <w:sz w:val="19"/>
                      </w:rPr>
                    </w:pPr>
                    <w:r>
                      <w:rPr>
                        <w:rFonts w:ascii="Calibri"/>
                        <w:sz w:val="19"/>
                      </w:rPr>
                      <w:t>Africa</w:t>
                    </w:r>
                  </w:p>
                </w:txbxContent>
              </v:textbox>
              <w10:wrap type="none"/>
            </v:shape>
            <v:shape style="position:absolute;left:6098;top:2953;width:772;height:437" type="#_x0000_t202" filled="false" stroked="false">
              <v:textbox inset="0,0,0,0">
                <w:txbxContent>
                  <w:p>
                    <w:pPr>
                      <w:spacing w:line="193" w:lineRule="exact" w:before="0"/>
                      <w:ind w:left="0" w:right="-13" w:firstLine="31"/>
                      <w:jc w:val="left"/>
                      <w:rPr>
                        <w:rFonts w:ascii="Calibri"/>
                        <w:sz w:val="19"/>
                      </w:rPr>
                    </w:pPr>
                    <w:r>
                      <w:rPr>
                        <w:rFonts w:ascii="Calibri"/>
                        <w:w w:val="105"/>
                        <w:sz w:val="19"/>
                      </w:rPr>
                      <w:t>America</w:t>
                    </w:r>
                  </w:p>
                  <w:p>
                    <w:pPr>
                      <w:spacing w:line="228" w:lineRule="exact" w:before="15"/>
                      <w:ind w:left="0" w:right="-13" w:firstLine="0"/>
                      <w:jc w:val="left"/>
                      <w:rPr>
                        <w:rFonts w:ascii="Calibri"/>
                        <w:sz w:val="19"/>
                      </w:rPr>
                    </w:pPr>
                    <w:r>
                      <w:rPr>
                        <w:rFonts w:ascii="Calibri"/>
                        <w:w w:val="105"/>
                        <w:sz w:val="19"/>
                      </w:rPr>
                      <w:t>del Norte</w:t>
                    </w:r>
                  </w:p>
                </w:txbxContent>
              </v:textbox>
              <w10:wrap type="none"/>
            </v:shape>
            <v:shape style="position:absolute;left:8110;top:2953;width:379;height:190" type="#_x0000_t202" filled="false" stroked="false">
              <v:textbox inset="0,0,0,0">
                <w:txbxContent>
                  <w:p>
                    <w:pPr>
                      <w:spacing w:line="190" w:lineRule="exact" w:before="0"/>
                      <w:ind w:left="0" w:right="-18" w:firstLine="0"/>
                      <w:jc w:val="left"/>
                      <w:rPr>
                        <w:rFonts w:ascii="Calibri"/>
                        <w:sz w:val="19"/>
                      </w:rPr>
                    </w:pPr>
                    <w:r>
                      <w:rPr>
                        <w:rFonts w:ascii="Calibri"/>
                        <w:spacing w:val="10"/>
                        <w:w w:val="105"/>
                        <w:sz w:val="19"/>
                      </w:rPr>
                      <w:t>As</w:t>
                    </w:r>
                    <w:r>
                      <w:rPr>
                        <w:rFonts w:ascii="Calibri"/>
                        <w:spacing w:val="-23"/>
                        <w:w w:val="105"/>
                        <w:sz w:val="19"/>
                      </w:rPr>
                      <w:t> </w:t>
                    </w:r>
                    <w:r>
                      <w:rPr>
                        <w:rFonts w:ascii="Calibri"/>
                        <w:w w:val="105"/>
                        <w:sz w:val="19"/>
                      </w:rPr>
                      <w:t>ia</w:t>
                    </w:r>
                  </w:p>
                </w:txbxContent>
              </v:textbox>
              <w10:wrap type="none"/>
            </v:shape>
            <v:shape style="position:absolute;left:8904;top:2953;width:605;height:190" type="#_x0000_t202" filled="false" stroked="false">
              <v:textbox inset="0,0,0,0">
                <w:txbxContent>
                  <w:p>
                    <w:pPr>
                      <w:spacing w:line="190" w:lineRule="exact" w:before="0"/>
                      <w:ind w:left="0" w:right="-18" w:firstLine="0"/>
                      <w:jc w:val="left"/>
                      <w:rPr>
                        <w:rFonts w:ascii="Calibri"/>
                        <w:sz w:val="19"/>
                      </w:rPr>
                    </w:pPr>
                    <w:r>
                      <w:rPr>
                        <w:rFonts w:ascii="Calibri"/>
                        <w:w w:val="105"/>
                        <w:sz w:val="19"/>
                      </w:rPr>
                      <w:t>E</w:t>
                    </w:r>
                    <w:r>
                      <w:rPr>
                        <w:rFonts w:ascii="Calibri"/>
                        <w:spacing w:val="-20"/>
                        <w:w w:val="105"/>
                        <w:sz w:val="19"/>
                      </w:rPr>
                      <w:t> </w:t>
                    </w:r>
                    <w:r>
                      <w:rPr>
                        <w:rFonts w:ascii="Calibri"/>
                        <w:w w:val="105"/>
                        <w:sz w:val="19"/>
                      </w:rPr>
                      <w:t>uropa</w:t>
                    </w:r>
                  </w:p>
                </w:txbxContent>
              </v:textbox>
              <w10:wrap type="none"/>
            </v:shape>
            <v:shape style="position:absolute;left:5107;top:3815;width:1916;height:190" type="#_x0000_t202" filled="false" stroked="false">
              <v:textbox inset="0,0,0,0">
                <w:txbxContent>
                  <w:p>
                    <w:pPr>
                      <w:tabs>
                        <w:tab w:pos="751" w:val="left" w:leader="none"/>
                        <w:tab w:pos="1502" w:val="left" w:leader="none"/>
                      </w:tabs>
                      <w:spacing w:line="190" w:lineRule="exact" w:before="0"/>
                      <w:ind w:left="0" w:right="0" w:firstLine="0"/>
                      <w:jc w:val="left"/>
                      <w:rPr>
                        <w:rFonts w:ascii="Calibri"/>
                        <w:sz w:val="19"/>
                      </w:rPr>
                    </w:pPr>
                    <w:r>
                      <w:rPr>
                        <w:rFonts w:ascii="Calibri"/>
                        <w:spacing w:val="4"/>
                        <w:w w:val="105"/>
                        <w:sz w:val="19"/>
                      </w:rPr>
                      <w:t>1990</w:t>
                      <w:tab/>
                      <w:t>2000</w:t>
                      <w:tab/>
                    </w:r>
                    <w:r>
                      <w:rPr>
                        <w:rFonts w:ascii="Calibri"/>
                        <w:spacing w:val="4"/>
                        <w:sz w:val="19"/>
                      </w:rPr>
                      <w:t>2005</w:t>
                    </w:r>
                  </w:p>
                </w:txbxContent>
              </v:textbox>
              <w10:wrap type="none"/>
            </v:shape>
            <w10:wrap type="topAndBottom"/>
          </v:group>
        </w:pict>
      </w:r>
    </w:p>
    <w:p>
      <w:pPr>
        <w:pStyle w:val="BodyText"/>
        <w:spacing w:before="7"/>
        <w:rPr>
          <w:b/>
          <w:sz w:val="27"/>
        </w:rPr>
      </w:pPr>
    </w:p>
    <w:p>
      <w:pPr>
        <w:spacing w:line="372" w:lineRule="auto" w:before="1"/>
        <w:ind w:left="115" w:right="228" w:firstLine="0"/>
        <w:jc w:val="left"/>
        <w:rPr>
          <w:sz w:val="19"/>
        </w:rPr>
      </w:pPr>
      <w:r>
        <w:rPr>
          <w:sz w:val="19"/>
        </w:rPr>
        <w:t>Fuente: Elaborada con datos de United Nations, Internacional Migration Report 2002, New York, 2002. Tomado de la CONAPO, 2004.  2006.</w:t>
      </w:r>
    </w:p>
    <w:p>
      <w:pPr>
        <w:pStyle w:val="BodyText"/>
        <w:rPr>
          <w:sz w:val="18"/>
        </w:rPr>
      </w:pPr>
    </w:p>
    <w:p>
      <w:pPr>
        <w:pStyle w:val="BodyText"/>
        <w:spacing w:line="364" w:lineRule="auto" w:before="121"/>
        <w:ind w:left="125" w:right="184"/>
        <w:jc w:val="both"/>
      </w:pPr>
      <w:r>
        <w:rPr/>
        <w:t>Europa, Asia y América del Norte son las regiones con mayor número de  migrantes internacionales. Durante la década de los noventa, Europa, Asía y América del Norte presentaron los mayores incrementos. Para el año 2000, las regiones que concentraban el mayor número de migrantes internacionales eran Europa (56.1 millones), Asía (50 millones) y América del Norte (40.8 millones). En cambio, para 2005 disminuyó en casi 50% con respecto al periodo anterior (Figura 1).</w:t>
      </w:r>
    </w:p>
    <w:p>
      <w:pPr>
        <w:spacing w:after="0" w:line="364" w:lineRule="auto"/>
        <w:jc w:val="both"/>
        <w:sectPr>
          <w:footerReference w:type="default" r:id="rId140"/>
          <w:pgSz w:w="11900" w:h="16840"/>
          <w:pgMar w:footer="1676" w:header="0" w:top="1600" w:bottom="1860" w:left="1540" w:right="1500"/>
          <w:pgNumType w:start="140"/>
        </w:sectPr>
      </w:pPr>
    </w:p>
    <w:p>
      <w:pPr>
        <w:pStyle w:val="BodyText"/>
        <w:rPr>
          <w:sz w:val="20"/>
        </w:rPr>
      </w:pPr>
    </w:p>
    <w:p>
      <w:pPr>
        <w:pStyle w:val="BodyText"/>
        <w:spacing w:before="7"/>
        <w:rPr>
          <w:sz w:val="16"/>
        </w:rPr>
      </w:pPr>
    </w:p>
    <w:p>
      <w:pPr>
        <w:pStyle w:val="Heading4"/>
        <w:spacing w:before="74"/>
        <w:ind w:left="936" w:right="100"/>
      </w:pPr>
      <w:r>
        <w:rPr/>
        <w:t>Figura 2. Migrantes internacionales a nivel mundial,  1965-2005</w:t>
      </w:r>
    </w:p>
    <w:p>
      <w:pPr>
        <w:pStyle w:val="BodyText"/>
        <w:rPr>
          <w:b/>
          <w:sz w:val="20"/>
        </w:rPr>
      </w:pPr>
    </w:p>
    <w:p>
      <w:pPr>
        <w:pStyle w:val="BodyText"/>
        <w:spacing w:before="8"/>
        <w:rPr>
          <w:b/>
          <w:sz w:val="14"/>
        </w:rPr>
      </w:pPr>
      <w:r>
        <w:rPr/>
        <w:pict>
          <v:group style="position:absolute;margin-left:83.759995pt;margin-top:10.413278pt;width:424.45pt;height:168.15pt;mso-position-horizontal-relative:page;mso-position-vertical-relative:paragraph;z-index:6160;mso-wrap-distance-left:0;mso-wrap-distance-right:0" coordorigin="1675,208" coordsize="8489,3363">
            <v:shape style="position:absolute;left:1685;top:223;width:2510;height:3336" type="#_x0000_t75" stroked="false">
              <v:imagedata r:id="rId144" o:title=""/>
            </v:shape>
            <v:shape style="position:absolute;left:1675;top:208;width:2516;height:3363" coordorigin="1675,208" coordsize="2516,3363" path="m4190,208l1675,208,1675,3571,4190,3571,4190,3566,1687,3566,1680,3561,1687,3561,1687,218,1680,218,1687,213,4190,213,4190,208xm1687,3561l1680,3561,1687,3566,1687,3561xm4190,3561l1687,3561,1687,3566,4190,3566,4190,3561xm1687,213l1680,218,1687,218,1687,213xm4190,213l1687,213,1687,218,4190,218,4190,213xe" filled="true" fillcolor="#000000" stroked="false">
              <v:path arrowok="t"/>
              <v:fill type="solid"/>
            </v:shape>
            <v:shape style="position:absolute;left:4186;top:223;width:4198;height:3336" type="#_x0000_t75" stroked="false">
              <v:imagedata r:id="rId145" o:title=""/>
            </v:shape>
            <v:line style="position:absolute" from="4190,3566" to="8378,3566" stroked="true" strokeweight=".48pt" strokecolor="#000000"/>
            <v:line style="position:absolute" from="4190,213" to="8378,213" stroked="true" strokeweight=".48pt" strokecolor="#000000"/>
            <v:shape style="position:absolute;left:8374;top:223;width:1786;height:3336" type="#_x0000_t75" stroked="false">
              <v:imagedata r:id="rId146" o:title=""/>
            </v:shape>
            <v:shape style="position:absolute;left:8378;top:208;width:1786;height:3363" coordorigin="8378,208" coordsize="1786,3363" path="m10154,3561l8378,3561,8378,3571,10164,3571,10164,3566,10154,3566,10154,3561xm10154,213l10154,3566,10159,3561,10164,3561,10164,218,10159,218,10154,213xm10164,3561l10159,3561,10154,3566,10164,3566,10164,3561xm10164,208l8378,208,8378,218,10154,218,10154,213,10164,213,10164,208xm10164,213l10154,213,10159,218,10164,218,10164,213xe" filled="true" fillcolor="#000000" stroked="false">
              <v:path arrowok="t"/>
              <v:fill type="solid"/>
            </v:shape>
            <w10:wrap type="topAndBottom"/>
          </v:group>
        </w:pict>
      </w:r>
    </w:p>
    <w:p>
      <w:pPr>
        <w:spacing w:line="369" w:lineRule="auto" w:before="143"/>
        <w:ind w:left="118" w:right="106" w:firstLine="0"/>
        <w:jc w:val="both"/>
        <w:rPr>
          <w:sz w:val="19"/>
        </w:rPr>
      </w:pPr>
      <w:r>
        <w:rPr>
          <w:sz w:val="19"/>
        </w:rPr>
        <w:t>Fuente: 1965 a 1985: Naciones Unidad, Consejo Económico y Social, Comisión de Población, Examen de las tendencias, políticas y programas en materia de población: observación de las tendencias y políticas mundiales en materia de población, 1995; 1990 y 2000: United Nations, Population Division Department of Economic and Social Affaires, International Migration 2002, New York, 2002;  2005: United Nations, International Migration 2006,  United Nations  Publication,    Sales</w:t>
      </w:r>
    </w:p>
    <w:p>
      <w:pPr>
        <w:spacing w:before="7"/>
        <w:ind w:left="118" w:right="100" w:firstLine="0"/>
        <w:jc w:val="left"/>
        <w:rPr>
          <w:sz w:val="19"/>
        </w:rPr>
      </w:pPr>
      <w:r>
        <w:rPr>
          <w:sz w:val="19"/>
        </w:rPr>
        <w:t>No. E.06. XIII.6. Obtenido de  (</w:t>
      </w:r>
      <w:hyperlink r:id="rId147">
        <w:r>
          <w:rPr>
            <w:sz w:val="19"/>
          </w:rPr>
          <w:t>www.conapo.gob.mx,</w:t>
        </w:r>
      </w:hyperlink>
      <w:r>
        <w:rPr>
          <w:sz w:val="19"/>
        </w:rPr>
        <w:t> mayo de   2008).</w:t>
      </w:r>
    </w:p>
    <w:p>
      <w:pPr>
        <w:pStyle w:val="BodyText"/>
        <w:rPr>
          <w:sz w:val="20"/>
        </w:rPr>
      </w:pPr>
    </w:p>
    <w:p>
      <w:pPr>
        <w:pStyle w:val="BodyText"/>
        <w:rPr>
          <w:sz w:val="20"/>
        </w:rPr>
      </w:pPr>
    </w:p>
    <w:p>
      <w:pPr>
        <w:pStyle w:val="BodyText"/>
        <w:rPr>
          <w:sz w:val="20"/>
        </w:rPr>
      </w:pPr>
    </w:p>
    <w:p>
      <w:pPr>
        <w:pStyle w:val="BodyText"/>
        <w:spacing w:before="6"/>
        <w:rPr>
          <w:sz w:val="18"/>
        </w:rPr>
      </w:pPr>
    </w:p>
    <w:p>
      <w:pPr>
        <w:pStyle w:val="BodyText"/>
        <w:ind w:left="118" w:right="100"/>
      </w:pPr>
      <w:r>
        <w:rPr/>
        <w:t>La migración es  parte de  un  proceso de integración  económica conocido    como</w:t>
      </w:r>
    </w:p>
    <w:p>
      <w:pPr>
        <w:pStyle w:val="BodyText"/>
        <w:tabs>
          <w:tab w:pos="1714" w:val="left" w:leader="none"/>
          <w:tab w:pos="2074" w:val="left" w:leader="none"/>
          <w:tab w:pos="2501" w:val="left" w:leader="none"/>
          <w:tab w:pos="3692" w:val="left" w:leader="none"/>
          <w:tab w:pos="5730" w:val="left" w:leader="none"/>
          <w:tab w:pos="6504" w:val="left" w:leader="none"/>
          <w:tab w:pos="7047" w:val="left" w:leader="none"/>
          <w:tab w:pos="8228" w:val="left" w:leader="none"/>
        </w:tabs>
        <w:spacing w:before="141"/>
        <w:ind w:left="118" w:right="34"/>
      </w:pPr>
      <w:r>
        <w:rPr/>
        <w:t>globalización</w:t>
        <w:tab/>
        <w:t>y</w:t>
        <w:tab/>
        <w:t>la</w:t>
        <w:tab/>
        <w:t>creciente</w:t>
        <w:tab/>
        <w:t>interdependencia</w:t>
        <w:tab/>
        <w:t>entre</w:t>
        <w:tab/>
        <w:t>las</w:t>
        <w:tab/>
        <w:t>naciones</w:t>
        <w:tab/>
        <w:t>está</w:t>
      </w:r>
    </w:p>
    <w:p>
      <w:pPr>
        <w:pStyle w:val="BodyText"/>
        <w:spacing w:line="364" w:lineRule="auto" w:before="136"/>
        <w:ind w:left="118" w:right="108"/>
        <w:jc w:val="both"/>
      </w:pPr>
      <w:r>
        <w:rPr/>
        <w:t>contribuyendo a intensificar los movimientos migratorios. En  el  año  2005, alrededor de 3% de la población mundial, poco más de 191 millones de personas residían en un país diferente al que nacieron (Ver Figura  2).</w:t>
      </w:r>
    </w:p>
    <w:p>
      <w:pPr>
        <w:pStyle w:val="BodyText"/>
        <w:rPr>
          <w:sz w:val="20"/>
        </w:rPr>
      </w:pPr>
    </w:p>
    <w:p>
      <w:pPr>
        <w:pStyle w:val="BodyText"/>
        <w:rPr>
          <w:sz w:val="20"/>
        </w:rPr>
      </w:pPr>
    </w:p>
    <w:p>
      <w:pPr>
        <w:pStyle w:val="BodyText"/>
        <w:spacing w:before="10"/>
        <w:rPr>
          <w:sz w:val="22"/>
        </w:rPr>
      </w:pPr>
    </w:p>
    <w:p>
      <w:pPr>
        <w:pStyle w:val="BodyText"/>
        <w:spacing w:before="74"/>
        <w:ind w:left="118" w:right="100"/>
      </w:pPr>
      <w:r>
        <w:rPr/>
        <w:t>En la migración también inciden otros factores de difícil predicción (como son los</w:t>
      </w:r>
    </w:p>
    <w:p>
      <w:pPr>
        <w:pStyle w:val="BodyText"/>
        <w:spacing w:before="141"/>
        <w:ind w:left="118" w:right="100"/>
      </w:pPr>
      <w:r>
        <w:rPr/>
        <w:t>conflictos  armados  o  situaciones  de  violencia  generalizada),  que  dan  lugar   a</w:t>
      </w:r>
    </w:p>
    <w:p>
      <w:pPr>
        <w:pStyle w:val="BodyText"/>
        <w:spacing w:line="364" w:lineRule="auto" w:before="136"/>
        <w:ind w:left="118" w:right="104"/>
        <w:jc w:val="both"/>
      </w:pPr>
      <w:r>
        <w:rPr/>
        <w:t>movimientos de población en condiciones forzosas o involuntarias. Los avances científicos y tecnológicos han transformado los procesos productivos y los medios de comunicación y transporte, propiciando una mayor interdependencia entre las naciones y regiones del mundo.</w:t>
      </w:r>
    </w:p>
    <w:p>
      <w:pPr>
        <w:spacing w:after="0" w:line="364" w:lineRule="auto"/>
        <w:jc w:val="both"/>
        <w:sectPr>
          <w:pgSz w:w="11900" w:h="16840"/>
          <w:pgMar w:header="0" w:footer="1676"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4"/>
        <w:jc w:val="both"/>
      </w:pPr>
      <w:r>
        <w:rPr/>
        <w:t>La globalización, con la consiguiente tendencia hacia la integración de bloques económicos regionales, está contribuyendo a debilitar muchos de los obstáculos que en otras épocas se interponían al movimiento de personas a través de las fronteras internacionales. Estos cambios no sólo facilitan los desplazamientos por medios eficientes y de bajo costo, sino que también han propiciado un acceso sin precedentes a la información sobre otros países, al tiempo que permiten a los migrantes mantener contacto regular con sus familias en las comunidades de origen. El objetivo de este trabajo fue analizar el comportamiento de la migración México-Estados Unidos de 1990-2008.</w:t>
      </w:r>
    </w:p>
    <w:p>
      <w:pPr>
        <w:pStyle w:val="BodyText"/>
        <w:rPr>
          <w:sz w:val="22"/>
        </w:rPr>
      </w:pPr>
    </w:p>
    <w:p>
      <w:pPr>
        <w:pStyle w:val="BodyText"/>
        <w:spacing w:before="1"/>
        <w:rPr>
          <w:sz w:val="30"/>
        </w:rPr>
      </w:pPr>
    </w:p>
    <w:p>
      <w:pPr>
        <w:pStyle w:val="Heading2"/>
        <w:numPr>
          <w:ilvl w:val="3"/>
          <w:numId w:val="5"/>
        </w:numPr>
        <w:tabs>
          <w:tab w:pos="462" w:val="left" w:leader="none"/>
        </w:tabs>
        <w:spacing w:line="240" w:lineRule="auto" w:before="0" w:after="0"/>
        <w:ind w:left="461" w:right="0" w:hanging="345"/>
        <w:jc w:val="both"/>
      </w:pPr>
      <w:r>
        <w:rPr/>
        <w:t>METODOLOGÍA</w:t>
      </w:r>
    </w:p>
    <w:p>
      <w:pPr>
        <w:pStyle w:val="BodyText"/>
        <w:spacing w:before="10"/>
        <w:rPr>
          <w:b/>
          <w:sz w:val="32"/>
        </w:rPr>
      </w:pPr>
    </w:p>
    <w:p>
      <w:pPr>
        <w:pStyle w:val="BodyText"/>
        <w:spacing w:line="364" w:lineRule="auto"/>
        <w:ind w:left="115" w:right="105"/>
        <w:jc w:val="both"/>
      </w:pPr>
      <w:r>
        <w:rPr/>
        <w:t>Se realizó una investigación documental a partir de la información encontrada por diferentes instituciones gubernamentales como: Instituto de Estadística Geografía  e Informática (INEGI), Consejo Nacional de Población (CONAPO), Banco de  México (BM), Secretaria de Economía (SE), Colegio de la Frontera Norte (CFN), Secretaria de Relaciones Exteriores (SRE), el Fondo  Monetario  Internacional  (FMI) entre otros, que ayudaron a analizar el contexto en el que se ha generado    la</w:t>
      </w:r>
      <w:r>
        <w:rPr>
          <w:spacing w:val="11"/>
        </w:rPr>
        <w:t> </w:t>
      </w:r>
      <w:r>
        <w:rPr/>
        <w:t>migración.</w:t>
      </w:r>
    </w:p>
    <w:p>
      <w:pPr>
        <w:pStyle w:val="BodyText"/>
        <w:rPr>
          <w:sz w:val="22"/>
        </w:rPr>
      </w:pPr>
    </w:p>
    <w:p>
      <w:pPr>
        <w:pStyle w:val="BodyText"/>
        <w:rPr>
          <w:sz w:val="22"/>
        </w:rPr>
      </w:pPr>
    </w:p>
    <w:p>
      <w:pPr>
        <w:pStyle w:val="BodyText"/>
        <w:spacing w:before="7"/>
        <w:rPr>
          <w:sz w:val="24"/>
        </w:rPr>
      </w:pPr>
    </w:p>
    <w:p>
      <w:pPr>
        <w:pStyle w:val="Heading2"/>
        <w:numPr>
          <w:ilvl w:val="3"/>
          <w:numId w:val="5"/>
        </w:numPr>
        <w:tabs>
          <w:tab w:pos="553" w:val="left" w:leader="none"/>
        </w:tabs>
        <w:spacing w:line="240" w:lineRule="auto" w:before="0" w:after="0"/>
        <w:ind w:left="552" w:right="0" w:hanging="436"/>
        <w:jc w:val="both"/>
      </w:pPr>
      <w:r>
        <w:rPr/>
        <w:t>ANÀLISIS Y DISCUSIÒN DE</w:t>
      </w:r>
      <w:r>
        <w:rPr>
          <w:spacing w:val="8"/>
        </w:rPr>
        <w:t> </w:t>
      </w:r>
      <w:r>
        <w:rPr/>
        <w:t>RESULTADOS</w:t>
      </w:r>
    </w:p>
    <w:p>
      <w:pPr>
        <w:pStyle w:val="BodyText"/>
        <w:spacing w:before="3"/>
        <w:rPr>
          <w:b/>
          <w:sz w:val="33"/>
        </w:rPr>
      </w:pPr>
    </w:p>
    <w:p>
      <w:pPr>
        <w:pStyle w:val="BodyText"/>
        <w:spacing w:line="364" w:lineRule="auto" w:before="1"/>
        <w:ind w:left="115" w:right="104" w:firstLine="64"/>
        <w:jc w:val="both"/>
      </w:pPr>
      <w:r>
        <w:rPr/>
        <w:t>La mayoría de los movimientos poblacionales en todas las regiones geográficas del mundo obedecen a motivaciones vinculadas con la búsqueda de mejores condiciones de vida. De acuerdo con los datos de la Oficina de Estadísticas Laborales de Estados Unidos, entre 1998 y 2008 podría acumularse en aquel país un excedente de hasta cinco millones de empleos sin  trabajadores  para  ocuparlos, al tiempo que cerca de 57% de los empleos creados requerirían personal con un modesto entrenamiento y una educación formal por debajo del nivel  de  preparatoria.  De  hecho,  se  prevé  que  los  aumentos  anuales  de    </w:t>
      </w:r>
      <w:r>
        <w:rPr>
          <w:spacing w:val="36"/>
        </w:rPr>
        <w:t> </w:t>
      </w:r>
      <w:r>
        <w:rPr/>
        <w:t>la</w:t>
      </w:r>
    </w:p>
    <w:p>
      <w:pPr>
        <w:spacing w:after="0" w:line="364" w:lineRule="auto"/>
        <w:jc w:val="both"/>
        <w:sectPr>
          <w:pgSz w:w="11900" w:h="16840"/>
          <w:pgMar w:header="0" w:footer="1676"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8"/>
        <w:jc w:val="both"/>
      </w:pPr>
      <w:r>
        <w:rPr/>
        <w:t>población estadounidense de 65 años o más pasarían de casi 200 mil personas durante este decenio, a 1.5 millones entre 2011 y</w:t>
      </w:r>
      <w:r>
        <w:rPr>
          <w:spacing w:val="60"/>
        </w:rPr>
        <w:t> </w:t>
      </w:r>
      <w:r>
        <w:rPr/>
        <w:t>2028.</w:t>
      </w:r>
    </w:p>
    <w:p>
      <w:pPr>
        <w:pStyle w:val="BodyText"/>
        <w:rPr>
          <w:sz w:val="22"/>
        </w:rPr>
      </w:pPr>
    </w:p>
    <w:p>
      <w:pPr>
        <w:pStyle w:val="Heading4"/>
        <w:spacing w:before="153"/>
        <w:ind w:left="115"/>
        <w:jc w:val="both"/>
      </w:pPr>
      <w:r>
        <w:rPr/>
        <w:t>La migración de mexicanos hacia Estados</w:t>
      </w:r>
      <w:r>
        <w:rPr>
          <w:spacing w:val="61"/>
        </w:rPr>
        <w:t> </w:t>
      </w:r>
      <w:r>
        <w:rPr/>
        <w:t>Unidos</w:t>
      </w:r>
    </w:p>
    <w:p>
      <w:pPr>
        <w:pStyle w:val="BodyText"/>
        <w:rPr>
          <w:b/>
          <w:sz w:val="22"/>
        </w:rPr>
      </w:pPr>
    </w:p>
    <w:p>
      <w:pPr>
        <w:pStyle w:val="BodyText"/>
        <w:spacing w:before="3"/>
        <w:rPr>
          <w:b/>
          <w:sz w:val="25"/>
        </w:rPr>
      </w:pPr>
    </w:p>
    <w:p>
      <w:pPr>
        <w:pStyle w:val="BodyText"/>
        <w:spacing w:line="364" w:lineRule="auto" w:before="1"/>
        <w:ind w:left="115" w:right="102"/>
        <w:jc w:val="both"/>
      </w:pPr>
      <w:r>
        <w:rPr/>
        <w:t>Para tratar de entender el significado de la migración mexicana a los Estados Unidos, no se debe olvidar que se trata de dos países que comparten una muy larga frontera y que México tenía otro tanto de su territorio en lo que ahora son los estados de California, Utah, Colorado, Arizona, Nuevo México y Texas. Es decir, a partir de la invasión estadounidense a México en 1846-47, una parte del país empezó a ser territorio de los Estados Unidos. Además, no sólo la población de origen mexicano de esas zonas sino sólo mexicanos que han llegado a lo largo de los años, han sido protagonistas en los principales acontecimientos del desarrollo del suroeste</w:t>
      </w:r>
      <w:r>
        <w:rPr>
          <w:spacing w:val="30"/>
        </w:rPr>
        <w:t> </w:t>
      </w:r>
      <w:r>
        <w:rPr/>
        <w:t>norteamericano.</w:t>
      </w:r>
    </w:p>
    <w:p>
      <w:pPr>
        <w:pStyle w:val="BodyText"/>
        <w:rPr>
          <w:sz w:val="22"/>
        </w:rPr>
      </w:pPr>
    </w:p>
    <w:p>
      <w:pPr>
        <w:pStyle w:val="BodyText"/>
        <w:spacing w:before="4"/>
        <w:rPr>
          <w:sz w:val="30"/>
        </w:rPr>
      </w:pPr>
    </w:p>
    <w:p>
      <w:pPr>
        <w:pStyle w:val="BodyText"/>
        <w:spacing w:line="364" w:lineRule="auto"/>
        <w:ind w:left="115" w:right="105"/>
        <w:jc w:val="both"/>
      </w:pPr>
      <w:r>
        <w:rPr/>
        <w:t>La migración entre México y Estados Unidos no es una excepción.  Este movimiento constituye un fenómeno complejo, con una prolongada tradición histórica y con raíces estructurales en ambos lados de la frontera. Dentro del conglomerado de fuerzas que han contribuido a estructurar este complejo sistema migratorio destacan: la persistente demanda de mano de obra mexicana en los sectores agrícola, industrial y de servicios de la Unión Americana; el considerable diferencial salarial entre ambas economías; el intenso ritmo de crecimiento demográfico de la población mexicana en edad laboral; la insuficiente dinámica de la economía nacional para absorber el excedente de fuerza de trabajo; y la  tradición migratoria hacia el vecino país del  norte, conformada en el  siglo XIX y  XX en muy diversas regiones del</w:t>
      </w:r>
      <w:r>
        <w:rPr>
          <w:spacing w:val="39"/>
        </w:rPr>
        <w:t> </w:t>
      </w:r>
      <w:r>
        <w:rPr/>
        <w:t>país.</w:t>
      </w:r>
    </w:p>
    <w:p>
      <w:pPr>
        <w:pStyle w:val="BodyText"/>
        <w:rPr>
          <w:sz w:val="22"/>
        </w:rPr>
      </w:pPr>
    </w:p>
    <w:p>
      <w:pPr>
        <w:pStyle w:val="BodyText"/>
        <w:spacing w:line="364" w:lineRule="auto" w:before="153"/>
        <w:ind w:left="115" w:right="106"/>
        <w:jc w:val="both"/>
      </w:pPr>
      <w:r>
        <w:rPr/>
        <w:t>Los factores que estructuran el complejo sistema migratorio entre  estos  dos  países pueden ser agrupados en tres grandes categorías: los factores vinculados con la oferta (expulsión) de fuerza de trabajo; los factores asociados con la demanda  (atracción);   y  los  numerosos  factores  sociales  que  vinculan  a    </w:t>
      </w:r>
      <w:r>
        <w:rPr>
          <w:spacing w:val="29"/>
        </w:rPr>
        <w:t> </w:t>
      </w:r>
      <w:r>
        <w:rPr/>
        <w:t>las</w:t>
      </w:r>
    </w:p>
    <w:p>
      <w:pPr>
        <w:spacing w:after="0" w:line="364" w:lineRule="auto"/>
        <w:jc w:val="both"/>
        <w:sectPr>
          <w:pgSz w:w="11900" w:h="16840"/>
          <w:pgMar w:header="0" w:footer="1676"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comunidades de origen con las de destino,  los cuales son determinantes tanto  para reducir los costos y riesgos asociados con el movimiento migratorio, como para contribuir a sostenerlo, recrearlo y</w:t>
      </w:r>
      <w:r>
        <w:rPr>
          <w:spacing w:val="54"/>
        </w:rPr>
        <w:t> </w:t>
      </w:r>
      <w:r>
        <w:rPr/>
        <w:t>perpetuarlo.</w:t>
      </w:r>
    </w:p>
    <w:p>
      <w:pPr>
        <w:pStyle w:val="BodyText"/>
        <w:rPr>
          <w:sz w:val="22"/>
        </w:rPr>
      </w:pPr>
    </w:p>
    <w:p>
      <w:pPr>
        <w:pStyle w:val="BodyText"/>
        <w:spacing w:line="364" w:lineRule="auto" w:before="153"/>
        <w:ind w:left="115" w:right="105"/>
        <w:jc w:val="both"/>
      </w:pPr>
      <w:r>
        <w:rPr/>
        <w:t>Este fenómeno, se inició hace más de 150 años. Desde entonces y hasta fines de los años setenta, el perfil socio demográfico y laboral de  los  migrantes  permaneció más o menos invariable, correspondiendo principalmente a población masculina, joven, de origen rural, y que en los Estados Unidos se empleaba preferentemente en actividades agrícolas (Gastelum, 1991). A partir del  decenio  de 1980, sin embargo, empezaron a aparecer distintos elementos que modificaron en parte este perfil de la migración mexicana a los Estados </w:t>
      </w:r>
      <w:r>
        <w:rPr>
          <w:spacing w:val="6"/>
        </w:rPr>
        <w:t> </w:t>
      </w:r>
      <w:r>
        <w:rPr/>
        <w:t>Unidos.</w:t>
      </w:r>
    </w:p>
    <w:p>
      <w:pPr>
        <w:pStyle w:val="BodyText"/>
        <w:rPr>
          <w:sz w:val="22"/>
        </w:rPr>
      </w:pPr>
    </w:p>
    <w:p>
      <w:pPr>
        <w:pStyle w:val="BodyText"/>
        <w:spacing w:line="364" w:lineRule="auto" w:before="155"/>
        <w:ind w:left="115" w:right="105"/>
        <w:jc w:val="both"/>
      </w:pPr>
      <w:r>
        <w:rPr/>
        <w:t>Un aspecto fundamental de este cambio del patrón migratorio ha sido el significativo incremento de la población mexicana que, con o sin documentos legales, tiende a establecer su residencia  habitual  en  dicha  nación. Conjuntamente con este amplio contingente de mexicanos coexiste y se mantiene un flujo no menos importante de migrantes temporales que, en una dinámica de circularidad, se desplazan en forma recurrente y periódica entre México y Estados Unidos. En este marco, diversos autores señalan que actualmente esa migración implica dos componentes o </w:t>
      </w:r>
      <w:r>
        <w:rPr>
          <w:i/>
        </w:rPr>
        <w:t>modalidades </w:t>
      </w:r>
      <w:r>
        <w:rPr/>
        <w:t>migratorias claramente diferentes: por un lado, la ya tradicional migración circular y temporal y, por el otro, un proceso de </w:t>
      </w:r>
      <w:r>
        <w:rPr>
          <w:i/>
        </w:rPr>
        <w:t>asentamiento </w:t>
      </w:r>
      <w:r>
        <w:rPr/>
        <w:t>de la población mexicana en dicho país (Cornelius, 1992; Chávez, 1988).</w:t>
      </w:r>
    </w:p>
    <w:p>
      <w:pPr>
        <w:pStyle w:val="BodyText"/>
        <w:rPr>
          <w:sz w:val="22"/>
        </w:rPr>
      </w:pPr>
    </w:p>
    <w:p>
      <w:pPr>
        <w:pStyle w:val="BodyText"/>
        <w:spacing w:line="364" w:lineRule="auto" w:before="162"/>
        <w:ind w:left="115" w:right="129"/>
        <w:jc w:val="both"/>
      </w:pPr>
      <w:r>
        <w:rPr/>
        <w:t>Caracterizado desde sus orígenes como un proceso de naturaleza  primordialmente laboral, en la emigración de mexicanos a Estados  Unidos  subyace la operación de diversos y complejos factores estructurales, como son la asimetría económica y la interdependencia entre ambos </w:t>
      </w:r>
      <w:r>
        <w:rPr>
          <w:spacing w:val="4"/>
        </w:rPr>
        <w:t> </w:t>
      </w:r>
      <w:r>
        <w:rPr/>
        <w:t>países.</w:t>
      </w:r>
    </w:p>
    <w:p>
      <w:pPr>
        <w:pStyle w:val="BodyText"/>
        <w:spacing w:before="3"/>
        <w:rPr>
          <w:sz w:val="25"/>
        </w:rPr>
      </w:pPr>
    </w:p>
    <w:p>
      <w:pPr>
        <w:pStyle w:val="BodyText"/>
        <w:spacing w:line="364" w:lineRule="auto"/>
        <w:ind w:left="139" w:right="116"/>
        <w:jc w:val="both"/>
      </w:pPr>
      <w:r>
        <w:rPr/>
        <w:t>A partir del decenio de los setenta, la migración de mexicanos hacia Estados Unidos sufrió modificaciones en su magnitud, modalidades y características, abriendo con ello un nuevo ciclo en la dinámica de este fenómeno. Durante las</w:t>
      </w:r>
    </w:p>
    <w:p>
      <w:pPr>
        <w:spacing w:after="0" w:line="364" w:lineRule="auto"/>
        <w:jc w:val="both"/>
        <w:sectPr>
          <w:pgSz w:w="11900" w:h="16840"/>
          <w:pgMar w:header="0" w:footer="1676" w:top="1600" w:bottom="1860" w:left="1540" w:right="1580"/>
        </w:sectPr>
      </w:pPr>
    </w:p>
    <w:p>
      <w:pPr>
        <w:pStyle w:val="BodyText"/>
        <w:rPr>
          <w:sz w:val="20"/>
        </w:rPr>
      </w:pPr>
    </w:p>
    <w:p>
      <w:pPr>
        <w:pStyle w:val="BodyText"/>
        <w:spacing w:before="7"/>
        <w:rPr>
          <w:sz w:val="16"/>
        </w:rPr>
      </w:pPr>
    </w:p>
    <w:p>
      <w:pPr>
        <w:pStyle w:val="BodyText"/>
        <w:spacing w:line="364" w:lineRule="auto" w:before="74"/>
        <w:ind w:left="119" w:right="115"/>
        <w:jc w:val="both"/>
      </w:pPr>
      <w:r>
        <w:rPr/>
        <w:t>últimas décadas, la migración experimentó un significativo incremento en su intensidad y magnitud. También se multiplicaron y  diversificaron tanto las  zonas de origen como las zonas de destino de la migración, así como las correspondientes rutas migratorias. Asimismo, esta migración se perfiló con un cariz más permanente (y menos circular) y cada vez más </w:t>
      </w:r>
      <w:r>
        <w:rPr>
          <w:spacing w:val="9"/>
        </w:rPr>
        <w:t> </w:t>
      </w:r>
      <w:r>
        <w:rPr/>
        <w:t>urbano.</w:t>
      </w:r>
    </w:p>
    <w:p>
      <w:pPr>
        <w:pStyle w:val="BodyText"/>
        <w:spacing w:before="8"/>
        <w:rPr>
          <w:sz w:val="25"/>
        </w:rPr>
      </w:pPr>
    </w:p>
    <w:p>
      <w:pPr>
        <w:pStyle w:val="BodyText"/>
        <w:spacing w:line="364" w:lineRule="auto"/>
        <w:ind w:left="124" w:right="115"/>
        <w:jc w:val="both"/>
      </w:pPr>
      <w:r>
        <w:rPr/>
        <w:t>La configuración de estas transformaciones en los patrones migratorios debe entenderse bajo la noción de </w:t>
      </w:r>
      <w:r>
        <w:rPr>
          <w:i/>
        </w:rPr>
        <w:t>cambios en la continuidad</w:t>
      </w:r>
      <w:r>
        <w:rPr/>
        <w:t>; es decir, se trata de una serie de transformaciones que preservan líneas de conexión con los patrones históricos, en lugar de una ruptura o giro</w:t>
      </w:r>
      <w:r>
        <w:rPr>
          <w:spacing w:val="59"/>
        </w:rPr>
        <w:t> </w:t>
      </w:r>
      <w:r>
        <w:rPr/>
        <w:t>diametral.</w:t>
      </w:r>
    </w:p>
    <w:p>
      <w:pPr>
        <w:pStyle w:val="BodyText"/>
        <w:spacing w:before="1"/>
        <w:rPr>
          <w:sz w:val="26"/>
        </w:rPr>
      </w:pPr>
    </w:p>
    <w:p>
      <w:pPr>
        <w:pStyle w:val="BodyText"/>
        <w:spacing w:line="364" w:lineRule="auto"/>
        <w:ind w:left="124" w:right="104"/>
        <w:jc w:val="both"/>
      </w:pPr>
      <w:r>
        <w:rPr/>
        <w:t>La emergencia de nuevos patrones migratorios entre México y Estados Unidos se vincula con algunas transformaciones económicas, sociales, demográficas y políticas relevantes, como son:</w:t>
      </w:r>
    </w:p>
    <w:p>
      <w:pPr>
        <w:pStyle w:val="BodyText"/>
        <w:spacing w:before="1"/>
        <w:rPr>
          <w:sz w:val="26"/>
        </w:rPr>
      </w:pPr>
    </w:p>
    <w:p>
      <w:pPr>
        <w:pStyle w:val="ListParagraph"/>
        <w:numPr>
          <w:ilvl w:val="0"/>
          <w:numId w:val="7"/>
        </w:numPr>
        <w:tabs>
          <w:tab w:pos="475" w:val="left" w:leader="none"/>
          <w:tab w:pos="476" w:val="left" w:leader="none"/>
        </w:tabs>
        <w:spacing w:line="364" w:lineRule="auto" w:before="0" w:after="0"/>
        <w:ind w:left="475" w:right="105" w:hanging="351"/>
        <w:jc w:val="left"/>
        <w:rPr>
          <w:sz w:val="23"/>
        </w:rPr>
      </w:pPr>
      <w:r>
        <w:rPr>
          <w:sz w:val="23"/>
        </w:rPr>
        <w:t>Las sucesivas crisis económicas y la reestructuración del modelo económico mexicano;</w:t>
      </w:r>
    </w:p>
    <w:p>
      <w:pPr>
        <w:pStyle w:val="BodyText"/>
        <w:spacing w:before="1"/>
        <w:rPr>
          <w:sz w:val="26"/>
        </w:rPr>
      </w:pPr>
    </w:p>
    <w:p>
      <w:pPr>
        <w:pStyle w:val="ListParagraph"/>
        <w:numPr>
          <w:ilvl w:val="0"/>
          <w:numId w:val="7"/>
        </w:numPr>
        <w:tabs>
          <w:tab w:pos="476" w:val="left" w:leader="none"/>
        </w:tabs>
        <w:spacing w:line="240" w:lineRule="auto" w:before="0" w:after="0"/>
        <w:ind w:left="475" w:right="0" w:hanging="351"/>
        <w:jc w:val="both"/>
        <w:rPr>
          <w:sz w:val="23"/>
        </w:rPr>
      </w:pPr>
      <w:r>
        <w:rPr>
          <w:sz w:val="23"/>
        </w:rPr>
        <w:t>La conformación de un país cada vez más</w:t>
      </w:r>
      <w:r>
        <w:rPr>
          <w:spacing w:val="55"/>
          <w:sz w:val="23"/>
        </w:rPr>
        <w:t> </w:t>
      </w:r>
      <w:r>
        <w:rPr>
          <w:sz w:val="23"/>
        </w:rPr>
        <w:t>urbano;</w:t>
      </w:r>
    </w:p>
    <w:p>
      <w:pPr>
        <w:pStyle w:val="BodyText"/>
        <w:rPr>
          <w:sz w:val="22"/>
        </w:rPr>
      </w:pPr>
    </w:p>
    <w:p>
      <w:pPr>
        <w:pStyle w:val="ListParagraph"/>
        <w:numPr>
          <w:ilvl w:val="0"/>
          <w:numId w:val="7"/>
        </w:numPr>
        <w:tabs>
          <w:tab w:pos="475" w:val="left" w:leader="none"/>
          <w:tab w:pos="476" w:val="left" w:leader="none"/>
        </w:tabs>
        <w:spacing w:line="364" w:lineRule="auto" w:before="178" w:after="0"/>
        <w:ind w:left="475" w:right="107" w:hanging="351"/>
        <w:jc w:val="left"/>
        <w:rPr>
          <w:sz w:val="23"/>
        </w:rPr>
      </w:pPr>
      <w:r>
        <w:rPr>
          <w:sz w:val="23"/>
        </w:rPr>
        <w:t>Las profundas transformaciones en la economía estadounidense, sobre todo  en la década de los</w:t>
      </w:r>
      <w:r>
        <w:rPr>
          <w:spacing w:val="30"/>
          <w:sz w:val="23"/>
        </w:rPr>
        <w:t> </w:t>
      </w:r>
      <w:r>
        <w:rPr>
          <w:sz w:val="23"/>
        </w:rPr>
        <w:t>noventa;</w:t>
      </w:r>
    </w:p>
    <w:p>
      <w:pPr>
        <w:pStyle w:val="BodyText"/>
        <w:spacing w:before="3"/>
        <w:rPr>
          <w:sz w:val="26"/>
        </w:rPr>
      </w:pPr>
    </w:p>
    <w:p>
      <w:pPr>
        <w:pStyle w:val="ListParagraph"/>
        <w:numPr>
          <w:ilvl w:val="0"/>
          <w:numId w:val="7"/>
        </w:numPr>
        <w:tabs>
          <w:tab w:pos="475" w:val="left" w:leader="none"/>
          <w:tab w:pos="476" w:val="left" w:leader="none"/>
        </w:tabs>
        <w:spacing w:line="364" w:lineRule="auto" w:before="0" w:after="0"/>
        <w:ind w:left="475" w:right="107" w:hanging="351"/>
        <w:jc w:val="left"/>
        <w:rPr>
          <w:sz w:val="23"/>
        </w:rPr>
      </w:pPr>
      <w:r>
        <w:rPr>
          <w:sz w:val="23"/>
        </w:rPr>
        <w:t>Las consecuencias anticipadas y no anticipadas derivadas de la aplicación de  la política migratoria</w:t>
      </w:r>
      <w:r>
        <w:rPr>
          <w:spacing w:val="35"/>
          <w:sz w:val="23"/>
        </w:rPr>
        <w:t> </w:t>
      </w:r>
      <w:r>
        <w:rPr>
          <w:sz w:val="23"/>
        </w:rPr>
        <w:t>norteamericana;</w:t>
      </w:r>
    </w:p>
    <w:p>
      <w:pPr>
        <w:pStyle w:val="BodyText"/>
        <w:spacing w:before="1"/>
        <w:rPr>
          <w:sz w:val="26"/>
        </w:rPr>
      </w:pPr>
    </w:p>
    <w:p>
      <w:pPr>
        <w:pStyle w:val="ListParagraph"/>
        <w:numPr>
          <w:ilvl w:val="0"/>
          <w:numId w:val="7"/>
        </w:numPr>
        <w:tabs>
          <w:tab w:pos="475" w:val="left" w:leader="none"/>
          <w:tab w:pos="476" w:val="left" w:leader="none"/>
        </w:tabs>
        <w:spacing w:line="364" w:lineRule="auto" w:before="0" w:after="0"/>
        <w:ind w:left="475" w:right="106" w:hanging="351"/>
        <w:jc w:val="left"/>
        <w:rPr>
          <w:sz w:val="23"/>
        </w:rPr>
      </w:pPr>
      <w:r>
        <w:rPr>
          <w:sz w:val="23"/>
        </w:rPr>
        <w:t>El impacto económico de los tratados y acuerdos comerciales con Estados Unidos y otros</w:t>
      </w:r>
      <w:r>
        <w:rPr>
          <w:spacing w:val="25"/>
          <w:sz w:val="23"/>
        </w:rPr>
        <w:t> </w:t>
      </w:r>
      <w:r>
        <w:rPr>
          <w:sz w:val="23"/>
        </w:rPr>
        <w:t>países;</w:t>
      </w:r>
    </w:p>
    <w:p>
      <w:pPr>
        <w:pStyle w:val="BodyText"/>
        <w:spacing w:before="10"/>
        <w:rPr>
          <w:sz w:val="25"/>
        </w:rPr>
      </w:pPr>
    </w:p>
    <w:p>
      <w:pPr>
        <w:pStyle w:val="ListParagraph"/>
        <w:numPr>
          <w:ilvl w:val="0"/>
          <w:numId w:val="7"/>
        </w:numPr>
        <w:tabs>
          <w:tab w:pos="476" w:val="left" w:leader="none"/>
        </w:tabs>
        <w:spacing w:line="240" w:lineRule="auto" w:before="0" w:after="0"/>
        <w:ind w:left="475" w:right="0" w:hanging="351"/>
        <w:jc w:val="both"/>
        <w:rPr>
          <w:sz w:val="23"/>
        </w:rPr>
      </w:pPr>
      <w:r>
        <w:rPr>
          <w:sz w:val="23"/>
        </w:rPr>
        <w:t>Y un contexto general de creciente</w:t>
      </w:r>
      <w:r>
        <w:rPr>
          <w:spacing w:val="53"/>
          <w:sz w:val="23"/>
        </w:rPr>
        <w:t> </w:t>
      </w:r>
      <w:r>
        <w:rPr>
          <w:sz w:val="23"/>
        </w:rPr>
        <w:t>globalización.</w:t>
      </w:r>
    </w:p>
    <w:p>
      <w:pPr>
        <w:pStyle w:val="BodyText"/>
        <w:rPr>
          <w:sz w:val="22"/>
        </w:rPr>
      </w:pPr>
    </w:p>
    <w:p>
      <w:pPr>
        <w:pStyle w:val="BodyText"/>
        <w:spacing w:line="364" w:lineRule="auto" w:before="181"/>
        <w:ind w:left="119" w:right="119"/>
        <w:jc w:val="both"/>
      </w:pPr>
      <w:r>
        <w:rPr/>
        <w:t>La migración entre México y Estados Unidos puede clasificarse, de acuerdo con  su temporalidad, en dos grandes</w:t>
      </w:r>
      <w:r>
        <w:rPr>
          <w:spacing w:val="46"/>
        </w:rPr>
        <w:t> </w:t>
      </w:r>
      <w:r>
        <w:rPr/>
        <w:t>grupos:</w:t>
      </w:r>
    </w:p>
    <w:p>
      <w:pPr>
        <w:spacing w:after="0" w:line="364" w:lineRule="auto"/>
        <w:jc w:val="both"/>
        <w:sectPr>
          <w:pgSz w:w="11900" w:h="16840"/>
          <w:pgMar w:header="0" w:footer="1676" w:top="1600" w:bottom="1860" w:left="1560" w:right="1580"/>
        </w:sectPr>
      </w:pPr>
    </w:p>
    <w:p>
      <w:pPr>
        <w:pStyle w:val="BodyText"/>
        <w:rPr>
          <w:sz w:val="20"/>
        </w:rPr>
      </w:pPr>
    </w:p>
    <w:p>
      <w:pPr>
        <w:pStyle w:val="BodyText"/>
        <w:spacing w:before="10"/>
        <w:rPr>
          <w:sz w:val="16"/>
        </w:rPr>
      </w:pPr>
    </w:p>
    <w:p>
      <w:pPr>
        <w:pStyle w:val="ListParagraph"/>
        <w:numPr>
          <w:ilvl w:val="0"/>
          <w:numId w:val="8"/>
        </w:numPr>
        <w:tabs>
          <w:tab w:pos="401" w:val="left" w:leader="none"/>
        </w:tabs>
        <w:spacing w:line="362" w:lineRule="auto" w:before="74" w:after="0"/>
        <w:ind w:left="120" w:right="122" w:firstLine="0"/>
        <w:jc w:val="both"/>
        <w:rPr>
          <w:sz w:val="23"/>
        </w:rPr>
      </w:pPr>
      <w:r>
        <w:rPr>
          <w:sz w:val="23"/>
        </w:rPr>
        <w:t>los individuos migratorios hacia Estados Unidos que establecen una residencia más o menos fija en el vecino país del norte (migrantes permanentes o </w:t>
      </w:r>
      <w:r>
        <w:rPr>
          <w:i/>
          <w:sz w:val="23"/>
        </w:rPr>
        <w:t>settlers); </w:t>
      </w:r>
      <w:r>
        <w:rPr>
          <w:i/>
          <w:spacing w:val="35"/>
          <w:sz w:val="23"/>
        </w:rPr>
        <w:t> </w:t>
      </w:r>
      <w:r>
        <w:rPr>
          <w:sz w:val="23"/>
        </w:rPr>
        <w:t>y</w:t>
      </w:r>
    </w:p>
    <w:p>
      <w:pPr>
        <w:pStyle w:val="BodyText"/>
        <w:spacing w:before="3"/>
        <w:rPr>
          <w:sz w:val="26"/>
        </w:rPr>
      </w:pPr>
    </w:p>
    <w:p>
      <w:pPr>
        <w:pStyle w:val="ListParagraph"/>
        <w:numPr>
          <w:ilvl w:val="0"/>
          <w:numId w:val="8"/>
        </w:numPr>
        <w:tabs>
          <w:tab w:pos="548" w:val="left" w:leader="none"/>
        </w:tabs>
        <w:spacing w:line="364" w:lineRule="auto" w:before="1" w:after="0"/>
        <w:ind w:left="120" w:right="115" w:firstLine="0"/>
        <w:jc w:val="both"/>
        <w:rPr>
          <w:i/>
          <w:sz w:val="23"/>
        </w:rPr>
      </w:pPr>
      <w:r>
        <w:rPr>
          <w:sz w:val="23"/>
        </w:rPr>
        <w:t>los trabajadores migratorios sin residencia fija en ese país, pero que regularmente entran y salen del territorio americano, para trabajar o  buscar  trabajo (migrantes temporales o</w:t>
      </w:r>
      <w:r>
        <w:rPr>
          <w:spacing w:val="46"/>
          <w:sz w:val="23"/>
        </w:rPr>
        <w:t> </w:t>
      </w:r>
      <w:r>
        <w:rPr>
          <w:i/>
          <w:sz w:val="23"/>
        </w:rPr>
        <w:t>soujourners).</w:t>
      </w:r>
    </w:p>
    <w:p>
      <w:pPr>
        <w:pStyle w:val="BodyText"/>
        <w:spacing w:before="3"/>
        <w:rPr>
          <w:i/>
          <w:sz w:val="26"/>
        </w:rPr>
      </w:pPr>
    </w:p>
    <w:p>
      <w:pPr>
        <w:pStyle w:val="BodyText"/>
        <w:spacing w:line="364" w:lineRule="auto"/>
        <w:ind w:left="119" w:right="108"/>
        <w:jc w:val="both"/>
      </w:pPr>
      <w:r>
        <w:rPr/>
        <w:t>Esta distinción es más bien de grado que de tipo, puesto que muchos migrantes temporales pueden llegar a tornarse permanentes; no obstante, esta distinción resulta relevante toda vez que permite demarcar conceptualmente los esfuerzos  de medición e interpretar sus resultados, así como evaluar sus efectos en las comunidades de origen y de</w:t>
      </w:r>
      <w:r>
        <w:rPr>
          <w:spacing w:val="42"/>
        </w:rPr>
        <w:t> </w:t>
      </w:r>
      <w:r>
        <w:rPr/>
        <w:t>destino.</w:t>
      </w:r>
    </w:p>
    <w:p>
      <w:pPr>
        <w:pStyle w:val="BodyText"/>
        <w:spacing w:before="1"/>
        <w:rPr>
          <w:sz w:val="26"/>
        </w:rPr>
      </w:pPr>
    </w:p>
    <w:p>
      <w:pPr>
        <w:pStyle w:val="BodyText"/>
        <w:spacing w:line="364" w:lineRule="auto"/>
        <w:ind w:left="119" w:right="110"/>
        <w:jc w:val="both"/>
      </w:pPr>
      <w:r>
        <w:rPr/>
        <w:t>El saldo neto migratorio alcanzó en México cifras inéditas en el trienio 2001-2003. Una primera expresión de los nuevos patrones migratorios es el notable  incremento en la magnitud e intensidad del fenómeno migratorio México-Estados Unidos.</w:t>
      </w:r>
    </w:p>
    <w:p>
      <w:pPr>
        <w:pStyle w:val="BodyText"/>
        <w:spacing w:before="8"/>
        <w:rPr>
          <w:sz w:val="25"/>
        </w:rPr>
      </w:pPr>
    </w:p>
    <w:p>
      <w:pPr>
        <w:pStyle w:val="BodyText"/>
        <w:spacing w:line="364" w:lineRule="auto"/>
        <w:ind w:left="100" w:right="106"/>
        <w:jc w:val="both"/>
      </w:pPr>
      <w:r>
        <w:rPr/>
        <w:t>La pérdida neta anual de población mexicana por concepto de migración  a  Estados Unidos registró un incremento notable durante las últimas cuatro décadas del siglo pasado. Pasó de poco menos de 30 mil personas en promedio anual durante el periodo 1961-1970 a 390 mil personas en el periodo </w:t>
      </w:r>
      <w:r>
        <w:rPr>
          <w:spacing w:val="26"/>
        </w:rPr>
        <w:t> </w:t>
      </w:r>
      <w:r>
        <w:rPr/>
        <w:t>2001-2003.</w:t>
      </w:r>
    </w:p>
    <w:p>
      <w:pPr>
        <w:pStyle w:val="BodyText"/>
        <w:spacing w:before="5"/>
        <w:rPr>
          <w:sz w:val="25"/>
        </w:rPr>
      </w:pPr>
    </w:p>
    <w:p>
      <w:pPr>
        <w:pStyle w:val="BodyText"/>
        <w:spacing w:line="364" w:lineRule="auto"/>
        <w:ind w:left="105" w:right="105"/>
        <w:jc w:val="both"/>
      </w:pPr>
      <w:r>
        <w:rPr/>
        <w:t>Esta última cifra da cuenta de una pérdida neta 13 veces superior a la observada en la década de los sesenta. Entre 1970 y 2003, la población de origen mexicano aumentó de 5.4 millones a 26.7 millones. El ritmo de crecimiento de la población mexicana radicada en Estados Unidos durante las últimas tres décadas es inédito en la historia demográfica de México. Mientras que en 1970 sumaron 879 mil personas, en 2003 su número aumentó a 9.9 millones (Figura </w:t>
      </w:r>
      <w:r>
        <w:rPr>
          <w:spacing w:val="8"/>
        </w:rPr>
        <w:t> </w:t>
      </w:r>
      <w:r>
        <w:rPr/>
        <w:t>3).</w:t>
      </w:r>
    </w:p>
    <w:p>
      <w:pPr>
        <w:spacing w:after="0" w:line="364" w:lineRule="auto"/>
        <w:jc w:val="both"/>
        <w:sectPr>
          <w:pgSz w:w="11900" w:h="16840"/>
          <w:pgMar w:header="0" w:footer="1676" w:top="1600" w:bottom="1860" w:left="1560" w:right="1580"/>
        </w:sectPr>
      </w:pPr>
    </w:p>
    <w:p>
      <w:pPr>
        <w:pStyle w:val="BodyText"/>
        <w:rPr>
          <w:sz w:val="20"/>
        </w:rPr>
      </w:pPr>
    </w:p>
    <w:p>
      <w:pPr>
        <w:pStyle w:val="BodyText"/>
        <w:spacing w:before="5"/>
        <w:rPr>
          <w:sz w:val="16"/>
        </w:rPr>
      </w:pPr>
    </w:p>
    <w:p>
      <w:pPr>
        <w:pStyle w:val="Heading4"/>
        <w:spacing w:line="364" w:lineRule="auto" w:before="74"/>
        <w:ind w:left="2796" w:right="223" w:hanging="2487"/>
      </w:pPr>
      <w:r>
        <w:rPr/>
        <w:t>Figura 3. Población mexicana o de origen mexicano residente en Estados Unidos, 1900-2003 (Millones)</w:t>
      </w:r>
    </w:p>
    <w:p>
      <w:pPr>
        <w:pStyle w:val="BodyText"/>
        <w:spacing w:before="1"/>
        <w:rPr>
          <w:b/>
          <w:sz w:val="9"/>
        </w:rPr>
      </w:pPr>
      <w:r>
        <w:rPr/>
        <w:pict>
          <v:group style="position:absolute;margin-left:83.759995pt;margin-top:7.201542pt;width:429.6pt;height:237.5pt;mso-position-horizontal-relative:page;mso-position-vertical-relative:paragraph;z-index:6184;mso-wrap-distance-left:0;mso-wrap-distance-right:0" coordorigin="1675,144" coordsize="8592,4750">
            <v:shape style="position:absolute;left:1687;top:154;width:8570;height:4730" type="#_x0000_t75" stroked="false">
              <v:imagedata r:id="rId148" o:title=""/>
            </v:shape>
            <v:shape style="position:absolute;left:1675;top:144;width:8592;height:4750" coordorigin="1675,144" coordsize="8592,4750" path="m10267,144l1675,144,1675,4894,10267,4894,10267,4889,1687,4889,1680,4884,1687,4884,1687,154,1680,154,1687,149,10267,149,10267,144xm1687,4884l1680,4884,1687,4889,1687,4884xm10258,4884l1687,4884,1687,4889,10258,4889,10258,4884xm10258,149l10258,4889,10262,4884,10267,4884,10267,154,10262,154,10258,149xm10267,4884l10262,4884,10258,4889,10267,4889,10267,4884xm1687,149l1680,154,1687,154,1687,149xm10258,149l1687,149,1687,154,10258,154,10258,149xm10267,149l10258,149,10262,154,10267,154,10267,149xe" filled="true" fillcolor="#000000" stroked="false">
              <v:path arrowok="t"/>
              <v:fill type="solid"/>
            </v:shape>
            <w10:wrap type="topAndBottom"/>
          </v:group>
        </w:pict>
      </w:r>
    </w:p>
    <w:p>
      <w:pPr>
        <w:pStyle w:val="BodyText"/>
        <w:spacing w:before="8"/>
        <w:rPr>
          <w:b/>
          <w:sz w:val="27"/>
        </w:rPr>
      </w:pPr>
    </w:p>
    <w:p>
      <w:pPr>
        <w:spacing w:line="367" w:lineRule="auto" w:before="0"/>
        <w:ind w:left="115" w:right="243" w:firstLine="0"/>
        <w:jc w:val="both"/>
        <w:rPr>
          <w:sz w:val="21"/>
        </w:rPr>
      </w:pPr>
      <w:r>
        <w:rPr>
          <w:sz w:val="21"/>
        </w:rPr>
        <w:t>Fuente: De 1900 a 1990: Elaboración con base en Corona Vázquez Rodolfo, Estimación  de la población de origen mexicano que reside en Estados Unidos. El Colegio de la  Frontera Norte, noviembre,</w:t>
      </w:r>
      <w:r>
        <w:rPr>
          <w:spacing w:val="52"/>
          <w:sz w:val="21"/>
        </w:rPr>
        <w:t> </w:t>
      </w:r>
      <w:r>
        <w:rPr>
          <w:sz w:val="21"/>
        </w:rPr>
        <w:t>1992.</w:t>
      </w:r>
    </w:p>
    <w:p>
      <w:pPr>
        <w:pStyle w:val="BodyText"/>
        <w:rPr>
          <w:sz w:val="20"/>
        </w:rPr>
      </w:pPr>
    </w:p>
    <w:p>
      <w:pPr>
        <w:pStyle w:val="BodyText"/>
        <w:rPr>
          <w:sz w:val="20"/>
        </w:rPr>
      </w:pPr>
    </w:p>
    <w:p>
      <w:pPr>
        <w:pStyle w:val="BodyText"/>
        <w:spacing w:before="3"/>
        <w:rPr>
          <w:sz w:val="26"/>
        </w:rPr>
      </w:pPr>
    </w:p>
    <w:p>
      <w:pPr>
        <w:pStyle w:val="BodyText"/>
        <w:spacing w:line="364" w:lineRule="auto"/>
        <w:ind w:left="115" w:right="113"/>
        <w:jc w:val="both"/>
      </w:pPr>
      <w:r>
        <w:rPr/>
        <w:t>Si se considera además a los descendientes de los inmigrantes, se estima que la población de origen mexicano en Estados Unidos aumentó de 5.4 millones a 26.7 millones el mismo periodo. De estos últimos, 16.8 millones nacieron en Estados Unidos (8.1 millones hijos de inmigrantes mexicanos y 8.7 millones de segunda generación o más) (CONAPO, 2004).</w:t>
      </w:r>
    </w:p>
    <w:p>
      <w:pPr>
        <w:pStyle w:val="BodyText"/>
        <w:spacing w:before="10"/>
        <w:rPr>
          <w:sz w:val="20"/>
        </w:rPr>
      </w:pPr>
    </w:p>
    <w:p>
      <w:pPr>
        <w:pStyle w:val="BodyText"/>
        <w:spacing w:line="364" w:lineRule="auto"/>
        <w:ind w:left="115" w:right="245"/>
        <w:jc w:val="both"/>
      </w:pPr>
      <w:r>
        <w:rPr/>
        <w:t>La migración de mexicanos hacia Estados Unidos no se redujo con la entrada en vigor del Tratado de Libre Comercio de América del Norte (TLCAN),  como  tampoco la enorme diferencia salarial, por ello actualmente hay cerca de 10 millones de personas nacidas en México que radican en la Unión Americana (Levine,</w:t>
      </w:r>
      <w:r>
        <w:rPr>
          <w:spacing w:val="14"/>
        </w:rPr>
        <w:t> </w:t>
      </w:r>
      <w:r>
        <w:rPr/>
        <w:t>2004).</w:t>
      </w:r>
    </w:p>
    <w:p>
      <w:pPr>
        <w:spacing w:after="0" w:line="364" w:lineRule="auto"/>
        <w:jc w:val="both"/>
        <w:sectPr>
          <w:pgSz w:w="11900" w:h="16840"/>
          <w:pgMar w:header="0" w:footer="1676" w:top="1600" w:bottom="1860" w:left="1540" w:right="1440"/>
        </w:sectPr>
      </w:pPr>
    </w:p>
    <w:p>
      <w:pPr>
        <w:pStyle w:val="BodyText"/>
        <w:rPr>
          <w:sz w:val="20"/>
        </w:rPr>
      </w:pPr>
    </w:p>
    <w:p>
      <w:pPr>
        <w:pStyle w:val="BodyText"/>
        <w:spacing w:before="5"/>
        <w:rPr>
          <w:sz w:val="16"/>
        </w:rPr>
      </w:pPr>
    </w:p>
    <w:p>
      <w:pPr>
        <w:pStyle w:val="Heading4"/>
        <w:spacing w:before="74"/>
        <w:ind w:left="115"/>
        <w:jc w:val="both"/>
      </w:pPr>
      <w:r>
        <w:rPr/>
        <w:t>El proceso de asentamiento</w:t>
      </w:r>
    </w:p>
    <w:p>
      <w:pPr>
        <w:pStyle w:val="BodyText"/>
        <w:spacing w:before="8"/>
        <w:rPr>
          <w:b/>
          <w:sz w:val="32"/>
        </w:rPr>
      </w:pPr>
    </w:p>
    <w:p>
      <w:pPr>
        <w:pStyle w:val="BodyText"/>
        <w:spacing w:line="364" w:lineRule="auto"/>
        <w:ind w:left="115" w:right="108"/>
        <w:jc w:val="both"/>
      </w:pPr>
      <w:r>
        <w:rPr/>
        <w:t>En el proceso de asentamiento influyen un sinnúmero de factores sociales, económicos, políticos y culturales, entre los cuales pueden  mencionarse:</w:t>
      </w:r>
    </w:p>
    <w:p>
      <w:pPr>
        <w:pStyle w:val="BodyText"/>
        <w:spacing w:before="4"/>
        <w:rPr>
          <w:sz w:val="17"/>
        </w:rPr>
      </w:pPr>
    </w:p>
    <w:p>
      <w:pPr>
        <w:pStyle w:val="ListParagraph"/>
        <w:numPr>
          <w:ilvl w:val="0"/>
          <w:numId w:val="9"/>
        </w:numPr>
        <w:tabs>
          <w:tab w:pos="440" w:val="left" w:leader="none"/>
        </w:tabs>
        <w:spacing w:line="364" w:lineRule="auto" w:before="0" w:after="0"/>
        <w:ind w:left="116" w:right="103" w:firstLine="0"/>
        <w:jc w:val="both"/>
        <w:rPr>
          <w:sz w:val="23"/>
        </w:rPr>
      </w:pPr>
      <w:r>
        <w:rPr>
          <w:sz w:val="23"/>
        </w:rPr>
        <w:t>La dinámica de formación de familias y comunidades translocalizadas que, conjuntamente con el desarrollo y consolidación de redes sociales, permite reproducir patrones culturales y formas simbólicas entre las comunidades de destino y a la vez, mantener y fortalecer nexos económicos, sociales y culturales con las comunidades de origen (Rodríguez, 1987). El asentamiento, en este contexto, no conlleva una ruptura con la comunidad de origen ni tampoco una asimilación pura y simple en la sociedad de</w:t>
      </w:r>
      <w:r>
        <w:rPr>
          <w:spacing w:val="55"/>
          <w:sz w:val="23"/>
        </w:rPr>
        <w:t> </w:t>
      </w:r>
      <w:r>
        <w:rPr>
          <w:sz w:val="23"/>
        </w:rPr>
        <w:t>destino.</w:t>
      </w:r>
    </w:p>
    <w:p>
      <w:pPr>
        <w:pStyle w:val="BodyText"/>
        <w:spacing w:before="4"/>
        <w:rPr>
          <w:sz w:val="17"/>
        </w:rPr>
      </w:pPr>
    </w:p>
    <w:p>
      <w:pPr>
        <w:pStyle w:val="ListParagraph"/>
        <w:numPr>
          <w:ilvl w:val="0"/>
          <w:numId w:val="9"/>
        </w:numPr>
        <w:tabs>
          <w:tab w:pos="414" w:val="left" w:leader="none"/>
        </w:tabs>
        <w:spacing w:line="364" w:lineRule="auto" w:before="0" w:after="0"/>
        <w:ind w:left="116" w:right="105" w:firstLine="0"/>
        <w:jc w:val="both"/>
        <w:rPr>
          <w:sz w:val="23"/>
        </w:rPr>
      </w:pPr>
      <w:r>
        <w:rPr>
          <w:sz w:val="23"/>
        </w:rPr>
        <w:t>La dinámica y la estructura de los mercados laborales en los Estados Unidos que, sobre la base de procesos de segmentación y de informalización, permiten la incorporación de la mano de obra migrante en empleos urbanos (Canales, 2000; Fernández-Kelly,</w:t>
      </w:r>
      <w:r>
        <w:rPr>
          <w:spacing w:val="25"/>
          <w:sz w:val="23"/>
        </w:rPr>
        <w:t> </w:t>
      </w:r>
      <w:r>
        <w:rPr>
          <w:sz w:val="23"/>
        </w:rPr>
        <w:t>1991).</w:t>
      </w:r>
    </w:p>
    <w:p>
      <w:pPr>
        <w:pStyle w:val="BodyText"/>
        <w:spacing w:before="4"/>
        <w:rPr>
          <w:sz w:val="17"/>
        </w:rPr>
      </w:pPr>
    </w:p>
    <w:p>
      <w:pPr>
        <w:pStyle w:val="ListParagraph"/>
        <w:numPr>
          <w:ilvl w:val="0"/>
          <w:numId w:val="9"/>
        </w:numPr>
        <w:tabs>
          <w:tab w:pos="395" w:val="left" w:leader="none"/>
        </w:tabs>
        <w:spacing w:line="364" w:lineRule="auto" w:before="0" w:after="0"/>
        <w:ind w:left="116" w:right="104" w:firstLine="0"/>
        <w:jc w:val="both"/>
        <w:rPr>
          <w:sz w:val="23"/>
        </w:rPr>
      </w:pPr>
      <w:r>
        <w:rPr>
          <w:sz w:val="23"/>
        </w:rPr>
        <w:t>El incremento de la migración femenina y su papel en la reproducción familiar   ha permitido la formación de hogares y familias en las comunidades de destino, y constituye una contribución al asentamiento de los migrantes (Pessar, 1986; Hondagneu-Sotelo,</w:t>
      </w:r>
      <w:r>
        <w:rPr>
          <w:spacing w:val="30"/>
          <w:sz w:val="23"/>
        </w:rPr>
        <w:t> </w:t>
      </w:r>
      <w:r>
        <w:rPr>
          <w:sz w:val="23"/>
        </w:rPr>
        <w:t>1994).</w:t>
      </w:r>
    </w:p>
    <w:p>
      <w:pPr>
        <w:pStyle w:val="ListParagraph"/>
        <w:numPr>
          <w:ilvl w:val="0"/>
          <w:numId w:val="9"/>
        </w:numPr>
        <w:tabs>
          <w:tab w:pos="493" w:val="left" w:leader="none"/>
        </w:tabs>
        <w:spacing w:line="367" w:lineRule="auto" w:before="194" w:after="0"/>
        <w:ind w:left="116" w:right="105" w:firstLine="0"/>
        <w:jc w:val="both"/>
        <w:rPr>
          <w:sz w:val="23"/>
        </w:rPr>
      </w:pPr>
      <w:r>
        <w:rPr>
          <w:sz w:val="23"/>
        </w:rPr>
        <w:t>La fuerza cultural de las “</w:t>
      </w:r>
      <w:r>
        <w:rPr>
          <w:i/>
          <w:sz w:val="23"/>
        </w:rPr>
        <w:t>comunidades imaginadas</w:t>
      </w:r>
      <w:r>
        <w:rPr>
          <w:sz w:val="23"/>
        </w:rPr>
        <w:t>”, que conlleva una redefinición del concepto mismo de “comunidad”. Los migrantes desarrollan vínculos sociales y culturales a la vez que nexos económicos y laborales que  hacen que muchos de ellos se “imaginen” a sí mismos como parte de una comunidad en los Estados Unidos, pero que no es cualquier comunidad, sino una comunidad migrante, translocalizada, que reproduce y recrea los patrones culturales y formas simbólicas de sus comunidades de origen (Chávez, 1994; Rouse,</w:t>
      </w:r>
      <w:r>
        <w:rPr>
          <w:spacing w:val="14"/>
          <w:sz w:val="23"/>
        </w:rPr>
        <w:t> </w:t>
      </w:r>
      <w:r>
        <w:rPr>
          <w:sz w:val="23"/>
        </w:rPr>
        <w:t>1991).</w:t>
      </w:r>
    </w:p>
    <w:p>
      <w:pPr>
        <w:pStyle w:val="ListParagraph"/>
        <w:numPr>
          <w:ilvl w:val="0"/>
          <w:numId w:val="9"/>
        </w:numPr>
        <w:tabs>
          <w:tab w:pos="407" w:val="left" w:leader="none"/>
        </w:tabs>
        <w:spacing w:line="364" w:lineRule="auto" w:before="197" w:after="0"/>
        <w:ind w:left="116" w:right="105" w:firstLine="0"/>
        <w:jc w:val="both"/>
        <w:rPr>
          <w:sz w:val="23"/>
        </w:rPr>
      </w:pPr>
      <w:r>
        <w:rPr>
          <w:sz w:val="23"/>
        </w:rPr>
        <w:t>Junto a lo anterior, hay que señalar el importante efecto de la ley de amnistía aprobada  en  1987 </w:t>
      </w:r>
      <w:r>
        <w:rPr>
          <w:i/>
          <w:sz w:val="23"/>
        </w:rPr>
        <w:t>(Inmigration Reform and  Control Act) </w:t>
      </w:r>
      <w:r>
        <w:rPr>
          <w:sz w:val="23"/>
        </w:rPr>
        <w:t>(IRCA)  que permitió   </w:t>
      </w:r>
      <w:r>
        <w:rPr>
          <w:spacing w:val="41"/>
          <w:sz w:val="23"/>
        </w:rPr>
        <w:t> </w:t>
      </w:r>
      <w:r>
        <w:rPr>
          <w:sz w:val="23"/>
        </w:rPr>
        <w:t>la</w:t>
      </w:r>
    </w:p>
    <w:p>
      <w:pPr>
        <w:spacing w:after="0" w:line="364" w:lineRule="auto"/>
        <w:jc w:val="both"/>
        <w:rPr>
          <w:sz w:val="23"/>
        </w:rPr>
        <w:sectPr>
          <w:pgSz w:w="11900" w:h="16840"/>
          <w:pgMar w:header="0" w:footer="1676"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6"/>
        <w:jc w:val="both"/>
      </w:pPr>
      <w:r>
        <w:rPr/>
        <w:t>regularización de su residencia a más de dos millones de migrantes mexicanos y abrió la posibilidad de la inmigración legalizada de los parientes y familiares  directos de los beneficiados por el proceso de amnistía (Verduzco, </w:t>
      </w:r>
      <w:r>
        <w:rPr>
          <w:spacing w:val="20"/>
        </w:rPr>
        <w:t> </w:t>
      </w:r>
      <w:r>
        <w:rPr/>
        <w:t>1995).</w:t>
      </w:r>
    </w:p>
    <w:p>
      <w:pPr>
        <w:pStyle w:val="BodyText"/>
        <w:spacing w:before="4"/>
        <w:rPr>
          <w:sz w:val="17"/>
        </w:rPr>
      </w:pPr>
    </w:p>
    <w:p>
      <w:pPr>
        <w:pStyle w:val="ListParagraph"/>
        <w:numPr>
          <w:ilvl w:val="0"/>
          <w:numId w:val="9"/>
        </w:numPr>
        <w:tabs>
          <w:tab w:pos="328" w:val="left" w:leader="none"/>
        </w:tabs>
        <w:spacing w:line="364" w:lineRule="auto" w:before="0" w:after="0"/>
        <w:ind w:left="116" w:right="107" w:firstLine="0"/>
        <w:jc w:val="both"/>
        <w:rPr>
          <w:sz w:val="23"/>
        </w:rPr>
      </w:pPr>
      <w:r>
        <w:rPr>
          <w:sz w:val="23"/>
        </w:rPr>
        <w:t>Por último, Massey y otros (1987) señalan, además, el carácter acumulativo que tendría este proceso de asentamiento, en el sentido de que la formación de una comunidad de parientes y amigos de una misma localidad y zona de origen podría influir de manera determinante en el asentamiento de más migrantes en  los  barrios urbanos y comunidades rurales en los Estados </w:t>
      </w:r>
      <w:r>
        <w:rPr>
          <w:spacing w:val="2"/>
          <w:sz w:val="23"/>
        </w:rPr>
        <w:t> </w:t>
      </w:r>
      <w:r>
        <w:rPr>
          <w:sz w:val="23"/>
        </w:rPr>
        <w:t>Unidos.</w:t>
      </w:r>
    </w:p>
    <w:p>
      <w:pPr>
        <w:pStyle w:val="BodyText"/>
        <w:spacing w:before="6"/>
        <w:rPr>
          <w:sz w:val="17"/>
        </w:rPr>
      </w:pPr>
    </w:p>
    <w:p>
      <w:pPr>
        <w:pStyle w:val="BodyText"/>
        <w:spacing w:line="364" w:lineRule="auto"/>
        <w:ind w:left="115" w:right="105"/>
        <w:jc w:val="both"/>
      </w:pPr>
      <w:r>
        <w:rPr/>
        <w:t>Por otra parte, en 1950 y 1960 los migrantes mexicanos residentes en los Estados Unidos representaban menos del 2% de la población mexicana. En 1990, en cambio, esta proporción se incrementó al 5.5% y a casi  un 8% en 1996 .Esas  cifras indican el gran peso relativo que ha ido adquiriendo este proceso de asentamiento de la población migrante de origen mexicano en dicho país en los últimos  lustros. De acuerdo con estimaciones  recientes,  se calcula que cerca  </w:t>
      </w:r>
      <w:r>
        <w:rPr>
          <w:spacing w:val="29"/>
        </w:rPr>
        <w:t> </w:t>
      </w:r>
      <w:r>
        <w:rPr/>
        <w:t>de</w:t>
      </w:r>
    </w:p>
    <w:p>
      <w:pPr>
        <w:pStyle w:val="BodyText"/>
        <w:spacing w:line="364" w:lineRule="auto" w:before="5"/>
        <w:ind w:left="115" w:right="105"/>
        <w:jc w:val="both"/>
      </w:pPr>
      <w:r>
        <w:rPr/>
        <w:t>7.2 millones de mexicanos son residentes permanentes en los Estados Unidos,  cifra que es superior a la población de cualquier entidad federativa mexicana, con excepción del Distrito Federal y el Estado de México. Asimismo, se estima que un tercio de estos residentes (2.3 millones de individuos, aproximadamente) corresponde a migrantes indocumentados (Binational Study, </w:t>
      </w:r>
      <w:r>
        <w:rPr>
          <w:spacing w:val="11"/>
        </w:rPr>
        <w:t> </w:t>
      </w:r>
      <w:r>
        <w:rPr/>
        <w:t>1997).</w:t>
      </w:r>
    </w:p>
    <w:p>
      <w:pPr>
        <w:pStyle w:val="BodyText"/>
        <w:spacing w:before="4"/>
        <w:rPr>
          <w:sz w:val="17"/>
        </w:rPr>
      </w:pPr>
    </w:p>
    <w:p>
      <w:pPr>
        <w:pStyle w:val="BodyText"/>
        <w:spacing w:line="364" w:lineRule="auto"/>
        <w:ind w:left="115" w:right="108"/>
        <w:jc w:val="both"/>
      </w:pPr>
      <w:r>
        <w:rPr/>
        <w:t>El origen del flujo migratorio se amplió con la incorporación de algunas entidades federativas que hasta mediados de la década de 1970 se habían mantenido al margen de la migración internacional (Cornelius,</w:t>
      </w:r>
      <w:r>
        <w:rPr>
          <w:spacing w:val="57"/>
        </w:rPr>
        <w:t> </w:t>
      </w:r>
      <w:r>
        <w:rPr/>
        <w:t>1990).</w:t>
      </w:r>
    </w:p>
    <w:p>
      <w:pPr>
        <w:pStyle w:val="BodyText"/>
        <w:spacing w:line="364" w:lineRule="auto" w:before="197"/>
        <w:ind w:left="115" w:right="105"/>
        <w:jc w:val="both"/>
      </w:pPr>
      <w:r>
        <w:rPr/>
        <w:t>En efecto, hasta 1970 la migración permanente incluía menos de 45 000 personas cada año. A partir de ese año, en cambio, este componente  del  proceso  migratorio inició una fase de ascenso sostenido, a ritmos crecientes, y que se consolidó en la década de 1990. Entre 1970 y 1980, por ejemplo, el saldo neto anual ascendió a más de 110 000 personas, cifra que se elevó a más de 220 000 en el decenio siguiente y a 450 000 en la primera mitad de los años noventa. En esta forma, sólo en los últimos 16 años (1980-1996), el número de mexicanos  </w:t>
      </w:r>
      <w:r>
        <w:rPr>
          <w:spacing w:val="11"/>
        </w:rPr>
        <w:t> </w:t>
      </w:r>
      <w:r>
        <w:rPr/>
        <w:t>que</w:t>
      </w:r>
    </w:p>
    <w:p>
      <w:pPr>
        <w:spacing w:after="0" w:line="364" w:lineRule="auto"/>
        <w:jc w:val="both"/>
        <w:sectPr>
          <w:pgSz w:w="11900" w:h="16840"/>
          <w:pgMar w:header="0" w:footer="1676"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9"/>
        <w:jc w:val="both"/>
      </w:pPr>
      <w:r>
        <w:rPr/>
        <w:t>se han asentado duplica con creces las cifras correspondientes a  las  tres  décadas anteriores</w:t>
      </w:r>
      <w:r>
        <w:rPr>
          <w:spacing w:val="39"/>
        </w:rPr>
        <w:t> </w:t>
      </w:r>
      <w:r>
        <w:rPr/>
        <w:t>(1950-1980).</w:t>
      </w:r>
    </w:p>
    <w:p>
      <w:pPr>
        <w:pStyle w:val="BodyText"/>
        <w:spacing w:before="4"/>
        <w:rPr>
          <w:sz w:val="17"/>
        </w:rPr>
      </w:pPr>
    </w:p>
    <w:p>
      <w:pPr>
        <w:pStyle w:val="BodyText"/>
        <w:spacing w:line="364" w:lineRule="auto"/>
        <w:ind w:left="115" w:right="105"/>
        <w:jc w:val="both"/>
      </w:pPr>
      <w:r>
        <w:rPr/>
        <w:t>Se han producido cambios igualmente significativos en relación con la dinámica   de los migrantes en los lugares de destino en los Estados Unidos. Por un lado, la migración que se dirige a zonas urbanas se incrementa significativamente, desplazando en importancia a aquella que se dirige a zonas rurales. En este  marco, se torna muy importante la migración a la ciudad de Los Ángeles, hacia la cual se dirige gran parte de los mexicanos. Este cambio en las localidades de destino está asociado, a su vez, a un cambio similar en la inserción laboral de los migrantes, que se complementa con un proceso de flexibilización y desregulación en ciertos segmentos del mercado de trabajo en distintas  ciudades estadounidenses (Sassen, 1998, Zlolniski, 1998; Fernández-Kelly, </w:t>
      </w:r>
      <w:r>
        <w:rPr>
          <w:spacing w:val="19"/>
        </w:rPr>
        <w:t> </w:t>
      </w:r>
      <w:r>
        <w:rPr/>
        <w:t>1991).</w:t>
      </w:r>
    </w:p>
    <w:p>
      <w:pPr>
        <w:pStyle w:val="BodyText"/>
        <w:rPr>
          <w:sz w:val="22"/>
        </w:rPr>
      </w:pPr>
    </w:p>
    <w:p>
      <w:pPr>
        <w:pStyle w:val="BodyText"/>
        <w:spacing w:line="364" w:lineRule="auto" w:before="155"/>
        <w:ind w:left="115" w:right="103"/>
        <w:jc w:val="both"/>
      </w:pPr>
      <w:r>
        <w:rPr/>
        <w:t>A partir de la crisis de los primeros años del decenio de 1980, se incorporaron nuevos componentes al flujo migratorio, que generaron importantes transformaciones tanto de la dinámica migratoria como del perfil  socio  demográfico y las pautas de inserción laboral de la población migrante. En efecto,  a partir de 1982, aumentó considerablemente la participación de mujeres y niños,   a la vez que se incrementó la proporción de migrantes de origen urbano y provenientes de las principales zonas metropolitanas, en especial de Ciudad de México, que a fines de los años ochenta ya aportaba más del 10% del flujo de migrantes indocumentados (López,</w:t>
      </w:r>
      <w:r>
        <w:rPr>
          <w:spacing w:val="48"/>
        </w:rPr>
        <w:t> </w:t>
      </w:r>
      <w:r>
        <w:rPr/>
        <w:t>1994).</w:t>
      </w:r>
    </w:p>
    <w:p>
      <w:pPr>
        <w:pStyle w:val="BodyText"/>
        <w:spacing w:before="4"/>
        <w:rPr>
          <w:sz w:val="17"/>
        </w:rPr>
      </w:pPr>
    </w:p>
    <w:p>
      <w:pPr>
        <w:pStyle w:val="BodyText"/>
        <w:spacing w:line="364" w:lineRule="auto"/>
        <w:ind w:left="115" w:right="105"/>
        <w:jc w:val="both"/>
      </w:pPr>
      <w:r>
        <w:rPr/>
        <w:t>Hacia fines de los años ochenta la actividad agrícola no parecía ser ya la principal actividad económica de los migrantes, quienes prefirieron insertarse productivamente en diversas actividades económicas de carácter  más  bien  urbano (servicio doméstico, de mantenimiento, construcción, restaurantes, etc.) (Papail y Arroyo, 1996; Sassen y Smith, 1992). En este contexto, el cambio más significativo de la dinámica de la migración es la creciente importancia social, económica y demográfica que asume el proceso de asentamiento de la población mexicana.  Al  aumento  del  flujo  migratorio  de  carácter  circular  y  temporal   </w:t>
      </w:r>
      <w:r>
        <w:rPr>
          <w:spacing w:val="2"/>
        </w:rPr>
        <w:t> </w:t>
      </w:r>
      <w:r>
        <w:rPr/>
        <w:t>se</w:t>
      </w:r>
    </w:p>
    <w:p>
      <w:pPr>
        <w:spacing w:after="0" w:line="364" w:lineRule="auto"/>
        <w:jc w:val="both"/>
        <w:sectPr>
          <w:footerReference w:type="default" r:id="rId149"/>
          <w:pgSz w:w="11900" w:h="16840"/>
          <w:pgMar w:footer="1676" w:header="0" w:top="1600" w:bottom="1860" w:left="1540" w:right="1580"/>
          <w:pgNumType w:start="150"/>
        </w:sectPr>
      </w:pPr>
    </w:p>
    <w:p>
      <w:pPr>
        <w:pStyle w:val="BodyText"/>
        <w:rPr>
          <w:sz w:val="20"/>
        </w:rPr>
      </w:pPr>
    </w:p>
    <w:p>
      <w:pPr>
        <w:pStyle w:val="BodyText"/>
        <w:spacing w:before="7"/>
        <w:rPr>
          <w:sz w:val="16"/>
        </w:rPr>
      </w:pPr>
    </w:p>
    <w:p>
      <w:pPr>
        <w:pStyle w:val="BodyText"/>
        <w:spacing w:line="364" w:lineRule="auto" w:before="74"/>
        <w:ind w:left="115" w:right="106"/>
        <w:jc w:val="both"/>
      </w:pPr>
      <w:r>
        <w:rPr/>
        <w:t>agrega un flujo no menos importante de mexicanos que tienden a establecer su residencia en forma estable y permanente en diversas ciudades y pueblos rurales de los Estados Unidos (Alarcón, 1995; Cornelius, 1992; Chávez,  1988).</w:t>
      </w:r>
    </w:p>
    <w:p>
      <w:pPr>
        <w:pStyle w:val="BodyText"/>
        <w:rPr>
          <w:sz w:val="22"/>
        </w:rPr>
      </w:pPr>
    </w:p>
    <w:p>
      <w:pPr>
        <w:pStyle w:val="BodyText"/>
        <w:spacing w:line="364" w:lineRule="auto" w:before="153"/>
        <w:ind w:left="115" w:right="105"/>
        <w:jc w:val="both"/>
      </w:pPr>
      <w:r>
        <w:rPr/>
        <w:t>La década de los ochenta marcó un cambio en los patrones de inmigración hacia los Estados Unidos ya que, por un lado, se transformó la composición técnica mayoritaria del flujo y, por el otro, se incrementaron drásticamente tanto el  volumen, como la modalidad de los flujos de indocumentados. Mientras en la década del 50-59 la mayor parte del flujo de inmigrantes procedía todavía de Europa y 39% de América (con un tercio de Canadá), y apenas el 6% de Asia,   para los años ochenta la composición de los inmigrantes era de sólo 10% ciento   de Europa, 37% de Asia y 49% de América (la mayor parte de México, Centroamérica y el Caribe). Por lo que respecta al flujo de indocumentados, las aprehensiones en los puntos fronterizos pasaron de un poco más de 0.5 millones en 1951, a una cifra pico de 1.7 en 1986.  Además, según el censo de población   de 1990, del total de 248.7 millones de habitantes en Estados Unidos, 9% eran de origen hispano, con 5.4% de origen mexicano y 4.3 millones (1.7%) habían nacida en México (Verduzco,</w:t>
      </w:r>
      <w:r>
        <w:rPr>
          <w:spacing w:val="35"/>
        </w:rPr>
        <w:t> </w:t>
      </w:r>
      <w:r>
        <w:rPr/>
        <w:t>2004).</w:t>
      </w:r>
    </w:p>
    <w:p>
      <w:pPr>
        <w:pStyle w:val="BodyText"/>
        <w:rPr>
          <w:sz w:val="22"/>
        </w:rPr>
      </w:pPr>
    </w:p>
    <w:p>
      <w:pPr>
        <w:pStyle w:val="BodyText"/>
        <w:spacing w:line="364" w:lineRule="auto" w:before="153"/>
        <w:ind w:left="115" w:right="104"/>
        <w:jc w:val="both"/>
      </w:pPr>
      <w:r>
        <w:rPr/>
        <w:t>Esta invasión silenciosa ha causado seria preocupación en el gobierno estadounidense no sólo por la sensación de una pérdida de control en las  fronteras, sino además por las múltiples reacciones de la sociedad huésped que percibe esta masiva llegada de extranjeros como una amenaza laboral y cultural. También, y no pocas veces, estas respuestas de algunos sectores de la sociedad norteamericana han mostrado fuertes tintes racistas, situación que ha dado pie  para aumentar las fricciones entre los dos gobiernos en paralelo a las negociaciones, aparentemente paradójicas, en cuanto a integrar un tratado comercial sumamente amplio, el cual se logró aprobar en noviembre de </w:t>
      </w:r>
      <w:r>
        <w:rPr>
          <w:spacing w:val="27"/>
        </w:rPr>
        <w:t> </w:t>
      </w:r>
      <w:r>
        <w:rPr/>
        <w:t>1994.</w:t>
      </w:r>
    </w:p>
    <w:p>
      <w:pPr>
        <w:pStyle w:val="BodyText"/>
        <w:rPr>
          <w:sz w:val="22"/>
        </w:rPr>
      </w:pPr>
    </w:p>
    <w:p>
      <w:pPr>
        <w:pStyle w:val="BodyText"/>
        <w:spacing w:line="367" w:lineRule="auto" w:before="150"/>
        <w:ind w:left="115" w:right="105"/>
        <w:jc w:val="both"/>
      </w:pPr>
      <w:r>
        <w:rPr/>
        <w:t>La población migrante (36 millones en 2005) crecerá a unos 81 millones para    2050</w:t>
      </w:r>
      <w:r>
        <w:rPr>
          <w:spacing w:val="28"/>
        </w:rPr>
        <w:t> </w:t>
      </w:r>
      <w:r>
        <w:rPr/>
        <w:t>y</w:t>
      </w:r>
      <w:r>
        <w:rPr>
          <w:spacing w:val="25"/>
        </w:rPr>
        <w:t> </w:t>
      </w:r>
      <w:r>
        <w:rPr/>
        <w:t>con</w:t>
      </w:r>
      <w:r>
        <w:rPr>
          <w:spacing w:val="30"/>
        </w:rPr>
        <w:t> </w:t>
      </w:r>
      <w:r>
        <w:rPr/>
        <w:t>ello</w:t>
      </w:r>
      <w:r>
        <w:rPr>
          <w:spacing w:val="24"/>
        </w:rPr>
        <w:t> </w:t>
      </w:r>
      <w:r>
        <w:rPr/>
        <w:t>casi</w:t>
      </w:r>
      <w:r>
        <w:rPr>
          <w:spacing w:val="31"/>
        </w:rPr>
        <w:t> </w:t>
      </w:r>
      <w:r>
        <w:rPr/>
        <w:t>uno</w:t>
      </w:r>
      <w:r>
        <w:rPr>
          <w:spacing w:val="28"/>
        </w:rPr>
        <w:t> </w:t>
      </w:r>
      <w:r>
        <w:rPr/>
        <w:t>de</w:t>
      </w:r>
      <w:r>
        <w:rPr>
          <w:spacing w:val="24"/>
        </w:rPr>
        <w:t> </w:t>
      </w:r>
      <w:r>
        <w:rPr/>
        <w:t>cada</w:t>
      </w:r>
      <w:r>
        <w:rPr>
          <w:spacing w:val="28"/>
        </w:rPr>
        <w:t> </w:t>
      </w:r>
      <w:r>
        <w:rPr/>
        <w:t>cinco</w:t>
      </w:r>
      <w:r>
        <w:rPr>
          <w:spacing w:val="28"/>
        </w:rPr>
        <w:t> </w:t>
      </w:r>
      <w:r>
        <w:rPr/>
        <w:t>estadounidenses</w:t>
      </w:r>
      <w:r>
        <w:rPr>
          <w:spacing w:val="25"/>
        </w:rPr>
        <w:t> </w:t>
      </w:r>
      <w:r>
        <w:rPr/>
        <w:t>(19%</w:t>
      </w:r>
      <w:r>
        <w:rPr>
          <w:spacing w:val="29"/>
        </w:rPr>
        <w:t> </w:t>
      </w:r>
      <w:r>
        <w:rPr/>
        <w:t>del</w:t>
      </w:r>
      <w:r>
        <w:rPr>
          <w:spacing w:val="29"/>
        </w:rPr>
        <w:t> </w:t>
      </w:r>
      <w:r>
        <w:rPr/>
        <w:t>total)</w:t>
      </w:r>
      <w:r>
        <w:rPr>
          <w:spacing w:val="29"/>
        </w:rPr>
        <w:t> </w:t>
      </w:r>
      <w:r>
        <w:rPr/>
        <w:t>será</w:t>
      </w:r>
      <w:r>
        <w:rPr>
          <w:spacing w:val="24"/>
        </w:rPr>
        <w:t> </w:t>
      </w:r>
      <w:r>
        <w:rPr/>
        <w:t>un</w:t>
      </w:r>
    </w:p>
    <w:p>
      <w:pPr>
        <w:spacing w:after="0" w:line="367" w:lineRule="auto"/>
        <w:jc w:val="both"/>
        <w:sectPr>
          <w:pgSz w:w="11900" w:h="16840"/>
          <w:pgMar w:header="0" w:footer="1676"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8"/>
        <w:jc w:val="both"/>
      </w:pPr>
      <w:r>
        <w:rPr/>
        <w:t>migrante, mientras que para ese año los blancos serán la principal minoría del  país, de acuerdo con una nueva investigación del Pew Research Center (Brooks, 2008).</w:t>
      </w:r>
    </w:p>
    <w:p>
      <w:pPr>
        <w:pStyle w:val="BodyText"/>
        <w:rPr>
          <w:sz w:val="22"/>
        </w:rPr>
      </w:pPr>
    </w:p>
    <w:p>
      <w:pPr>
        <w:pStyle w:val="BodyText"/>
        <w:spacing w:line="364" w:lineRule="auto" w:before="153"/>
        <w:ind w:left="115" w:right="107"/>
        <w:jc w:val="both"/>
      </w:pPr>
      <w:r>
        <w:rPr/>
        <w:t>Si las tendencias actuales persisten, la población de este país llegará a 438 millones para 2050 (de 296 millones en 2005) con 82% de ese incremento como resultado de migrantes que llegan entre 2005 y 2050 y de sus hijos nacidos aquí, según las nuevas proyecciones. De los 117 millones de personas más sumadas a la población durante ese periodo, 67 millones serán migrantes y unos 50 millones serán sus hijos o nietos nacidos en este</w:t>
      </w:r>
      <w:r>
        <w:rPr>
          <w:spacing w:val="47"/>
        </w:rPr>
        <w:t> </w:t>
      </w:r>
      <w:r>
        <w:rPr/>
        <w:t>país.</w:t>
      </w:r>
    </w:p>
    <w:p>
      <w:pPr>
        <w:pStyle w:val="BodyText"/>
        <w:rPr>
          <w:sz w:val="22"/>
        </w:rPr>
      </w:pPr>
    </w:p>
    <w:p>
      <w:pPr>
        <w:pStyle w:val="BodyText"/>
        <w:spacing w:line="364" w:lineRule="auto" w:before="155"/>
        <w:ind w:left="115" w:right="104"/>
        <w:jc w:val="both"/>
      </w:pPr>
      <w:r>
        <w:rPr/>
        <w:t>Hoy día, uno de cada 8 estadounidenses es migrante (12% de la población total), pero ese número llegará a 19% para 2050; un crecimiento de 129%. Para 2025,   los inmigrantes representarán 15% de la población, superando así el nivel más   alto alcanzado en la historia hace un siglo (14.8% en 1890 y 14.7% en 1910) (Brooks,</w:t>
      </w:r>
      <w:r>
        <w:rPr>
          <w:spacing w:val="16"/>
        </w:rPr>
        <w:t> </w:t>
      </w:r>
      <w:r>
        <w:rPr/>
        <w:t>2008).</w:t>
      </w:r>
    </w:p>
    <w:p>
      <w:pPr>
        <w:pStyle w:val="BodyText"/>
        <w:rPr>
          <w:sz w:val="22"/>
        </w:rPr>
      </w:pPr>
    </w:p>
    <w:p>
      <w:pPr>
        <w:pStyle w:val="BodyText"/>
        <w:spacing w:line="364" w:lineRule="auto" w:before="153"/>
        <w:ind w:left="116" w:right="104"/>
        <w:jc w:val="both"/>
      </w:pPr>
      <w:r>
        <w:rPr/>
        <w:t>El informe, </w:t>
      </w:r>
      <w:r>
        <w:rPr>
          <w:i/>
        </w:rPr>
        <w:t>U.S. Population Projections 2005-2050</w:t>
      </w:r>
      <w:r>
        <w:rPr/>
        <w:t>, elaborado por los analistas Jeffrey S. Passel y D’Vera Cohn, afirma que la población latina, ya ahora el grupo minoritario más grande del país, triplicará su tamaño y representará gran parte del crecimiento total de la población entre 2005 y 2050. Para entonces los latinos conformarán 29% de la población total, comparada con 14% hoy. Además, se proyecta que la población hispana nacida en Estados Unidos, alrededor de  60%  de hoy, se incrementará a 67% para 2050. En tanto, la población blanca (pero no de origen latino) se incrementará de una manera más lenta que otras etnias y con ello por primera vez se volverá minoría (47% de la población total) para 2050 (Brooks,</w:t>
      </w:r>
      <w:r>
        <w:rPr>
          <w:spacing w:val="16"/>
        </w:rPr>
        <w:t> </w:t>
      </w:r>
      <w:r>
        <w:rPr/>
        <w:t>2008).</w:t>
      </w:r>
    </w:p>
    <w:p>
      <w:pPr>
        <w:spacing w:after="0" w:line="364" w:lineRule="auto"/>
        <w:jc w:val="both"/>
        <w:sectPr>
          <w:pgSz w:w="11900" w:h="16840"/>
          <w:pgMar w:header="0" w:footer="1676" w:top="1600" w:bottom="1860" w:left="1540" w:right="1580"/>
        </w:sectPr>
      </w:pPr>
    </w:p>
    <w:p>
      <w:pPr>
        <w:pStyle w:val="BodyText"/>
        <w:rPr>
          <w:sz w:val="20"/>
        </w:rPr>
      </w:pPr>
    </w:p>
    <w:p>
      <w:pPr>
        <w:pStyle w:val="BodyText"/>
        <w:spacing w:before="5"/>
        <w:rPr>
          <w:sz w:val="16"/>
        </w:rPr>
      </w:pPr>
    </w:p>
    <w:p>
      <w:pPr>
        <w:pStyle w:val="Heading4"/>
        <w:spacing w:before="74"/>
        <w:ind w:left="115"/>
        <w:jc w:val="both"/>
      </w:pPr>
      <w:r>
        <w:rPr/>
        <w:t>Migración y remesas</w:t>
      </w:r>
    </w:p>
    <w:p>
      <w:pPr>
        <w:pStyle w:val="BodyText"/>
        <w:spacing w:before="2"/>
        <w:rPr>
          <w:b/>
          <w:sz w:val="29"/>
        </w:rPr>
      </w:pPr>
    </w:p>
    <w:p>
      <w:pPr>
        <w:pStyle w:val="BodyText"/>
        <w:spacing w:line="364" w:lineRule="auto"/>
        <w:ind w:left="115" w:right="105"/>
        <w:jc w:val="both"/>
      </w:pPr>
      <w:r>
        <w:rPr/>
        <w:t>Como puede observarse en el cuadro 1, el número de migrantes ha ido aumentando sobre todo en la década de los noventa a una tasa media anual alrededor de 5% y de 1996-2006 fluctuado alrededor de 15 y 40%, en 2007 decreció a 1% y para 2008 se incrementa cerca del </w:t>
      </w:r>
      <w:r>
        <w:rPr>
          <w:spacing w:val="-2"/>
        </w:rPr>
        <w:t>5%, </w:t>
      </w:r>
      <w:r>
        <w:rPr/>
        <w:t>de acuerdo al estudio de  la Cámara de Diputados, pero estas cifras no concuerdan con la realidad que vive el</w:t>
      </w:r>
      <w:r>
        <w:rPr>
          <w:spacing w:val="6"/>
        </w:rPr>
        <w:t> </w:t>
      </w:r>
      <w:r>
        <w:rPr/>
        <w:t>país.</w:t>
      </w:r>
    </w:p>
    <w:p>
      <w:pPr>
        <w:spacing w:after="0" w:line="364" w:lineRule="auto"/>
        <w:jc w:val="both"/>
        <w:sectPr>
          <w:pgSz w:w="11900" w:h="16840"/>
          <w:pgMar w:header="0" w:footer="1676" w:top="1600" w:bottom="1860" w:left="1540" w:right="1580"/>
        </w:sectPr>
      </w:pPr>
    </w:p>
    <w:p>
      <w:pPr>
        <w:pStyle w:val="BodyText"/>
        <w:rPr>
          <w:sz w:val="20"/>
        </w:rPr>
      </w:pPr>
    </w:p>
    <w:p>
      <w:pPr>
        <w:pStyle w:val="BodyText"/>
        <w:spacing w:before="5"/>
        <w:rPr>
          <w:sz w:val="16"/>
        </w:rPr>
      </w:pPr>
    </w:p>
    <w:p>
      <w:pPr>
        <w:pStyle w:val="Heading4"/>
        <w:spacing w:line="364" w:lineRule="auto" w:before="74" w:after="5"/>
        <w:ind w:left="3138" w:right="81" w:hanging="2686"/>
      </w:pPr>
      <w:r>
        <w:rPr/>
        <w:t>Cuadro 1. Población Nacida en México residente en Estados Unidos, 1990- 2008 (Millones de dólares)</w:t>
      </w: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54"/>
        <w:gridCol w:w="2453"/>
        <w:gridCol w:w="4730"/>
      </w:tblGrid>
      <w:tr>
        <w:trPr>
          <w:trHeight w:val="454" w:hRule="exact"/>
        </w:trPr>
        <w:tc>
          <w:tcPr>
            <w:tcW w:w="1754" w:type="dxa"/>
          </w:tcPr>
          <w:p>
            <w:pPr>
              <w:pStyle w:val="TableParagraph"/>
              <w:spacing w:before="173"/>
              <w:ind w:left="595" w:right="596"/>
              <w:jc w:val="center"/>
              <w:rPr>
                <w:b/>
                <w:sz w:val="23"/>
              </w:rPr>
            </w:pPr>
            <w:r>
              <w:rPr>
                <w:b/>
                <w:sz w:val="23"/>
              </w:rPr>
              <w:t>Año</w:t>
            </w:r>
          </w:p>
        </w:tc>
        <w:tc>
          <w:tcPr>
            <w:tcW w:w="2453" w:type="dxa"/>
          </w:tcPr>
          <w:p>
            <w:pPr>
              <w:pStyle w:val="TableParagraph"/>
              <w:spacing w:before="173"/>
              <w:ind w:left="64"/>
              <w:jc w:val="left"/>
              <w:rPr>
                <w:b/>
                <w:sz w:val="23"/>
              </w:rPr>
            </w:pPr>
            <w:r>
              <w:rPr>
                <w:b/>
                <w:sz w:val="23"/>
              </w:rPr>
              <w:t>Remesas familiares</w:t>
            </w:r>
          </w:p>
        </w:tc>
        <w:tc>
          <w:tcPr>
            <w:tcW w:w="4730" w:type="dxa"/>
          </w:tcPr>
          <w:p>
            <w:pPr>
              <w:pStyle w:val="TableParagraph"/>
              <w:spacing w:before="173"/>
              <w:ind w:left="1024"/>
              <w:jc w:val="left"/>
              <w:rPr>
                <w:b/>
                <w:sz w:val="23"/>
              </w:rPr>
            </w:pPr>
            <w:r>
              <w:rPr>
                <w:b/>
                <w:sz w:val="23"/>
              </w:rPr>
              <w:t>Tasa de crecimiento (%)</w:t>
            </w:r>
          </w:p>
        </w:tc>
      </w:tr>
      <w:tr>
        <w:trPr>
          <w:trHeight w:val="451" w:hRule="exact"/>
        </w:trPr>
        <w:tc>
          <w:tcPr>
            <w:tcW w:w="1754" w:type="dxa"/>
          </w:tcPr>
          <w:p>
            <w:pPr>
              <w:pStyle w:val="TableParagraph"/>
              <w:spacing w:before="170"/>
              <w:ind w:left="596" w:right="596"/>
              <w:jc w:val="center"/>
              <w:rPr>
                <w:sz w:val="23"/>
              </w:rPr>
            </w:pPr>
            <w:r>
              <w:rPr>
                <w:sz w:val="23"/>
              </w:rPr>
              <w:t>1990</w:t>
            </w:r>
          </w:p>
        </w:tc>
        <w:tc>
          <w:tcPr>
            <w:tcW w:w="2453" w:type="dxa"/>
          </w:tcPr>
          <w:p>
            <w:pPr>
              <w:pStyle w:val="TableParagraph"/>
              <w:spacing w:before="170"/>
              <w:ind w:left="956" w:right="871"/>
              <w:jc w:val="center"/>
              <w:rPr>
                <w:sz w:val="23"/>
              </w:rPr>
            </w:pPr>
            <w:r>
              <w:rPr>
                <w:sz w:val="23"/>
              </w:rPr>
              <w:t>2 494</w:t>
            </w:r>
          </w:p>
        </w:tc>
        <w:tc>
          <w:tcPr>
            <w:tcW w:w="4730" w:type="dxa"/>
          </w:tcPr>
          <w:p>
            <w:pPr>
              <w:pStyle w:val="TableParagraph"/>
              <w:spacing w:before="170"/>
              <w:ind w:left="2277" w:right="1886"/>
              <w:jc w:val="center"/>
              <w:rPr>
                <w:sz w:val="23"/>
              </w:rPr>
            </w:pPr>
            <w:r>
              <w:rPr>
                <w:sz w:val="23"/>
              </w:rPr>
              <w:t>n.d</w:t>
            </w:r>
          </w:p>
        </w:tc>
      </w:tr>
      <w:tr>
        <w:trPr>
          <w:trHeight w:val="450" w:hRule="exact"/>
        </w:trPr>
        <w:tc>
          <w:tcPr>
            <w:tcW w:w="1754" w:type="dxa"/>
            <w:tcBorders>
              <w:bottom w:val="single" w:sz="3" w:space="0" w:color="000000"/>
            </w:tcBorders>
          </w:tcPr>
          <w:p>
            <w:pPr>
              <w:pStyle w:val="TableParagraph"/>
              <w:spacing w:before="170"/>
              <w:ind w:left="596" w:right="596"/>
              <w:jc w:val="center"/>
              <w:rPr>
                <w:sz w:val="23"/>
              </w:rPr>
            </w:pPr>
            <w:r>
              <w:rPr>
                <w:sz w:val="23"/>
              </w:rPr>
              <w:t>1991</w:t>
            </w:r>
          </w:p>
        </w:tc>
        <w:tc>
          <w:tcPr>
            <w:tcW w:w="2453" w:type="dxa"/>
            <w:tcBorders>
              <w:bottom w:val="single" w:sz="3" w:space="0" w:color="000000"/>
            </w:tcBorders>
          </w:tcPr>
          <w:p>
            <w:pPr>
              <w:pStyle w:val="TableParagraph"/>
              <w:spacing w:before="170"/>
              <w:ind w:left="956" w:right="871"/>
              <w:jc w:val="center"/>
              <w:rPr>
                <w:sz w:val="23"/>
              </w:rPr>
            </w:pPr>
            <w:r>
              <w:rPr>
                <w:sz w:val="23"/>
              </w:rPr>
              <w:t>2 660</w:t>
            </w:r>
          </w:p>
        </w:tc>
        <w:tc>
          <w:tcPr>
            <w:tcW w:w="4730" w:type="dxa"/>
            <w:tcBorders>
              <w:bottom w:val="single" w:sz="3" w:space="0" w:color="000000"/>
            </w:tcBorders>
          </w:tcPr>
          <w:p>
            <w:pPr>
              <w:pStyle w:val="TableParagraph"/>
              <w:spacing w:before="170"/>
              <w:ind w:left="2343" w:right="1755"/>
              <w:jc w:val="center"/>
              <w:rPr>
                <w:sz w:val="23"/>
              </w:rPr>
            </w:pPr>
            <w:r>
              <w:rPr>
                <w:sz w:val="23"/>
              </w:rPr>
              <w:t>6.7</w:t>
            </w:r>
          </w:p>
        </w:tc>
      </w:tr>
      <w:tr>
        <w:trPr>
          <w:trHeight w:val="452" w:hRule="exact"/>
        </w:trPr>
        <w:tc>
          <w:tcPr>
            <w:tcW w:w="1754" w:type="dxa"/>
            <w:tcBorders>
              <w:top w:val="single" w:sz="3" w:space="0" w:color="000000"/>
            </w:tcBorders>
          </w:tcPr>
          <w:p>
            <w:pPr>
              <w:pStyle w:val="TableParagraph"/>
              <w:spacing w:before="175"/>
              <w:ind w:left="596" w:right="596"/>
              <w:jc w:val="center"/>
              <w:rPr>
                <w:sz w:val="23"/>
              </w:rPr>
            </w:pPr>
            <w:r>
              <w:rPr>
                <w:sz w:val="23"/>
              </w:rPr>
              <w:t>1992</w:t>
            </w:r>
          </w:p>
        </w:tc>
        <w:tc>
          <w:tcPr>
            <w:tcW w:w="2453" w:type="dxa"/>
            <w:tcBorders>
              <w:top w:val="single" w:sz="3" w:space="0" w:color="000000"/>
            </w:tcBorders>
          </w:tcPr>
          <w:p>
            <w:pPr>
              <w:pStyle w:val="TableParagraph"/>
              <w:spacing w:before="175"/>
              <w:ind w:left="956" w:right="871"/>
              <w:jc w:val="center"/>
              <w:rPr>
                <w:sz w:val="23"/>
              </w:rPr>
            </w:pPr>
            <w:r>
              <w:rPr>
                <w:sz w:val="23"/>
              </w:rPr>
              <w:t>3 070</w:t>
            </w:r>
          </w:p>
        </w:tc>
        <w:tc>
          <w:tcPr>
            <w:tcW w:w="4730" w:type="dxa"/>
            <w:tcBorders>
              <w:top w:val="single" w:sz="3" w:space="0" w:color="000000"/>
            </w:tcBorders>
          </w:tcPr>
          <w:p>
            <w:pPr>
              <w:pStyle w:val="TableParagraph"/>
              <w:spacing w:before="175"/>
              <w:ind w:left="2340" w:right="1886"/>
              <w:jc w:val="center"/>
              <w:rPr>
                <w:sz w:val="23"/>
              </w:rPr>
            </w:pPr>
            <w:r>
              <w:rPr>
                <w:sz w:val="23"/>
              </w:rPr>
              <w:t>15.4</w:t>
            </w:r>
          </w:p>
        </w:tc>
      </w:tr>
      <w:tr>
        <w:trPr>
          <w:trHeight w:val="451" w:hRule="exact"/>
        </w:trPr>
        <w:tc>
          <w:tcPr>
            <w:tcW w:w="1754" w:type="dxa"/>
          </w:tcPr>
          <w:p>
            <w:pPr>
              <w:pStyle w:val="TableParagraph"/>
              <w:spacing w:before="173"/>
              <w:ind w:left="596" w:right="596"/>
              <w:jc w:val="center"/>
              <w:rPr>
                <w:sz w:val="23"/>
              </w:rPr>
            </w:pPr>
            <w:r>
              <w:rPr>
                <w:sz w:val="23"/>
              </w:rPr>
              <w:t>1993</w:t>
            </w:r>
          </w:p>
        </w:tc>
        <w:tc>
          <w:tcPr>
            <w:tcW w:w="2453" w:type="dxa"/>
          </w:tcPr>
          <w:p>
            <w:pPr>
              <w:pStyle w:val="TableParagraph"/>
              <w:spacing w:before="173"/>
              <w:ind w:left="956" w:right="871"/>
              <w:jc w:val="center"/>
              <w:rPr>
                <w:sz w:val="23"/>
              </w:rPr>
            </w:pPr>
            <w:r>
              <w:rPr>
                <w:sz w:val="23"/>
              </w:rPr>
              <w:t>3 333</w:t>
            </w:r>
          </w:p>
        </w:tc>
        <w:tc>
          <w:tcPr>
            <w:tcW w:w="4730" w:type="dxa"/>
          </w:tcPr>
          <w:p>
            <w:pPr>
              <w:pStyle w:val="TableParagraph"/>
              <w:spacing w:before="173"/>
              <w:ind w:left="2343" w:right="1755"/>
              <w:jc w:val="center"/>
              <w:rPr>
                <w:sz w:val="23"/>
              </w:rPr>
            </w:pPr>
            <w:r>
              <w:rPr>
                <w:sz w:val="23"/>
              </w:rPr>
              <w:t>8.6</w:t>
            </w:r>
          </w:p>
        </w:tc>
      </w:tr>
      <w:tr>
        <w:trPr>
          <w:trHeight w:val="451" w:hRule="exact"/>
        </w:trPr>
        <w:tc>
          <w:tcPr>
            <w:tcW w:w="1754" w:type="dxa"/>
          </w:tcPr>
          <w:p>
            <w:pPr>
              <w:pStyle w:val="TableParagraph"/>
              <w:spacing w:before="173"/>
              <w:ind w:left="596" w:right="596"/>
              <w:jc w:val="center"/>
              <w:rPr>
                <w:sz w:val="23"/>
              </w:rPr>
            </w:pPr>
            <w:r>
              <w:rPr>
                <w:sz w:val="23"/>
              </w:rPr>
              <w:t>1994</w:t>
            </w:r>
          </w:p>
        </w:tc>
        <w:tc>
          <w:tcPr>
            <w:tcW w:w="2453" w:type="dxa"/>
          </w:tcPr>
          <w:p>
            <w:pPr>
              <w:pStyle w:val="TableParagraph"/>
              <w:spacing w:before="173"/>
              <w:ind w:left="956" w:right="871"/>
              <w:jc w:val="center"/>
              <w:rPr>
                <w:sz w:val="23"/>
              </w:rPr>
            </w:pPr>
            <w:r>
              <w:rPr>
                <w:sz w:val="23"/>
              </w:rPr>
              <w:t>3 475</w:t>
            </w:r>
          </w:p>
        </w:tc>
        <w:tc>
          <w:tcPr>
            <w:tcW w:w="4730" w:type="dxa"/>
          </w:tcPr>
          <w:p>
            <w:pPr>
              <w:pStyle w:val="TableParagraph"/>
              <w:spacing w:before="173"/>
              <w:ind w:left="2343" w:right="1755"/>
              <w:jc w:val="center"/>
              <w:rPr>
                <w:sz w:val="23"/>
              </w:rPr>
            </w:pPr>
            <w:r>
              <w:rPr>
                <w:sz w:val="23"/>
              </w:rPr>
              <w:t>4.2</w:t>
            </w:r>
          </w:p>
        </w:tc>
      </w:tr>
      <w:tr>
        <w:trPr>
          <w:trHeight w:val="454" w:hRule="exact"/>
        </w:trPr>
        <w:tc>
          <w:tcPr>
            <w:tcW w:w="1754" w:type="dxa"/>
          </w:tcPr>
          <w:p>
            <w:pPr>
              <w:pStyle w:val="TableParagraph"/>
              <w:spacing w:before="175"/>
              <w:ind w:left="596" w:right="596"/>
              <w:jc w:val="center"/>
              <w:rPr>
                <w:sz w:val="23"/>
              </w:rPr>
            </w:pPr>
            <w:r>
              <w:rPr>
                <w:sz w:val="23"/>
              </w:rPr>
              <w:t>1995</w:t>
            </w:r>
          </w:p>
        </w:tc>
        <w:tc>
          <w:tcPr>
            <w:tcW w:w="2453" w:type="dxa"/>
          </w:tcPr>
          <w:p>
            <w:pPr>
              <w:pStyle w:val="TableParagraph"/>
              <w:spacing w:before="175"/>
              <w:ind w:left="956" w:right="871"/>
              <w:jc w:val="center"/>
              <w:rPr>
                <w:sz w:val="23"/>
              </w:rPr>
            </w:pPr>
            <w:r>
              <w:rPr>
                <w:sz w:val="23"/>
              </w:rPr>
              <w:t>3 673</w:t>
            </w:r>
          </w:p>
        </w:tc>
        <w:tc>
          <w:tcPr>
            <w:tcW w:w="4730" w:type="dxa"/>
          </w:tcPr>
          <w:p>
            <w:pPr>
              <w:pStyle w:val="TableParagraph"/>
              <w:spacing w:before="175"/>
              <w:ind w:left="2343" w:right="1755"/>
              <w:jc w:val="center"/>
              <w:rPr>
                <w:sz w:val="23"/>
              </w:rPr>
            </w:pPr>
            <w:r>
              <w:rPr>
                <w:sz w:val="23"/>
              </w:rPr>
              <w:t>5.7</w:t>
            </w:r>
          </w:p>
        </w:tc>
      </w:tr>
      <w:tr>
        <w:trPr>
          <w:trHeight w:val="451" w:hRule="exact"/>
        </w:trPr>
        <w:tc>
          <w:tcPr>
            <w:tcW w:w="1754" w:type="dxa"/>
          </w:tcPr>
          <w:p>
            <w:pPr>
              <w:pStyle w:val="TableParagraph"/>
              <w:spacing w:before="170"/>
              <w:ind w:left="596" w:right="596"/>
              <w:jc w:val="center"/>
              <w:rPr>
                <w:sz w:val="23"/>
              </w:rPr>
            </w:pPr>
            <w:r>
              <w:rPr>
                <w:sz w:val="23"/>
              </w:rPr>
              <w:t>1996</w:t>
            </w:r>
          </w:p>
        </w:tc>
        <w:tc>
          <w:tcPr>
            <w:tcW w:w="2453" w:type="dxa"/>
          </w:tcPr>
          <w:p>
            <w:pPr>
              <w:pStyle w:val="TableParagraph"/>
              <w:spacing w:before="170"/>
              <w:ind w:left="956" w:right="871"/>
              <w:jc w:val="center"/>
              <w:rPr>
                <w:sz w:val="23"/>
              </w:rPr>
            </w:pPr>
            <w:r>
              <w:rPr>
                <w:sz w:val="23"/>
              </w:rPr>
              <w:t>4 224</w:t>
            </w:r>
          </w:p>
        </w:tc>
        <w:tc>
          <w:tcPr>
            <w:tcW w:w="4730" w:type="dxa"/>
          </w:tcPr>
          <w:p>
            <w:pPr>
              <w:pStyle w:val="TableParagraph"/>
              <w:spacing w:before="170"/>
              <w:ind w:left="2340" w:right="1886"/>
              <w:jc w:val="center"/>
              <w:rPr>
                <w:sz w:val="23"/>
              </w:rPr>
            </w:pPr>
            <w:r>
              <w:rPr>
                <w:sz w:val="23"/>
              </w:rPr>
              <w:t>15.0</w:t>
            </w:r>
          </w:p>
        </w:tc>
      </w:tr>
      <w:tr>
        <w:trPr>
          <w:trHeight w:val="451" w:hRule="exact"/>
        </w:trPr>
        <w:tc>
          <w:tcPr>
            <w:tcW w:w="1754" w:type="dxa"/>
          </w:tcPr>
          <w:p>
            <w:pPr>
              <w:pStyle w:val="TableParagraph"/>
              <w:spacing w:before="170"/>
              <w:ind w:left="596" w:right="596"/>
              <w:jc w:val="center"/>
              <w:rPr>
                <w:sz w:val="23"/>
              </w:rPr>
            </w:pPr>
            <w:r>
              <w:rPr>
                <w:sz w:val="23"/>
              </w:rPr>
              <w:t>1997</w:t>
            </w:r>
          </w:p>
        </w:tc>
        <w:tc>
          <w:tcPr>
            <w:tcW w:w="2453" w:type="dxa"/>
          </w:tcPr>
          <w:p>
            <w:pPr>
              <w:pStyle w:val="TableParagraph"/>
              <w:spacing w:before="170"/>
              <w:ind w:left="956" w:right="871"/>
              <w:jc w:val="center"/>
              <w:rPr>
                <w:sz w:val="23"/>
              </w:rPr>
            </w:pPr>
            <w:r>
              <w:rPr>
                <w:sz w:val="23"/>
              </w:rPr>
              <w:t>4 865</w:t>
            </w:r>
          </w:p>
        </w:tc>
        <w:tc>
          <w:tcPr>
            <w:tcW w:w="4730" w:type="dxa"/>
          </w:tcPr>
          <w:p>
            <w:pPr>
              <w:pStyle w:val="TableParagraph"/>
              <w:spacing w:before="170"/>
              <w:ind w:left="2340" w:right="1886"/>
              <w:jc w:val="center"/>
              <w:rPr>
                <w:sz w:val="23"/>
              </w:rPr>
            </w:pPr>
            <w:r>
              <w:rPr>
                <w:sz w:val="23"/>
              </w:rPr>
              <w:t>15.2</w:t>
            </w:r>
          </w:p>
        </w:tc>
      </w:tr>
      <w:tr>
        <w:trPr>
          <w:trHeight w:val="451" w:hRule="exact"/>
        </w:trPr>
        <w:tc>
          <w:tcPr>
            <w:tcW w:w="1754" w:type="dxa"/>
          </w:tcPr>
          <w:p>
            <w:pPr>
              <w:pStyle w:val="TableParagraph"/>
              <w:spacing w:before="173"/>
              <w:ind w:left="596" w:right="596"/>
              <w:jc w:val="center"/>
              <w:rPr>
                <w:sz w:val="23"/>
              </w:rPr>
            </w:pPr>
            <w:r>
              <w:rPr>
                <w:sz w:val="23"/>
              </w:rPr>
              <w:t>1998</w:t>
            </w:r>
          </w:p>
        </w:tc>
        <w:tc>
          <w:tcPr>
            <w:tcW w:w="2453" w:type="dxa"/>
          </w:tcPr>
          <w:p>
            <w:pPr>
              <w:pStyle w:val="TableParagraph"/>
              <w:spacing w:before="173"/>
              <w:ind w:left="956" w:right="871"/>
              <w:jc w:val="center"/>
              <w:rPr>
                <w:sz w:val="23"/>
              </w:rPr>
            </w:pPr>
            <w:r>
              <w:rPr>
                <w:sz w:val="23"/>
              </w:rPr>
              <w:t>5 627</w:t>
            </w:r>
          </w:p>
        </w:tc>
        <w:tc>
          <w:tcPr>
            <w:tcW w:w="4730" w:type="dxa"/>
          </w:tcPr>
          <w:p>
            <w:pPr>
              <w:pStyle w:val="TableParagraph"/>
              <w:spacing w:before="173"/>
              <w:ind w:left="2340" w:right="1886"/>
              <w:jc w:val="center"/>
              <w:rPr>
                <w:sz w:val="23"/>
              </w:rPr>
            </w:pPr>
            <w:r>
              <w:rPr>
                <w:sz w:val="23"/>
              </w:rPr>
              <w:t>15.7</w:t>
            </w:r>
          </w:p>
        </w:tc>
      </w:tr>
      <w:tr>
        <w:trPr>
          <w:trHeight w:val="451" w:hRule="exact"/>
        </w:trPr>
        <w:tc>
          <w:tcPr>
            <w:tcW w:w="1754" w:type="dxa"/>
          </w:tcPr>
          <w:p>
            <w:pPr>
              <w:pStyle w:val="TableParagraph"/>
              <w:spacing w:before="173"/>
              <w:ind w:left="596" w:right="596"/>
              <w:jc w:val="center"/>
              <w:rPr>
                <w:sz w:val="23"/>
              </w:rPr>
            </w:pPr>
            <w:r>
              <w:rPr>
                <w:sz w:val="23"/>
              </w:rPr>
              <w:t>1999</w:t>
            </w:r>
          </w:p>
        </w:tc>
        <w:tc>
          <w:tcPr>
            <w:tcW w:w="2453" w:type="dxa"/>
          </w:tcPr>
          <w:p>
            <w:pPr>
              <w:pStyle w:val="TableParagraph"/>
              <w:spacing w:before="173"/>
              <w:ind w:left="956" w:right="871"/>
              <w:jc w:val="center"/>
              <w:rPr>
                <w:sz w:val="23"/>
              </w:rPr>
            </w:pPr>
            <w:r>
              <w:rPr>
                <w:sz w:val="23"/>
              </w:rPr>
              <w:t>5 910</w:t>
            </w:r>
          </w:p>
        </w:tc>
        <w:tc>
          <w:tcPr>
            <w:tcW w:w="4730" w:type="dxa"/>
          </w:tcPr>
          <w:p>
            <w:pPr>
              <w:pStyle w:val="TableParagraph"/>
              <w:spacing w:before="173"/>
              <w:ind w:left="2343" w:right="1755"/>
              <w:jc w:val="center"/>
              <w:rPr>
                <w:sz w:val="23"/>
              </w:rPr>
            </w:pPr>
            <w:r>
              <w:rPr>
                <w:sz w:val="23"/>
              </w:rPr>
              <w:t>5.0</w:t>
            </w:r>
          </w:p>
        </w:tc>
      </w:tr>
      <w:tr>
        <w:trPr>
          <w:trHeight w:val="451" w:hRule="exact"/>
        </w:trPr>
        <w:tc>
          <w:tcPr>
            <w:tcW w:w="1754" w:type="dxa"/>
          </w:tcPr>
          <w:p>
            <w:pPr>
              <w:pStyle w:val="TableParagraph"/>
              <w:spacing w:before="173"/>
              <w:ind w:left="596" w:right="596"/>
              <w:jc w:val="center"/>
              <w:rPr>
                <w:sz w:val="23"/>
              </w:rPr>
            </w:pPr>
            <w:r>
              <w:rPr>
                <w:sz w:val="23"/>
              </w:rPr>
              <w:t>2000</w:t>
            </w:r>
          </w:p>
        </w:tc>
        <w:tc>
          <w:tcPr>
            <w:tcW w:w="2453" w:type="dxa"/>
          </w:tcPr>
          <w:p>
            <w:pPr>
              <w:pStyle w:val="TableParagraph"/>
              <w:spacing w:before="173"/>
              <w:ind w:left="956" w:right="871"/>
              <w:jc w:val="center"/>
              <w:rPr>
                <w:sz w:val="23"/>
              </w:rPr>
            </w:pPr>
            <w:r>
              <w:rPr>
                <w:sz w:val="23"/>
              </w:rPr>
              <w:t>6 573</w:t>
            </w:r>
          </w:p>
        </w:tc>
        <w:tc>
          <w:tcPr>
            <w:tcW w:w="4730" w:type="dxa"/>
          </w:tcPr>
          <w:p>
            <w:pPr>
              <w:pStyle w:val="TableParagraph"/>
              <w:spacing w:before="173"/>
              <w:ind w:left="2340" w:right="1886"/>
              <w:jc w:val="center"/>
              <w:rPr>
                <w:sz w:val="23"/>
              </w:rPr>
            </w:pPr>
            <w:r>
              <w:rPr>
                <w:sz w:val="23"/>
              </w:rPr>
              <w:t>11.2</w:t>
            </w:r>
          </w:p>
        </w:tc>
      </w:tr>
      <w:tr>
        <w:trPr>
          <w:trHeight w:val="454" w:hRule="exact"/>
        </w:trPr>
        <w:tc>
          <w:tcPr>
            <w:tcW w:w="1754" w:type="dxa"/>
          </w:tcPr>
          <w:p>
            <w:pPr>
              <w:pStyle w:val="TableParagraph"/>
              <w:spacing w:before="175"/>
              <w:ind w:left="596" w:right="596"/>
              <w:jc w:val="center"/>
              <w:rPr>
                <w:sz w:val="23"/>
              </w:rPr>
            </w:pPr>
            <w:r>
              <w:rPr>
                <w:sz w:val="23"/>
              </w:rPr>
              <w:t>2001</w:t>
            </w:r>
          </w:p>
        </w:tc>
        <w:tc>
          <w:tcPr>
            <w:tcW w:w="2453" w:type="dxa"/>
          </w:tcPr>
          <w:p>
            <w:pPr>
              <w:pStyle w:val="TableParagraph"/>
              <w:spacing w:before="175"/>
              <w:ind w:left="956" w:right="871"/>
              <w:jc w:val="center"/>
              <w:rPr>
                <w:sz w:val="23"/>
              </w:rPr>
            </w:pPr>
            <w:r>
              <w:rPr>
                <w:sz w:val="23"/>
              </w:rPr>
              <w:t>8 895</w:t>
            </w:r>
          </w:p>
        </w:tc>
        <w:tc>
          <w:tcPr>
            <w:tcW w:w="4730" w:type="dxa"/>
          </w:tcPr>
          <w:p>
            <w:pPr>
              <w:pStyle w:val="TableParagraph"/>
              <w:spacing w:before="175"/>
              <w:ind w:left="2340" w:right="1886"/>
              <w:jc w:val="center"/>
              <w:rPr>
                <w:sz w:val="23"/>
              </w:rPr>
            </w:pPr>
            <w:r>
              <w:rPr>
                <w:sz w:val="23"/>
              </w:rPr>
              <w:t>35.3</w:t>
            </w:r>
          </w:p>
        </w:tc>
      </w:tr>
      <w:tr>
        <w:trPr>
          <w:trHeight w:val="451" w:hRule="exact"/>
        </w:trPr>
        <w:tc>
          <w:tcPr>
            <w:tcW w:w="1754" w:type="dxa"/>
          </w:tcPr>
          <w:p>
            <w:pPr>
              <w:pStyle w:val="TableParagraph"/>
              <w:spacing w:before="173"/>
              <w:ind w:left="596" w:right="596"/>
              <w:jc w:val="center"/>
              <w:rPr>
                <w:sz w:val="23"/>
              </w:rPr>
            </w:pPr>
            <w:r>
              <w:rPr>
                <w:sz w:val="23"/>
              </w:rPr>
              <w:t>2002</w:t>
            </w:r>
          </w:p>
        </w:tc>
        <w:tc>
          <w:tcPr>
            <w:tcW w:w="2453" w:type="dxa"/>
          </w:tcPr>
          <w:p>
            <w:pPr>
              <w:pStyle w:val="TableParagraph"/>
              <w:spacing w:before="173"/>
              <w:ind w:left="956" w:right="871"/>
              <w:jc w:val="center"/>
              <w:rPr>
                <w:sz w:val="23"/>
              </w:rPr>
            </w:pPr>
            <w:r>
              <w:rPr>
                <w:sz w:val="23"/>
              </w:rPr>
              <w:t>9 815</w:t>
            </w:r>
          </w:p>
        </w:tc>
        <w:tc>
          <w:tcPr>
            <w:tcW w:w="4730" w:type="dxa"/>
          </w:tcPr>
          <w:p>
            <w:pPr>
              <w:pStyle w:val="TableParagraph"/>
              <w:spacing w:before="173"/>
              <w:ind w:left="2340" w:right="1886"/>
              <w:jc w:val="center"/>
              <w:rPr>
                <w:sz w:val="23"/>
              </w:rPr>
            </w:pPr>
            <w:r>
              <w:rPr>
                <w:sz w:val="23"/>
              </w:rPr>
              <w:t>10.3</w:t>
            </w:r>
          </w:p>
        </w:tc>
      </w:tr>
      <w:tr>
        <w:trPr>
          <w:trHeight w:val="451" w:hRule="exact"/>
        </w:trPr>
        <w:tc>
          <w:tcPr>
            <w:tcW w:w="1754" w:type="dxa"/>
          </w:tcPr>
          <w:p>
            <w:pPr>
              <w:pStyle w:val="TableParagraph"/>
              <w:spacing w:before="170"/>
              <w:ind w:left="596" w:right="596"/>
              <w:jc w:val="center"/>
              <w:rPr>
                <w:sz w:val="23"/>
              </w:rPr>
            </w:pPr>
            <w:r>
              <w:rPr>
                <w:sz w:val="23"/>
              </w:rPr>
              <w:t>2003</w:t>
            </w:r>
          </w:p>
        </w:tc>
        <w:tc>
          <w:tcPr>
            <w:tcW w:w="2453" w:type="dxa"/>
          </w:tcPr>
          <w:p>
            <w:pPr>
              <w:pStyle w:val="TableParagraph"/>
              <w:spacing w:before="170"/>
              <w:ind w:left="779"/>
              <w:jc w:val="left"/>
              <w:rPr>
                <w:sz w:val="23"/>
              </w:rPr>
            </w:pPr>
            <w:r>
              <w:rPr>
                <w:sz w:val="23"/>
              </w:rPr>
              <w:t>13 650</w:t>
            </w:r>
          </w:p>
        </w:tc>
        <w:tc>
          <w:tcPr>
            <w:tcW w:w="4730" w:type="dxa"/>
          </w:tcPr>
          <w:p>
            <w:pPr>
              <w:pStyle w:val="TableParagraph"/>
              <w:spacing w:before="170"/>
              <w:ind w:left="2340" w:right="1886"/>
              <w:jc w:val="center"/>
              <w:rPr>
                <w:sz w:val="23"/>
              </w:rPr>
            </w:pPr>
            <w:r>
              <w:rPr>
                <w:sz w:val="23"/>
              </w:rPr>
              <w:t>39.1</w:t>
            </w:r>
          </w:p>
        </w:tc>
      </w:tr>
      <w:tr>
        <w:trPr>
          <w:trHeight w:val="452" w:hRule="exact"/>
        </w:trPr>
        <w:tc>
          <w:tcPr>
            <w:tcW w:w="1754" w:type="dxa"/>
            <w:tcBorders>
              <w:bottom w:val="single" w:sz="3" w:space="0" w:color="000000"/>
            </w:tcBorders>
          </w:tcPr>
          <w:p>
            <w:pPr>
              <w:pStyle w:val="TableParagraph"/>
              <w:spacing w:before="173"/>
              <w:ind w:left="596" w:right="596"/>
              <w:jc w:val="center"/>
              <w:rPr>
                <w:sz w:val="23"/>
              </w:rPr>
            </w:pPr>
            <w:r>
              <w:rPr>
                <w:sz w:val="23"/>
              </w:rPr>
              <w:t>2004</w:t>
            </w:r>
          </w:p>
        </w:tc>
        <w:tc>
          <w:tcPr>
            <w:tcW w:w="2453" w:type="dxa"/>
            <w:tcBorders>
              <w:bottom w:val="single" w:sz="3" w:space="0" w:color="000000"/>
            </w:tcBorders>
          </w:tcPr>
          <w:p>
            <w:pPr>
              <w:pStyle w:val="TableParagraph"/>
              <w:spacing w:before="173"/>
              <w:ind w:left="779"/>
              <w:jc w:val="left"/>
              <w:rPr>
                <w:sz w:val="23"/>
              </w:rPr>
            </w:pPr>
            <w:r>
              <w:rPr>
                <w:sz w:val="23"/>
              </w:rPr>
              <w:t>16 730</w:t>
            </w:r>
          </w:p>
        </w:tc>
        <w:tc>
          <w:tcPr>
            <w:tcW w:w="4730" w:type="dxa"/>
            <w:tcBorders>
              <w:bottom w:val="single" w:sz="3" w:space="0" w:color="000000"/>
            </w:tcBorders>
          </w:tcPr>
          <w:p>
            <w:pPr>
              <w:pStyle w:val="TableParagraph"/>
              <w:spacing w:before="173"/>
              <w:ind w:left="2340" w:right="1886"/>
              <w:jc w:val="center"/>
              <w:rPr>
                <w:sz w:val="23"/>
              </w:rPr>
            </w:pPr>
            <w:r>
              <w:rPr>
                <w:sz w:val="23"/>
              </w:rPr>
              <w:t>22.6</w:t>
            </w:r>
          </w:p>
        </w:tc>
      </w:tr>
      <w:tr>
        <w:trPr>
          <w:trHeight w:val="450" w:hRule="exact"/>
        </w:trPr>
        <w:tc>
          <w:tcPr>
            <w:tcW w:w="1754" w:type="dxa"/>
            <w:tcBorders>
              <w:top w:val="single" w:sz="3" w:space="0" w:color="000000"/>
            </w:tcBorders>
          </w:tcPr>
          <w:p>
            <w:pPr>
              <w:pStyle w:val="TableParagraph"/>
              <w:spacing w:before="173"/>
              <w:ind w:left="596" w:right="596"/>
              <w:jc w:val="center"/>
              <w:rPr>
                <w:sz w:val="23"/>
              </w:rPr>
            </w:pPr>
            <w:r>
              <w:rPr>
                <w:sz w:val="23"/>
              </w:rPr>
              <w:t>2005</w:t>
            </w:r>
          </w:p>
        </w:tc>
        <w:tc>
          <w:tcPr>
            <w:tcW w:w="2453" w:type="dxa"/>
            <w:tcBorders>
              <w:top w:val="single" w:sz="3" w:space="0" w:color="000000"/>
            </w:tcBorders>
          </w:tcPr>
          <w:p>
            <w:pPr>
              <w:pStyle w:val="TableParagraph"/>
              <w:spacing w:before="173"/>
              <w:ind w:left="779"/>
              <w:jc w:val="left"/>
              <w:rPr>
                <w:sz w:val="23"/>
              </w:rPr>
            </w:pPr>
            <w:r>
              <w:rPr>
                <w:sz w:val="23"/>
              </w:rPr>
              <w:t>20 284</w:t>
            </w:r>
          </w:p>
        </w:tc>
        <w:tc>
          <w:tcPr>
            <w:tcW w:w="4730" w:type="dxa"/>
            <w:tcBorders>
              <w:top w:val="single" w:sz="3" w:space="0" w:color="000000"/>
            </w:tcBorders>
          </w:tcPr>
          <w:p>
            <w:pPr>
              <w:pStyle w:val="TableParagraph"/>
              <w:spacing w:before="173"/>
              <w:ind w:left="2340" w:right="1886"/>
              <w:jc w:val="center"/>
              <w:rPr>
                <w:sz w:val="23"/>
              </w:rPr>
            </w:pPr>
            <w:r>
              <w:rPr>
                <w:sz w:val="23"/>
              </w:rPr>
              <w:t>21.2</w:t>
            </w:r>
          </w:p>
        </w:tc>
      </w:tr>
      <w:tr>
        <w:trPr>
          <w:trHeight w:val="451" w:hRule="exact"/>
        </w:trPr>
        <w:tc>
          <w:tcPr>
            <w:tcW w:w="1754" w:type="dxa"/>
          </w:tcPr>
          <w:p>
            <w:pPr>
              <w:pStyle w:val="TableParagraph"/>
              <w:spacing w:before="173"/>
              <w:ind w:left="596" w:right="596"/>
              <w:jc w:val="center"/>
              <w:rPr>
                <w:sz w:val="23"/>
              </w:rPr>
            </w:pPr>
            <w:r>
              <w:rPr>
                <w:sz w:val="23"/>
              </w:rPr>
              <w:t>2006</w:t>
            </w:r>
          </w:p>
        </w:tc>
        <w:tc>
          <w:tcPr>
            <w:tcW w:w="2453" w:type="dxa"/>
          </w:tcPr>
          <w:p>
            <w:pPr>
              <w:pStyle w:val="TableParagraph"/>
              <w:spacing w:before="173"/>
              <w:ind w:left="779"/>
              <w:jc w:val="left"/>
              <w:rPr>
                <w:sz w:val="23"/>
              </w:rPr>
            </w:pPr>
            <w:r>
              <w:rPr>
                <w:sz w:val="23"/>
              </w:rPr>
              <w:t>23 742</w:t>
            </w:r>
          </w:p>
        </w:tc>
        <w:tc>
          <w:tcPr>
            <w:tcW w:w="4730" w:type="dxa"/>
          </w:tcPr>
          <w:p>
            <w:pPr>
              <w:pStyle w:val="TableParagraph"/>
              <w:spacing w:before="173"/>
              <w:ind w:left="2340" w:right="1886"/>
              <w:jc w:val="center"/>
              <w:rPr>
                <w:sz w:val="23"/>
              </w:rPr>
            </w:pPr>
            <w:r>
              <w:rPr>
                <w:sz w:val="23"/>
              </w:rPr>
              <w:t>17.1</w:t>
            </w:r>
          </w:p>
        </w:tc>
      </w:tr>
      <w:tr>
        <w:trPr>
          <w:trHeight w:val="454" w:hRule="exact"/>
        </w:trPr>
        <w:tc>
          <w:tcPr>
            <w:tcW w:w="1754" w:type="dxa"/>
          </w:tcPr>
          <w:p>
            <w:pPr>
              <w:pStyle w:val="TableParagraph"/>
              <w:spacing w:before="175"/>
              <w:ind w:left="596" w:right="596"/>
              <w:jc w:val="center"/>
              <w:rPr>
                <w:sz w:val="23"/>
              </w:rPr>
            </w:pPr>
            <w:r>
              <w:rPr>
                <w:sz w:val="23"/>
              </w:rPr>
              <w:t>2007</w:t>
            </w:r>
          </w:p>
        </w:tc>
        <w:tc>
          <w:tcPr>
            <w:tcW w:w="2453" w:type="dxa"/>
          </w:tcPr>
          <w:p>
            <w:pPr>
              <w:pStyle w:val="TableParagraph"/>
              <w:spacing w:before="175"/>
              <w:ind w:left="779"/>
              <w:jc w:val="left"/>
              <w:rPr>
                <w:sz w:val="23"/>
              </w:rPr>
            </w:pPr>
            <w:r>
              <w:rPr>
                <w:sz w:val="23"/>
              </w:rPr>
              <w:t>23 970</w:t>
            </w:r>
          </w:p>
        </w:tc>
        <w:tc>
          <w:tcPr>
            <w:tcW w:w="4730" w:type="dxa"/>
          </w:tcPr>
          <w:p>
            <w:pPr>
              <w:pStyle w:val="TableParagraph"/>
              <w:spacing w:before="175"/>
              <w:ind w:left="2343" w:right="1755"/>
              <w:jc w:val="center"/>
              <w:rPr>
                <w:sz w:val="23"/>
              </w:rPr>
            </w:pPr>
            <w:r>
              <w:rPr>
                <w:sz w:val="23"/>
              </w:rPr>
              <w:t>1.0</w:t>
            </w:r>
          </w:p>
        </w:tc>
      </w:tr>
      <w:tr>
        <w:trPr>
          <w:trHeight w:val="451" w:hRule="exact"/>
        </w:trPr>
        <w:tc>
          <w:tcPr>
            <w:tcW w:w="1754" w:type="dxa"/>
          </w:tcPr>
          <w:p>
            <w:pPr>
              <w:pStyle w:val="TableParagraph"/>
              <w:spacing w:before="173"/>
              <w:ind w:left="596" w:right="596"/>
              <w:jc w:val="center"/>
              <w:rPr>
                <w:sz w:val="23"/>
              </w:rPr>
            </w:pPr>
            <w:r>
              <w:rPr>
                <w:sz w:val="23"/>
              </w:rPr>
              <w:t>2008</w:t>
            </w:r>
          </w:p>
        </w:tc>
        <w:tc>
          <w:tcPr>
            <w:tcW w:w="2453" w:type="dxa"/>
          </w:tcPr>
          <w:p>
            <w:pPr>
              <w:pStyle w:val="TableParagraph"/>
              <w:spacing w:before="173"/>
              <w:ind w:left="779"/>
              <w:jc w:val="left"/>
              <w:rPr>
                <w:sz w:val="23"/>
              </w:rPr>
            </w:pPr>
            <w:r>
              <w:rPr>
                <w:sz w:val="23"/>
              </w:rPr>
              <w:t>25 145</w:t>
            </w:r>
          </w:p>
        </w:tc>
        <w:tc>
          <w:tcPr>
            <w:tcW w:w="4730" w:type="dxa"/>
          </w:tcPr>
          <w:p>
            <w:pPr>
              <w:pStyle w:val="TableParagraph"/>
              <w:spacing w:before="173"/>
              <w:ind w:left="2343" w:right="1755"/>
              <w:jc w:val="center"/>
              <w:rPr>
                <w:sz w:val="23"/>
              </w:rPr>
            </w:pPr>
            <w:r>
              <w:rPr>
                <w:sz w:val="23"/>
              </w:rPr>
              <w:t>4.9</w:t>
            </w:r>
          </w:p>
        </w:tc>
      </w:tr>
    </w:tbl>
    <w:p>
      <w:pPr>
        <w:pStyle w:val="BodyText"/>
        <w:spacing w:before="8"/>
        <w:rPr>
          <w:b/>
          <w:sz w:val="13"/>
        </w:rPr>
      </w:pPr>
    </w:p>
    <w:p>
      <w:pPr>
        <w:spacing w:line="367" w:lineRule="auto" w:before="77"/>
        <w:ind w:left="315" w:right="81" w:firstLine="0"/>
        <w:jc w:val="left"/>
        <w:rPr>
          <w:sz w:val="21"/>
        </w:rPr>
      </w:pPr>
      <w:r>
        <w:rPr>
          <w:sz w:val="21"/>
        </w:rPr>
        <w:t>Fuente: Elaboración del Centro de Estudios y Finanzas Públicas de la H. Cámara de Diputados con datos de</w:t>
      </w:r>
      <w:r>
        <w:rPr>
          <w:spacing w:val="53"/>
          <w:sz w:val="21"/>
        </w:rPr>
        <w:t> </w:t>
      </w:r>
      <w:r>
        <w:rPr>
          <w:sz w:val="21"/>
        </w:rPr>
        <w:t>CONAPO.</w:t>
      </w:r>
    </w:p>
    <w:p>
      <w:pPr>
        <w:pStyle w:val="BodyText"/>
        <w:spacing w:before="9"/>
        <w:rPr>
          <w:sz w:val="20"/>
        </w:rPr>
      </w:pPr>
    </w:p>
    <w:p>
      <w:pPr>
        <w:pStyle w:val="BodyText"/>
        <w:spacing w:line="364" w:lineRule="auto"/>
        <w:ind w:left="315" w:right="305"/>
        <w:jc w:val="both"/>
      </w:pPr>
      <w:r>
        <w:rPr/>
        <w:t>Para 2006, el Consejo Nacional de Población (CONAPO) calculó en unos 400 mil  el número de individuos que, ante la falta de oportunidades de educación  y  empleo bien remunerado salieron del país. También pronostico que para el 2007,  la población sumará 106.3 millones de</w:t>
      </w:r>
      <w:r>
        <w:rPr>
          <w:spacing w:val="52"/>
        </w:rPr>
        <w:t> </w:t>
      </w:r>
      <w:r>
        <w:rPr/>
        <w:t>individuos.</w:t>
      </w:r>
    </w:p>
    <w:p>
      <w:pPr>
        <w:spacing w:after="0" w:line="364" w:lineRule="auto"/>
        <w:jc w:val="both"/>
        <w:sectPr>
          <w:pgSz w:w="11900" w:h="16840"/>
          <w:pgMar w:header="0" w:footer="1676" w:top="1600" w:bottom="1860" w:left="1340" w:right="1380"/>
        </w:sectPr>
      </w:pPr>
    </w:p>
    <w:p>
      <w:pPr>
        <w:pStyle w:val="BodyText"/>
        <w:rPr>
          <w:sz w:val="20"/>
        </w:rPr>
      </w:pPr>
    </w:p>
    <w:p>
      <w:pPr>
        <w:pStyle w:val="BodyText"/>
        <w:spacing w:before="5"/>
        <w:rPr>
          <w:sz w:val="16"/>
        </w:rPr>
      </w:pPr>
    </w:p>
    <w:p>
      <w:pPr>
        <w:pStyle w:val="Heading4"/>
        <w:spacing w:before="74"/>
        <w:ind w:left="920" w:right="2493"/>
        <w:jc w:val="center"/>
      </w:pPr>
      <w:r>
        <w:rPr/>
        <w:pict>
          <v:group style="position:absolute;margin-left:86.814774pt;margin-top:37.220844pt;width:433.25pt;height:222.75pt;mso-position-horizontal-relative:page;mso-position-vertical-relative:paragraph;z-index:6304" coordorigin="1736,744" coordsize="8665,4455">
            <v:rect style="position:absolute;left:1745;top:753;width:8647;height:4438" filled="false" stroked="true" strokeweight=".828481pt" strokecolor="#000000"/>
            <v:shape style="position:absolute;left:3475;top:3976;width:6449;height:291" coordorigin="3475,3976" coordsize="6449,291" path="m9924,3976l3888,3976,3475,4267,9511,4267,9924,3976xe" filled="true" fillcolor="#7f7f7f" stroked="false">
              <v:path arrowok="t"/>
              <v:fill type="solid"/>
            </v:shape>
            <v:shape style="position:absolute;left:3475;top:931;width:6449;height:3336" coordorigin="3475,931" coordsize="6449,3336" path="m9924,931l3888,931,3475,1223,3475,4267,3888,3976,9924,3976,9924,931e" filled="true" fillcolor="#c0c0c0" stroked="false">
              <v:path arrowok="t"/>
              <v:fill type="solid"/>
            </v:shape>
            <v:shape style="position:absolute;left:28960;top:-100932;width:53740;height:27800" coordorigin="28960,-100932" coordsize="53740,27800" path="m3475,4267l3888,3976,9924,3976m3475,3928l3888,3635,9924,3635m3475,3587l3888,3295,9924,3295m3475,3247l3888,2973,9924,2973m3475,2908l3888,2632,9924,2632m3475,2567l3888,2291,9924,2291m3475,2227l3888,1953,9924,1953m3475,1903l3888,1612,9924,1612m3475,1564l3888,1271,9924,1271m3475,1223l3888,931,9924,931m9924,3976l9511,4267,3475,4267,3888,3976,9924,3976xe" filled="false" stroked="true" strokeweight=".12pt" strokecolor="#000000">
              <v:path arrowok="t"/>
            </v:shape>
            <v:shape style="position:absolute;left:27497;top:107716;width:51026;height:29362" coordorigin="27497,107716" coordsize="51026,29362" path="m3475,4267l3475,1223,3888,931,3888,3976,3475,4267xm3888,3976l3888,931,9924,931,9924,3976,3888,3976xe" filled="false" stroked="true" strokeweight=".854999pt" strokecolor="#7f7f7f">
              <v:path arrowok="t"/>
            </v:shape>
            <v:shape style="position:absolute;left:4438;top:3855;width:181;height:325" type="#_x0000_t75" stroked="false">
              <v:imagedata r:id="rId150" o:title=""/>
            </v:shape>
            <v:rect style="position:absolute;left:3960;top:3976;width:487;height:194" filled="true" fillcolor="#ff0000" stroked="false">
              <v:fill type="solid"/>
            </v:rect>
            <v:rect style="position:absolute;left:3960;top:3976;width:487;height:194" filled="false" stroked="true" strokeweight=".822012pt" strokecolor="#000000"/>
            <v:shape style="position:absolute;left:3960;top:3863;width:651;height:113" coordorigin="3960,3863" coordsize="651,113" path="m4610,3863l4123,3863,3960,3976,4447,3976,4610,3863xe" filled="true" fillcolor="#bf0000" stroked="false">
              <v:path arrowok="t"/>
              <v:fill type="solid"/>
            </v:shape>
            <v:shape style="position:absolute;left:3960;top:3863;width:651;height:113" coordorigin="3960,3863" coordsize="651,113" path="m4447,3976l4610,3863,4123,3863,3960,3976,4447,3976xe" filled="false" stroked="true" strokeweight=".812176pt" strokecolor="#000000">
              <v:path arrowok="t"/>
            </v:shape>
            <v:shape style="position:absolute;left:5654;top:3021;width:164;height:1150" coordorigin="5654,3021" coordsize="164,1150" path="m5818,3021l5654,3134,5654,4171,5818,4058,5818,3021xe" filled="true" fillcolor="#7f0000" stroked="false">
              <v:path arrowok="t"/>
              <v:fill type="solid"/>
            </v:shape>
            <v:shape style="position:absolute;left:5654;top:3021;width:164;height:1150" coordorigin="5654,3021" coordsize="164,1150" path="m5654,4171l5654,3134,5818,3021,5818,4058,5654,4171xe" filled="false" stroked="true" strokeweight=".898681pt" strokecolor="#000000">
              <v:path arrowok="t"/>
            </v:shape>
            <v:rect style="position:absolute;left:5167;top:3134;width:487;height:1037" filled="true" fillcolor="#ff0000" stroked="false">
              <v:fill type="solid"/>
            </v:rect>
            <v:rect style="position:absolute;left:5167;top:3134;width:487;height:1037" filled="false" stroked="true" strokeweight=".884025pt" strokecolor="#000000"/>
            <v:shape style="position:absolute;left:5167;top:3021;width:651;height:113" coordorigin="5167,3021" coordsize="651,113" path="m5818,3021l5330,3021,5167,3134,5654,3134,5818,3021xe" filled="true" fillcolor="#bf0000" stroked="false">
              <v:path arrowok="t"/>
              <v:fill type="solid"/>
            </v:shape>
            <v:shape style="position:absolute;left:5167;top:3021;width:651;height:113" coordorigin="5167,3021" coordsize="651,113" path="m5654,3134l5818,3021,5330,3021,5167,3134,5654,3134xe" filled="false" stroked="true" strokeweight=".812176pt" strokecolor="#000000">
              <v:path arrowok="t"/>
            </v:shape>
            <v:shape style="position:absolute;left:6862;top:2308;width:164;height:1863" coordorigin="6862,2308" coordsize="164,1863" path="m7025,2308l6862,2421,6862,4171,7025,4058,7025,2308xe" filled="true" fillcolor="#7f0000" stroked="false">
              <v:path arrowok="t"/>
              <v:fill type="solid"/>
            </v:shape>
            <v:shape style="position:absolute;left:6862;top:2308;width:164;height:1863" coordorigin="6862,2308" coordsize="164,1863" path="m6862,4171l6862,2421,7025,2308,7025,4058,6862,4171xe" filled="false" stroked="true" strokeweight=".899784pt" strokecolor="#000000">
              <v:path arrowok="t"/>
            </v:shape>
            <v:rect style="position:absolute;left:6374;top:2421;width:487;height:1750" filled="true" fillcolor="#ff0000" stroked="false">
              <v:fill type="solid"/>
            </v:rect>
            <v:rect style="position:absolute;left:6374;top:2421;width:487;height:1750" filled="false" stroked="true" strokeweight=".893933pt" strokecolor="#000000"/>
            <v:shape style="position:absolute;left:6374;top:2308;width:651;height:113" coordorigin="6374,2308" coordsize="651,113" path="m7025,2308l6538,2308,6374,2421,6862,2421,7025,2308xe" filled="true" fillcolor="#bf0000" stroked="false">
              <v:path arrowok="t"/>
              <v:fill type="solid"/>
            </v:shape>
            <v:shape style="position:absolute;left:6374;top:2308;width:651;height:113" coordorigin="6374,2308" coordsize="651,113" path="m6862,2421l7025,2308,6538,2308,6374,2421,6862,2421xe" filled="false" stroked="true" strokeweight=".812176pt" strokecolor="#000000">
              <v:path arrowok="t"/>
            </v:shape>
            <v:shape style="position:absolute;left:8069;top:1838;width:164;height:2333" coordorigin="8069,1838" coordsize="164,2333" path="m8232,1838l8069,1953,8069,4171,8232,4058,8232,1838xe" filled="true" fillcolor="#7f0000" stroked="false">
              <v:path arrowok="t"/>
              <v:fill type="solid"/>
            </v:shape>
            <v:shape style="position:absolute;left:8069;top:1838;width:164;height:2333" coordorigin="8069,1838" coordsize="164,2333" path="m8069,4171l8069,1953,8232,1838,8232,4058,8069,4171xe" filled="false" stroked="true" strokeweight=".900035pt" strokecolor="#000000">
              <v:path arrowok="t"/>
            </v:shape>
            <v:rect style="position:absolute;left:7582;top:1953;width:487;height:2218" filled="true" fillcolor="#ff0000" stroked="false">
              <v:fill type="solid"/>
            </v:rect>
            <v:rect style="position:absolute;left:7582;top:1953;width:487;height:2218" filled="false" stroked="true" strokeweight=".896289pt" strokecolor="#000000"/>
            <v:shape style="position:absolute;left:7582;top:1838;width:651;height:116" coordorigin="7582,1838" coordsize="651,116" path="m8232,1838l7745,1838,7582,1953,8069,1953,8232,1838xe" filled="true" fillcolor="#bf0000" stroked="false">
              <v:path arrowok="t"/>
              <v:fill type="solid"/>
            </v:shape>
            <v:shape style="position:absolute;left:7582;top:1838;width:651;height:116" coordorigin="7582,1838" coordsize="651,116" path="m8069,1953l8232,1838,7745,1838,7582,1953,8069,1953xe" filled="false" stroked="true" strokeweight=".812287pt" strokecolor="#000000">
              <v:path arrowok="t"/>
            </v:shape>
            <v:shape style="position:absolute;left:9276;top:1029;width:164;height:3142" coordorigin="9276,1029" coordsize="164,3142" path="m9439,1029l9276,1142,9276,4171,9439,4058,9439,1029xe" filled="true" fillcolor="#7f0000" stroked="false">
              <v:path arrowok="t"/>
              <v:fill type="solid"/>
            </v:shape>
            <v:shape style="position:absolute;left:9276;top:1029;width:164;height:3142" coordorigin="9276,1029" coordsize="164,3142" path="m9276,4171l9276,1142,9439,1029,9439,4058,9276,4171xe" filled="false" stroked="true" strokeweight=".900233pt" strokecolor="#000000">
              <v:path arrowok="t"/>
            </v:shape>
            <v:rect style="position:absolute;left:8789;top:1142;width:487;height:3029" filled="true" fillcolor="#ff0000" stroked="false">
              <v:fill type="solid"/>
            </v:rect>
            <v:rect style="position:absolute;left:8789;top:1142;width:487;height:3029" filled="false" stroked="true" strokeweight=".898183pt" strokecolor="#000000"/>
            <v:shape style="position:absolute;left:8789;top:1029;width:651;height:113" coordorigin="8789,1029" coordsize="651,113" path="m9439,1029l8952,1029,8789,1142,9276,1142,9439,1029xe" filled="true" fillcolor="#bf0000" stroked="false">
              <v:path arrowok="t"/>
              <v:fill type="solid"/>
            </v:shape>
            <v:shape style="position:absolute;left:8789;top:1029;width:651;height:113" coordorigin="8789,1029" coordsize="651,113" path="m9276,1142l9439,1029,8952,1029,8789,1142,9276,1142xe" filled="false" stroked="true" strokeweight=".812176pt" strokecolor="#000000">
              <v:path arrowok="t"/>
            </v:shape>
            <v:shape style="position:absolute;left:28500;top:-98492;width:50760;height:25760" coordorigin="28500,-98492" coordsize="50760,25760" path="m3475,4267l3475,1223m3475,4267l3420,4267m3475,3928l3420,3928m3475,3587l3420,3587m3475,3247l3420,3247m3475,2908l3420,2908m3475,2567l3420,2567m3475,2227l3420,2227m3475,1903l3420,1903m3475,1564l3420,1564m3475,1223l3420,1223m3475,4267l9511,4267m3475,4267l3475,4315m4682,4267l4682,4315m5890,4267l5890,4315m7097,4267l7097,4315m8304,4267l8304,4315m9511,4267l9511,4315e" filled="false" stroked="true" strokeweight=".12pt" strokecolor="#000000">
              <v:path arrowok="t"/>
            </v:shape>
            <v:rect style="position:absolute;left:1745;top:753;width:8647;height:4438" filled="false" stroked="true" strokeweight=".828481pt" strokecolor="#000000"/>
            <v:shape style="position:absolute;left:2736;top:1125;width:653;height:3224" type="#_x0000_t202" filled="false" stroked="false">
              <v:textbox inset="0,0,0,0">
                <w:txbxContent>
                  <w:p>
                    <w:pPr>
                      <w:spacing w:line="182" w:lineRule="exact" w:before="0"/>
                      <w:ind w:left="0" w:right="0" w:firstLine="0"/>
                      <w:jc w:val="center"/>
                      <w:rPr>
                        <w:sz w:val="18"/>
                      </w:rPr>
                    </w:pPr>
                    <w:r>
                      <w:rPr>
                        <w:spacing w:val="-2"/>
                        <w:w w:val="110"/>
                        <w:sz w:val="18"/>
                      </w:rPr>
                      <w:t>450000</w:t>
                    </w:r>
                  </w:p>
                  <w:p>
                    <w:pPr>
                      <w:spacing w:before="134"/>
                      <w:ind w:left="0" w:right="0" w:firstLine="0"/>
                      <w:jc w:val="center"/>
                      <w:rPr>
                        <w:sz w:val="18"/>
                      </w:rPr>
                    </w:pPr>
                    <w:r>
                      <w:rPr>
                        <w:spacing w:val="-2"/>
                        <w:w w:val="110"/>
                        <w:sz w:val="18"/>
                      </w:rPr>
                      <w:t>400000</w:t>
                    </w:r>
                  </w:p>
                  <w:p>
                    <w:pPr>
                      <w:spacing w:before="134"/>
                      <w:ind w:left="0" w:right="0" w:firstLine="0"/>
                      <w:jc w:val="center"/>
                      <w:rPr>
                        <w:sz w:val="18"/>
                      </w:rPr>
                    </w:pPr>
                    <w:r>
                      <w:rPr>
                        <w:spacing w:val="-2"/>
                        <w:w w:val="110"/>
                        <w:sz w:val="18"/>
                      </w:rPr>
                      <w:t>350000</w:t>
                    </w:r>
                  </w:p>
                  <w:p>
                    <w:pPr>
                      <w:spacing w:before="114"/>
                      <w:ind w:left="0" w:right="0" w:firstLine="0"/>
                      <w:jc w:val="center"/>
                      <w:rPr>
                        <w:sz w:val="18"/>
                      </w:rPr>
                    </w:pPr>
                    <w:r>
                      <w:rPr>
                        <w:spacing w:val="-2"/>
                        <w:w w:val="110"/>
                        <w:sz w:val="18"/>
                      </w:rPr>
                      <w:t>300000</w:t>
                    </w:r>
                  </w:p>
                  <w:p>
                    <w:pPr>
                      <w:spacing w:before="134"/>
                      <w:ind w:left="0" w:right="0" w:firstLine="0"/>
                      <w:jc w:val="center"/>
                      <w:rPr>
                        <w:sz w:val="18"/>
                      </w:rPr>
                    </w:pPr>
                    <w:r>
                      <w:rPr>
                        <w:spacing w:val="-2"/>
                        <w:w w:val="110"/>
                        <w:sz w:val="18"/>
                      </w:rPr>
                      <w:t>250000</w:t>
                    </w:r>
                  </w:p>
                  <w:p>
                    <w:pPr>
                      <w:spacing w:before="134"/>
                      <w:ind w:left="0" w:right="0" w:firstLine="0"/>
                      <w:jc w:val="center"/>
                      <w:rPr>
                        <w:sz w:val="18"/>
                      </w:rPr>
                    </w:pPr>
                    <w:r>
                      <w:rPr>
                        <w:spacing w:val="-2"/>
                        <w:w w:val="110"/>
                        <w:sz w:val="18"/>
                      </w:rPr>
                      <w:t>200000</w:t>
                    </w:r>
                  </w:p>
                  <w:p>
                    <w:pPr>
                      <w:spacing w:before="131"/>
                      <w:ind w:left="0" w:right="0" w:firstLine="0"/>
                      <w:jc w:val="center"/>
                      <w:rPr>
                        <w:sz w:val="18"/>
                      </w:rPr>
                    </w:pPr>
                    <w:r>
                      <w:rPr>
                        <w:spacing w:val="-2"/>
                        <w:w w:val="110"/>
                        <w:sz w:val="18"/>
                      </w:rPr>
                      <w:t>150000</w:t>
                    </w:r>
                  </w:p>
                  <w:p>
                    <w:pPr>
                      <w:spacing w:before="134"/>
                      <w:ind w:left="0" w:right="0" w:firstLine="0"/>
                      <w:jc w:val="center"/>
                      <w:rPr>
                        <w:sz w:val="18"/>
                      </w:rPr>
                    </w:pPr>
                    <w:r>
                      <w:rPr>
                        <w:spacing w:val="-2"/>
                        <w:w w:val="110"/>
                        <w:sz w:val="18"/>
                      </w:rPr>
                      <w:t>100000</w:t>
                    </w:r>
                  </w:p>
                  <w:p>
                    <w:pPr>
                      <w:spacing w:before="134"/>
                      <w:ind w:left="107" w:right="0" w:firstLine="0"/>
                      <w:jc w:val="center"/>
                      <w:rPr>
                        <w:sz w:val="18"/>
                      </w:rPr>
                    </w:pPr>
                    <w:r>
                      <w:rPr>
                        <w:spacing w:val="-2"/>
                        <w:w w:val="110"/>
                        <w:sz w:val="18"/>
                      </w:rPr>
                      <w:t>50000</w:t>
                    </w:r>
                  </w:p>
                  <w:p>
                    <w:pPr>
                      <w:spacing w:line="203" w:lineRule="exact" w:before="134"/>
                      <w:ind w:left="0" w:right="0" w:firstLine="0"/>
                      <w:jc w:val="right"/>
                      <w:rPr>
                        <w:sz w:val="18"/>
                      </w:rPr>
                    </w:pPr>
                    <w:r>
                      <w:rPr>
                        <w:w w:val="110"/>
                        <w:sz w:val="18"/>
                      </w:rPr>
                      <w:t>0</w:t>
                    </w:r>
                  </w:p>
                </w:txbxContent>
              </v:textbox>
              <w10:wrap type="none"/>
            </v:shape>
            <v:shape style="position:absolute;left:3602;top:4379;width:2166;height:179" type="#_x0000_t202" filled="false" stroked="false">
              <v:textbox inset="0,0,0,0">
                <w:txbxContent>
                  <w:p>
                    <w:pPr>
                      <w:tabs>
                        <w:tab w:pos="1224" w:val="left" w:leader="none"/>
                      </w:tabs>
                      <w:spacing w:line="178" w:lineRule="exact" w:before="0"/>
                      <w:ind w:left="0" w:right="0" w:firstLine="0"/>
                      <w:jc w:val="left"/>
                      <w:rPr>
                        <w:sz w:val="18"/>
                      </w:rPr>
                    </w:pPr>
                    <w:r>
                      <w:rPr>
                        <w:w w:val="110"/>
                        <w:sz w:val="18"/>
                      </w:rPr>
                      <w:t>1960-1970</w:t>
                      <w:tab/>
                    </w:r>
                    <w:r>
                      <w:rPr>
                        <w:spacing w:val="-1"/>
                        <w:w w:val="110"/>
                        <w:sz w:val="18"/>
                      </w:rPr>
                      <w:t>1970-1980</w:t>
                    </w:r>
                  </w:p>
                </w:txbxContent>
              </v:textbox>
              <w10:wrap type="none"/>
            </v:shape>
            <v:shape style="position:absolute;left:6034;top:4379;width:942;height:564" type="#_x0000_t202" filled="false" stroked="false">
              <v:textbox inset="0,0,0,0">
                <w:txbxContent>
                  <w:p>
                    <w:pPr>
                      <w:spacing w:line="182" w:lineRule="exact" w:before="0"/>
                      <w:ind w:left="0" w:right="-16" w:firstLine="0"/>
                      <w:jc w:val="left"/>
                      <w:rPr>
                        <w:sz w:val="18"/>
                      </w:rPr>
                    </w:pPr>
                    <w:r>
                      <w:rPr>
                        <w:spacing w:val="-1"/>
                        <w:w w:val="110"/>
                        <w:sz w:val="18"/>
                      </w:rPr>
                      <w:t>1980-1990</w:t>
                    </w:r>
                  </w:p>
                  <w:p>
                    <w:pPr>
                      <w:spacing w:line="237" w:lineRule="exact" w:before="144"/>
                      <w:ind w:left="0" w:right="-16" w:firstLine="0"/>
                      <w:jc w:val="left"/>
                      <w:rPr>
                        <w:b/>
                        <w:sz w:val="21"/>
                      </w:rPr>
                    </w:pPr>
                    <w:r>
                      <w:rPr>
                        <w:b/>
                        <w:w w:val="110"/>
                        <w:sz w:val="21"/>
                      </w:rPr>
                      <w:t>Periodo</w:t>
                    </w:r>
                  </w:p>
                </w:txbxContent>
              </v:textbox>
              <w10:wrap type="none"/>
            </v:shape>
            <v:shape style="position:absolute;left:7242;top:4379;width:2146;height:179" type="#_x0000_t202" filled="false" stroked="false">
              <v:textbox inset="0,0,0,0">
                <w:txbxContent>
                  <w:p>
                    <w:pPr>
                      <w:tabs>
                        <w:tab w:pos="1207" w:val="left" w:leader="none"/>
                      </w:tabs>
                      <w:spacing w:line="178" w:lineRule="exact" w:before="0"/>
                      <w:ind w:left="0" w:right="0" w:firstLine="0"/>
                      <w:jc w:val="left"/>
                      <w:rPr>
                        <w:sz w:val="18"/>
                      </w:rPr>
                    </w:pPr>
                    <w:r>
                      <w:rPr>
                        <w:w w:val="110"/>
                        <w:sz w:val="18"/>
                      </w:rPr>
                      <w:t>1990-2000</w:t>
                      <w:tab/>
                    </w:r>
                    <w:r>
                      <w:rPr>
                        <w:spacing w:val="-2"/>
                        <w:w w:val="110"/>
                        <w:sz w:val="18"/>
                      </w:rPr>
                      <w:t>2000-2007</w:t>
                    </w:r>
                  </w:p>
                </w:txbxContent>
              </v:textbox>
              <w10:wrap type="none"/>
            </v:shape>
            <w10:wrap type="none"/>
          </v:group>
        </w:pict>
      </w:r>
      <w:r>
        <w:rPr/>
        <w:pict>
          <v:shape style="position:absolute;margin-left:97.391884pt;margin-top:108.733864pt;width:12.55pt;height:52.2pt;mso-position-horizontal-relative:page;mso-position-vertical-relative:paragraph;z-index:6328" type="#_x0000_t202" filled="false" stroked="false">
            <v:textbox inset="0,0,0,0" style="layout-flow:vertical;mso-layout-flow-alt:bottom-to-top">
              <w:txbxContent>
                <w:p>
                  <w:pPr>
                    <w:spacing w:line="235" w:lineRule="exact" w:before="0"/>
                    <w:ind w:left="20" w:right="-789" w:firstLine="0"/>
                    <w:jc w:val="left"/>
                    <w:rPr>
                      <w:b/>
                      <w:sz w:val="21"/>
                    </w:rPr>
                  </w:pPr>
                  <w:r>
                    <w:rPr>
                      <w:b/>
                      <w:spacing w:val="-18"/>
                      <w:w w:val="111"/>
                      <w:sz w:val="21"/>
                    </w:rPr>
                    <w:t>M</w:t>
                  </w:r>
                  <w:r>
                    <w:rPr>
                      <w:b/>
                      <w:spacing w:val="-1"/>
                      <w:w w:val="111"/>
                      <w:sz w:val="21"/>
                    </w:rPr>
                    <w:t>i</w:t>
                  </w:r>
                  <w:r>
                    <w:rPr>
                      <w:b/>
                      <w:spacing w:val="-14"/>
                      <w:w w:val="111"/>
                      <w:sz w:val="21"/>
                    </w:rPr>
                    <w:t>g</w:t>
                  </w:r>
                  <w:r>
                    <w:rPr>
                      <w:b/>
                      <w:spacing w:val="-12"/>
                      <w:w w:val="111"/>
                      <w:sz w:val="21"/>
                    </w:rPr>
                    <w:t>r</w:t>
                  </w:r>
                  <w:r>
                    <w:rPr>
                      <w:b/>
                      <w:spacing w:val="-16"/>
                      <w:w w:val="111"/>
                      <w:sz w:val="21"/>
                    </w:rPr>
                    <w:t>a</w:t>
                  </w:r>
                  <w:r>
                    <w:rPr>
                      <w:b/>
                      <w:spacing w:val="-14"/>
                      <w:w w:val="111"/>
                      <w:sz w:val="21"/>
                    </w:rPr>
                    <w:t>nt</w:t>
                  </w:r>
                  <w:r>
                    <w:rPr>
                      <w:b/>
                      <w:spacing w:val="-18"/>
                      <w:w w:val="111"/>
                      <w:sz w:val="21"/>
                    </w:rPr>
                    <w:t>e</w:t>
                  </w:r>
                  <w:r>
                    <w:rPr>
                      <w:b/>
                      <w:w w:val="111"/>
                      <w:sz w:val="21"/>
                    </w:rPr>
                    <w:t>s</w:t>
                  </w:r>
                </w:p>
              </w:txbxContent>
            </v:textbox>
            <w10:wrap type="none"/>
          </v:shape>
        </w:pict>
      </w:r>
      <w:r>
        <w:rPr/>
        <w:t>Figura 4. Flujo migratorio promedio por año, por  periodo</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spacing w:line="364" w:lineRule="auto" w:before="129"/>
        <w:ind w:left="115" w:right="1751" w:firstLine="0"/>
        <w:jc w:val="both"/>
        <w:rPr>
          <w:sz w:val="21"/>
        </w:rPr>
      </w:pPr>
      <w:r>
        <w:rPr>
          <w:sz w:val="21"/>
        </w:rPr>
        <w:t>Fuente: Elaborado con datos de la Comisión de Agricultura y Ganadería de la Cámara de Diputados, LX Legislatura.</w:t>
      </w:r>
    </w:p>
    <w:p>
      <w:pPr>
        <w:pStyle w:val="BodyText"/>
        <w:rPr>
          <w:sz w:val="20"/>
        </w:rPr>
      </w:pPr>
    </w:p>
    <w:p>
      <w:pPr>
        <w:pStyle w:val="BodyText"/>
        <w:spacing w:before="9"/>
        <w:rPr>
          <w:sz w:val="29"/>
        </w:rPr>
      </w:pPr>
    </w:p>
    <w:p>
      <w:pPr>
        <w:pStyle w:val="BodyText"/>
        <w:spacing w:line="364" w:lineRule="auto"/>
        <w:ind w:left="115" w:right="1685"/>
        <w:jc w:val="both"/>
      </w:pPr>
      <w:r>
        <w:rPr/>
        <w:t>De acuerdo a la figura 4, se puede constatar la perdida de capital humano que se pierde año con año debido a las disparidades en salario y pese a los obstáculos y riesgos que padecen al cruzar la frontera.</w:t>
      </w:r>
    </w:p>
    <w:p>
      <w:pPr>
        <w:pStyle w:val="BodyText"/>
        <w:spacing w:before="2"/>
        <w:rPr>
          <w:sz w:val="24"/>
        </w:rPr>
      </w:pPr>
    </w:p>
    <w:p>
      <w:pPr>
        <w:pStyle w:val="BodyText"/>
        <w:spacing w:line="364" w:lineRule="auto"/>
        <w:ind w:left="115" w:right="1684"/>
        <w:jc w:val="both"/>
      </w:pPr>
      <w:r>
        <w:rPr/>
        <w:t>En un comunicado, el Consejo Nacional de Población asegura que en 2006 la migración se mantendrá constante con un saldo neto migratorio negativo de poco más de 400 mil personas, la mayoría connacionales que emigrarán hacia Estados Unidos en busca de trabajo o para reunirse con sus familias (La Jornada 31 de diciembre de 2005). Esto se confirma porque en la actualidad que más de 10 millones de personas nacidas en México residen en ese país y 90% de ellos se concentran en los estados de California, Texas, Illinois  y  Arizona.  Estos mexicanos representan alrededor de 3% de la población total de Estados Unidos    y aproximadamente 10% de la población de</w:t>
      </w:r>
      <w:r>
        <w:rPr>
          <w:spacing w:val="59"/>
        </w:rPr>
        <w:t> </w:t>
      </w:r>
      <w:r>
        <w:rPr/>
        <w:t>México.</w:t>
      </w:r>
    </w:p>
    <w:p>
      <w:pPr>
        <w:pStyle w:val="BodyText"/>
        <w:rPr>
          <w:sz w:val="24"/>
        </w:rPr>
      </w:pPr>
    </w:p>
    <w:p>
      <w:pPr>
        <w:pStyle w:val="BodyText"/>
        <w:spacing w:line="364" w:lineRule="auto"/>
        <w:ind w:left="115" w:right="1685"/>
        <w:jc w:val="both"/>
      </w:pPr>
      <w:r>
        <w:rPr/>
        <w:t>México, el segundo país (después de India) captador de remesas de migrantes, recibiría  en  2005  un  monto  histórico  de  divisas  por  unos  20  mil  millones   de</w:t>
      </w:r>
    </w:p>
    <w:p>
      <w:pPr>
        <w:spacing w:after="0" w:line="364" w:lineRule="auto"/>
        <w:jc w:val="both"/>
        <w:sectPr>
          <w:pgSz w:w="11900" w:h="16840"/>
          <w:pgMar w:header="0" w:footer="1676" w:top="1600" w:bottom="1860" w:left="1540" w:right="0"/>
        </w:sectPr>
      </w:pPr>
    </w:p>
    <w:p>
      <w:pPr>
        <w:pStyle w:val="BodyText"/>
        <w:rPr>
          <w:sz w:val="20"/>
        </w:rPr>
      </w:pPr>
    </w:p>
    <w:p>
      <w:pPr>
        <w:pStyle w:val="BodyText"/>
        <w:spacing w:before="7"/>
        <w:rPr>
          <w:sz w:val="16"/>
        </w:rPr>
      </w:pPr>
    </w:p>
    <w:p>
      <w:pPr>
        <w:pStyle w:val="BodyText"/>
        <w:spacing w:line="364" w:lineRule="auto" w:before="74"/>
        <w:ind w:left="115" w:right="126"/>
        <w:jc w:val="both"/>
      </w:pPr>
      <w:r>
        <w:rPr/>
        <w:t>dólares, y estos recursos mantendrán en 2006 su ritmo ascendente debido a los más de 400 mil connacionales que tratarán de cruzar la frontera con Estados Unidos buscando trabajo principalmente en estados como California,  Texas,  Illinois y Arizona (Balboa,</w:t>
      </w:r>
      <w:r>
        <w:rPr>
          <w:spacing w:val="36"/>
        </w:rPr>
        <w:t> </w:t>
      </w:r>
      <w:r>
        <w:rPr/>
        <w:t>2005).</w:t>
      </w:r>
    </w:p>
    <w:p>
      <w:pPr>
        <w:pStyle w:val="BodyText"/>
        <w:spacing w:before="5"/>
        <w:rPr>
          <w:sz w:val="20"/>
        </w:rPr>
      </w:pPr>
    </w:p>
    <w:p>
      <w:pPr>
        <w:pStyle w:val="Heading4"/>
        <w:spacing w:line="364" w:lineRule="auto"/>
        <w:ind w:left="2602" w:right="303" w:hanging="2312"/>
      </w:pPr>
      <w:r>
        <w:rPr/>
        <w:pict>
          <v:group style="position:absolute;margin-left:83.759995pt;margin-top:41.386204pt;width:427.35pt;height:282pt;mso-position-horizontal-relative:page;mso-position-vertical-relative:paragraph;z-index:6352;mso-wrap-distance-left:0;mso-wrap-distance-right:0" coordorigin="1675,828" coordsize="8547,5640">
            <v:shape style="position:absolute;left:1687;top:837;width:8525;height:5621" type="#_x0000_t75" stroked="false">
              <v:imagedata r:id="rId151" o:title=""/>
            </v:shape>
            <v:shape style="position:absolute;left:1675;top:828;width:8547;height:5640" coordorigin="1675,828" coordsize="8547,5640" path="m10222,828l1675,828,1675,6468,10222,6468,10222,6463,1687,6463,1680,6458,1687,6458,1687,837,1680,837,1687,833,10222,833,10222,828xm1687,6458l1680,6458,1687,6463,1687,6458xm10212,6458l1687,6458,1687,6463,10212,6463,10212,6458xm10212,833l10212,6463,10217,6458,10222,6458,10222,837,10217,837,10212,833xm10222,6458l10217,6458,10212,6463,10222,6463,10222,6458xm1687,833l1680,837,1687,837,1687,833xm10212,833l1687,833,1687,837,10212,837,10212,833xm10222,833l10212,833,10217,837,10222,837,10222,833xe" filled="true" fillcolor="#000000" stroked="false">
              <v:path arrowok="t"/>
              <v:fill type="solid"/>
            </v:shape>
            <w10:wrap type="topAndBottom"/>
          </v:group>
        </w:pict>
      </w:r>
      <w:r>
        <w:rPr/>
        <w:t>Figura 5. México: Tasa de crecimiento anual por trimestre de las remesas, 1997-2008 (millones de  dólares)</w:t>
      </w:r>
    </w:p>
    <w:p>
      <w:pPr>
        <w:spacing w:line="367" w:lineRule="auto" w:before="7"/>
        <w:ind w:left="115" w:right="126" w:firstLine="0"/>
        <w:jc w:val="both"/>
        <w:rPr>
          <w:sz w:val="21"/>
        </w:rPr>
      </w:pPr>
      <w:r>
        <w:rPr>
          <w:sz w:val="21"/>
        </w:rPr>
        <w:t>Fuente: Obtenido de Banco de México, Ingreso por  remesas,  México.  Wwwbanxico.org.mx (mayo de </w:t>
      </w:r>
      <w:r>
        <w:rPr>
          <w:spacing w:val="2"/>
          <w:sz w:val="21"/>
        </w:rPr>
        <w:t> </w:t>
      </w:r>
      <w:r>
        <w:rPr>
          <w:sz w:val="21"/>
        </w:rPr>
        <w:t>2008).</w:t>
      </w:r>
    </w:p>
    <w:p>
      <w:pPr>
        <w:pStyle w:val="BodyText"/>
        <w:rPr>
          <w:sz w:val="20"/>
        </w:rPr>
      </w:pPr>
    </w:p>
    <w:p>
      <w:pPr>
        <w:pStyle w:val="BodyText"/>
        <w:spacing w:line="364" w:lineRule="auto" w:before="141"/>
        <w:ind w:left="115" w:right="125"/>
        <w:jc w:val="both"/>
      </w:pPr>
      <w:r>
        <w:rPr/>
        <w:t>De la figura 5, se puede observar cómo han variado las tasas de crecimiento de   las remesas del trimestre enero-marzo de 1997 a enero-marzo de 2008 y en este último periodo presentaron la mayor caída hasta ser negativa. Todo esto como resultado de la crisis financiera que sufrió Estados Unidos y que afecto sobre todo  a los emigrantes mexicanos que laboraban en el sector de la construcción que fue severamente</w:t>
      </w:r>
      <w:r>
        <w:rPr>
          <w:spacing w:val="24"/>
        </w:rPr>
        <w:t> </w:t>
      </w:r>
      <w:r>
        <w:rPr/>
        <w:t>dañado.</w:t>
      </w:r>
    </w:p>
    <w:p>
      <w:pPr>
        <w:spacing w:after="0" w:line="364" w:lineRule="auto"/>
        <w:jc w:val="both"/>
        <w:sectPr>
          <w:pgSz w:w="11900" w:h="16840"/>
          <w:pgMar w:header="0" w:footer="1676" w:top="1600" w:bottom="1860" w:left="1540" w:right="1560"/>
        </w:sectPr>
      </w:pPr>
    </w:p>
    <w:p>
      <w:pPr>
        <w:pStyle w:val="BodyText"/>
        <w:rPr>
          <w:sz w:val="20"/>
        </w:rPr>
      </w:pPr>
    </w:p>
    <w:p>
      <w:pPr>
        <w:pStyle w:val="BodyText"/>
        <w:spacing w:before="7"/>
        <w:rPr>
          <w:sz w:val="16"/>
        </w:rPr>
      </w:pPr>
    </w:p>
    <w:p>
      <w:pPr>
        <w:pStyle w:val="BodyText"/>
        <w:spacing w:line="364" w:lineRule="auto" w:before="74"/>
        <w:ind w:left="115" w:right="145"/>
        <w:jc w:val="both"/>
      </w:pPr>
      <w:r>
        <w:rPr/>
        <w:t>El Consejo Nacional de Población (CONAPO) y el propio Banco de México  estiman que las remesas que enviaron en el presente año los mexicanos del extranjero serán de gran importancia para millones de familias, reactivarán las economías regional y local, pero sobre todo, son una de las principales fuentes de divisas del país, mayor que las obtenidas por el turismo, y sólo superadas por el petróleo (Figura</w:t>
      </w:r>
      <w:r>
        <w:rPr>
          <w:spacing w:val="18"/>
        </w:rPr>
        <w:t> </w:t>
      </w:r>
      <w:r>
        <w:rPr/>
        <w:t>6).</w:t>
      </w:r>
    </w:p>
    <w:p>
      <w:pPr>
        <w:pStyle w:val="BodyText"/>
        <w:rPr>
          <w:sz w:val="22"/>
        </w:rPr>
      </w:pPr>
    </w:p>
    <w:p>
      <w:pPr>
        <w:pStyle w:val="BodyText"/>
        <w:spacing w:before="11"/>
        <w:rPr>
          <w:sz w:val="29"/>
        </w:rPr>
      </w:pPr>
    </w:p>
    <w:p>
      <w:pPr>
        <w:pStyle w:val="Heading4"/>
        <w:spacing w:line="280" w:lineRule="auto"/>
        <w:ind w:left="195" w:right="226" w:firstLine="1"/>
        <w:jc w:val="center"/>
      </w:pPr>
      <w:r>
        <w:rPr/>
        <w:t>Figura 6. Comparación de las remesas familiares con respecto a los ingresos por turismo, por exportaciones petroleras, agropecuarias, turismo y saldo de la balanza, 1990-2008 (Millones de </w:t>
      </w:r>
      <w:r>
        <w:rPr>
          <w:spacing w:val="1"/>
        </w:rPr>
        <w:t> </w:t>
      </w:r>
      <w:r>
        <w:rPr/>
        <w:t>dólares)</w:t>
      </w:r>
    </w:p>
    <w:p>
      <w:pPr>
        <w:pStyle w:val="BodyText"/>
        <w:spacing w:before="5"/>
        <w:rPr>
          <w:b/>
          <w:sz w:val="20"/>
        </w:rPr>
      </w:pPr>
      <w:r>
        <w:rPr/>
        <w:pict>
          <v:group style="position:absolute;margin-left:83.400002pt;margin-top:13.738259pt;width:428.65pt;height:228.15pt;mso-position-horizontal-relative:page;mso-position-vertical-relative:paragraph;z-index:6544;mso-wrap-distance-left:0;mso-wrap-distance-right:0" coordorigin="1668,275" coordsize="8573,4563">
            <v:line style="position:absolute" from="2712,3352" to="10147,3352" stroked="true" strokeweight=".72pt" strokecolor="#858585"/>
            <v:line style="position:absolute" from="2712,2776" to="10147,2776" stroked="true" strokeweight=".72pt" strokecolor="#858585"/>
            <v:line style="position:absolute" from="2712,2197" to="10147,2197" stroked="true" strokeweight=".72pt" strokecolor="#858585"/>
            <v:line style="position:absolute" from="2712,1621" to="10147,1621" stroked="true" strokeweight=".72pt" strokecolor="#858585"/>
            <v:line style="position:absolute" from="2712,1044" to="10147,1044" stroked="true" strokeweight=".6pt" strokecolor="#858585"/>
            <v:line style="position:absolute" from="2712,467" to="10147,467" stroked="true" strokeweight=".72pt" strokecolor="#858585"/>
            <v:line style="position:absolute" from="2712,467" to="2712,3976" stroked="true" strokeweight=".72pt" strokecolor="#858585"/>
            <v:line style="position:absolute" from="2669,3930" to="2712,3930" stroked="true" strokeweight=".72pt" strokecolor="#858585"/>
            <v:line style="position:absolute" from="2669,3352" to="2712,3352" stroked="true" strokeweight=".72pt" strokecolor="#858585"/>
            <v:line style="position:absolute" from="2669,2776" to="2712,2776" stroked="true" strokeweight=".72pt" strokecolor="#858585"/>
            <v:line style="position:absolute" from="2669,2197" to="2712,2197" stroked="true" strokeweight=".72pt" strokecolor="#858585"/>
            <v:line style="position:absolute" from="2669,1621" to="2712,1621" stroked="true" strokeweight=".72pt" strokecolor="#858585"/>
            <v:line style="position:absolute" from="2669,1044" to="2712,1044" stroked="true" strokeweight=".6pt" strokecolor="#858585"/>
            <v:line style="position:absolute" from="2669,467" to="2712,467" stroked="true" strokeweight=".72pt" strokecolor="#858585"/>
            <v:line style="position:absolute" from="2712,3930" to="10147,3930" stroked="true" strokeweight=".72pt" strokecolor="#858585"/>
            <v:line style="position:absolute" from="3098,3953" to="3113,3953" stroked="true" strokeweight="2.280pt" strokecolor="#858585"/>
            <v:line style="position:absolute" from="3487,3953" to="3502,3953" stroked="true" strokeweight="2.280pt" strokecolor="#858585"/>
            <v:line style="position:absolute" from="3881,3953" to="3895,3953" stroked="true" strokeweight="2.280pt" strokecolor="#858585"/>
            <v:line style="position:absolute" from="4270,3953" to="4284,3953" stroked="true" strokeweight="2.280pt" strokecolor="#858585"/>
            <v:line style="position:absolute" from="4663,3953" to="4678,3953" stroked="true" strokeweight="2.280pt" strokecolor="#858585"/>
            <v:line style="position:absolute" from="5052,3953" to="5066,3953" stroked="true" strokeweight="2.280pt" strokecolor="#858585"/>
            <v:line style="position:absolute" from="5446,3953" to="5460,3953" stroked="true" strokeweight="2.280pt" strokecolor="#858585"/>
            <v:line style="position:absolute" from="5837,3953" to="5849,3953" stroked="true" strokeweight="2.280pt" strokecolor="#858585"/>
            <v:line style="position:absolute" from="6228,3953" to="6242,3953" stroked="true" strokeweight="2.280pt" strokecolor="#858585"/>
            <v:line style="position:absolute" from="6619,3953" to="6631,3953" stroked="true" strokeweight="2.280pt" strokecolor="#858585"/>
            <v:line style="position:absolute" from="7010,3953" to="7025,3953" stroked="true" strokeweight="2.280pt" strokecolor="#858585"/>
            <v:line style="position:absolute" from="7402,3953" to="7416,3953" stroked="true" strokeweight="2.280pt" strokecolor="#858585"/>
            <v:line style="position:absolute" from="7793,3953" to="7807,3953" stroked="true" strokeweight="2.280pt" strokecolor="#858585"/>
            <v:line style="position:absolute" from="8184,3953" to="8198,3953" stroked="true" strokeweight="2.280pt" strokecolor="#858585"/>
            <v:line style="position:absolute" from="8575,3953" to="8590,3953" stroked="true" strokeweight="2.280pt" strokecolor="#858585"/>
            <v:line style="position:absolute" from="8966,3953" to="8981,3953" stroked="true" strokeweight="2.280pt" strokecolor="#858585"/>
            <v:line style="position:absolute" from="9358,3953" to="9372,3953" stroked="true" strokeweight="2.280pt" strokecolor="#858585"/>
            <v:line style="position:absolute" from="9749,3953" to="9763,3953" stroked="true" strokeweight="2.280pt" strokecolor="#858585"/>
            <v:line style="position:absolute" from="10140,3953" to="10154,3953" stroked="true" strokeweight="2.280pt" strokecolor="#858585"/>
            <v:shape style="position:absolute;left:2880;top:997;width:7101;height:2674" coordorigin="2880,997" coordsize="7101,2674" path="m6810,3143l6427,3217,6034,3251,5642,3340,5254,3414,4862,3476,4474,3500,4080,3515,3689,3546,3298,3592,2909,3611,2899,3613,2891,3618,2885,3624,2881,3632,2880,3642,2883,3651,2887,3659,2894,3665,2902,3669,2911,3671,3300,3652,3696,3604,4085,3575,4476,3558,4867,3534,5263,3472,5652,3395,6046,3306,6432,3275,6826,3200,6830,3198,6833,3198,6838,3196,6907,3148,6804,3148,6810,3143xm6814,3143l6810,3143,6804,3148,6814,3143xm6914,3143l6814,3143,6804,3148,6907,3148,6914,3143xm7588,2770l7205,2874,7202,2874,7200,2876,7195,2879,6810,3143,6814,3143,6914,3143,7222,2932,7219,2932,7229,2927,7237,2927,7610,2826,7620,2821,7625,2816,7659,2778,7582,2778,7588,2770xm7229,2927l7219,2932,7224,2930,7229,2927xm7224,2930l7219,2932,7222,2932,7224,2930xm7237,2927l7229,2927,7224,2930,7237,2927xm7596,2768l7588,2770,7582,2778,7596,2768xm7667,2768l7596,2768,7582,2778,7659,2778,7667,2768xm9950,997l9941,1000,9552,1134,9559,1134,9166,1160,9158,1160,9151,1165,9146,1170,8758,1568,8366,1976,7973,2334,7588,2770,7596,2768,7667,2768,8018,2372,8405,2020,8798,1609,9183,1218,9170,1218,9190,1211,9277,1211,9562,1192,9566,1192,9569,1189,9571,1189,9960,1055,9968,1050,9974,1043,9979,1035,9980,1026,9979,1016,9974,1008,9967,1002,9958,998,9950,997xm9190,1211l9170,1218,9183,1217,9190,1211xm9183,1217l9170,1218,9183,1218,9183,1217xm9277,1211l9190,1211,9183,1217,9277,1211xe" filled="true" fillcolor="#497eba" stroked="false">
              <v:path arrowok="t"/>
              <v:fill type="solid"/>
            </v:shape>
            <v:shape style="position:absolute;left:2815;top:3546;width:190;height:187" type="#_x0000_t75" stroked="false">
              <v:imagedata r:id="rId152" o:title=""/>
            </v:shape>
            <v:shape style="position:absolute;left:3206;top:3527;width:190;height:187" type="#_x0000_t75" stroked="false">
              <v:imagedata r:id="rId153" o:title=""/>
            </v:shape>
            <v:shape style="position:absolute;left:3598;top:3479;width:190;height:187" type="#_x0000_t75" stroked="false">
              <v:imagedata r:id="rId154" o:title=""/>
            </v:shape>
            <v:shape style="position:absolute;left:3989;top:3450;width:190;height:190" type="#_x0000_t75" stroked="false">
              <v:imagedata r:id="rId155" o:title=""/>
            </v:shape>
            <v:shape style="position:absolute;left:4380;top:3436;width:190;height:185" type="#_x0000_t75" stroked="false">
              <v:imagedata r:id="rId156" o:title=""/>
            </v:shape>
            <v:shape style="position:absolute;left:4774;top:3412;width:187;height:185" type="#_x0000_t75" stroked="false">
              <v:imagedata r:id="rId157" o:title=""/>
            </v:shape>
            <v:shape style="position:absolute;left:5165;top:3349;width:185;height:185" type="#_x0000_t75" stroked="false">
              <v:imagedata r:id="rId158" o:title=""/>
            </v:shape>
            <v:shape style="position:absolute;left:5556;top:3272;width:185;height:190" type="#_x0000_t75" stroked="false">
              <v:imagedata r:id="rId159" o:title=""/>
            </v:shape>
            <v:shape style="position:absolute;left:5947;top:3186;width:185;height:185" type="#_x0000_t75" stroked="false">
              <v:imagedata r:id="rId160" o:title=""/>
            </v:shape>
            <v:shape style="position:absolute;left:6338;top:3152;width:185;height:190" type="#_x0000_t75" stroked="false">
              <v:imagedata r:id="rId161" o:title=""/>
            </v:shape>
            <v:shape style="position:absolute;left:6730;top:3078;width:185;height:187" type="#_x0000_t75" stroked="false">
              <v:imagedata r:id="rId162" o:title=""/>
            </v:shape>
            <v:shape style="position:absolute;left:7121;top:2807;width:185;height:190" type="#_x0000_t75" stroked="false">
              <v:imagedata r:id="rId163" o:title=""/>
            </v:shape>
            <v:shape style="position:absolute;left:7512;top:2701;width:185;height:190" type="#_x0000_t75" stroked="false">
              <v:imagedata r:id="rId164" o:title=""/>
            </v:shape>
            <v:shape style="position:absolute;left:7903;top:2257;width:185;height:190" type="#_x0000_t75" stroked="false">
              <v:imagedata r:id="rId165" o:title=""/>
            </v:shape>
            <v:shape style="position:absolute;left:8294;top:1902;width:185;height:190" type="#_x0000_t75" stroked="false">
              <v:imagedata r:id="rId163" o:title=""/>
            </v:shape>
            <v:shape style="position:absolute;left:8683;top:1494;width:187;height:187" type="#_x0000_t75" stroked="false">
              <v:imagedata r:id="rId166" o:title=""/>
            </v:shape>
            <v:shape style="position:absolute;left:9074;top:1093;width:190;height:190" type="#_x0000_t75" stroked="false">
              <v:imagedata r:id="rId167" o:title=""/>
            </v:shape>
            <v:shape style="position:absolute;left:9466;top:1069;width:190;height:185" type="#_x0000_t75" stroked="false">
              <v:imagedata r:id="rId156" o:title=""/>
            </v:shape>
            <v:shape style="position:absolute;left:9857;top:935;width:190;height:185" type="#_x0000_t75" stroked="false">
              <v:imagedata r:id="rId168" o:title=""/>
            </v:shape>
            <v:shape style="position:absolute;left:2880;top:2931;width:7101;height:783" coordorigin="2880,2931" coordsize="7101,783" path="m3977,3683l3302,3683,3689,3714,3696,3714,3977,3683xm3298,3625l2909,3649,2899,3651,2891,3655,2885,3662,2881,3671,2880,3680,2883,3689,2887,3697,2894,3703,2902,3706,2911,3707,3302,3683,3977,3683,4085,3671,4346,3656,3689,3656,3691,3656,3298,3625xm3691,3656l3689,3656,3694,3656,3691,3656xm4870,3436l4858,3436,4855,3438,4464,3592,4474,3592,4080,3611,3691,3656,3694,3656,4346,3656,4476,3649,4478,3649,4483,3647,4486,3647,4873,3495,4862,3493,6551,3493,6642,3486,5256,3486,5259,3486,4870,3436xm6551,3493l4877,3493,4873,3495,5254,3544,5258,3544,5650,3515,6041,3500,6460,3500,6551,3493xm7775,3472l6823,3472,6821,3472,7210,3508,7603,3510,7610,3510,7775,3472xm6460,3500l6041,3500,6430,3503,6460,3500xm4877,3493l4862,3493,4873,3495,4877,3493xm5259,3486l5256,3486,5261,3486,5259,3486xm6038,3443l5645,3457,5259,3486,5261,3486,6642,3486,6821,3472,6818,3472,7775,3472,7857,3452,7596,3452,7596,3452,7214,3450,7162,3445,6430,3445,6038,3443xm6823,3472l6818,3472,6821,3472,6823,3472xm7596,3452l7596,3452,7603,3452,7596,3452xm9952,2931l9943,2932,9557,3042,9161,3109,8378,3275,7596,3452,7603,3452,7857,3452,8002,3419,8393,3332,9175,3167,9566,3100,9958,2989,9967,2985,9974,2979,9979,2971,9980,2962,9979,2953,9975,2944,9969,2938,9961,2933,9952,2931xm6821,3412l6818,3412,6818,3414,6430,3445,7162,3445,6823,3414,6821,3412xe" filled="true" fillcolor="#97b853" stroked="false">
              <v:path arrowok="t"/>
              <v:fill type="solid"/>
            </v:shape>
            <v:shape style="position:absolute;left:2815;top:3584;width:187;height:190" type="#_x0000_t75" stroked="false">
              <v:imagedata r:id="rId169" o:title=""/>
            </v:shape>
            <v:shape style="position:absolute;left:3206;top:3560;width:187;height:190" type="#_x0000_t75" stroked="false">
              <v:imagedata r:id="rId170" o:title=""/>
            </v:shape>
            <v:shape style="position:absolute;left:3598;top:3592;width:187;height:187" type="#_x0000_t75" stroked="false">
              <v:imagedata r:id="rId171" o:title=""/>
            </v:shape>
            <v:shape style="position:absolute;left:3989;top:3546;width:187;height:190" type="#_x0000_t75" stroked="false">
              <v:imagedata r:id="rId172" o:title=""/>
            </v:shape>
            <v:shape style="position:absolute;left:4380;top:3524;width:187;height:190" type="#_x0000_t75" stroked="false">
              <v:imagedata r:id="rId173" o:title=""/>
            </v:shape>
            <v:shape style="position:absolute;left:4771;top:3371;width:187;height:190" type="#_x0000_t75" stroked="false">
              <v:imagedata r:id="rId174" o:title=""/>
            </v:shape>
            <v:shape style="position:absolute;left:5162;top:3419;width:187;height:190" type="#_x0000_t75" stroked="false">
              <v:imagedata r:id="rId175" o:title=""/>
            </v:shape>
            <v:shape style="position:absolute;left:5554;top:3392;width:187;height:190" type="#_x0000_t75" stroked="false">
              <v:imagedata r:id="rId174" o:title=""/>
            </v:shape>
            <v:shape style="position:absolute;left:5945;top:3378;width:187;height:190" type="#_x0000_t75" stroked="false">
              <v:imagedata r:id="rId174" o:title=""/>
            </v:shape>
            <v:shape style="position:absolute;left:6336;top:3380;width:187;height:190" type="#_x0000_t75" stroked="false">
              <v:imagedata r:id="rId175" o:title=""/>
            </v:shape>
            <v:shape style="position:absolute;left:6727;top:3347;width:187;height:190" type="#_x0000_t75" stroked="false">
              <v:imagedata r:id="rId175" o:title=""/>
            </v:shape>
            <v:shape style="position:absolute;left:7118;top:3383;width:187;height:190" type="#_x0000_t75" stroked="false">
              <v:imagedata r:id="rId173" o:title=""/>
            </v:shape>
            <v:shape style="position:absolute;left:7510;top:3388;width:187;height:190" type="#_x0000_t75" stroked="false">
              <v:imagedata r:id="rId176" o:title=""/>
            </v:shape>
            <v:shape style="position:absolute;left:7901;top:3296;width:187;height:190" type="#_x0000_t75" stroked="false">
              <v:imagedata r:id="rId172" o:title=""/>
            </v:shape>
            <v:shape style="position:absolute;left:8292;top:3208;width:187;height:190" type="#_x0000_t75" stroked="false">
              <v:imagedata r:id="rId175" o:title=""/>
            </v:shape>
            <v:shape style="position:absolute;left:8683;top:3128;width:187;height:187" type="#_x0000_t75" stroked="false">
              <v:imagedata r:id="rId171" o:title=""/>
            </v:shape>
            <v:shape style="position:absolute;left:9074;top:3044;width:187;height:187" type="#_x0000_t75" stroked="false">
              <v:imagedata r:id="rId177" o:title=""/>
            </v:shape>
            <v:shape style="position:absolute;left:9466;top:2977;width:187;height:187" type="#_x0000_t75" stroked="false">
              <v:imagedata r:id="rId177" o:title=""/>
            </v:shape>
            <v:shape style="position:absolute;left:9857;top:2867;width:187;height:190" type="#_x0000_t75" stroked="false">
              <v:imagedata r:id="rId172" o:title=""/>
            </v:shape>
            <v:shape style="position:absolute;left:2880;top:1091;width:7100;height:2859" coordorigin="2880,1091" coordsize="7100,2859" path="m9198,1127l9139,1127,9187,1146,9146,1178,9533,3932,9533,3947,9536,3949,9970,3949,9974,3945,9978,3937,9979,3928,9978,3923,9590,3923,9562,3899,9587,3899,9198,1127xm9587,3899l9562,3899,9590,3923,9587,3899xm9950,3899l9587,3899,9590,3923,9978,3923,9978,3918,9974,3910,9968,3904,9960,3900,9950,3899xm4476,3229l4471,3232,4078,3275,3295,3431,2906,3491,2897,3494,2889,3499,2883,3506,2880,3515,2880,3524,2883,3533,2888,3540,2895,3545,2904,3548,2914,3548,3305,3488,4087,3332,4470,3290,4466,3289,4705,3289,4483,3232,4478,3232,4476,3229xm4705,3289l4478,3289,4470,3290,4858,3388,4865,3390,4870,3390,4877,3388,5002,3332,4853,3332,4860,3329,4705,3289xm4860,3329l4853,3332,4872,3332,4860,3329xm5246,3160l4860,3329,4872,3332,5002,3332,5268,3215,5270,3212,5273,3212,5275,3210,5339,3164,5242,3164,5246,3160xm4478,3289l4466,3289,4470,3290,4478,3289xm6026,2687l5635,2884,5633,2884,5630,2886,5242,3164,5339,3164,5664,2934,5666,2934,6053,2740,6055,2737,6058,2737,6058,2735,6110,2692,6022,2692,6026,2687xm5666,2934l5664,2934,5662,2936,5666,2934xm6410,2365l6022,2692,6110,2692,6449,2411,6454,2406,6481,2370,6408,2370,6410,2365xm7217,1674l7205,1674,7200,1676,6809,1852,6799,1856,6797,1861,6408,2370,6481,2370,6835,1907,6833,1907,6842,1897,6854,1897,7216,1735,7210,1734,7224,1732,7608,1732,7217,1674xm6842,1897l6833,1907,6836,1905,6842,1897xm6836,1905l6833,1907,6835,1907,6836,1905xm6854,1897l6842,1897,6836,1905,6854,1897xm7608,1732l7224,1732,7216,1735,7598,1789,7992,1832,7994,1835,7999,1832,8002,1832,8249,1775,7990,1775,7993,1774,7608,1732xm7993,1774l7990,1775,7999,1775,7993,1774xm8369,1688l7993,1774,7999,1775,8249,1775,8393,1741,8395,1741,8400,1739,8402,1736,8470,1688,8369,1688,8369,1688xm7224,1732l7210,1734,7216,1735,7224,1732xm8378,1686l8369,1688,8369,1688,8378,1686xm8473,1686l8378,1686,8369,1688,8470,1688,8473,1686xm9168,1091l9158,1093,9149,1100,8760,1410,8369,1688,8378,1686,8473,1686,8796,1456,9146,1178,9139,1127,9198,1127,9197,1117,9194,1108,9190,1098,9180,1096,9168,1091xm9139,1127l9146,1178,9187,1146,9139,1127xe" filled="true" fillcolor="#7c5f9f" stroked="false">
              <v:path arrowok="t"/>
              <v:fill type="solid"/>
            </v:shape>
            <v:shape style="position:absolute;left:2822;top:1036;width:7217;height:2981" coordorigin="2822,1036" coordsize="7217,2981" path="m2910,3518l2822,3606,2998,3606,2910,3518xm2998,3431l2822,3431,2910,3518,2998,3431xm3299,3461l3211,3548,3386,3548,3299,3461xm3386,3373l3211,3373,3299,3461,3386,3373xm3692,3382l3605,3469,3780,3469,3692,3382xm3780,3294l3605,3294,3692,3382,3780,3294xm4081,3305l3994,3392,4169,3392,4081,3305xm4169,3217l3994,3217,4081,3305,4169,3217xm4475,3259l4387,3347,4562,3347,4475,3259xm4562,3172l4387,3172,4475,3259,4562,3172xm4866,3360l4778,3448,4954,3448,4866,3360xm4954,3272l4778,3272,4866,3360,4954,3272xm5257,3187l5170,3275,5345,3275,5257,3187xm5345,3100l5170,3100,5257,3187,5345,3100xm5648,2909l5561,2996,5736,2996,5648,2909xm5736,2821l5561,2821,5648,2909,5736,2821xm6040,2712l5952,2800,6127,2800,6040,2712xm6127,2624l5952,2624,6040,2712,6127,2624xm6431,2388l6343,2476,6518,2476,6431,2388xm6518,2300l6343,2300,6431,2388,6518,2300xm6820,1879l6732,1967,6907,1967,6820,1879xm6907,1792l6732,1792,6820,1879,6907,1792xm7213,1704l7126,1792,7301,1792,7213,1704xm7301,1616l7126,1616,7213,1704,7301,1616xm7602,1759l7514,1847,7690,1847,7602,1759xm7690,1672l7514,1672,7602,1759,7690,1672xm7996,1805l7908,1892,8083,1892,7996,1805xm8083,1717l7908,1717,7996,1805,8083,1717xm8384,1714l8297,1801,8472,1801,8384,1714xm8472,1626l8297,1626,8384,1714,8472,1626xm8778,1433l8690,1520,8866,1520,8778,1433xm8866,1345l8690,1345,8778,1433,8866,1345xm9169,1123l9082,1211,9257,1211,9169,1123xm9257,1036l9082,1036,9169,1123,9257,1036xm9560,3929l9473,4016,9648,4016,9560,3929xm9648,3841l9473,3841,9560,3929,9648,3841xm9952,3929l9864,4016,10039,4016,9952,3929xm10039,3841l9864,3841,9952,3929,10039,3841xe" filled="true" fillcolor="#7f63a1" stroked="false">
              <v:path arrowok="t"/>
              <v:fill type="solid"/>
            </v:shape>
            <v:shape style="position:absolute;left:2818;top:1031;width:7227;height:2991" coordorigin="2818,1031" coordsize="7227,2991" path="m2900,3518l2818,3601,2827,3611,2910,3528,2900,3518xm2920,3518l2910,3528,2993,3611,3002,3601,2920,3518xm2910,3509l2900,3518,2910,3528,2920,3518,2910,3509xm2827,3426l2818,3436,2900,3518,2910,3509,2827,3426xm2993,3426l2910,3509,2920,3518,3002,3436,2993,3426xm3289,3461l3206,3544,3216,3553,3299,3470,3289,3461xm3308,3461l3299,3470,3382,3553,3391,3544,3308,3461xm3299,3451l3289,3461,3299,3470,3308,3461,3299,3451xm3216,3368l3206,3378,3289,3461,3299,3451,3216,3368xm3382,3368l3299,3451,3308,3461,3391,3378,3382,3368xm3683,3382l3600,3464,3610,3474,3692,3391,3683,3382xm3702,3382l3692,3391,3775,3474,3785,3464,3702,3382xm3692,3372l3683,3382,3692,3391,3702,3382,3692,3372xm3610,3289l3600,3299,3683,3382,3692,3372,3610,3289xm3775,3289l3692,3372,3702,3382,3785,3299,3775,3289xm4072,3305l3989,3388,4001,3397,4082,3316,4072,3305xm4093,3305l4082,3316,4164,3397,4176,3388,4093,3305xm4082,3294l4072,3305,4082,3316,4093,3305,4082,3294xm4001,3212l3989,3222,4072,3305,4082,3294,4001,3212xm4164,3212l4082,3294,4093,3305,4176,3222,4164,3212xm4465,3259l4382,3342,4392,3352,4475,3269,4465,3259xm4484,3259l4475,3269,4558,3352,4567,3342,4484,3259xm4475,3250l4465,3259,4475,3269,4484,3259,4475,3250xm4392,3167l4382,3176,4465,3259,4475,3250,4392,3167xm4558,3167l4475,3250,4484,3259,4567,3176,4558,3167xm4855,3360l4771,3443,4783,3452,4865,3370,4855,3360xm4876,3360l4865,3370,4949,3452,4958,3443,4876,3360xm4865,3350l4855,3360,4865,3370,4876,3360,4865,3350xm4783,3268l4771,3277,4855,3360,4865,3350,4783,3268xm4949,3268l4865,3350,4876,3360,4958,3277,4949,3268xm5248,3187l5165,3270,5174,3280,5257,3197,5248,3187xm5267,3187l5257,3197,5340,3280,5350,3270,5267,3187xm5257,3178l5248,3187,5257,3197,5267,3187,5257,3178xm5174,3095l5165,3104,5248,3187,5257,3178,5174,3095xm5340,3095l5257,3178,5267,3187,5350,3104,5340,3095xm5639,2909l5556,2992,5566,3001,5648,2918,5639,2909xm5658,2909l5648,2918,5731,3001,5741,2992,5658,2909xm5648,2899l5639,2909,5648,2918,5658,2909,5648,2899xm5566,2816l5556,2826,5639,2909,5648,2899,5566,2816xm5731,2816l5648,2899,5658,2909,5741,2826,5731,2816xm6029,2713l5947,2795,5957,2807,6040,2724,6029,2713xm6050,2713l6040,2724,6122,2807,6132,2795,6050,2713xm6040,2702l6029,2713,6040,2724,6050,2713,6040,2702xm5957,2620l5947,2632,6029,2713,6040,2702,5957,2620xm6122,2620l6040,2702,6050,2713,6132,2632,6122,2620xm6421,2388l6338,2471,6348,2480,6431,2398,6421,2388xm6440,2388l6431,2398,6514,2480,6523,2471,6440,2388xm6431,2378l6421,2388,6431,2398,6440,2388,6431,2378xm6348,2296l6338,2305,6421,2388,6431,2378,6348,2296xm6514,2296l6431,2378,6440,2388,6523,2305,6514,2296xm6810,1879l6727,1962,6737,1972,6820,1889,6810,1879xm6829,1879l6820,1889,6902,1972,6912,1962,6829,1879xm6820,1870l6810,1879,6820,1889,6829,1879,6820,1870xm6737,1787l6727,1796,6810,1879,6820,1870,6737,1787xm6902,1787l6820,1870,6829,1879,6912,1796,6902,1787xm7204,1704l7121,1787,7130,1796,7213,1714,7204,1704xm7223,1704l7213,1714,7296,1796,7306,1787,7223,1704xm7213,1694l7204,1704,7213,1714,7223,1704,7213,1694xm7130,1612l7121,1621,7204,1704,7213,1694,7130,1612xm7296,1612l7213,1694,7223,1704,7306,1621,7296,1612xm7592,1759l7510,1842,7519,1852,7602,1769,7592,1759xm7612,1759l7602,1769,7685,1852,7694,1842,7612,1759xm7602,1750l7592,1759,7602,1769,7612,1759,7602,1750xm7519,1667l7510,1676,7592,1759,7602,1750,7519,1667xm7685,1667l7602,1750,7612,1759,7694,1676,7685,1667xm7986,1805l7903,1888,7913,1897,7996,1814,7986,1805xm8005,1805l7996,1814,8078,1897,8088,1888,8005,1805xm7996,1795l7986,1805,7996,1814,8005,1805,7996,1795xm7913,1712l7903,1722,7986,1805,7996,1795,7913,1712xm8078,1712l7996,1795,8005,1805,8088,1722,8078,1712xm8375,1714l8292,1796,8304,1806,8386,1724,8375,1714xm8396,1714l8386,1724,8467,1806,8479,1796,8396,1714xm8386,1703l8375,1714,8386,1724,8396,1714,8386,1703xm8304,1621l8292,1631,8375,1714,8386,1703,8304,1621xm8467,1621l8386,1703,8396,1714,8479,1631,8467,1621xm8768,1433l8686,1516,8695,1525,8778,1442,8768,1433xm8788,1433l8778,1442,8861,1525,8870,1516,8788,1433xm8778,1423l8768,1433,8778,1442,8788,1433,8778,1423xm8695,1340l8686,1350,8768,1433,8778,1423,8695,1340xm8861,1340l8778,1423,8788,1433,8870,1350,8861,1340xm9157,1123l9074,1206,9086,1216,9168,1134,9157,1123xm9179,1123l9168,1134,9250,1216,9262,1206,9179,1123xm9168,1112l9157,1123,9168,1134,9179,1123,9168,1112xm9086,1031l9074,1040,9157,1123,9168,1112,9086,1031xm9250,1031l9168,1112,9179,1123,9262,1040,9250,1031xm9551,3929l9468,4012,9478,4021,9560,3938,9551,3929xm9570,3929l9560,3938,9643,4021,9653,4012,9570,3929xm9560,3919l9551,3929,9560,3938,9570,3929,9560,3919xm9478,3836l9468,3846,9551,3929,9560,3919,9478,3836xm9643,3836l9560,3919,9570,3929,9653,3846,9643,3836xm9942,3929l9859,4012,9869,4021,9952,3938,9942,3929xm9961,3929l9952,3938,10034,4021,10044,4012,9961,3929xm9952,3919l9942,3929,9952,3938,9961,3929,9952,3919xm9869,3836l9859,3846,9942,3929,9952,3919,9869,3836xm10034,3836l9952,3919,9961,3929,10044,3846,10034,3836xe" filled="true" fillcolor="#7c5f9f" stroked="false">
              <v:path arrowok="t"/>
              <v:fill type="solid"/>
            </v:shape>
            <v:shape style="position:absolute;left:2880;top:2651;width:7100;height:768" coordorigin="2880,2651" coordsize="7100,768" path="m4590,3220l4462,3220,4476,3224,4472,3225,4858,3416,4865,3419,4870,3416,5182,3361,4877,3361,4860,3359,4869,3357,4590,3220xm4869,3357l4860,3359,4877,3361,4869,3357xm6046,3203l6038,3203,5642,3236,5251,3289,4869,3357,4877,3361,5182,3361,5263,3347,5652,3294,6039,3261,6036,3260,6419,3260,6046,3203xm4478,3164l4474,3164,4082,3188,3691,3198,3295,3212,2906,3268,2897,3270,2889,3276,2883,3283,2880,3291,2880,3301,2883,3310,2888,3318,2895,3323,2904,3325,2914,3325,3305,3270,3694,3256,4082,3246,4472,3225,4462,3220,4590,3220,4478,3164xm6419,3260l6043,3260,6039,3261,6425,3320,6430,3323,6434,3323,6437,3320,6637,3265,6422,3265,6432,3262,6419,3260xm6432,3262l6422,3265,6434,3263,6432,3262xm9948,2651l9554,2701,9166,2797,8772,2840,8376,2934,7987,3064,7992,3064,7601,3124,7212,3145,6818,3155,6816,3155,6814,3157,6432,3262,6434,3263,6422,3265,6637,3265,6828,3212,6900,3212,7214,3203,7606,3181,7999,3121,8002,3121,8004,3119,8395,2989,8784,2898,9170,2855,9566,2759,9955,2708,9963,2707,9971,2702,9976,2695,9979,2687,9979,2677,9976,2668,9971,2660,9965,2654,9957,2651,9948,2651xm6043,3260l6036,3260,6039,3261,6043,3260xm4462,3220l4472,3225,4476,3224,4462,3220xm6900,3212l6828,3212,6821,3215,6900,3212xe" filled="true" fillcolor="#45a9c5" stroked="false">
              <v:path arrowok="t"/>
              <v:fill type="solid"/>
            </v:shape>
            <v:shape style="position:absolute;left:2822;top:2593;width:7131;height:884" coordorigin="2822,2593" coordsize="7131,884" path="m2909,3299l2822,3385,2909,3385,2909,3299xm2909,3296l2909,3299,2910,3298,2909,3296xm2909,3210l2822,3210,2909,3296,2909,3210xm3299,3240l3211,3328,3300,3328,3300,3241,3299,3240xm3300,3152l3211,3152,3299,3240,3300,3239,3300,3152xm3691,3229l3605,3316,3691,3316,3691,3229xm3691,3227l3691,3229,3692,3228,3691,3227xm3691,3140l3605,3140,3691,3227,3691,3140xm4081,3218l3994,3306,4082,3306,4082,3220,4081,3218xm4082,3131l3994,3131,4081,3218,4082,3217,4082,3131xm4474,3196l4387,3282,4474,3282,4474,3196xm4474,3193l4474,3196,4475,3194,4474,3193xm4474,3107l4387,3107,4474,3193,4474,3107xm4866,3389l4778,3476,4867,3476,4867,3390,4866,3389xm4867,3301l4778,3301,4866,3389,4867,3388,4867,3301xm5256,3320l5170,3407,5256,3407,5256,3320xm5256,3318l5256,3320,5257,3319,5256,3318xm5256,3232l5170,3232,5256,3318,5256,3232xm5648,3264l5561,3352,5650,3352,5650,3265,5648,3264xm5650,3176l5561,3176,5648,3264,5650,3263,5650,3176xm6038,3234l5952,3320,6038,3320,6038,3234xm6038,3232l6038,3234,6040,3233,6038,3232xm6038,3145l5952,3145,6038,3232,6038,3145xm6431,3293l6343,3380,6432,3380,6432,3294,6431,3293xm6432,3205l6343,3205,6431,3293,6432,3292,6432,3205xm6820,3185l6732,3272,6821,3272,6821,3186,6820,3185xm6821,3097l6732,3097,6820,3185,6821,3184,6821,3097xm7212,3174l7126,3260,7212,3260,7212,3174xm7212,3172l7212,3174,7213,3173,7212,3172xm7212,3085l7126,3085,7212,3172,7212,3085xm7602,3151l7514,3239,7603,3239,7603,3152,7602,3151xm7603,3064l7514,3064,7602,3151,7603,3150,7603,3064xm7994,3092l7908,3179,7994,3179,7994,3092xm7994,3090l7994,3092,7996,3091,7994,3090xm7994,3004l7908,3004,7994,3090,7994,3004xm8384,2962l8297,3049,8386,3049,8386,2963,8384,2962xm8386,2874l8297,2874,8384,2962,8386,2960,8386,2874xm8777,2872l8690,2958,8777,2958,8777,2872xm8777,2869l8777,2872,8778,2870,8777,2869xm8777,2783l8690,2783,8777,2869,8777,2783xm9169,2825l9082,2912,9170,2912,9170,2826,9169,2825xm9170,2737l9082,2737,9169,2825,9170,2824,9170,2737xm9559,2730l9473,2816,9559,2816,9559,2730xm9559,2728l9559,2730,9560,2729,9559,2728xm9559,2641l9473,2641,9559,2728,9559,2641xm9952,2681l9864,2768,9953,2768,9953,2682,9952,2681xm9953,2593l9864,2593,9952,2681,9953,2680,9953,2593xe" filled="true" fillcolor="#4babc6" stroked="false">
              <v:path arrowok="t"/>
              <v:fill type="solid"/>
            </v:shape>
            <v:shape style="position:absolute;left:2818;top:2588;width:7227;height:893" coordorigin="2818,2588" coordsize="7227,893" path="m2900,3298l2818,3380,2827,3390,2902,3316,2902,3299,2900,3298xm2920,3298l2916,3301,2916,3313,2993,3390,3002,3380,2920,3298xm2910,3307l2902,3316,2902,3385,2916,3385,2916,3313,2910,3307xm2902,3299l2902,3316,2910,3307,2902,3299xm2916,3301l2910,3307,2916,3313,2916,3301xm2910,3288l2902,3296,2902,3299,2910,3307,2916,3301,2916,3294,2910,3288xm2916,3294l2916,3301,2920,3298,2916,3294xm2902,3296l2900,3298,2902,3299,2902,3296xm2827,3205l2818,3215,2900,3298,2902,3296,2902,3280,2827,3205xm2993,3205l2916,3282,2916,3294,2920,3298,3002,3215,2993,3205xm2902,3280l2902,3296,2910,3288,2902,3280xm2916,3282l2910,3288,2916,3294,2916,3282xm2916,3210l2902,3210,2902,3280,2910,3288,2916,3282,2916,3210xm3288,3241l3206,3323,3216,3335,3293,3258,3293,3246,3288,3241xm3310,3241l3307,3244,3307,3260,3382,3335,3391,3323,3310,3241xm3299,3252l3293,3258,3293,3328,3307,3328,3307,3260,3299,3252xm3307,3244l3299,3252,3307,3260,3307,3244xm3293,3246l3293,3258,3299,3252,3293,3246xm3299,3230l3293,3236,3293,3246,3299,3252,3307,3244,3307,3239,3299,3230xm3293,3236l3288,3241,3293,3246,3293,3236xm3307,3239l3307,3244,3310,3241,3307,3239xm3216,3148l3206,3160,3288,3241,3293,3236,3293,3224,3216,3148xm3382,3148l3307,3222,3307,3239,3310,3241,3391,3160,3382,3148xm3307,3222l3299,3230,3307,3239,3307,3222xm3293,3224l3293,3236,3299,3230,3293,3224xm3307,3152l3293,3152,3293,3224,3299,3230,3307,3222,3307,3152xm3683,3228l3600,3311,3610,3320,3684,3246,3684,3229,3683,3228xm3702,3228l3698,3232,3698,3244,3775,3320,3785,3311,3702,3228xm3692,3238l3684,3246,3684,3316,3698,3316,3698,3244,3692,3238xm3684,3229l3684,3246,3692,3238,3684,3229xm3698,3232l3692,3238,3698,3244,3698,3232xm3692,3218l3684,3227,3684,3229,3692,3238,3698,3232,3698,3224,3692,3218xm3698,3224l3698,3232,3702,3228,3698,3224xm3684,3227l3683,3228,3684,3229,3684,3227xm3610,3136l3600,3145,3683,3228,3684,3227,3684,3210,3610,3136xm3775,3136l3698,3212,3698,3224,3702,3228,3785,3145,3775,3136xm3684,3210l3684,3227,3692,3218,3684,3210xm3698,3212l3692,3218,3698,3224,3698,3212xm3698,3140l3684,3140,3684,3210,3692,3218,3698,3212,3698,3140xm4072,3218l3989,3301,4001,3311,4078,3234,4078,3224,4072,3218xm4093,3218l4090,3222,4090,3236,4164,3311,4176,3301,4093,3218xm4082,3229l4078,3234,4078,3306,4090,3306,4090,3236,4082,3229xm4090,3222l4082,3229,4090,3236,4090,3222xm4078,3224l4078,3234,4082,3229,4078,3224xm4082,3208l4078,3212,4078,3224,4082,3229,4090,3222,4090,3215,4082,3208xm4078,3212l4072,3218,4078,3224,4078,3212xm4090,3215l4090,3222,4093,3218,4090,3215xm4001,3126l3989,3136,4072,3218,4078,3212,4078,3203,4001,3126xm4164,3126l4090,3200,4090,3215,4093,3218,4176,3136,4164,3126xm4090,3200l4082,3208,4090,3215,4090,3200xm4078,3203l4078,3212,4082,3208,4078,3203xm4090,3131l4078,3131,4078,3203,4082,3208,4090,3200,4090,3131xm4465,3194l4382,3277,4392,3287,4466,3212,4466,3196,4465,3194xm4484,3194l4481,3198,4481,3210,4558,3287,4567,3277,4484,3194xm4475,3204l4466,3212,4466,3282,4481,3282,4481,3210,4475,3204xm4466,3196l4466,3212,4475,3204,4466,3196xm4481,3198l4475,3204,4481,3210,4481,3198xm4475,3185l4466,3193,4466,3196,4475,3204,4481,3198,4481,3191,4475,3185xm4481,3191l4481,3198,4484,3194,4481,3191xm4466,3193l4465,3194,4466,3196,4466,3193xm4392,3102l4382,3112,4465,3194,4466,3193,4466,3176,4392,3102xm4558,3102l4481,3179,4481,3191,4484,3194,4567,3112,4558,3102xm4466,3176l4466,3193,4475,3185,4466,3176xm4481,3179l4475,3185,4481,3191,4481,3179xm4481,3107l4466,3107,4466,3176,4475,3185,4481,3179,4481,3107xm4855,3389l4771,3472,4783,3481,4860,3404,4860,3394,4855,3389xm4876,3389l4872,3392,4872,3405,4949,3481,4958,3472,4876,3389xm4865,3399l4860,3404,4860,3476,4872,3476,4872,3405,4865,3399xm4872,3392l4865,3399,4872,3405,4872,3392xm4860,3394l4860,3404,4865,3399,4860,3394xm4865,3379l4860,3384,4860,3394,4865,3399,4872,3392,4872,3385,4865,3379xm4860,3384l4855,3389,4860,3394,4860,3384xm4872,3385l4872,3392,4876,3389,4872,3385xm4783,3296l4771,3306,4855,3389,4860,3384,4860,3373,4783,3296xm4949,3296l4872,3372,4872,3385,4876,3389,4958,3306,4949,3296xm4872,3372l4865,3379,4872,3385,4872,3372xm4860,3373l4860,3384,4865,3379,4860,3373xm4872,3301l4860,3301,4860,3373,4865,3379,4872,3372,4872,3301xm5248,3319l5165,3402,5174,3412,5249,3337,5249,3320,5248,3319xm5267,3319l5263,3323,5263,3335,5340,3412,5350,3402,5267,3319xm5257,3329l5249,3337,5249,3407,5263,3407,5263,3335,5257,3329xm5249,3320l5249,3337,5257,3329,5249,3320xm5263,3323l5257,3329,5263,3335,5263,3323xm5257,3310l5249,3318,5249,3320,5257,3329,5263,3323,5263,3316,5257,3310xm5263,3316l5263,3323,5267,3319,5263,3316xm5249,3318l5248,3319,5249,3320,5249,3318xm5174,3227l5165,3236,5248,3319,5249,3318,5249,3301,5174,3227xm5340,3227l5263,3304,5263,3316,5267,3319,5350,3236,5340,3227xm5249,3301l5249,3318,5257,3310,5249,3301xm5263,3304l5257,3310,5263,3316,5263,3304xm5263,3232l5249,3232,5249,3301,5257,3310,5263,3304,5263,3232xm5639,3264l5556,3347,5566,3356,5642,3280,5642,3268,5639,3264xm5658,3264l5657,3265,5657,3282,5731,3356,5741,3347,5658,3264xm5648,3274l5642,3280,5642,3352,5657,3352,5657,3282,5648,3274xm5657,3265l5648,3274,5657,3282,5657,3265xm5642,3268l5642,3280,5648,3274,5642,3268xm5648,3254l5642,3260,5642,3268,5648,3274,5657,3265,5657,3263,5648,3254xm5642,3260l5639,3264,5642,3268,5642,3260xm5657,3263l5657,3265,5658,3264,5657,3263xm5566,3172l5556,3181,5639,3264,5642,3260,5642,3248,5566,3172xm5731,3172l5657,3246,5657,3263,5658,3264,5741,3181,5731,3172xm5657,3246l5648,3254,5657,3263,5657,3246xm5642,3248l5642,3260,5648,3254,5642,3248xm5657,3176l5642,3176,5642,3248,5648,3254,5657,3246,5657,3176xm6030,3233l5947,3316,5957,3325,6031,3251,6031,3234,6030,3233xm6049,3233l6046,3236,6046,3248,6122,3325,6132,3316,6049,3233xm6040,3242l6031,3251,6031,3320,6046,3320,6046,3248,6040,3242xm6031,3234l6031,3251,6040,3242,6031,3234xm6046,3236l6040,3242,6046,3248,6046,3236xm6040,3223l6031,3232,6031,3234,6040,3242,6046,3236,6046,3229,6040,3223xm6046,3229l6046,3236,6049,3233,6046,3229xm6031,3232l6030,3233,6031,3234,6031,3232xm5957,3140l5947,3150,6030,3233,6031,3232,6031,3215,5957,3140xm6122,3140l6046,3217,6046,3229,6049,3233,6132,3150,6122,3140xm6031,3215l6031,3232,6040,3223,6031,3215xm6046,3217l6040,3223,6046,3229,6046,3217xm6046,3145l6031,3145,6031,3215,6040,3223,6046,3217,6046,3145xm6421,3293l6338,3376,6348,3385,6425,3308,6425,3296,6421,3293xm6440,3293l6439,3294,6439,3311,6514,3385,6523,3376,6440,3293xm6431,3302l6425,3308,6425,3380,6439,3380,6439,3311,6431,3302xm6439,3294l6431,3302,6439,3311,6439,3294xm6425,3296l6425,3308,6431,3302,6425,3296xm6431,3283l6425,3289,6425,3296,6431,3302,6439,3294,6439,3292,6431,3283xm6425,3289l6421,3293,6425,3296,6425,3289xm6439,3292l6439,3294,6440,3293,6439,3292xm6348,3200l6338,3210,6421,3293,6425,3289,6425,3277,6348,3200xm6514,3200l6439,3275,6439,3292,6440,3293,6523,3210,6514,3200xm6439,3275l6431,3283,6439,3292,6439,3275xm6425,3277l6425,3289,6431,3283,6425,3277xm6439,3205l6425,3205,6425,3277,6431,3283,6439,3275,6439,3205xm6810,3185l6727,3268,6737,3277,6814,3200,6814,3188,6810,3185xm6829,3185l6828,3186,6828,3203,6902,3277,6912,3268,6829,3185xm6820,3194l6814,3200,6814,3272,6828,3272,6828,3203,6820,3194xm6828,3186l6820,3194,6828,3203,6828,3186xm6814,3188l6814,3200,6820,3194,6814,3188xm6820,3175l6814,3181,6814,3188,6820,3194,6828,3186,6828,3184,6820,3175xm6814,3181l6810,3185,6814,3188,6814,3181xm6828,3184l6828,3186,6829,3185,6828,3184xm6737,3092l6727,3102,6810,3185,6814,3181,6814,3169,6737,3092xm6902,3092l6828,3167,6828,3184,6829,3185,6912,3102,6902,3092xm6828,3167l6820,3175,6828,3184,6828,3167xm6814,3169l6814,3181,6820,3175,6814,3169xm6828,3097l6814,3097,6814,3169,6820,3175,6828,3167,6828,3097xm7204,3173l7121,3256,7130,3265,7205,3191,7205,3174,7204,3173xm7223,3173l7219,3176,7219,3188,7296,3265,7306,3256,7223,3173xm7213,3182l7205,3191,7205,3260,7219,3260,7219,3188,7213,3182xm7205,3174l7205,3191,7213,3182,7205,3174xm7219,3176l7213,3182,7219,3188,7219,3176xm7213,3163l7205,3172,7205,3174,7213,3182,7219,3176,7219,3169,7213,3163xm7219,3169l7219,3176,7223,3173,7219,3169xm7205,3172l7204,3173,7205,3174,7205,3172xm7130,3080l7121,3090,7204,3173,7205,3172,7205,3155,7130,3080xm7296,3080l7219,3157,7219,3169,7223,3173,7306,3090,7296,3080xm7205,3155l7205,3172,7213,3163,7205,3155xm7219,3157l7213,3163,7219,3169,7219,3157xm7219,3085l7205,3085,7205,3155,7213,3163,7219,3157,7219,3085xm7591,3152l7510,3234,7519,3246,7596,3169,7596,3157,7591,3152xm7613,3152l7610,3155,7610,3172,7685,3246,7694,3234,7613,3152xm7602,3163l7596,3169,7596,3239,7610,3239,7610,3172,7602,3163xm7610,3155l7602,3163,7610,3172,7610,3155xm7596,3157l7596,3169,7602,3163,7596,3157xm7602,3142l7596,3148,7596,3157,7602,3163,7610,3155,7610,3150,7602,3142xm7596,3148l7591,3152,7596,3157,7596,3148xm7610,3150l7610,3155,7613,3152,7610,3150xm7519,3059l7510,3071,7591,3152,7596,3148,7596,3136,7519,3059xm7685,3059l7610,3133,7610,3150,7613,3152,7694,3071,7685,3059xm7610,3133l7602,3142,7610,3150,7610,3133xm7596,3136l7596,3148,7602,3142,7596,3136xm7610,3064l7596,3064,7596,3136,7602,3142,7610,3133,7610,3064xm7986,3091l7903,3174,7913,3184,7987,3109,7987,3092,7986,3091xm8005,3091l8002,3095,8002,3107,8078,3184,8088,3174,8005,3091xm7996,3101l7987,3109,7987,3179,8002,3179,8002,3107,7996,3101xm7987,3092l7987,3109,7996,3101,7987,3092xm8002,3095l7996,3101,8002,3107,8002,3095xm7996,3082l7987,3090,7987,3092,7996,3101,8002,3095,8002,3088,7996,3082xm8002,3088l8002,3095,8005,3091,8002,3088xm7987,3090l7986,3091,7987,3092,7987,3090xm7913,2999l7903,3008,7986,3091,7987,3090,7987,3073,7913,2999xm8078,2999l8002,3076,8002,3088,8005,3091,8088,3008,8078,2999xm7987,3073l7987,3090,7996,3082,7987,3073xm8002,3076l7996,3082,8002,3088,8002,3076xm8002,3004l7987,3004,7987,3073,7996,3082,8002,3076,8002,3004xm8375,2962l8292,3044,8304,3054,8381,2977,8381,2968,8375,2962xm8396,2962l8393,2965,8393,2980,8467,3054,8479,3044,8396,2962xm8386,2972l8381,2977,8381,3049,8393,3049,8393,2980,8386,2972xm8393,2965l8386,2972,8393,2980,8393,2965xm8381,2968l8381,2977,8386,2972,8381,2968xm8386,2951l8381,2956,8381,2968,8386,2972,8393,2965,8393,2958,8386,2951xm8381,2956l8375,2962,8381,2968,8381,2956xm8393,2958l8393,2965,8396,2962,8393,2958xm8304,2869l8292,2879,8375,2962,8381,2956,8381,2946,8304,2869xm8467,2869l8393,2944,8393,2958,8396,2962,8479,2879,8467,2869xm8393,2944l8386,2951,8393,2958,8393,2944xm8381,2946l8381,2956,8386,2951,8381,2946xm8393,2874l8381,2874,8381,2946,8386,2951,8393,2944,8393,2874xm8768,2870l8686,2953,8695,2963,8770,2888,8770,2872,8768,2870xm8788,2870l8784,2874,8784,2886,8861,2963,8870,2953,8788,2870xm8778,2880l8770,2888,8770,2958,8784,2958,8784,2886,8778,2880xm8770,2872l8770,2888,8778,2880,8770,2872xm8784,2874l8778,2880,8784,2886,8784,2874xm8778,2861l8770,2869,8770,2872,8778,2880,8784,2874,8784,2867,8778,2861xm8784,2867l8784,2874,8788,2870,8784,2867xm8770,2869l8768,2870,8770,2872,8770,2869xm8695,2778l8686,2788,8768,2870,8770,2869,8770,2852,8695,2778xm8861,2778l8784,2855,8784,2867,8788,2870,8870,2788,8861,2778xm8770,2852l8770,2869,8778,2861,8770,2852xm8784,2855l8778,2861,8784,2867,8784,2855xm8784,2783l8770,2783,8770,2852,8778,2861,8784,2855,8784,2783xm9157,2825l9074,2908,9086,2917,9163,2840,9163,2831,9157,2825xm9179,2825l9175,2828,9175,2843,9250,2917,9262,2908,9179,2825xm9168,2836l9163,2840,9163,2912,9175,2912,9175,2843,9168,2836xm9175,2828l9168,2836,9175,2843,9175,2828xm9163,2831l9163,2840,9168,2836,9163,2831xm9168,2814l9163,2819,9163,2831,9168,2836,9175,2828,9175,2821,9168,2814xm9163,2819l9157,2825,9163,2831,9163,2819xm9175,2821l9175,2828,9179,2825,9175,2821xm9086,2732l9074,2742,9157,2825,9163,2819,9163,2809,9086,2732xm9250,2732l9175,2807,9175,2821,9179,2825,9262,2742,9250,2732xm9175,2807l9168,2814,9175,2821,9175,2807xm9163,2809l9163,2819,9168,2814,9163,2809xm9175,2737l9163,2737,9163,2809,9168,2814,9175,2807,9175,2737xm9551,2729l9468,2812,9478,2821,9552,2747,9552,2730,9551,2729xm9570,2729l9566,2732,9566,2744,9643,2821,9653,2812,9570,2729xm9560,2738l9552,2747,9552,2816,9566,2816,9566,2744,9560,2738xm9552,2730l9552,2747,9560,2738,9552,2730xm9566,2732l9560,2738,9566,2744,9566,2732xm9560,2719l9552,2728,9552,2730,9560,2738,9566,2732,9566,2725,9560,2719xm9566,2725l9566,2732,9570,2729,9566,2725xm9552,2728l9551,2729,9552,2730,9552,2728xm9478,2636l9468,2646,9551,2729,9552,2728,9552,2711,9478,2636xm9643,2636l9566,2713,9566,2725,9570,2729,9653,2646,9643,2636xm9552,2711l9552,2728,9560,2719,9552,2711xm9566,2713l9560,2719,9566,2725,9566,2713xm9566,2641l9552,2641,9552,2711,9560,2719,9566,2713,9566,2641xm9942,2681l9859,2764,9869,2773,9946,2696,9946,2684,9942,2681xm9961,2681l9960,2682,9960,2699,10034,2773,10044,2764,9961,2681xm9952,2690l9946,2696,9946,2768,9960,2768,9960,2699,9952,2690xm9960,2682l9952,2690,9960,2699,9960,2682xm9946,2684l9946,2696,9952,2690,9946,2684xm9952,2671l9946,2677,9946,2684,9952,2690,9960,2682,9960,2680,9952,2671xm9946,2677l9942,2681,9946,2684,9946,2677xm9960,2680l9960,2682,9961,2681,9960,2680xm9869,2588l9859,2598,9942,2681,9946,2677,9946,2665,9869,2588xm10034,2588l9960,2663,9960,2680,9961,2681,10044,2598,10034,2588xm9960,2663l9952,2671,9960,2680,9960,2663xm9946,2665l9946,2677,9952,2671,9946,2665xm9960,2593l9946,2593,9946,2665,9952,2671,9960,2663,9960,2593xe" filled="true" fillcolor="#45a9c5" stroked="false">
              <v:path arrowok="t"/>
              <v:fill type="solid"/>
            </v:shape>
            <v:shape style="position:absolute;left:1934;top:4372;width:432;height:58" coordorigin="1934,4372" coordsize="432,58" path="m2338,4372l1963,4372,1954,4373,1946,4377,1940,4383,1936,4391,1934,4400,1936,4409,1940,4417,1946,4423,1954,4428,1963,4429,2338,4429,2366,4400,2365,4391,2361,4383,2355,4377,2347,4373,2338,4372xe" filled="true" fillcolor="#497eba" stroked="false">
              <v:path arrowok="t"/>
              <v:fill type="solid"/>
            </v:shape>
            <v:shape style="position:absolute;left:2112;top:4360;width:77;height:80" coordorigin="2112,4360" coordsize="77,80" path="m2150,4360l2112,4398,2150,4439,2189,4398,2150,4360xe" filled="true" fillcolor="#4f80bc" stroked="false">
              <v:path arrowok="t"/>
              <v:fill type="solid"/>
            </v:shape>
            <v:shape style="position:absolute;left:2107;top:4352;width:89;height:94" coordorigin="2107,4352" coordsize="89,94" path="m2150,4352l2146,4355,2107,4393,2107,4403,2146,4444,2150,4446,2155,4444,2164,4434,2146,4434,2150,4429,2126,4403,2117,4403,2117,4393,2126,4393,2150,4369,2146,4364,2165,4364,2155,4355,2150,4352xm2150,4429l2146,4434,2155,4434,2150,4429xm2179,4398l2150,4429,2155,4434,2164,4434,2194,4403,2184,4403,2179,4398xm2117,4393l2117,4403,2121,4398,2117,4393xm2121,4398l2117,4403,2126,4403,2121,4398xm2184,4393l2179,4398,2184,4403,2184,4393xm2194,4393l2184,4393,2184,4403,2194,4403,2196,4398,2194,4393xm2126,4393l2117,4393,2121,4398,2126,4393xm2165,4364l2155,4364,2150,4369,2179,4398,2184,4393,2194,4393,2165,4364xm2155,4364l2146,4364,2150,4369,2155,4364xe" filled="true" fillcolor="#497eba" stroked="false">
              <v:path arrowok="t"/>
              <v:fill type="solid"/>
            </v:shape>
            <v:shape style="position:absolute;left:6103;top:4372;width:435;height:58" coordorigin="6103,4372" coordsize="435,58" path="m6506,4372l6134,4372,6125,4373,6116,4377,6109,4383,6105,4391,6103,4400,6105,4409,6109,4417,6116,4423,6125,4428,6134,4429,6506,4429,6538,4400,6536,4391,6531,4383,6525,4377,6516,4373,6506,4372xe" filled="true" fillcolor="#97b853" stroked="false">
              <v:path arrowok="t"/>
              <v:fill type="solid"/>
            </v:shape>
            <v:shape style="position:absolute;left:6281;top:4360;width:80;height:80" coordorigin="6281,4360" coordsize="80,80" path="m6319,4360l6281,4439,6360,4439,6319,4360xe" filled="true" fillcolor="#9aba59" stroked="false">
              <v:path arrowok="t"/>
              <v:fill type="solid"/>
            </v:shape>
            <v:shape style="position:absolute;left:6276;top:4352;width:89;height:94" coordorigin="6276,4352" coordsize="89,94" path="m6322,4352l6314,4355,6276,4436,6276,4441,6281,4446,6360,4446,6365,4441,6288,4441,6281,4432,6293,4432,6320,4374,6314,4362,6330,4362,6326,4355,6322,4352xm6293,4432l6281,4432,6288,4441,6293,4432xm6348,4432l6293,4432,6288,4441,6353,4441,6348,4432xm6330,4362l6326,4362,6320,4374,6353,4441,6360,4432,6363,4432,6330,4362xm6363,4432l6360,4432,6353,4441,6365,4441,6365,4436,6363,4432xm6326,4362l6314,4362,6320,4374,6326,4362xe" filled="true" fillcolor="#97b853" stroked="false">
              <v:path arrowok="t"/>
              <v:fill type="solid"/>
            </v:shape>
            <v:shape style="position:absolute;left:1934;top:4571;width:432;height:60" coordorigin="1934,4571" coordsize="432,60" path="m2338,4571l1963,4571,1954,4572,1946,4577,1940,4583,1936,4591,1934,4600,1936,4609,1940,4618,1946,4625,1954,4629,1963,4631,2338,4631,2366,4600,2365,4591,2361,4583,2355,4577,2347,4572,2338,4571xe" filled="true" fillcolor="#7c5f9f" stroked="false">
              <v:path arrowok="t"/>
              <v:fill type="solid"/>
            </v:shape>
            <v:shape style="position:absolute;left:2112;top:4561;width:77;height:80" coordorigin="2112,4561" coordsize="77,80" path="m2150,4601l2112,4640,2189,4640,2150,4601xm2189,4561l2112,4561,2150,4601,2189,4561xe" filled="true" fillcolor="#7f63a1" stroked="false">
              <v:path arrowok="t"/>
              <v:fill type="solid"/>
            </v:shape>
            <v:shape style="position:absolute;left:2107;top:4556;width:87;height:89" coordorigin="2107,4556" coordsize="87,89" path="m2140,4600l2107,4633,2117,4645,2150,4611,2140,4600xm2161,4600l2150,4611,2184,4645,2194,4633,2161,4600xm2150,4590l2140,4600,2150,4611,2161,4600,2150,4590xm2117,4556l2107,4566,2140,4600,2150,4590,2117,4556xm2184,4556l2150,4590,2161,4600,2194,4566,2184,4556xe" filled="true" fillcolor="#7c5f9f" stroked="false">
              <v:path arrowok="t"/>
              <v:fill type="solid"/>
            </v:shape>
            <v:shape style="position:absolute;left:6103;top:4571;width:435;height:60" coordorigin="6103,4571" coordsize="435,60" path="m6506,4571l6134,4571,6125,4572,6116,4577,6109,4583,6105,4591,6103,4600,6104,4608,6134,4631,6506,4631,6538,4600,6536,4591,6531,4583,6525,4577,6516,4572,6506,4571xe" filled="true" fillcolor="#45a9c5" stroked="false">
              <v:path arrowok="t"/>
              <v:fill type="solid"/>
            </v:shape>
            <v:shape style="position:absolute;left:6281;top:4561;width:41;height:80" coordorigin="6281,4561" coordsize="41,80" path="m6320,4601l6281,4640,6322,4640,6322,4602,6320,4601xm6322,4561l6281,4561,6320,4601,6322,4600,6322,4561xe" filled="true" fillcolor="#4babc6" stroked="false">
              <v:path arrowok="t"/>
              <v:fill type="solid"/>
            </v:shape>
            <v:shape style="position:absolute;left:6276;top:4556;width:89;height:89" coordorigin="6276,4556" coordsize="89,89" path="m6309,4600l6276,4633,6286,4645,6314,4616,6314,4606,6309,4600xm6331,4600l6329,4602,6329,4620,6353,4645,6365,4633,6331,4600xm6320,4611l6314,4616,6314,4640,6329,4640,6329,4620,6320,4611xm6329,4602l6320,4611,6329,4620,6329,4602xm6314,4606l6314,4616,6320,4611,6314,4606xm6320,4589l6314,4595,6314,4606,6320,4611,6329,4602,6329,4598,6320,4589xm6314,4595l6309,4600,6314,4606,6314,4595xm6329,4598l6329,4602,6331,4600,6329,4598xm6286,4556l6276,4566,6309,4600,6314,4595,6314,4584,6286,4556xm6353,4556l6329,4580,6329,4598,6331,4600,6365,4566,6353,4556xm6329,4580l6320,4589,6329,4598,6329,4580xm6314,4584l6314,4595,6320,4589,6314,4584xm6329,4561l6314,4561,6314,4584,6320,4589,6329,4580,6329,4561xe" filled="true" fillcolor="#45a9c5" stroked="false">
              <v:path arrowok="t"/>
              <v:fill type="solid"/>
            </v:shape>
            <v:shape style="position:absolute;left:1668;top:275;width:8573;height:4563" coordorigin="1668,275" coordsize="8573,4563" path="m10212,275l1680,275,1668,287,1668,4825,1680,4837,10229,4837,10241,4825,10241,4811,1721,4811,1694,4782,1721,4782,1721,330,1694,330,1721,304,10241,304,10239,294,10236,286,10229,280,10221,276,10212,275xm1721,4782l1694,4782,1721,4811,1721,4782xm10186,4782l1721,4782,1721,4811,10186,4811,10186,4782xm10186,304l10186,4811,10212,4782,10241,4782,10241,330,10212,330,10186,304xm10241,4782l10212,4782,10186,4811,10241,4811,10241,4782xm1721,304l1694,330,1721,330,1721,304xm10186,304l1721,304,1721,330,10186,330,10186,304xm10241,304l10186,304,10212,330,10241,330,10241,304xe" filled="true" fillcolor="#000000" stroked="false">
              <v:path arrowok="t"/>
              <v:fill type="solid"/>
            </v:shape>
            <v:shape style="position:absolute;left:1848;top:391;width:436;height:157" type="#_x0000_t202" filled="false" stroked="false">
              <v:textbox inset="0,0,0,0">
                <w:txbxContent>
                  <w:p>
                    <w:pPr>
                      <w:spacing w:line="157" w:lineRule="exact" w:before="0"/>
                      <w:ind w:left="0" w:right="-18" w:firstLine="0"/>
                      <w:jc w:val="left"/>
                      <w:rPr>
                        <w:rFonts w:ascii="Times New Roman"/>
                        <w:sz w:val="15"/>
                      </w:rPr>
                    </w:pPr>
                    <w:r>
                      <w:rPr>
                        <w:rFonts w:ascii="Times New Roman"/>
                        <w:w w:val="105"/>
                        <w:sz w:val="15"/>
                      </w:rPr>
                      <w:t>30000.</w:t>
                    </w:r>
                  </w:p>
                </w:txbxContent>
              </v:textbox>
              <w10:wrap type="none"/>
            </v:shape>
            <v:shape style="position:absolute;left:1848;top:967;width:436;height:157" type="#_x0000_t202" filled="false" stroked="false">
              <v:textbox inset="0,0,0,0">
                <w:txbxContent>
                  <w:p>
                    <w:pPr>
                      <w:spacing w:line="157" w:lineRule="exact" w:before="0"/>
                      <w:ind w:left="0" w:right="-18" w:firstLine="0"/>
                      <w:jc w:val="left"/>
                      <w:rPr>
                        <w:rFonts w:ascii="Times New Roman"/>
                        <w:sz w:val="15"/>
                      </w:rPr>
                    </w:pPr>
                    <w:r>
                      <w:rPr>
                        <w:rFonts w:ascii="Times New Roman"/>
                        <w:w w:val="105"/>
                        <w:sz w:val="15"/>
                      </w:rPr>
                      <w:t>25000.</w:t>
                    </w:r>
                  </w:p>
                </w:txbxContent>
              </v:textbox>
              <w10:wrap type="none"/>
            </v:shape>
            <v:shape style="position:absolute;left:1848;top:1543;width:436;height:157" type="#_x0000_t202" filled="false" stroked="false">
              <v:textbox inset="0,0,0,0">
                <w:txbxContent>
                  <w:p>
                    <w:pPr>
                      <w:spacing w:line="157" w:lineRule="exact" w:before="0"/>
                      <w:ind w:left="0" w:right="-18" w:firstLine="0"/>
                      <w:jc w:val="left"/>
                      <w:rPr>
                        <w:rFonts w:ascii="Times New Roman"/>
                        <w:sz w:val="15"/>
                      </w:rPr>
                    </w:pPr>
                    <w:r>
                      <w:rPr>
                        <w:rFonts w:ascii="Times New Roman"/>
                        <w:w w:val="105"/>
                        <w:sz w:val="15"/>
                      </w:rPr>
                      <w:t>20000.</w:t>
                    </w:r>
                  </w:p>
                </w:txbxContent>
              </v:textbox>
              <w10:wrap type="none"/>
            </v:shape>
            <v:shape style="position:absolute;left:1848;top:2122;width:436;height:157" type="#_x0000_t202" filled="false" stroked="false">
              <v:textbox inset="0,0,0,0">
                <w:txbxContent>
                  <w:p>
                    <w:pPr>
                      <w:spacing w:line="157" w:lineRule="exact" w:before="0"/>
                      <w:ind w:left="0" w:right="-18" w:firstLine="0"/>
                      <w:jc w:val="left"/>
                      <w:rPr>
                        <w:rFonts w:ascii="Times New Roman"/>
                        <w:sz w:val="15"/>
                      </w:rPr>
                    </w:pPr>
                    <w:r>
                      <w:rPr>
                        <w:rFonts w:ascii="Times New Roman"/>
                        <w:w w:val="105"/>
                        <w:sz w:val="15"/>
                      </w:rPr>
                      <w:t>15000.</w:t>
                    </w:r>
                  </w:p>
                </w:txbxContent>
              </v:textbox>
              <w10:wrap type="none"/>
            </v:shape>
            <v:shape style="position:absolute;left:1848;top:2698;width:436;height:157" type="#_x0000_t202" filled="false" stroked="false">
              <v:textbox inset="0,0,0,0">
                <w:txbxContent>
                  <w:p>
                    <w:pPr>
                      <w:spacing w:line="157" w:lineRule="exact" w:before="0"/>
                      <w:ind w:left="0" w:right="-18" w:firstLine="0"/>
                      <w:jc w:val="left"/>
                      <w:rPr>
                        <w:rFonts w:ascii="Times New Roman"/>
                        <w:sz w:val="15"/>
                      </w:rPr>
                    </w:pPr>
                    <w:r>
                      <w:rPr>
                        <w:rFonts w:ascii="Times New Roman"/>
                        <w:w w:val="105"/>
                        <w:sz w:val="15"/>
                      </w:rPr>
                      <w:t>10000.</w:t>
                    </w:r>
                  </w:p>
                </w:txbxContent>
              </v:textbox>
              <w10:wrap type="none"/>
            </v:shape>
            <v:shape style="position:absolute;left:1925;top:3274;width:359;height:157" type="#_x0000_t202" filled="false" stroked="false">
              <v:textbox inset="0,0,0,0">
                <w:txbxContent>
                  <w:p>
                    <w:pPr>
                      <w:spacing w:line="157" w:lineRule="exact" w:before="0"/>
                      <w:ind w:left="0" w:right="-16" w:firstLine="0"/>
                      <w:jc w:val="left"/>
                      <w:rPr>
                        <w:rFonts w:ascii="Times New Roman"/>
                        <w:sz w:val="15"/>
                      </w:rPr>
                    </w:pPr>
                    <w:r>
                      <w:rPr>
                        <w:rFonts w:ascii="Times New Roman"/>
                        <w:w w:val="105"/>
                        <w:sz w:val="15"/>
                      </w:rPr>
                      <w:t>5000.</w:t>
                    </w:r>
                  </w:p>
                </w:txbxContent>
              </v:textbox>
              <w10:wrap type="none"/>
            </v:shape>
            <v:shape style="position:absolute;left:2354;top:3852;width:7770;height:831" type="#_x0000_t202" filled="false" stroked="false">
              <v:textbox inset="0,0,0,0">
                <w:txbxContent>
                  <w:p>
                    <w:pPr>
                      <w:spacing w:line="158" w:lineRule="exact" w:before="0"/>
                      <w:ind w:left="0" w:right="0" w:firstLine="0"/>
                      <w:jc w:val="left"/>
                      <w:rPr>
                        <w:rFonts w:ascii="Times New Roman"/>
                        <w:sz w:val="15"/>
                      </w:rPr>
                    </w:pPr>
                    <w:r>
                      <w:rPr>
                        <w:rFonts w:ascii="Times New Roman"/>
                        <w:w w:val="105"/>
                        <w:sz w:val="15"/>
                      </w:rPr>
                      <w:t>---</w:t>
                    </w:r>
                  </w:p>
                  <w:p>
                    <w:pPr>
                      <w:spacing w:before="86"/>
                      <w:ind w:left="379" w:right="0" w:firstLine="0"/>
                      <w:jc w:val="left"/>
                      <w:rPr>
                        <w:sz w:val="15"/>
                      </w:rPr>
                    </w:pPr>
                    <w:r>
                      <w:rPr>
                        <w:w w:val="105"/>
                        <w:sz w:val="15"/>
                      </w:rPr>
                      <w:t>1990</w:t>
                    </w:r>
                    <w:r>
                      <w:rPr>
                        <w:spacing w:val="-5"/>
                        <w:w w:val="105"/>
                        <w:sz w:val="15"/>
                      </w:rPr>
                      <w:t> </w:t>
                    </w:r>
                    <w:r>
                      <w:rPr>
                        <w:w w:val="105"/>
                        <w:sz w:val="15"/>
                      </w:rPr>
                      <w:t>1991</w:t>
                    </w:r>
                    <w:r>
                      <w:rPr>
                        <w:spacing w:val="-5"/>
                        <w:w w:val="105"/>
                        <w:sz w:val="15"/>
                      </w:rPr>
                      <w:t> </w:t>
                    </w:r>
                    <w:r>
                      <w:rPr>
                        <w:w w:val="105"/>
                        <w:sz w:val="15"/>
                      </w:rPr>
                      <w:t>1992</w:t>
                    </w:r>
                    <w:r>
                      <w:rPr>
                        <w:spacing w:val="-5"/>
                        <w:w w:val="105"/>
                        <w:sz w:val="15"/>
                      </w:rPr>
                      <w:t> </w:t>
                    </w:r>
                    <w:r>
                      <w:rPr>
                        <w:w w:val="105"/>
                        <w:sz w:val="15"/>
                      </w:rPr>
                      <w:t>1993</w:t>
                    </w:r>
                    <w:r>
                      <w:rPr>
                        <w:spacing w:val="-5"/>
                        <w:w w:val="105"/>
                        <w:sz w:val="15"/>
                      </w:rPr>
                      <w:t> </w:t>
                    </w:r>
                    <w:r>
                      <w:rPr>
                        <w:w w:val="105"/>
                        <w:sz w:val="15"/>
                      </w:rPr>
                      <w:t>1994</w:t>
                    </w:r>
                    <w:r>
                      <w:rPr>
                        <w:spacing w:val="-5"/>
                        <w:w w:val="105"/>
                        <w:sz w:val="15"/>
                      </w:rPr>
                      <w:t> </w:t>
                    </w:r>
                    <w:r>
                      <w:rPr>
                        <w:w w:val="105"/>
                        <w:sz w:val="15"/>
                      </w:rPr>
                      <w:t>1995</w:t>
                    </w:r>
                    <w:r>
                      <w:rPr>
                        <w:spacing w:val="-5"/>
                        <w:w w:val="105"/>
                        <w:sz w:val="15"/>
                      </w:rPr>
                      <w:t> </w:t>
                    </w:r>
                    <w:r>
                      <w:rPr>
                        <w:w w:val="105"/>
                        <w:sz w:val="15"/>
                      </w:rPr>
                      <w:t>1996</w:t>
                    </w:r>
                    <w:r>
                      <w:rPr>
                        <w:spacing w:val="-5"/>
                        <w:w w:val="105"/>
                        <w:sz w:val="15"/>
                      </w:rPr>
                      <w:t> </w:t>
                    </w:r>
                    <w:r>
                      <w:rPr>
                        <w:w w:val="105"/>
                        <w:sz w:val="15"/>
                      </w:rPr>
                      <w:t>1997</w:t>
                    </w:r>
                    <w:r>
                      <w:rPr>
                        <w:spacing w:val="-5"/>
                        <w:w w:val="105"/>
                        <w:sz w:val="15"/>
                      </w:rPr>
                      <w:t> </w:t>
                    </w:r>
                    <w:r>
                      <w:rPr>
                        <w:w w:val="105"/>
                        <w:sz w:val="15"/>
                      </w:rPr>
                      <w:t>1998</w:t>
                    </w:r>
                    <w:r>
                      <w:rPr>
                        <w:spacing w:val="-5"/>
                        <w:w w:val="105"/>
                        <w:sz w:val="15"/>
                      </w:rPr>
                      <w:t> </w:t>
                    </w:r>
                    <w:r>
                      <w:rPr>
                        <w:w w:val="105"/>
                        <w:sz w:val="15"/>
                      </w:rPr>
                      <w:t>1999</w:t>
                    </w:r>
                    <w:r>
                      <w:rPr>
                        <w:spacing w:val="-5"/>
                        <w:w w:val="105"/>
                        <w:sz w:val="15"/>
                      </w:rPr>
                      <w:t> </w:t>
                    </w:r>
                    <w:r>
                      <w:rPr>
                        <w:w w:val="105"/>
                        <w:sz w:val="15"/>
                      </w:rPr>
                      <w:t>2000</w:t>
                    </w:r>
                    <w:r>
                      <w:rPr>
                        <w:spacing w:val="-5"/>
                        <w:w w:val="105"/>
                        <w:sz w:val="15"/>
                      </w:rPr>
                      <w:t> </w:t>
                    </w:r>
                    <w:r>
                      <w:rPr>
                        <w:w w:val="105"/>
                        <w:sz w:val="15"/>
                      </w:rPr>
                      <w:t>2001</w:t>
                    </w:r>
                    <w:r>
                      <w:rPr>
                        <w:spacing w:val="-5"/>
                        <w:w w:val="105"/>
                        <w:sz w:val="15"/>
                      </w:rPr>
                      <w:t> </w:t>
                    </w:r>
                    <w:r>
                      <w:rPr>
                        <w:w w:val="105"/>
                        <w:sz w:val="15"/>
                      </w:rPr>
                      <w:t>2002</w:t>
                    </w:r>
                    <w:r>
                      <w:rPr>
                        <w:spacing w:val="-5"/>
                        <w:w w:val="105"/>
                        <w:sz w:val="15"/>
                      </w:rPr>
                      <w:t> </w:t>
                    </w:r>
                    <w:r>
                      <w:rPr>
                        <w:w w:val="105"/>
                        <w:sz w:val="15"/>
                      </w:rPr>
                      <w:t>2003</w:t>
                    </w:r>
                    <w:r>
                      <w:rPr>
                        <w:spacing w:val="-5"/>
                        <w:w w:val="105"/>
                        <w:sz w:val="15"/>
                      </w:rPr>
                      <w:t> </w:t>
                    </w:r>
                    <w:r>
                      <w:rPr>
                        <w:w w:val="105"/>
                        <w:sz w:val="15"/>
                      </w:rPr>
                      <w:t>2004</w:t>
                    </w:r>
                    <w:r>
                      <w:rPr>
                        <w:spacing w:val="-5"/>
                        <w:w w:val="105"/>
                        <w:sz w:val="15"/>
                      </w:rPr>
                      <w:t> </w:t>
                    </w:r>
                    <w:r>
                      <w:rPr>
                        <w:w w:val="105"/>
                        <w:sz w:val="15"/>
                      </w:rPr>
                      <w:t>2005</w:t>
                    </w:r>
                    <w:r>
                      <w:rPr>
                        <w:spacing w:val="-5"/>
                        <w:w w:val="105"/>
                        <w:sz w:val="15"/>
                      </w:rPr>
                      <w:t> </w:t>
                    </w:r>
                    <w:r>
                      <w:rPr>
                        <w:w w:val="105"/>
                        <w:sz w:val="15"/>
                      </w:rPr>
                      <w:t>2006</w:t>
                    </w:r>
                    <w:r>
                      <w:rPr>
                        <w:spacing w:val="-7"/>
                        <w:w w:val="105"/>
                        <w:sz w:val="15"/>
                      </w:rPr>
                      <w:t> </w:t>
                    </w:r>
                    <w:r>
                      <w:rPr>
                        <w:w w:val="105"/>
                        <w:sz w:val="15"/>
                      </w:rPr>
                      <w:t>2007</w:t>
                    </w:r>
                    <w:r>
                      <w:rPr>
                        <w:spacing w:val="-7"/>
                        <w:w w:val="105"/>
                        <w:sz w:val="15"/>
                      </w:rPr>
                      <w:t> </w:t>
                    </w:r>
                    <w:r>
                      <w:rPr>
                        <w:w w:val="105"/>
                        <w:sz w:val="15"/>
                      </w:rPr>
                      <w:t>2008</w:t>
                    </w:r>
                  </w:p>
                  <w:p>
                    <w:pPr>
                      <w:tabs>
                        <w:tab w:pos="4192" w:val="left" w:leader="none"/>
                      </w:tabs>
                      <w:spacing w:line="276" w:lineRule="auto" w:before="43"/>
                      <w:ind w:left="21" w:right="1409" w:firstLine="0"/>
                      <w:jc w:val="left"/>
                      <w:rPr>
                        <w:b/>
                        <w:sz w:val="15"/>
                      </w:rPr>
                    </w:pPr>
                    <w:r>
                      <w:rPr>
                        <w:b/>
                        <w:w w:val="105"/>
                        <w:sz w:val="15"/>
                      </w:rPr>
                      <w:t>Remesas</w:t>
                    </w:r>
                    <w:r>
                      <w:rPr>
                        <w:b/>
                        <w:spacing w:val="-10"/>
                        <w:w w:val="105"/>
                        <w:sz w:val="15"/>
                      </w:rPr>
                      <w:t> </w:t>
                    </w:r>
                    <w:r>
                      <w:rPr>
                        <w:b/>
                        <w:w w:val="105"/>
                        <w:sz w:val="15"/>
                      </w:rPr>
                      <w:t>familiares</w:t>
                      <w:tab/>
                    </w:r>
                    <w:r>
                      <w:rPr>
                        <w:b/>
                        <w:sz w:val="15"/>
                      </w:rPr>
                      <w:t>exportaciones </w:t>
                    </w:r>
                    <w:r>
                      <w:rPr>
                        <w:b/>
                        <w:spacing w:val="29"/>
                        <w:sz w:val="15"/>
                      </w:rPr>
                      <w:t> </w:t>
                    </w:r>
                    <w:r>
                      <w:rPr>
                        <w:b/>
                        <w:sz w:val="15"/>
                      </w:rPr>
                      <w:t>agropecuarias</w:t>
                    </w:r>
                    <w:r>
                      <w:rPr>
                        <w:b/>
                        <w:w w:val="104"/>
                        <w:sz w:val="15"/>
                      </w:rPr>
                      <w:t> </w:t>
                    </w:r>
                    <w:r>
                      <w:rPr>
                        <w:b/>
                        <w:w w:val="105"/>
                        <w:sz w:val="15"/>
                      </w:rPr>
                      <w:t>Saldo</w:t>
                    </w:r>
                    <w:r>
                      <w:rPr>
                        <w:b/>
                        <w:spacing w:val="-9"/>
                        <w:w w:val="105"/>
                        <w:sz w:val="15"/>
                      </w:rPr>
                      <w:t> </w:t>
                    </w:r>
                    <w:r>
                      <w:rPr>
                        <w:b/>
                        <w:w w:val="105"/>
                        <w:sz w:val="15"/>
                      </w:rPr>
                      <w:t>de</w:t>
                    </w:r>
                    <w:r>
                      <w:rPr>
                        <w:b/>
                        <w:spacing w:val="-8"/>
                        <w:w w:val="105"/>
                        <w:sz w:val="15"/>
                      </w:rPr>
                      <w:t> </w:t>
                    </w:r>
                    <w:r>
                      <w:rPr>
                        <w:b/>
                        <w:w w:val="105"/>
                        <w:sz w:val="15"/>
                      </w:rPr>
                      <w:t>la</w:t>
                    </w:r>
                    <w:r>
                      <w:rPr>
                        <w:b/>
                        <w:spacing w:val="-6"/>
                        <w:w w:val="105"/>
                        <w:sz w:val="15"/>
                      </w:rPr>
                      <w:t> </w:t>
                    </w:r>
                    <w:r>
                      <w:rPr>
                        <w:b/>
                        <w:w w:val="105"/>
                        <w:sz w:val="15"/>
                      </w:rPr>
                      <w:t>balanza</w:t>
                    </w:r>
                    <w:r>
                      <w:rPr>
                        <w:b/>
                        <w:spacing w:val="-10"/>
                        <w:w w:val="105"/>
                        <w:sz w:val="15"/>
                      </w:rPr>
                      <w:t> </w:t>
                    </w:r>
                    <w:r>
                      <w:rPr>
                        <w:b/>
                        <w:w w:val="105"/>
                        <w:sz w:val="15"/>
                      </w:rPr>
                      <w:t>comercial</w:t>
                    </w:r>
                    <w:r>
                      <w:rPr>
                        <w:b/>
                        <w:spacing w:val="-8"/>
                        <w:w w:val="105"/>
                        <w:sz w:val="15"/>
                      </w:rPr>
                      <w:t> </w:t>
                    </w:r>
                    <w:r>
                      <w:rPr>
                        <w:b/>
                        <w:w w:val="105"/>
                        <w:sz w:val="15"/>
                      </w:rPr>
                      <w:t>de</w:t>
                    </w:r>
                    <w:r>
                      <w:rPr>
                        <w:b/>
                        <w:spacing w:val="-6"/>
                        <w:w w:val="105"/>
                        <w:sz w:val="15"/>
                      </w:rPr>
                      <w:t> </w:t>
                    </w:r>
                    <w:r>
                      <w:rPr>
                        <w:b/>
                        <w:w w:val="105"/>
                        <w:sz w:val="15"/>
                      </w:rPr>
                      <w:t>maquiladoras</w:t>
                      <w:tab/>
                      <w:t>Turismo</w:t>
                    </w:r>
                  </w:p>
                </w:txbxContent>
              </v:textbox>
              <w10:wrap type="none"/>
            </v:shape>
            <w10:wrap type="topAndBottom"/>
          </v:group>
        </w:pict>
      </w:r>
    </w:p>
    <w:p>
      <w:pPr>
        <w:pStyle w:val="BodyText"/>
        <w:spacing w:before="11"/>
        <w:rPr>
          <w:b/>
        </w:rPr>
      </w:pPr>
    </w:p>
    <w:p>
      <w:pPr>
        <w:spacing w:line="369" w:lineRule="auto" w:before="0"/>
        <w:ind w:left="115" w:right="143" w:firstLine="0"/>
        <w:jc w:val="both"/>
        <w:rPr>
          <w:sz w:val="21"/>
        </w:rPr>
      </w:pPr>
      <w:r>
        <w:rPr>
          <w:sz w:val="21"/>
        </w:rPr>
        <w:t>Fuente: Elaboración propia con datos del  BANCO DE MÉXICO;  Indicadores económicos  y Financieros/Balanza de Pagos/Cuenta de Viajeros </w:t>
      </w:r>
      <w:r>
        <w:rPr>
          <w:spacing w:val="40"/>
          <w:sz w:val="21"/>
        </w:rPr>
        <w:t> </w:t>
      </w:r>
      <w:r>
        <w:rPr>
          <w:sz w:val="21"/>
        </w:rPr>
        <w:t>Internacionales.</w:t>
      </w:r>
    </w:p>
    <w:p>
      <w:pPr>
        <w:pStyle w:val="BodyText"/>
        <w:rPr>
          <w:sz w:val="20"/>
        </w:rPr>
      </w:pPr>
    </w:p>
    <w:p>
      <w:pPr>
        <w:pStyle w:val="BodyText"/>
        <w:spacing w:line="364" w:lineRule="auto" w:before="139"/>
        <w:ind w:left="115" w:right="145"/>
        <w:jc w:val="both"/>
      </w:pPr>
      <w:r>
        <w:rPr/>
        <w:t>El Banco de México destaca que en sólo 13 años las remesas en México quintuplicaron su monto: las divisas enviadas al país han pasado de dos mil 494 millones de dólares en 1990 a 13 mil 396 millones en 2003 y a 16 mil 613 </w:t>
      </w:r>
      <w:r>
        <w:rPr>
          <w:spacing w:val="52"/>
        </w:rPr>
        <w:t> </w:t>
      </w:r>
      <w:r>
        <w:rPr/>
        <w:t>millones</w:t>
      </w:r>
    </w:p>
    <w:p>
      <w:pPr>
        <w:pStyle w:val="BodyText"/>
        <w:spacing w:line="364" w:lineRule="auto" w:before="5"/>
        <w:ind w:left="115" w:right="147"/>
        <w:jc w:val="both"/>
      </w:pPr>
      <w:r>
        <w:rPr/>
        <w:t>en 2004 (Figura 7). Para 2005 de 20 mil millones y en 208 de 25, 145 millones de dólares.</w:t>
      </w:r>
    </w:p>
    <w:p>
      <w:pPr>
        <w:spacing w:after="0" w:line="364" w:lineRule="auto"/>
        <w:jc w:val="both"/>
        <w:sectPr>
          <w:pgSz w:w="11900" w:h="16840"/>
          <w:pgMar w:header="0" w:footer="1676" w:top="1600" w:bottom="1860" w:left="1540" w:right="1540"/>
        </w:sectPr>
      </w:pPr>
    </w:p>
    <w:p>
      <w:pPr>
        <w:pStyle w:val="BodyText"/>
        <w:rPr>
          <w:sz w:val="20"/>
        </w:rPr>
      </w:pPr>
    </w:p>
    <w:p>
      <w:pPr>
        <w:pStyle w:val="BodyText"/>
        <w:spacing w:before="1"/>
        <w:rPr>
          <w:sz w:val="17"/>
        </w:rPr>
      </w:pPr>
    </w:p>
    <w:p>
      <w:pPr>
        <w:pStyle w:val="BodyText"/>
        <w:spacing w:before="74"/>
        <w:ind w:left="118" w:right="900"/>
      </w:pPr>
      <w:r>
        <w:rPr/>
        <w:t>Los  envíos  superaron  la  entrada  estimada  de  inversión  extranjera  directa      y</w:t>
      </w:r>
    </w:p>
    <w:p>
      <w:pPr>
        <w:pStyle w:val="BodyText"/>
        <w:spacing w:before="136"/>
        <w:ind w:left="118" w:right="900"/>
      </w:pPr>
      <w:r>
        <w:rPr/>
        <w:t>también el monto aportado por el turismo internacional. Asimismo, recalcó, el   flujo</w:t>
      </w:r>
    </w:p>
    <w:p>
      <w:pPr>
        <w:pStyle w:val="BodyText"/>
        <w:spacing w:before="136"/>
        <w:ind w:left="118" w:right="900"/>
      </w:pPr>
      <w:r>
        <w:rPr/>
        <w:t>de  divisas  generado  fue  equivalente  a  79%  del  valor  de  las  exportaciones de</w:t>
      </w:r>
    </w:p>
    <w:p>
      <w:pPr>
        <w:pStyle w:val="BodyText"/>
        <w:spacing w:line="364" w:lineRule="auto" w:before="141"/>
        <w:ind w:left="118" w:right="900"/>
      </w:pPr>
      <w:r>
        <w:rPr/>
        <w:t>petróleo crudo en el 2003 y representa el 2.2% del Producto Interno Bruto (Levine, 2004).</w:t>
      </w:r>
    </w:p>
    <w:p>
      <w:pPr>
        <w:pStyle w:val="BodyText"/>
        <w:spacing w:before="2"/>
        <w:rPr>
          <w:sz w:val="24"/>
        </w:rPr>
      </w:pPr>
    </w:p>
    <w:p>
      <w:pPr>
        <w:pStyle w:val="Heading4"/>
        <w:spacing w:line="364" w:lineRule="auto"/>
        <w:ind w:left="3070" w:right="1156" w:hanging="2804"/>
      </w:pPr>
      <w:r>
        <w:rPr/>
        <w:pict>
          <v:shape style="position:absolute;margin-left:413.898865pt;margin-top:112.271179pt;width:95.9pt;height:4.4pt;mso-position-horizontal-relative:page;mso-position-vertical-relative:paragraph;z-index:-707800" type="#_x0000_t202" filled="false" stroked="false">
            <v:textbox inset="0,0,0,0">
              <w:txbxContent>
                <w:p>
                  <w:pPr>
                    <w:spacing w:line="87" w:lineRule="exact" w:before="0"/>
                    <w:ind w:left="0" w:right="0" w:firstLine="0"/>
                    <w:jc w:val="left"/>
                    <w:rPr>
                      <w:b/>
                      <w:sz w:val="15"/>
                    </w:rPr>
                  </w:pPr>
                  <w:r>
                    <w:rPr>
                      <w:b/>
                      <w:w w:val="104"/>
                      <w:sz w:val="15"/>
                    </w:rPr>
                    <w:t>0</w:t>
                  </w:r>
                </w:p>
              </w:txbxContent>
            </v:textbox>
            <w10:wrap type="none"/>
          </v:shape>
        </w:pict>
      </w:r>
      <w:r>
        <w:rPr/>
        <w:pict>
          <v:shape style="position:absolute;margin-left:413.898865pt;margin-top:116.592339pt;width:95.9pt;height:4.4pt;mso-position-horizontal-relative:page;mso-position-vertical-relative:paragraph;z-index:-707776" type="#_x0000_t202" filled="false" stroked="false">
            <v:textbox inset="0,0,0,0">
              <w:txbxContent>
                <w:p>
                  <w:pPr>
                    <w:spacing w:line="87" w:lineRule="exact" w:before="0"/>
                    <w:ind w:left="0" w:right="0" w:firstLine="0"/>
                    <w:jc w:val="left"/>
                    <w:rPr>
                      <w:b/>
                      <w:sz w:val="15"/>
                    </w:rPr>
                  </w:pPr>
                  <w:r>
                    <w:rPr>
                      <w:b/>
                      <w:w w:val="104"/>
                      <w:sz w:val="15"/>
                    </w:rPr>
                    <w:t>3</w:t>
                  </w:r>
                </w:p>
              </w:txbxContent>
            </v:textbox>
            <w10:wrap type="none"/>
          </v:shape>
        </w:pict>
      </w:r>
      <w:r>
        <w:rPr/>
        <w:pict>
          <v:shape style="position:absolute;margin-left:413.898865pt;margin-top:120.913498pt;width:95.9pt;height:4.4pt;mso-position-horizontal-relative:page;mso-position-vertical-relative:paragraph;z-index:-707752" type="#_x0000_t202" filled="false" stroked="false">
            <v:textbox inset="0,0,0,0">
              <w:txbxContent>
                <w:p>
                  <w:pPr>
                    <w:spacing w:line="87" w:lineRule="exact" w:before="0"/>
                    <w:ind w:left="0" w:right="0" w:firstLine="0"/>
                    <w:jc w:val="left"/>
                    <w:rPr>
                      <w:b/>
                      <w:sz w:val="15"/>
                    </w:rPr>
                  </w:pPr>
                  <w:r>
                    <w:rPr>
                      <w:b/>
                      <w:w w:val="104"/>
                      <w:sz w:val="15"/>
                    </w:rPr>
                    <w:t>7</w:t>
                  </w:r>
                </w:p>
              </w:txbxContent>
            </v:textbox>
            <w10:wrap type="none"/>
          </v:shape>
        </w:pict>
      </w:r>
      <w:r>
        <w:rPr/>
        <w:pict>
          <v:shape style="position:absolute;margin-left:413.898865pt;margin-top:127.393318pt;width:95.9pt;height:4.4pt;mso-position-horizontal-relative:page;mso-position-vertical-relative:paragraph;z-index:-707728" type="#_x0000_t202" filled="false" stroked="false">
            <v:textbox inset="0,0,0,0">
              <w:txbxContent>
                <w:p>
                  <w:pPr>
                    <w:spacing w:line="87" w:lineRule="exact" w:before="0"/>
                    <w:ind w:left="0" w:right="0" w:firstLine="0"/>
                    <w:jc w:val="left"/>
                    <w:rPr>
                      <w:b/>
                      <w:sz w:val="15"/>
                    </w:rPr>
                  </w:pPr>
                  <w:r>
                    <w:rPr>
                      <w:b/>
                      <w:w w:val="104"/>
                      <w:sz w:val="15"/>
                    </w:rPr>
                    <w:t>6</w:t>
                  </w:r>
                </w:p>
              </w:txbxContent>
            </v:textbox>
            <w10:wrap type="none"/>
          </v:shape>
        </w:pict>
      </w:r>
      <w:r>
        <w:rPr/>
        <w:pict>
          <v:shape style="position:absolute;margin-left:413.898865pt;margin-top:131.714508pt;width:95.9pt;height:4.4pt;mso-position-horizontal-relative:page;mso-position-vertical-relative:paragraph;z-index:-707704" type="#_x0000_t202" filled="false" stroked="false">
            <v:textbox inset="0,0,0,0">
              <w:txbxContent>
                <w:p>
                  <w:pPr>
                    <w:spacing w:line="87" w:lineRule="exact" w:before="0"/>
                    <w:ind w:left="0" w:right="0" w:firstLine="0"/>
                    <w:jc w:val="left"/>
                    <w:rPr>
                      <w:b/>
                      <w:sz w:val="15"/>
                    </w:rPr>
                  </w:pPr>
                  <w:r>
                    <w:rPr>
                      <w:b/>
                      <w:w w:val="104"/>
                      <w:sz w:val="15"/>
                    </w:rPr>
                    <w:t>1</w:t>
                  </w:r>
                </w:p>
              </w:txbxContent>
            </v:textbox>
            <w10:wrap type="none"/>
          </v:shape>
        </w:pict>
      </w:r>
      <w:r>
        <w:rPr/>
        <w:pict>
          <v:group style="position:absolute;margin-left:83.519997pt;margin-top:39.946255pt;width:427.45pt;height:274.6pt;mso-position-horizontal-relative:page;mso-position-vertical-relative:paragraph;z-index:6952" coordorigin="1670,799" coordsize="8549,5492">
            <v:shape style="position:absolute;left:1692;top:818;width:2498;height:5446" type="#_x0000_t75" stroked="false">
              <v:imagedata r:id="rId178" o:title=""/>
            </v:shape>
            <v:shape style="position:absolute;left:3067;top:1159;width:212;height:4100" coordorigin="3067,1159" coordsize="212,4100" path="m3216,5258l3278,5258m3192,4601l3254,4601m3168,3931l3228,3931m3142,3254l3206,3254m3120,2565l3180,2565m3094,1869l3154,1869m3067,1159l3127,1159e" filled="false" stroked="true" strokeweight=".72pt" strokecolor="#858585">
              <v:path arrowok="t"/>
            </v:shape>
            <v:shape style="position:absolute;left:3271;top:5282;width:713;height:2" coordorigin="3271,5282" coordsize="713,0" path="m3271,5282l3286,5282m3619,5282l3634,5282m3970,5282l3984,5282e" filled="false" stroked="true" strokeweight="2.4pt" strokecolor="#858585">
              <v:path arrowok="t"/>
            </v:shape>
            <v:shape style="position:absolute;left:3202;top:5467;width:274;height:274" type="#_x0000_t75" stroked="false">
              <v:imagedata r:id="rId179" o:title=""/>
            </v:shape>
            <v:shape style="position:absolute;left:3550;top:5467;width:274;height:274" type="#_x0000_t75" stroked="false">
              <v:imagedata r:id="rId180" o:title=""/>
            </v:shape>
            <v:shape style="position:absolute;left:3900;top:5465;width:286;height:276" type="#_x0000_t75" stroked="false">
              <v:imagedata r:id="rId181" o:title=""/>
            </v:shape>
            <v:shape style="position:absolute;left:1670;top:799;width:2520;height:5492" coordorigin="1670,799" coordsize="2520,5492" path="m4190,799l1680,799,1670,809,1670,6278,1680,6290,4190,6290,4190,6264,1718,6264,1694,6240,1718,6240,1718,847,1694,847,1718,823,4190,823,4190,799xm1718,6240l1694,6240,1718,6264,1718,6240xm4190,6240l1718,6240,1718,6264,4190,6264,4190,6240xm1718,823l1694,847,1718,847,1718,823xm4190,823l1718,823,1718,847,4190,847,4190,823xe" filled="true" fillcolor="#000000" stroked="false">
              <v:path arrowok="t"/>
              <v:fill type="solid"/>
            </v:shape>
            <v:shape style="position:absolute;left:4190;top:818;width:4188;height:5446" type="#_x0000_t75" stroked="false">
              <v:imagedata r:id="rId182" o:title=""/>
            </v:shape>
            <v:shape style="position:absolute;left:4318;top:5282;width:3852;height:2" coordorigin="4318,5282" coordsize="3852,0" path="m4318,5282l4332,5282m4666,5282l4680,5282m5016,5282l5030,5282m5364,5282l5378,5282m5714,5282l5729,5282m6062,5282l6077,5282m6410,5282l6425,5282m6761,5282l6775,5282m7109,5282l7123,5282m7457,5282l7471,5282m7807,5282l7822,5282m8155,5282l8170,5282e" filled="false" stroked="true" strokeweight="2.4pt" strokecolor="#858585">
              <v:path arrowok="t"/>
            </v:shape>
            <v:shape style="position:absolute;left:4248;top:5467;width:274;height:274" type="#_x0000_t75" stroked="false">
              <v:imagedata r:id="rId183" o:title=""/>
            </v:shape>
            <v:shape style="position:absolute;left:4596;top:5462;width:276;height:278" type="#_x0000_t75" stroked="false">
              <v:imagedata r:id="rId184" o:title=""/>
            </v:shape>
            <v:shape style="position:absolute;left:4946;top:5457;width:274;height:283" type="#_x0000_t75" stroked="false">
              <v:imagedata r:id="rId185" o:title=""/>
            </v:shape>
            <v:shape style="position:absolute;left:5294;top:5465;width:276;height:276" type="#_x0000_t75" stroked="false">
              <v:imagedata r:id="rId186" o:title=""/>
            </v:shape>
            <v:shape style="position:absolute;left:5642;top:5453;width:259;height:288" type="#_x0000_t75" stroked="false">
              <v:imagedata r:id="rId187" o:title=""/>
            </v:shape>
            <v:shape style="position:absolute;left:5993;top:5467;width:274;height:274" type="#_x0000_t75" stroked="false">
              <v:imagedata r:id="rId188" o:title=""/>
            </v:shape>
            <v:shape style="position:absolute;left:6341;top:5467;width:274;height:274" type="#_x0000_t75" stroked="false">
              <v:imagedata r:id="rId189" o:title=""/>
            </v:shape>
            <v:shape style="position:absolute;left:6677;top:5467;width:286;height:300" type="#_x0000_t75" stroked="false">
              <v:imagedata r:id="rId190" o:title=""/>
            </v:shape>
            <v:shape style="position:absolute;left:7025;top:5467;width:286;height:300" type="#_x0000_t75" stroked="false">
              <v:imagedata r:id="rId191" o:title=""/>
            </v:shape>
            <v:shape style="position:absolute;left:7375;top:5465;width:300;height:302" type="#_x0000_t75" stroked="false">
              <v:imagedata r:id="rId192" o:title=""/>
            </v:shape>
            <v:shape style="position:absolute;left:7723;top:5467;width:288;height:300" type="#_x0000_t75" stroked="false">
              <v:imagedata r:id="rId193" o:title=""/>
            </v:shape>
            <v:line style="position:absolute" from="4190,6265" to="8378,6265" stroked="true" strokeweight="2.52pt" strokecolor="#000000"/>
            <v:line style="position:absolute" from="4190,823" to="8378,823" stroked="true" strokeweight="2.4pt" strokecolor="#000000"/>
            <v:shape style="position:absolute;left:8071;top:818;width:2124;height:5446" type="#_x0000_t75" stroked="false">
              <v:imagedata r:id="rId194" o:title=""/>
            </v:shape>
            <v:shape style="position:absolute;left:8503;top:5282;width:1412;height:2" coordorigin="8503,5282" coordsize="1412,0" path="m8503,5282l8518,5282m8854,5282l8868,5282m9202,5282l9216,5282m9552,5282l9566,5282m9900,5282l9914,5282e" filled="false" stroked="true" strokeweight="2.4pt" strokecolor="#858585">
              <v:path arrowok="t"/>
            </v:shape>
            <v:shape style="position:absolute;left:8422;top:5457;width:288;height:310" type="#_x0000_t75" stroked="false">
              <v:imagedata r:id="rId195" o:title=""/>
            </v:shape>
            <v:shape style="position:absolute;left:8770;top:5465;width:288;height:302" type="#_x0000_t75" stroked="false">
              <v:imagedata r:id="rId196" o:title=""/>
            </v:shape>
            <v:shape style="position:absolute;left:9120;top:5453;width:271;height:314" type="#_x0000_t75" stroked="false">
              <v:imagedata r:id="rId197" o:title=""/>
            </v:shape>
            <v:shape style="position:absolute;left:9468;top:5467;width:288;height:300" type="#_x0000_t75" stroked="false">
              <v:imagedata r:id="rId198" o:title=""/>
            </v:shape>
            <v:shape style="position:absolute;left:8378;top:799;width:1841;height:5492" coordorigin="8378,799" coordsize="1841,5492" path="m10171,6240l8378,6240,8378,6290,10210,6290,10219,6278,10219,6264,10171,6264,10171,6240xm10171,823l10171,6264,10195,6240,10219,6240,10219,847,10195,847,10171,823xm10219,6240l10195,6240,10171,6264,10219,6264,10219,6240xm10210,799l8378,799,8378,847,10171,847,10171,823,10219,823,10219,809,10210,799xm10219,823l10171,823,10195,847,10219,847,10219,823xe" filled="true" fillcolor="#000000" stroked="false">
              <v:path arrowok="t"/>
              <v:fill type="solid"/>
            </v:shape>
            <v:shape style="position:absolute;left:1970;top:1081;width:536;height:194" type="#_x0000_t202" filled="false" stroked="false">
              <v:textbox inset="0,0,0,0">
                <w:txbxContent>
                  <w:p>
                    <w:pPr>
                      <w:spacing w:line="194" w:lineRule="exact" w:before="0"/>
                      <w:ind w:left="0" w:right="-9" w:firstLine="0"/>
                      <w:jc w:val="left"/>
                      <w:rPr>
                        <w:rFonts w:ascii="Calibri"/>
                        <w:sz w:val="19"/>
                      </w:rPr>
                    </w:pPr>
                    <w:r>
                      <w:rPr>
                        <w:rFonts w:ascii="Calibri"/>
                        <w:sz w:val="19"/>
                      </w:rPr>
                      <w:t>30 000</w:t>
                    </w:r>
                  </w:p>
                </w:txbxContent>
              </v:textbox>
              <w10:wrap type="none"/>
            </v:shape>
            <v:shape style="position:absolute;left:1997;top:1789;width:536;height:194" type="#_x0000_t202" filled="false" stroked="false">
              <v:textbox inset="0,0,0,0">
                <w:txbxContent>
                  <w:p>
                    <w:pPr>
                      <w:spacing w:line="194" w:lineRule="exact" w:before="0"/>
                      <w:ind w:left="0" w:right="-9" w:firstLine="0"/>
                      <w:jc w:val="left"/>
                      <w:rPr>
                        <w:rFonts w:ascii="Calibri"/>
                        <w:sz w:val="19"/>
                      </w:rPr>
                    </w:pPr>
                    <w:r>
                      <w:rPr>
                        <w:rFonts w:ascii="Calibri"/>
                        <w:sz w:val="19"/>
                      </w:rPr>
                      <w:t>25 000</w:t>
                    </w:r>
                  </w:p>
                </w:txbxContent>
              </v:textbox>
              <w10:wrap type="none"/>
            </v:shape>
            <v:shape style="position:absolute;left:2021;top:2487;width:536;height:194" type="#_x0000_t202" filled="false" stroked="false">
              <v:textbox inset="0,0,0,0">
                <w:txbxContent>
                  <w:p>
                    <w:pPr>
                      <w:spacing w:line="194" w:lineRule="exact" w:before="0"/>
                      <w:ind w:left="0" w:right="-9" w:firstLine="0"/>
                      <w:jc w:val="left"/>
                      <w:rPr>
                        <w:rFonts w:ascii="Calibri"/>
                        <w:sz w:val="19"/>
                      </w:rPr>
                    </w:pPr>
                    <w:r>
                      <w:rPr>
                        <w:rFonts w:ascii="Calibri"/>
                        <w:sz w:val="19"/>
                      </w:rPr>
                      <w:t>20 000</w:t>
                    </w:r>
                  </w:p>
                </w:txbxContent>
              </v:textbox>
              <w10:wrap type="none"/>
            </v:shape>
            <v:shape style="position:absolute;left:2047;top:3174;width:536;height:194" type="#_x0000_t202" filled="false" stroked="false">
              <v:textbox inset="0,0,0,0">
                <w:txbxContent>
                  <w:p>
                    <w:pPr>
                      <w:spacing w:line="194" w:lineRule="exact" w:before="0"/>
                      <w:ind w:left="0" w:right="-9" w:firstLine="0"/>
                      <w:jc w:val="left"/>
                      <w:rPr>
                        <w:rFonts w:ascii="Calibri"/>
                        <w:sz w:val="19"/>
                      </w:rPr>
                    </w:pPr>
                    <w:r>
                      <w:rPr>
                        <w:rFonts w:ascii="Calibri"/>
                        <w:sz w:val="19"/>
                      </w:rPr>
                      <w:t>15 000</w:t>
                    </w:r>
                  </w:p>
                </w:txbxContent>
              </v:textbox>
              <w10:wrap type="none"/>
            </v:shape>
            <v:shape style="position:absolute;left:2071;top:3853;width:536;height:194" type="#_x0000_t202" filled="false" stroked="false">
              <v:textbox inset="0,0,0,0">
                <w:txbxContent>
                  <w:p>
                    <w:pPr>
                      <w:spacing w:line="194" w:lineRule="exact" w:before="0"/>
                      <w:ind w:left="0" w:right="-9" w:firstLine="0"/>
                      <w:jc w:val="left"/>
                      <w:rPr>
                        <w:rFonts w:ascii="Calibri"/>
                        <w:sz w:val="19"/>
                      </w:rPr>
                    </w:pPr>
                    <w:r>
                      <w:rPr>
                        <w:rFonts w:ascii="Calibri"/>
                        <w:sz w:val="19"/>
                      </w:rPr>
                      <w:t>10 000</w:t>
                    </w:r>
                  </w:p>
                </w:txbxContent>
              </v:textbox>
              <w10:wrap type="none"/>
            </v:shape>
            <v:shape style="position:absolute;left:2194;top:4520;width:437;height:194" type="#_x0000_t202" filled="false" stroked="false">
              <v:textbox inset="0,0,0,0">
                <w:txbxContent>
                  <w:p>
                    <w:pPr>
                      <w:spacing w:line="194" w:lineRule="exact" w:before="0"/>
                      <w:ind w:left="0" w:right="-12" w:firstLine="0"/>
                      <w:jc w:val="left"/>
                      <w:rPr>
                        <w:rFonts w:ascii="Calibri"/>
                        <w:sz w:val="19"/>
                      </w:rPr>
                    </w:pPr>
                    <w:r>
                      <w:rPr>
                        <w:rFonts w:ascii="Calibri"/>
                        <w:sz w:val="19"/>
                      </w:rPr>
                      <w:t>5 000</w:t>
                    </w:r>
                  </w:p>
                </w:txbxContent>
              </v:textbox>
              <w10:wrap type="none"/>
            </v:shape>
            <v:shape style="position:absolute;left:2873;top:5180;width:177;height:194" type="#_x0000_t202" filled="false" stroked="false">
              <v:textbox inset="0,0,0,0">
                <w:txbxContent>
                  <w:p>
                    <w:pPr>
                      <w:spacing w:line="194" w:lineRule="exact" w:before="0"/>
                      <w:ind w:left="0" w:right="-18" w:firstLine="0"/>
                      <w:jc w:val="left"/>
                      <w:rPr>
                        <w:rFonts w:ascii="Calibri"/>
                        <w:sz w:val="19"/>
                      </w:rPr>
                    </w:pPr>
                    <w:r>
                      <w:rPr>
                        <w:rFonts w:ascii="Calibri"/>
                        <w:sz w:val="19"/>
                      </w:rPr>
                      <w:t>---</w:t>
                    </w:r>
                  </w:p>
                </w:txbxContent>
              </v:textbox>
              <w10:wrap type="none"/>
            </v:shape>
            <w10:wrap type="none"/>
          </v:group>
        </w:pict>
      </w:r>
      <w:r>
        <w:rPr/>
        <w:pict>
          <v:shape style="position:absolute;margin-left:395.258881pt;margin-top:129.391083pt;width:9.85pt;height:25.7pt;mso-position-horizontal-relative:page;mso-position-vertical-relative:paragraph;z-index:7240" type="#_x0000_t202" filled="false" stroked="false">
            <v:textbox inset="0,0,0,0" style="layout-flow:vertical;mso-layout-flow-alt:bottom-to-top">
              <w:txbxContent>
                <w:p>
                  <w:pPr>
                    <w:spacing w:before="6"/>
                    <w:ind w:left="20" w:right="-103" w:firstLine="0"/>
                    <w:jc w:val="left"/>
                    <w:rPr>
                      <w:b/>
                      <w:sz w:val="15"/>
                    </w:rPr>
                  </w:pPr>
                  <w:r>
                    <w:rPr>
                      <w:b/>
                      <w:spacing w:val="-1"/>
                      <w:w w:val="104"/>
                      <w:sz w:val="15"/>
                    </w:rPr>
                    <w:t>1</w:t>
                  </w:r>
                  <w:r>
                    <w:rPr>
                      <w:b/>
                      <w:w w:val="104"/>
                      <w:sz w:val="15"/>
                    </w:rPr>
                    <w:t>3</w:t>
                  </w:r>
                  <w:r>
                    <w:rPr>
                      <w:b/>
                      <w:spacing w:val="-2"/>
                      <w:sz w:val="15"/>
                    </w:rPr>
                    <w:t> </w:t>
                  </w:r>
                  <w:r>
                    <w:rPr>
                      <w:b/>
                      <w:spacing w:val="-1"/>
                      <w:w w:val="104"/>
                      <w:sz w:val="15"/>
                    </w:rPr>
                    <w:t>65</w:t>
                  </w:r>
                  <w:r>
                    <w:rPr>
                      <w:b/>
                      <w:w w:val="104"/>
                      <w:sz w:val="15"/>
                    </w:rPr>
                    <w:t>0</w:t>
                  </w:r>
                </w:p>
              </w:txbxContent>
            </v:textbox>
            <w10:wrap type="none"/>
          </v:shape>
        </w:pict>
      </w:r>
      <w:r>
        <w:rPr/>
        <w:pict>
          <v:shape style="position:absolute;margin-left:430.660034pt;margin-top:87.751076pt;width:9.85pt;height:25.8pt;mso-position-horizontal-relative:page;mso-position-vertical-relative:paragraph;z-index:7264" type="#_x0000_t202" filled="false" stroked="false">
            <v:textbox inset="0,0,0,0" style="layout-flow:vertical;mso-layout-flow-alt:bottom-to-top">
              <w:txbxContent>
                <w:p>
                  <w:pPr>
                    <w:spacing w:before="6"/>
                    <w:ind w:left="20" w:right="-103" w:firstLine="0"/>
                    <w:jc w:val="left"/>
                    <w:rPr>
                      <w:b/>
                      <w:sz w:val="15"/>
                    </w:rPr>
                  </w:pPr>
                  <w:r>
                    <w:rPr>
                      <w:b/>
                      <w:spacing w:val="-1"/>
                      <w:w w:val="104"/>
                      <w:sz w:val="15"/>
                    </w:rPr>
                    <w:t>2</w:t>
                  </w:r>
                  <w:r>
                    <w:rPr>
                      <w:b/>
                      <w:w w:val="104"/>
                      <w:sz w:val="15"/>
                    </w:rPr>
                    <w:t>0</w:t>
                  </w:r>
                  <w:r>
                    <w:rPr>
                      <w:b/>
                      <w:sz w:val="15"/>
                    </w:rPr>
                    <w:t> </w:t>
                  </w:r>
                  <w:r>
                    <w:rPr>
                      <w:b/>
                      <w:spacing w:val="-1"/>
                      <w:w w:val="104"/>
                      <w:sz w:val="15"/>
                    </w:rPr>
                    <w:t>28</w:t>
                  </w:r>
                  <w:r>
                    <w:rPr>
                      <w:b/>
                      <w:w w:val="104"/>
                      <w:sz w:val="15"/>
                    </w:rPr>
                    <w:t>4</w:t>
                  </w:r>
                </w:p>
              </w:txbxContent>
            </v:textbox>
            <w10:wrap type="none"/>
          </v:shape>
        </w:pict>
      </w:r>
      <w:r>
        <w:rPr/>
        <w:pict>
          <v:shape style="position:absolute;margin-left:448.540009pt;margin-top:68.311089pt;width:9.85pt;height:25.7pt;mso-position-horizontal-relative:page;mso-position-vertical-relative:paragraph;z-index:7288" type="#_x0000_t202" filled="false" stroked="false">
            <v:textbox inset="0,0,0,0" style="layout-flow:vertical;mso-layout-flow-alt:bottom-to-top">
              <w:txbxContent>
                <w:p>
                  <w:pPr>
                    <w:spacing w:before="6"/>
                    <w:ind w:left="20" w:right="-103" w:firstLine="0"/>
                    <w:jc w:val="left"/>
                    <w:rPr>
                      <w:b/>
                      <w:sz w:val="15"/>
                    </w:rPr>
                  </w:pPr>
                  <w:r>
                    <w:rPr>
                      <w:b/>
                      <w:spacing w:val="-1"/>
                      <w:w w:val="104"/>
                      <w:sz w:val="15"/>
                    </w:rPr>
                    <w:t>2</w:t>
                  </w:r>
                  <w:r>
                    <w:rPr>
                      <w:b/>
                      <w:w w:val="104"/>
                      <w:sz w:val="15"/>
                    </w:rPr>
                    <w:t>3</w:t>
                  </w:r>
                  <w:r>
                    <w:rPr>
                      <w:b/>
                      <w:spacing w:val="-2"/>
                      <w:sz w:val="15"/>
                    </w:rPr>
                    <w:t> </w:t>
                  </w:r>
                  <w:r>
                    <w:rPr>
                      <w:b/>
                      <w:spacing w:val="-1"/>
                      <w:w w:val="104"/>
                      <w:sz w:val="15"/>
                    </w:rPr>
                    <w:t>74</w:t>
                  </w:r>
                  <w:r>
                    <w:rPr>
                      <w:b/>
                      <w:w w:val="104"/>
                      <w:sz w:val="15"/>
                    </w:rPr>
                    <w:t>2</w:t>
                  </w:r>
                </w:p>
              </w:txbxContent>
            </v:textbox>
            <w10:wrap type="none"/>
          </v:shape>
        </w:pict>
      </w:r>
      <w:r>
        <w:rPr/>
        <w:pict>
          <v:shape style="position:absolute;margin-left:467.26001pt;margin-top:69.991081pt;width:9.85pt;height:25.8pt;mso-position-horizontal-relative:page;mso-position-vertical-relative:paragraph;z-index:7312" type="#_x0000_t202" filled="false" stroked="false">
            <v:textbox inset="0,0,0,0" style="layout-flow:vertical;mso-layout-flow-alt:bottom-to-top">
              <w:txbxContent>
                <w:p>
                  <w:pPr>
                    <w:spacing w:before="6"/>
                    <w:ind w:left="20" w:right="-103" w:firstLine="0"/>
                    <w:jc w:val="left"/>
                    <w:rPr>
                      <w:b/>
                      <w:sz w:val="15"/>
                    </w:rPr>
                  </w:pPr>
                  <w:r>
                    <w:rPr>
                      <w:b/>
                      <w:spacing w:val="-1"/>
                      <w:w w:val="104"/>
                      <w:sz w:val="15"/>
                    </w:rPr>
                    <w:t>2</w:t>
                  </w:r>
                  <w:r>
                    <w:rPr>
                      <w:b/>
                      <w:w w:val="104"/>
                      <w:sz w:val="15"/>
                    </w:rPr>
                    <w:t>3</w:t>
                  </w:r>
                  <w:r>
                    <w:rPr>
                      <w:b/>
                      <w:sz w:val="15"/>
                    </w:rPr>
                    <w:t> </w:t>
                  </w:r>
                  <w:r>
                    <w:rPr>
                      <w:b/>
                      <w:spacing w:val="-1"/>
                      <w:w w:val="104"/>
                      <w:sz w:val="15"/>
                    </w:rPr>
                    <w:t>97</w:t>
                  </w:r>
                  <w:r>
                    <w:rPr>
                      <w:b/>
                      <w:w w:val="104"/>
                      <w:sz w:val="15"/>
                    </w:rPr>
                    <w:t>0</w:t>
                  </w:r>
                </w:p>
              </w:txbxContent>
            </v:textbox>
            <w10:wrap type="none"/>
          </v:shape>
        </w:pict>
      </w:r>
      <w:r>
        <w:rPr/>
        <w:pict>
          <v:shape style="position:absolute;margin-left:487.059998pt;margin-top:60.871086pt;width:9.85pt;height:25.7pt;mso-position-horizontal-relative:page;mso-position-vertical-relative:paragraph;z-index:7336" type="#_x0000_t202" filled="false" stroked="false">
            <v:textbox inset="0,0,0,0" style="layout-flow:vertical;mso-layout-flow-alt:bottom-to-top">
              <w:txbxContent>
                <w:p>
                  <w:pPr>
                    <w:spacing w:before="6"/>
                    <w:ind w:left="20" w:right="-103" w:firstLine="0"/>
                    <w:jc w:val="left"/>
                    <w:rPr>
                      <w:b/>
                      <w:sz w:val="15"/>
                    </w:rPr>
                  </w:pPr>
                  <w:r>
                    <w:rPr>
                      <w:b/>
                      <w:spacing w:val="-1"/>
                      <w:w w:val="104"/>
                      <w:sz w:val="15"/>
                    </w:rPr>
                    <w:t>2</w:t>
                  </w:r>
                  <w:r>
                    <w:rPr>
                      <w:b/>
                      <w:w w:val="104"/>
                      <w:sz w:val="15"/>
                    </w:rPr>
                    <w:t>5</w:t>
                  </w:r>
                  <w:r>
                    <w:rPr>
                      <w:b/>
                      <w:spacing w:val="-2"/>
                      <w:sz w:val="15"/>
                    </w:rPr>
                    <w:t> </w:t>
                  </w:r>
                  <w:r>
                    <w:rPr>
                      <w:b/>
                      <w:spacing w:val="-1"/>
                      <w:w w:val="104"/>
                      <w:sz w:val="15"/>
                    </w:rPr>
                    <w:t>14</w:t>
                  </w:r>
                  <w:r>
                    <w:rPr>
                      <w:b/>
                      <w:w w:val="104"/>
                      <w:sz w:val="15"/>
                    </w:rPr>
                    <w:t>5</w:t>
                  </w:r>
                </w:p>
              </w:txbxContent>
            </v:textbox>
            <w10:wrap type="none"/>
          </v:shape>
        </w:pict>
      </w:r>
      <w:r>
        <w:rPr/>
        <w:t>Figura 7. Captación de remesas familiares en México (Millones de dólares) de 1990 a mayo de 2006</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2"/>
        </w:rPr>
      </w:pPr>
    </w:p>
    <w:p>
      <w:pPr>
        <w:spacing w:after="0"/>
        <w:rPr>
          <w:sz w:val="22"/>
        </w:rPr>
        <w:sectPr>
          <w:pgSz w:w="11900" w:h="16840"/>
          <w:pgMar w:header="0" w:footer="1676" w:top="1600" w:bottom="1860" w:left="1540" w:right="560"/>
        </w:sectPr>
      </w:pPr>
    </w:p>
    <w:p>
      <w:pPr>
        <w:tabs>
          <w:tab w:pos="1416" w:val="left" w:leader="none"/>
        </w:tabs>
        <w:spacing w:before="77"/>
        <w:ind w:left="118" w:right="0" w:firstLine="0"/>
        <w:jc w:val="left"/>
        <w:rPr>
          <w:sz w:val="21"/>
        </w:rPr>
      </w:pPr>
      <w:r>
        <w:rPr>
          <w:sz w:val="21"/>
        </w:rPr>
        <w:t>Fuente:</w:t>
        <w:tab/>
      </w:r>
      <w:r>
        <w:rPr>
          <w:spacing w:val="-1"/>
          <w:sz w:val="21"/>
        </w:rPr>
        <w:t>Elaboración</w:t>
      </w:r>
    </w:p>
    <w:p>
      <w:pPr>
        <w:tabs>
          <w:tab w:pos="1035" w:val="left" w:leader="none"/>
          <w:tab w:pos="2131" w:val="left" w:leader="none"/>
          <w:tab w:pos="2940" w:val="left" w:leader="none"/>
        </w:tabs>
        <w:spacing w:before="77"/>
        <w:ind w:left="118" w:right="0" w:firstLine="0"/>
        <w:jc w:val="left"/>
        <w:rPr>
          <w:sz w:val="21"/>
        </w:rPr>
      </w:pPr>
      <w:r>
        <w:rPr/>
        <w:br w:type="column"/>
      </w:r>
      <w:r>
        <w:rPr>
          <w:sz w:val="21"/>
        </w:rPr>
        <w:t>con</w:t>
        <w:tab/>
        <w:t>datos</w:t>
        <w:tab/>
        <w:t>de</w:t>
        <w:tab/>
        <w:t>Banco</w:t>
      </w:r>
    </w:p>
    <w:p>
      <w:pPr>
        <w:tabs>
          <w:tab w:pos="927" w:val="left" w:leader="none"/>
        </w:tabs>
        <w:spacing w:before="77"/>
        <w:ind w:left="118" w:right="0" w:firstLine="0"/>
        <w:jc w:val="left"/>
        <w:rPr>
          <w:sz w:val="21"/>
        </w:rPr>
      </w:pPr>
      <w:r>
        <w:rPr/>
        <w:br w:type="column"/>
      </w:r>
      <w:r>
        <w:rPr>
          <w:sz w:val="21"/>
        </w:rPr>
        <w:t>de</w:t>
        <w:tab/>
        <w:t>México,</w:t>
      </w:r>
    </w:p>
    <w:p>
      <w:pPr>
        <w:spacing w:after="0"/>
        <w:jc w:val="left"/>
        <w:rPr>
          <w:sz w:val="21"/>
        </w:rPr>
        <w:sectPr>
          <w:type w:val="continuous"/>
          <w:pgSz w:w="11900" w:h="16840"/>
          <w:pgMar w:top="1600" w:bottom="280" w:left="1540" w:right="560"/>
          <w:cols w:num="3" w:equalWidth="0">
            <w:col w:w="2550" w:space="453"/>
            <w:col w:w="3553" w:space="450"/>
            <w:col w:w="2794"/>
          </w:cols>
        </w:sectPr>
      </w:pPr>
    </w:p>
    <w:p>
      <w:pPr>
        <w:spacing w:line="367" w:lineRule="auto" w:before="128"/>
        <w:ind w:left="118" w:right="900" w:firstLine="0"/>
        <w:jc w:val="left"/>
        <w:rPr>
          <w:sz w:val="21"/>
        </w:rPr>
      </w:pPr>
      <w:hyperlink r:id="rId199">
        <w:r>
          <w:rPr>
            <w:sz w:val="21"/>
          </w:rPr>
          <w:t>(http://www.conapo.gob.mx/index.php?option=com_content&amp;view=article&amp;id=328&amp;Itemid=</w:t>
        </w:r>
      </w:hyperlink>
      <w:r>
        <w:rPr>
          <w:sz w:val="21"/>
        </w:rPr>
        <w:t> 361)</w:t>
      </w:r>
    </w:p>
    <w:p>
      <w:pPr>
        <w:pStyle w:val="BodyText"/>
        <w:spacing w:before="4"/>
        <w:rPr>
          <w:sz w:val="20"/>
        </w:rPr>
      </w:pPr>
    </w:p>
    <w:p>
      <w:pPr>
        <w:pStyle w:val="BodyText"/>
        <w:ind w:left="118" w:right="900"/>
      </w:pPr>
      <w:r>
        <w:rPr/>
        <w:t>En el 2003 ingresaron al país 13 mil 266 millones de dólares como producto de</w:t>
      </w:r>
    </w:p>
    <w:p>
      <w:pPr>
        <w:spacing w:after="0"/>
        <w:sectPr>
          <w:type w:val="continuous"/>
          <w:pgSz w:w="11900" w:h="16840"/>
          <w:pgMar w:top="1600" w:bottom="280" w:left="1540" w:right="560"/>
        </w:sectPr>
      </w:pPr>
    </w:p>
    <w:p>
      <w:pPr>
        <w:pStyle w:val="BodyText"/>
        <w:spacing w:before="141"/>
        <w:ind w:left="118"/>
      </w:pPr>
      <w:r>
        <w:rPr/>
        <w:t>esos  envíos familiares.</w:t>
      </w:r>
    </w:p>
    <w:p>
      <w:pPr>
        <w:pStyle w:val="BodyText"/>
        <w:spacing w:before="141"/>
        <w:ind w:left="63" w:right="-8"/>
      </w:pPr>
      <w:r>
        <w:rPr/>
        <w:br w:type="column"/>
      </w:r>
      <w:r>
        <w:rPr/>
        <w:t>Este monto  es  35% mayor  al  de</w:t>
      </w:r>
      <w:r>
        <w:rPr>
          <w:spacing w:val="63"/>
        </w:rPr>
        <w:t> </w:t>
      </w:r>
      <w:r>
        <w:rPr/>
        <w:t>2002</w:t>
      </w:r>
    </w:p>
    <w:p>
      <w:pPr>
        <w:pStyle w:val="BodyText"/>
        <w:spacing w:before="141"/>
        <w:ind w:left="62"/>
      </w:pPr>
      <w:r>
        <w:rPr/>
        <w:br w:type="column"/>
      </w:r>
      <w:r>
        <w:rPr/>
        <w:t>y  el  doble  de lo</w:t>
      </w:r>
    </w:p>
    <w:p>
      <w:pPr>
        <w:spacing w:after="0"/>
        <w:sectPr>
          <w:type w:val="continuous"/>
          <w:pgSz w:w="11900" w:h="16840"/>
          <w:pgMar w:top="1600" w:bottom="280" w:left="1540" w:right="560"/>
          <w:cols w:num="3" w:equalWidth="0">
            <w:col w:w="2574" w:space="40"/>
            <w:col w:w="4230" w:space="40"/>
            <w:col w:w="2916"/>
          </w:cols>
        </w:sectPr>
      </w:pPr>
    </w:p>
    <w:p>
      <w:pPr>
        <w:pStyle w:val="BodyText"/>
        <w:spacing w:line="367" w:lineRule="auto" w:before="136"/>
        <w:ind w:left="118" w:right="1124"/>
      </w:pPr>
      <w:r>
        <w:rPr/>
        <w:t>registrado en el 2000.  Para  2008 fue de 25,145 millones de dólares. Apuntó que  el</w:t>
      </w:r>
      <w:r>
        <w:rPr>
          <w:spacing w:val="25"/>
        </w:rPr>
        <w:t> </w:t>
      </w:r>
      <w:r>
        <w:rPr/>
        <w:t>Banco</w:t>
      </w:r>
      <w:r>
        <w:rPr>
          <w:spacing w:val="26"/>
        </w:rPr>
        <w:t> </w:t>
      </w:r>
      <w:r>
        <w:rPr/>
        <w:t>de</w:t>
      </w:r>
      <w:r>
        <w:rPr>
          <w:spacing w:val="24"/>
        </w:rPr>
        <w:t> </w:t>
      </w:r>
      <w:r>
        <w:rPr/>
        <w:t>México</w:t>
      </w:r>
      <w:r>
        <w:rPr>
          <w:spacing w:val="24"/>
        </w:rPr>
        <w:t> </w:t>
      </w:r>
      <w:r>
        <w:rPr/>
        <w:t>reportó</w:t>
      </w:r>
      <w:r>
        <w:rPr>
          <w:spacing w:val="26"/>
        </w:rPr>
        <w:t> </w:t>
      </w:r>
      <w:r>
        <w:rPr/>
        <w:t>que</w:t>
      </w:r>
      <w:r>
        <w:rPr>
          <w:spacing w:val="21"/>
        </w:rPr>
        <w:t> </w:t>
      </w:r>
      <w:r>
        <w:rPr/>
        <w:t>uno</w:t>
      </w:r>
      <w:r>
        <w:rPr>
          <w:spacing w:val="24"/>
        </w:rPr>
        <w:t> </w:t>
      </w:r>
      <w:r>
        <w:rPr/>
        <w:t>de</w:t>
      </w:r>
      <w:r>
        <w:rPr>
          <w:spacing w:val="21"/>
        </w:rPr>
        <w:t> </w:t>
      </w:r>
      <w:r>
        <w:rPr/>
        <w:t>cada</w:t>
      </w:r>
      <w:r>
        <w:rPr>
          <w:spacing w:val="21"/>
        </w:rPr>
        <w:t> </w:t>
      </w:r>
      <w:r>
        <w:rPr/>
        <w:t>cuatro</w:t>
      </w:r>
      <w:r>
        <w:rPr>
          <w:spacing w:val="21"/>
        </w:rPr>
        <w:t> </w:t>
      </w:r>
      <w:r>
        <w:rPr/>
        <w:t>hogares</w:t>
      </w:r>
      <w:r>
        <w:rPr>
          <w:spacing w:val="25"/>
        </w:rPr>
        <w:t> </w:t>
      </w:r>
      <w:r>
        <w:rPr/>
        <w:t>recibe</w:t>
      </w:r>
      <w:r>
        <w:rPr>
          <w:spacing w:val="24"/>
        </w:rPr>
        <w:t> </w:t>
      </w:r>
      <w:r>
        <w:rPr/>
        <w:t>recursos</w:t>
      </w:r>
      <w:r>
        <w:rPr>
          <w:spacing w:val="27"/>
        </w:rPr>
        <w:t> </w:t>
      </w:r>
      <w:r>
        <w:rPr/>
        <w:t>por</w:t>
      </w:r>
    </w:p>
    <w:p>
      <w:pPr>
        <w:spacing w:after="0" w:line="367" w:lineRule="auto"/>
        <w:sectPr>
          <w:type w:val="continuous"/>
          <w:pgSz w:w="11900" w:h="16840"/>
          <w:pgMar w:top="1600" w:bottom="280" w:left="1540" w:right="560"/>
        </w:sectPr>
      </w:pPr>
    </w:p>
    <w:p>
      <w:pPr>
        <w:pStyle w:val="BodyText"/>
        <w:spacing w:line="364" w:lineRule="auto"/>
        <w:ind w:left="118"/>
      </w:pPr>
      <w:r>
        <w:rPr/>
        <w:pict>
          <v:shape style="position:absolute;margin-left:204.618942pt;margin-top:420.925598pt;width:214.35pt;height:4.4pt;mso-position-horizontal-relative:page;mso-position-vertical-relative:page;z-index:-707896" type="#_x0000_t202" filled="false" stroked="false">
            <v:textbox inset="0,0,0,0">
              <w:txbxContent>
                <w:p>
                  <w:pPr>
                    <w:spacing w:line="87" w:lineRule="exact" w:before="0"/>
                    <w:ind w:left="0" w:right="0" w:firstLine="0"/>
                    <w:jc w:val="left"/>
                    <w:rPr>
                      <w:b/>
                      <w:sz w:val="15"/>
                    </w:rPr>
                  </w:pPr>
                  <w:r>
                    <w:rPr>
                      <w:b/>
                      <w:w w:val="104"/>
                      <w:sz w:val="15"/>
                    </w:rPr>
                    <w:t>0</w:t>
                  </w:r>
                </w:p>
              </w:txbxContent>
            </v:textbox>
            <w10:wrap type="none"/>
          </v:shape>
        </w:pict>
      </w:r>
      <w:r>
        <w:rPr/>
        <w:pict>
          <v:shape style="position:absolute;margin-left:204.618942pt;margin-top:425.246796pt;width:214.35pt;height:4.4pt;mso-position-horizontal-relative:page;mso-position-vertical-relative:page;z-index:-707872" type="#_x0000_t202" filled="false" stroked="false">
            <v:textbox inset="0,0,0,0">
              <w:txbxContent>
                <w:p>
                  <w:pPr>
                    <w:spacing w:line="87" w:lineRule="exact" w:before="0"/>
                    <w:ind w:left="0" w:right="0" w:firstLine="0"/>
                    <w:jc w:val="left"/>
                    <w:rPr>
                      <w:b/>
                      <w:sz w:val="15"/>
                    </w:rPr>
                  </w:pPr>
                  <w:r>
                    <w:rPr>
                      <w:b/>
                      <w:w w:val="104"/>
                      <w:sz w:val="15"/>
                    </w:rPr>
                    <w:t>7</w:t>
                  </w:r>
                </w:p>
              </w:txbxContent>
            </v:textbox>
            <w10:wrap type="none"/>
          </v:shape>
        </w:pict>
      </w:r>
      <w:r>
        <w:rPr/>
        <w:pict>
          <v:shape style="position:absolute;margin-left:204.618942pt;margin-top:429.567963pt;width:214.35pt;height:4.4pt;mso-position-horizontal-relative:page;mso-position-vertical-relative:page;z-index:-707848" type="#_x0000_t202" filled="false" stroked="false">
            <v:textbox inset="0,0,0,0">
              <w:txbxContent>
                <w:p>
                  <w:pPr>
                    <w:spacing w:line="87" w:lineRule="exact" w:before="0"/>
                    <w:ind w:left="0" w:right="0" w:firstLine="0"/>
                    <w:jc w:val="left"/>
                    <w:rPr>
                      <w:b/>
                      <w:sz w:val="15"/>
                    </w:rPr>
                  </w:pPr>
                  <w:r>
                    <w:rPr>
                      <w:b/>
                      <w:w w:val="104"/>
                      <w:sz w:val="15"/>
                    </w:rPr>
                    <w:t>0</w:t>
                  </w:r>
                </w:p>
              </w:txbxContent>
            </v:textbox>
            <w10:wrap type="none"/>
          </v:shape>
        </w:pict>
      </w:r>
      <w:r>
        <w:rPr/>
        <w:pict>
          <v:shape style="position:absolute;margin-left:204.618942pt;margin-top:436.047821pt;width:214.35pt;height:4.4pt;mso-position-horizontal-relative:page;mso-position-vertical-relative:page;z-index:-707824" type="#_x0000_t202" filled="false" stroked="false">
            <v:textbox inset="0,0,0,0">
              <w:txbxContent>
                <w:p>
                  <w:pPr>
                    <w:spacing w:line="87" w:lineRule="exact" w:before="0"/>
                    <w:ind w:left="0" w:right="0" w:firstLine="0"/>
                    <w:jc w:val="left"/>
                    <w:rPr>
                      <w:b/>
                      <w:sz w:val="15"/>
                    </w:rPr>
                  </w:pPr>
                  <w:r>
                    <w:rPr>
                      <w:b/>
                      <w:w w:val="104"/>
                      <w:sz w:val="15"/>
                    </w:rPr>
                    <w:t>3</w:t>
                  </w:r>
                </w:p>
              </w:txbxContent>
            </v:textbox>
            <w10:wrap type="none"/>
          </v:shape>
        </w:pict>
      </w:r>
      <w:r>
        <w:rPr/>
        <w:pict>
          <v:shape style="position:absolute;margin-left:167.858963pt;margin-top:424.365601pt;width:9.85pt;height:21.4pt;mso-position-horizontal-relative:page;mso-position-vertical-relative:page;z-index:6976" type="#_x0000_t202" filled="false" stroked="false">
            <v:textbox inset="0,0,0,0" style="layout-flow:vertical;mso-layout-flow-alt:bottom-to-top">
              <w:txbxContent>
                <w:p>
                  <w:pPr>
                    <w:spacing w:before="6"/>
                    <w:ind w:left="20" w:right="-103" w:firstLine="0"/>
                    <w:jc w:val="left"/>
                    <w:rPr>
                      <w:b/>
                      <w:sz w:val="15"/>
                    </w:rPr>
                  </w:pPr>
                  <w:r>
                    <w:rPr>
                      <w:b/>
                      <w:w w:val="104"/>
                      <w:sz w:val="15"/>
                    </w:rPr>
                    <w:t>2</w:t>
                  </w:r>
                  <w:r>
                    <w:rPr>
                      <w:b/>
                      <w:spacing w:val="-2"/>
                      <w:sz w:val="15"/>
                    </w:rPr>
                    <w:t> </w:t>
                  </w:r>
                  <w:r>
                    <w:rPr>
                      <w:b/>
                      <w:spacing w:val="-1"/>
                      <w:w w:val="104"/>
                      <w:sz w:val="15"/>
                    </w:rPr>
                    <w:t>49</w:t>
                  </w:r>
                  <w:r>
                    <w:rPr>
                      <w:b/>
                      <w:w w:val="104"/>
                      <w:sz w:val="15"/>
                    </w:rPr>
                    <w:t>4</w:t>
                  </w:r>
                </w:p>
              </w:txbxContent>
            </v:textbox>
            <w10:wrap type="none"/>
          </v:shape>
        </w:pict>
      </w:r>
      <w:r>
        <w:rPr/>
        <w:pict>
          <v:shape style="position:absolute;margin-left:186.218948pt;margin-top:421.245605pt;width:9.85pt;height:21.5pt;mso-position-horizontal-relative:page;mso-position-vertical-relative:page;z-index:7000" type="#_x0000_t202" filled="false" stroked="false">
            <v:textbox inset="0,0,0,0" style="layout-flow:vertical;mso-layout-flow-alt:bottom-to-top">
              <w:txbxContent>
                <w:p>
                  <w:pPr>
                    <w:spacing w:before="6"/>
                    <w:ind w:left="20" w:right="-103" w:firstLine="0"/>
                    <w:jc w:val="left"/>
                    <w:rPr>
                      <w:b/>
                      <w:sz w:val="15"/>
                    </w:rPr>
                  </w:pPr>
                  <w:r>
                    <w:rPr>
                      <w:b/>
                      <w:w w:val="104"/>
                      <w:sz w:val="15"/>
                    </w:rPr>
                    <w:t>2</w:t>
                  </w:r>
                  <w:r>
                    <w:rPr>
                      <w:b/>
                      <w:sz w:val="15"/>
                    </w:rPr>
                    <w:t> </w:t>
                  </w:r>
                  <w:r>
                    <w:rPr>
                      <w:b/>
                      <w:spacing w:val="-1"/>
                      <w:w w:val="104"/>
                      <w:sz w:val="15"/>
                    </w:rPr>
                    <w:t>66</w:t>
                  </w:r>
                  <w:r>
                    <w:rPr>
                      <w:b/>
                      <w:w w:val="104"/>
                      <w:sz w:val="15"/>
                    </w:rPr>
                    <w:t>0</w:t>
                  </w:r>
                </w:p>
              </w:txbxContent>
            </v:textbox>
            <w10:wrap type="none"/>
          </v:shape>
        </w:pict>
      </w:r>
      <w:r>
        <w:rPr/>
        <w:pict>
          <v:shape style="position:absolute;margin-left:220.898941pt;margin-top:424.12561pt;width:9.85pt;height:21.4pt;mso-position-horizontal-relative:page;mso-position-vertical-relative:page;z-index:7024" type="#_x0000_t202" filled="false" stroked="false">
            <v:textbox inset="0,0,0,0" style="layout-flow:vertical;mso-layout-flow-alt:bottom-to-top">
              <w:txbxContent>
                <w:p>
                  <w:pPr>
                    <w:spacing w:before="6"/>
                    <w:ind w:left="20" w:right="-103" w:firstLine="0"/>
                    <w:jc w:val="left"/>
                    <w:rPr>
                      <w:b/>
                      <w:sz w:val="15"/>
                    </w:rPr>
                  </w:pPr>
                  <w:r>
                    <w:rPr>
                      <w:b/>
                      <w:w w:val="104"/>
                      <w:sz w:val="15"/>
                    </w:rPr>
                    <w:t>3</w:t>
                  </w:r>
                  <w:r>
                    <w:rPr>
                      <w:b/>
                      <w:spacing w:val="-2"/>
                      <w:sz w:val="15"/>
                    </w:rPr>
                    <w:t> </w:t>
                  </w:r>
                  <w:r>
                    <w:rPr>
                      <w:b/>
                      <w:spacing w:val="-1"/>
                      <w:w w:val="104"/>
                      <w:sz w:val="15"/>
                    </w:rPr>
                    <w:t>33</w:t>
                  </w:r>
                  <w:r>
                    <w:rPr>
                      <w:b/>
                      <w:w w:val="104"/>
                      <w:sz w:val="15"/>
                    </w:rPr>
                    <w:t>3</w:t>
                  </w:r>
                </w:p>
              </w:txbxContent>
            </v:textbox>
            <w10:wrap type="none"/>
          </v:shape>
        </w:pict>
      </w:r>
      <w:r>
        <w:rPr/>
        <w:pict>
          <v:shape style="position:absolute;margin-left:238.298935pt;margin-top:427.365601pt;width:9.85pt;height:21.5pt;mso-position-horizontal-relative:page;mso-position-vertical-relative:page;z-index:7048" type="#_x0000_t202" filled="false" stroked="false">
            <v:textbox inset="0,0,0,0" style="layout-flow:vertical;mso-layout-flow-alt:bottom-to-top">
              <w:txbxContent>
                <w:p>
                  <w:pPr>
                    <w:spacing w:before="6"/>
                    <w:ind w:left="20" w:right="-103" w:firstLine="0"/>
                    <w:jc w:val="left"/>
                    <w:rPr>
                      <w:b/>
                      <w:sz w:val="15"/>
                    </w:rPr>
                  </w:pPr>
                  <w:r>
                    <w:rPr>
                      <w:b/>
                      <w:w w:val="104"/>
                      <w:sz w:val="15"/>
                    </w:rPr>
                    <w:t>3</w:t>
                  </w:r>
                  <w:r>
                    <w:rPr>
                      <w:b/>
                      <w:sz w:val="15"/>
                    </w:rPr>
                    <w:t> </w:t>
                  </w:r>
                  <w:r>
                    <w:rPr>
                      <w:b/>
                      <w:spacing w:val="-1"/>
                      <w:w w:val="104"/>
                      <w:sz w:val="15"/>
                    </w:rPr>
                    <w:t>47</w:t>
                  </w:r>
                  <w:r>
                    <w:rPr>
                      <w:b/>
                      <w:w w:val="104"/>
                      <w:sz w:val="15"/>
                    </w:rPr>
                    <w:t>5</w:t>
                  </w:r>
                </w:p>
              </w:txbxContent>
            </v:textbox>
            <w10:wrap type="none"/>
          </v:shape>
        </w:pict>
      </w:r>
      <w:r>
        <w:rPr/>
        <w:pict>
          <v:shape style="position:absolute;margin-left:255.698929pt;margin-top:419.205597pt;width:9.85pt;height:21.5pt;mso-position-horizontal-relative:page;mso-position-vertical-relative:page;z-index:7072" type="#_x0000_t202" filled="false" stroked="false">
            <v:textbox inset="0,0,0,0" style="layout-flow:vertical;mso-layout-flow-alt:bottom-to-top">
              <w:txbxContent>
                <w:p>
                  <w:pPr>
                    <w:spacing w:before="6"/>
                    <w:ind w:left="20" w:right="-103" w:firstLine="0"/>
                    <w:jc w:val="left"/>
                    <w:rPr>
                      <w:b/>
                      <w:sz w:val="15"/>
                    </w:rPr>
                  </w:pPr>
                  <w:r>
                    <w:rPr>
                      <w:b/>
                      <w:w w:val="104"/>
                      <w:sz w:val="15"/>
                    </w:rPr>
                    <w:t>3</w:t>
                  </w:r>
                  <w:r>
                    <w:rPr>
                      <w:b/>
                      <w:sz w:val="15"/>
                    </w:rPr>
                    <w:t> </w:t>
                  </w:r>
                  <w:r>
                    <w:rPr>
                      <w:b/>
                      <w:spacing w:val="-1"/>
                      <w:w w:val="104"/>
                      <w:sz w:val="15"/>
                    </w:rPr>
                    <w:t>67</w:t>
                  </w:r>
                  <w:r>
                    <w:rPr>
                      <w:b/>
                      <w:w w:val="104"/>
                      <w:sz w:val="15"/>
                    </w:rPr>
                    <w:t>3</w:t>
                  </w:r>
                </w:p>
              </w:txbxContent>
            </v:textbox>
            <w10:wrap type="none"/>
          </v:shape>
        </w:pict>
      </w:r>
      <w:r>
        <w:rPr/>
        <w:pict>
          <v:shape style="position:absolute;margin-left:274.058929pt;margin-top:414.045593pt;width:26.15pt;height:27.25pt;mso-position-horizontal-relative:page;mso-position-vertical-relative:page;z-index:7096" type="#_x0000_t202" filled="false" stroked="false">
            <v:textbox inset="0,0,0,0" style="layout-flow:vertical;mso-layout-flow-alt:bottom-to-top">
              <w:txbxContent>
                <w:p>
                  <w:pPr>
                    <w:spacing w:before="6"/>
                    <w:ind w:left="20" w:right="-11" w:firstLine="0"/>
                    <w:jc w:val="left"/>
                    <w:rPr>
                      <w:b/>
                      <w:sz w:val="15"/>
                    </w:rPr>
                  </w:pPr>
                  <w:r>
                    <w:rPr>
                      <w:b/>
                      <w:w w:val="104"/>
                      <w:sz w:val="15"/>
                    </w:rPr>
                    <w:t>4</w:t>
                  </w:r>
                  <w:r>
                    <w:rPr>
                      <w:b/>
                      <w:spacing w:val="-2"/>
                      <w:sz w:val="15"/>
                    </w:rPr>
                    <w:t> </w:t>
                  </w:r>
                  <w:r>
                    <w:rPr>
                      <w:b/>
                      <w:spacing w:val="-1"/>
                      <w:w w:val="104"/>
                      <w:sz w:val="15"/>
                    </w:rPr>
                    <w:t>22</w:t>
                  </w:r>
                  <w:r>
                    <w:rPr>
                      <w:b/>
                      <w:w w:val="104"/>
                      <w:sz w:val="15"/>
                    </w:rPr>
                    <w:t>4</w:t>
                  </w:r>
                </w:p>
                <w:p>
                  <w:pPr>
                    <w:pStyle w:val="BodyText"/>
                    <w:spacing w:before="4"/>
                    <w:rPr>
                      <w:sz w:val="13"/>
                    </w:rPr>
                  </w:pPr>
                </w:p>
                <w:p>
                  <w:pPr>
                    <w:spacing w:before="0"/>
                    <w:ind w:left="137" w:right="-20" w:firstLine="0"/>
                    <w:jc w:val="left"/>
                    <w:rPr>
                      <w:b/>
                      <w:sz w:val="15"/>
                    </w:rPr>
                  </w:pPr>
                  <w:r>
                    <w:rPr>
                      <w:b/>
                      <w:w w:val="104"/>
                      <w:sz w:val="15"/>
                    </w:rPr>
                    <w:t>4</w:t>
                  </w:r>
                  <w:r>
                    <w:rPr>
                      <w:b/>
                      <w:spacing w:val="-2"/>
                      <w:sz w:val="15"/>
                    </w:rPr>
                    <w:t> </w:t>
                  </w:r>
                  <w:r>
                    <w:rPr>
                      <w:b/>
                      <w:spacing w:val="-1"/>
                      <w:w w:val="104"/>
                      <w:sz w:val="15"/>
                    </w:rPr>
                    <w:t>86</w:t>
                  </w:r>
                  <w:r>
                    <w:rPr>
                      <w:b/>
                      <w:w w:val="104"/>
                      <w:sz w:val="15"/>
                    </w:rPr>
                    <w:t>5</w:t>
                  </w:r>
                </w:p>
              </w:txbxContent>
            </v:textbox>
            <w10:wrap type="none"/>
          </v:shape>
        </w:pict>
      </w:r>
      <w:r>
        <w:rPr/>
        <w:pict>
          <v:shape style="position:absolute;margin-left:307.7789pt;margin-top:414.045593pt;width:9.85pt;height:21.4pt;mso-position-horizontal-relative:page;mso-position-vertical-relative:page;z-index:7120" type="#_x0000_t202" filled="false" stroked="false">
            <v:textbox inset="0,0,0,0" style="layout-flow:vertical;mso-layout-flow-alt:bottom-to-top">
              <w:txbxContent>
                <w:p>
                  <w:pPr>
                    <w:spacing w:before="6"/>
                    <w:ind w:left="20" w:right="-103" w:firstLine="0"/>
                    <w:jc w:val="left"/>
                    <w:rPr>
                      <w:b/>
                      <w:sz w:val="15"/>
                    </w:rPr>
                  </w:pPr>
                  <w:r>
                    <w:rPr>
                      <w:b/>
                      <w:w w:val="104"/>
                      <w:sz w:val="15"/>
                    </w:rPr>
                    <w:t>5</w:t>
                  </w:r>
                  <w:r>
                    <w:rPr>
                      <w:b/>
                      <w:spacing w:val="-2"/>
                      <w:sz w:val="15"/>
                    </w:rPr>
                    <w:t> </w:t>
                  </w:r>
                  <w:r>
                    <w:rPr>
                      <w:b/>
                      <w:spacing w:val="-1"/>
                      <w:w w:val="104"/>
                      <w:sz w:val="15"/>
                    </w:rPr>
                    <w:t>62</w:t>
                  </w:r>
                  <w:r>
                    <w:rPr>
                      <w:b/>
                      <w:w w:val="104"/>
                      <w:sz w:val="15"/>
                    </w:rPr>
                    <w:t>7</w:t>
                  </w:r>
                </w:p>
              </w:txbxContent>
            </v:textbox>
            <w10:wrap type="none"/>
          </v:shape>
        </w:pict>
      </w:r>
      <w:r>
        <w:rPr/>
        <w:pict>
          <v:shape style="position:absolute;margin-left:324.218903pt;margin-top:408.045593pt;width:9.85pt;height:21.5pt;mso-position-horizontal-relative:page;mso-position-vertical-relative:page;z-index:7144" type="#_x0000_t202" filled="false" stroked="false">
            <v:textbox inset="0,0,0,0" style="layout-flow:vertical;mso-layout-flow-alt:bottom-to-top">
              <w:txbxContent>
                <w:p>
                  <w:pPr>
                    <w:spacing w:before="6"/>
                    <w:ind w:left="20" w:right="-103" w:firstLine="0"/>
                    <w:jc w:val="left"/>
                    <w:rPr>
                      <w:b/>
                      <w:sz w:val="15"/>
                    </w:rPr>
                  </w:pPr>
                  <w:r>
                    <w:rPr>
                      <w:b/>
                      <w:w w:val="104"/>
                      <w:sz w:val="15"/>
                    </w:rPr>
                    <w:t>5</w:t>
                  </w:r>
                  <w:r>
                    <w:rPr>
                      <w:b/>
                      <w:sz w:val="15"/>
                    </w:rPr>
                    <w:t> </w:t>
                  </w:r>
                  <w:r>
                    <w:rPr>
                      <w:b/>
                      <w:spacing w:val="-1"/>
                      <w:w w:val="104"/>
                      <w:sz w:val="15"/>
                    </w:rPr>
                    <w:t>91</w:t>
                  </w:r>
                  <w:r>
                    <w:rPr>
                      <w:b/>
                      <w:w w:val="104"/>
                      <w:sz w:val="15"/>
                    </w:rPr>
                    <w:t>0</w:t>
                  </w:r>
                </w:p>
              </w:txbxContent>
            </v:textbox>
            <w10:wrap type="none"/>
          </v:shape>
        </w:pict>
      </w:r>
      <w:r>
        <w:rPr/>
        <w:pict>
          <v:shape style="position:absolute;margin-left:341.618896pt;margin-top:408.405609pt;width:9.85pt;height:21.4pt;mso-position-horizontal-relative:page;mso-position-vertical-relative:page;z-index:7168" type="#_x0000_t202" filled="false" stroked="false">
            <v:textbox inset="0,0,0,0" style="layout-flow:vertical;mso-layout-flow-alt:bottom-to-top">
              <w:txbxContent>
                <w:p>
                  <w:pPr>
                    <w:spacing w:before="6"/>
                    <w:ind w:left="20" w:right="-103" w:firstLine="0"/>
                    <w:jc w:val="left"/>
                    <w:rPr>
                      <w:b/>
                      <w:sz w:val="15"/>
                    </w:rPr>
                  </w:pPr>
                  <w:r>
                    <w:rPr>
                      <w:b/>
                      <w:w w:val="104"/>
                      <w:sz w:val="15"/>
                    </w:rPr>
                    <w:t>6</w:t>
                  </w:r>
                  <w:r>
                    <w:rPr>
                      <w:b/>
                      <w:spacing w:val="-2"/>
                      <w:sz w:val="15"/>
                    </w:rPr>
                    <w:t> </w:t>
                  </w:r>
                  <w:r>
                    <w:rPr>
                      <w:b/>
                      <w:spacing w:val="-1"/>
                      <w:w w:val="104"/>
                      <w:sz w:val="15"/>
                    </w:rPr>
                    <w:t>57</w:t>
                  </w:r>
                  <w:r>
                    <w:rPr>
                      <w:b/>
                      <w:w w:val="104"/>
                      <w:sz w:val="15"/>
                    </w:rPr>
                    <w:t>3</w:t>
                  </w:r>
                </w:p>
              </w:txbxContent>
            </v:textbox>
            <w10:wrap type="none"/>
          </v:shape>
        </w:pict>
      </w:r>
      <w:r>
        <w:rPr/>
        <w:pict>
          <v:shape style="position:absolute;margin-left:360.098877pt;margin-top:389.325623pt;width:9.85pt;height:21.5pt;mso-position-horizontal-relative:page;mso-position-vertical-relative:page;z-index:7192" type="#_x0000_t202" filled="false" stroked="false">
            <v:textbox inset="0,0,0,0" style="layout-flow:vertical;mso-layout-flow-alt:bottom-to-top">
              <w:txbxContent>
                <w:p>
                  <w:pPr>
                    <w:spacing w:before="6"/>
                    <w:ind w:left="20" w:right="-103" w:firstLine="0"/>
                    <w:jc w:val="left"/>
                    <w:rPr>
                      <w:b/>
                      <w:sz w:val="15"/>
                    </w:rPr>
                  </w:pPr>
                  <w:r>
                    <w:rPr>
                      <w:b/>
                      <w:w w:val="104"/>
                      <w:sz w:val="15"/>
                    </w:rPr>
                    <w:t>8</w:t>
                  </w:r>
                  <w:r>
                    <w:rPr>
                      <w:b/>
                      <w:sz w:val="15"/>
                    </w:rPr>
                    <w:t> </w:t>
                  </w:r>
                  <w:r>
                    <w:rPr>
                      <w:b/>
                      <w:spacing w:val="-1"/>
                      <w:w w:val="104"/>
                      <w:sz w:val="15"/>
                    </w:rPr>
                    <w:t>89</w:t>
                  </w:r>
                  <w:r>
                    <w:rPr>
                      <w:b/>
                      <w:w w:val="104"/>
                      <w:sz w:val="15"/>
                    </w:rPr>
                    <w:t>5</w:t>
                  </w:r>
                </w:p>
              </w:txbxContent>
            </v:textbox>
            <w10:wrap type="none"/>
          </v:shape>
        </w:pict>
      </w:r>
      <w:r>
        <w:rPr/>
        <w:pict>
          <v:shape style="position:absolute;margin-left:377.498871pt;margin-top:383.685608pt;width:9.85pt;height:21.5pt;mso-position-horizontal-relative:page;mso-position-vertical-relative:page;z-index:7216" type="#_x0000_t202" filled="false" stroked="false">
            <v:textbox inset="0,0,0,0" style="layout-flow:vertical;mso-layout-flow-alt:bottom-to-top">
              <w:txbxContent>
                <w:p>
                  <w:pPr>
                    <w:spacing w:before="6"/>
                    <w:ind w:left="20" w:right="-103" w:firstLine="0"/>
                    <w:jc w:val="left"/>
                    <w:rPr>
                      <w:b/>
                      <w:sz w:val="15"/>
                    </w:rPr>
                  </w:pPr>
                  <w:r>
                    <w:rPr>
                      <w:b/>
                      <w:w w:val="104"/>
                      <w:sz w:val="15"/>
                    </w:rPr>
                    <w:t>9</w:t>
                  </w:r>
                  <w:r>
                    <w:rPr>
                      <w:b/>
                      <w:sz w:val="15"/>
                    </w:rPr>
                    <w:t> </w:t>
                  </w:r>
                  <w:r>
                    <w:rPr>
                      <w:b/>
                      <w:spacing w:val="-1"/>
                      <w:w w:val="104"/>
                      <w:sz w:val="15"/>
                    </w:rPr>
                    <w:t>81</w:t>
                  </w:r>
                  <w:r>
                    <w:rPr>
                      <w:b/>
                      <w:w w:val="104"/>
                      <w:sz w:val="15"/>
                    </w:rPr>
                    <w:t>5</w:t>
                  </w:r>
                </w:p>
              </w:txbxContent>
            </v:textbox>
            <w10:wrap type="none"/>
          </v:shape>
        </w:pict>
      </w:r>
      <w:r>
        <w:rPr/>
        <w:t>este medio y reconoce interno nacional.</w:t>
      </w:r>
    </w:p>
    <w:p>
      <w:pPr>
        <w:pStyle w:val="BodyText"/>
        <w:ind w:left="82"/>
      </w:pPr>
      <w:r>
        <w:rPr/>
        <w:br w:type="column"/>
      </w:r>
      <w:r>
        <w:rPr/>
        <w:t>que  es  uno  de  los  factores  que  sostiene  el  consumo</w:t>
      </w:r>
    </w:p>
    <w:p>
      <w:pPr>
        <w:spacing w:after="0"/>
        <w:sectPr>
          <w:type w:val="continuous"/>
          <w:pgSz w:w="11900" w:h="16840"/>
          <w:pgMar w:top="1600" w:bottom="280" w:left="1540" w:right="560"/>
          <w:cols w:num="2" w:equalWidth="0">
            <w:col w:w="2644" w:space="40"/>
            <w:col w:w="7116"/>
          </w:cols>
        </w:sectPr>
      </w:pPr>
    </w:p>
    <w:p>
      <w:pPr>
        <w:pStyle w:val="BodyText"/>
        <w:rPr>
          <w:sz w:val="20"/>
        </w:rPr>
      </w:pPr>
    </w:p>
    <w:p>
      <w:pPr>
        <w:pStyle w:val="BodyText"/>
        <w:spacing w:before="7"/>
        <w:rPr>
          <w:sz w:val="16"/>
        </w:rPr>
      </w:pPr>
    </w:p>
    <w:p>
      <w:pPr>
        <w:spacing w:after="0"/>
        <w:rPr>
          <w:sz w:val="16"/>
        </w:rPr>
        <w:sectPr>
          <w:pgSz w:w="11900" w:h="16840"/>
          <w:pgMar w:header="0" w:footer="1676" w:top="1600" w:bottom="1860" w:left="1540" w:right="1500"/>
        </w:sectPr>
      </w:pPr>
    </w:p>
    <w:p>
      <w:pPr>
        <w:pStyle w:val="Heading4"/>
        <w:spacing w:before="74"/>
        <w:ind w:left="144"/>
      </w:pPr>
      <w:r>
        <w:rPr/>
        <w:t>Figura 8. Distribución</w:t>
      </w:r>
    </w:p>
    <w:p>
      <w:pPr>
        <w:spacing w:line="364" w:lineRule="auto" w:before="74"/>
        <w:ind w:left="1185" w:right="119" w:hanging="1095"/>
        <w:jc w:val="left"/>
        <w:rPr>
          <w:b/>
          <w:sz w:val="23"/>
        </w:rPr>
      </w:pPr>
      <w:r>
        <w:rPr/>
        <w:br w:type="column"/>
      </w:r>
      <w:r>
        <w:rPr>
          <w:b/>
          <w:sz w:val="23"/>
        </w:rPr>
        <w:t>de las remesas por entidad federativa, 2008 (Millones de dólares)</w:t>
      </w:r>
    </w:p>
    <w:p>
      <w:pPr>
        <w:spacing w:after="0" w:line="364" w:lineRule="auto"/>
        <w:jc w:val="left"/>
        <w:rPr>
          <w:sz w:val="23"/>
        </w:rPr>
        <w:sectPr>
          <w:type w:val="continuous"/>
          <w:pgSz w:w="11900" w:h="16840"/>
          <w:pgMar w:top="1600" w:bottom="280" w:left="1540" w:right="1500"/>
          <w:cols w:num="2" w:equalWidth="0">
            <w:col w:w="2546" w:space="40"/>
            <w:col w:w="6274"/>
          </w:cols>
        </w:sectPr>
      </w:pPr>
    </w:p>
    <w:p>
      <w:pPr>
        <w:pStyle w:val="BodyText"/>
        <w:ind w:left="120"/>
        <w:rPr>
          <w:sz w:val="20"/>
        </w:rPr>
      </w:pPr>
      <w:r>
        <w:rPr>
          <w:sz w:val="20"/>
        </w:rPr>
        <w:pict>
          <v:group style="width:431.65pt;height:401.2pt;mso-position-horizontal-relative:char;mso-position-vertical-relative:line" coordorigin="0,0" coordsize="8633,8024">
            <v:shape style="position:absolute;left:778;top:175;width:1752;height:7258" type="#_x0000_t75" stroked="false">
              <v:imagedata r:id="rId200" o:title=""/>
            </v:shape>
            <v:line style="position:absolute" from="785,7454" to="799,7454" stroked="true" strokeweight="3.12pt" strokecolor="#858585"/>
            <v:line style="position:absolute" from="2249,7454" to="2266,7454" stroked="true" strokeweight="3.12pt" strokecolor="#858585"/>
            <v:line style="position:absolute" from="732,7423" to="792,7423" stroked="true" strokeweight=".72pt" strokecolor="#858585"/>
            <v:line style="position:absolute" from="732,7198" to="792,7198" stroked="true" strokeweight=".72pt" strokecolor="#858585"/>
            <v:line style="position:absolute" from="732,6972" to="792,6972" stroked="true" strokeweight=".72pt" strokecolor="#858585"/>
            <v:line style="position:absolute" from="732,6749" to="792,6749" stroked="true" strokeweight=".72pt" strokecolor="#858585"/>
            <v:line style="position:absolute" from="732,6523" to="792,6523" stroked="true" strokeweight=".72pt" strokecolor="#858585"/>
            <v:line style="position:absolute" from="732,6300" to="792,6300" stroked="true" strokeweight=".72pt" strokecolor="#858585"/>
            <v:line style="position:absolute" from="732,6077" to="792,6077" stroked="true" strokeweight=".72pt" strokecolor="#858585"/>
            <v:line style="position:absolute" from="732,5851" to="792,5851" stroked="true" strokeweight=".72pt" strokecolor="#858585"/>
            <v:line style="position:absolute" from="732,5628" to="792,5628" stroked="true" strokeweight=".72pt" strokecolor="#858585"/>
            <v:line style="position:absolute" from="732,5402" to="792,5402" stroked="true" strokeweight=".72pt" strokecolor="#858585"/>
            <v:line style="position:absolute" from="732,5179" to="792,5179" stroked="true" strokeweight=".72pt" strokecolor="#858585"/>
            <v:line style="position:absolute" from="732,4954" to="792,4954" stroked="true" strokeweight=".72pt" strokecolor="#858585"/>
            <v:line style="position:absolute" from="732,4730" to="792,4730" stroked="true" strokeweight=".72pt" strokecolor="#858585"/>
            <v:line style="position:absolute" from="732,4505" to="792,4505" stroked="true" strokeweight=".72pt" strokecolor="#858585"/>
            <v:line style="position:absolute" from="732,4282" to="792,4282" stroked="true" strokeweight=".72pt" strokecolor="#858585"/>
            <v:line style="position:absolute" from="732,4058" to="792,4058" stroked="true" strokeweight=".72pt" strokecolor="#858585"/>
            <v:line style="position:absolute" from="732,3833" to="792,3833" stroked="true" strokeweight=".72pt" strokecolor="#858585"/>
            <v:line style="position:absolute" from="732,3610" to="792,3610" stroked="true" strokeweight=".72pt" strokecolor="#858585"/>
            <v:line style="position:absolute" from="732,3384" to="792,3384" stroked="true" strokeweight=".72pt" strokecolor="#858585"/>
            <v:line style="position:absolute" from="732,3161" to="792,3161" stroked="true" strokeweight=".72pt" strokecolor="#858585"/>
            <v:line style="position:absolute" from="732,2935" to="792,2935" stroked="true" strokeweight=".72pt" strokecolor="#858585"/>
            <v:line style="position:absolute" from="732,2712" to="792,2712" stroked="true" strokeweight=".72pt" strokecolor="#858585"/>
            <v:line style="position:absolute" from="732,2486" to="792,2486" stroked="true" strokeweight=".72pt" strokecolor="#858585"/>
            <v:line style="position:absolute" from="732,2263" to="792,2263" stroked="true" strokeweight=".72pt" strokecolor="#858585"/>
            <v:line style="position:absolute" from="732,2040" to="792,2040" stroked="true" strokeweight=".72pt" strokecolor="#858585"/>
            <v:line style="position:absolute" from="732,1814" to="792,1814" stroked="true" strokeweight=".72pt" strokecolor="#858585"/>
            <v:line style="position:absolute" from="732,1591" to="792,1591" stroked="true" strokeweight=".72pt" strokecolor="#858585"/>
            <v:line style="position:absolute" from="732,1366" to="792,1366" stroked="true" strokeweight=".72pt" strokecolor="#858585"/>
            <v:line style="position:absolute" from="732,1142" to="792,1142" stroked="true" strokeweight=".72pt" strokecolor="#858585"/>
            <v:line style="position:absolute" from="732,917" to="792,917" stroked="true" strokeweight=".72pt" strokecolor="#858585"/>
            <v:line style="position:absolute" from="732,694" to="792,694" stroked="true" strokeweight=".72pt" strokecolor="#858585"/>
            <v:line style="position:absolute" from="732,468" to="792,468" stroked="true" strokeweight=".72pt" strokecolor="#858585"/>
            <v:line style="position:absolute" from="732,245" to="792,245" stroked="true" strokeweight=".72pt" strokecolor="#858585"/>
            <v:rect style="position:absolute;left:1750;top:5870;width:413;height:226" filled="true" fillcolor="#d7e4bc" stroked="false">
              <v:fill type="solid"/>
            </v:rect>
            <v:rect style="position:absolute;left:1752;top:5575;width:413;height:295" filled="true" fillcolor="#d7e4bc" stroked="false">
              <v:fill type="solid"/>
            </v:rect>
            <v:rect style="position:absolute;left:1843;top:5198;width:413;height:223" filled="true" fillcolor="#d7e4bc" stroked="false">
              <v:fill type="solid"/>
            </v:rect>
            <v:rect style="position:absolute;left:1846;top:4903;width:413;height:295" filled="true" fillcolor="#d7e4bc" stroked="false">
              <v:fill type="solid"/>
            </v:rect>
            <v:rect style="position:absolute;left:2170;top:4229;width:360;height:298" filled="true" fillcolor="#d7e4bc" stroked="false">
              <v:fill type="solid"/>
            </v:rect>
            <v:rect style="position:absolute;left:2194;top:4006;width:336;height:295" filled="true" fillcolor="#d7e4bc" stroked="false">
              <v:fill type="solid"/>
            </v:rect>
            <v:rect style="position:absolute;left:2266;top:3780;width:264;height:298" filled="true" fillcolor="#d7e4bc" stroked="false">
              <v:fill type="solid"/>
            </v:rect>
            <v:shape style="position:absolute;left:0;top:0;width:2530;height:8024" coordorigin="0,0" coordsize="2530,8024" path="m2530,0l7,0,0,5,0,8016,7,8023,2530,8023,2530,8009,29,8009,14,7992,29,7992,29,29,14,29,29,14,2530,14,2530,0xm29,7992l14,7992,29,8009,29,7992xm2530,7992l29,7992,29,8009,2530,8009,2530,7992xm29,14l14,29,29,29,29,14xm2530,14l29,14,29,29,2530,29,2530,14xe" filled="true" fillcolor="#0c0c0c" stroked="false">
              <v:path arrowok="t"/>
              <v:fill type="solid"/>
            </v:shape>
            <v:rect style="position:absolute;left:2530;top:14;width:4188;height:7994" filled="true" fillcolor="#ffffff" stroked="false">
              <v:fill type="solid"/>
            </v:rect>
            <v:shape style="position:absolute;left:2530;top:175;width:4188;height:7258" type="#_x0000_t75" stroked="false">
              <v:imagedata r:id="rId201" o:title=""/>
            </v:shape>
            <v:line style="position:absolute" from="3713,7454" to="3727,7454" stroked="true" strokeweight="3.12pt" strokecolor="#858585"/>
            <v:line style="position:absolute" from="5177,7454" to="5191,7454" stroked="true" strokeweight="3.12pt" strokecolor="#858585"/>
            <v:line style="position:absolute" from="6638,7454" to="6655,7454" stroked="true" strokeweight="3.12pt" strokecolor="#858585"/>
            <v:line style="position:absolute" from="2556,4229" to="2556,4526" stroked="true" strokeweight="2.640013pt" strokecolor="#d7e4bc"/>
            <v:line style="position:absolute" from="2568,4078" to="2568,4301" stroked="true" strokeweight="3.840013pt" strokecolor="#d7e4bc"/>
            <v:rect style="position:absolute;left:2530;top:7992;width:4188;height:31" filled="true" fillcolor="#0c0c0c" stroked="false">
              <v:fill type="solid"/>
            </v:rect>
            <v:rect style="position:absolute;left:2530;top:0;width:4188;height:29" filled="true" fillcolor="#0c0c0c" stroked="false">
              <v:fill type="solid"/>
            </v:rect>
            <v:rect style="position:absolute;left:6718;top:14;width:1901;height:7994" filled="true" fillcolor="#ffffff" stroked="false">
              <v:fill type="solid"/>
            </v:rect>
            <v:line style="position:absolute" from="6718,7360" to="6732,7360" stroked="true" strokeweight=".12pt" strokecolor="#858585"/>
            <v:line style="position:absolute" from="6718,7362" to="6732,7362" stroked="true" strokeweight=".12pt" strokecolor="#858585"/>
            <v:line style="position:absolute" from="6718,7372" to="6725,7372" stroked="true" strokeweight=".12pt" strokecolor="#858585"/>
            <v:shape style="position:absolute;left:6718;top:175;width:1481;height:7258" type="#_x0000_t75" stroked="false">
              <v:imagedata r:id="rId202" o:title=""/>
            </v:shape>
            <v:line style="position:absolute" from="8105,7454" to="8119,7454" stroked="true" strokeweight="3.12pt" strokecolor="#858585"/>
            <v:shape style="position:absolute;left:6718;top:0;width:1916;height:8024" coordorigin="6718,0" coordsize="1916,8024" path="m8602,7992l6718,7992,6718,8023,8626,8023,8633,8016,8633,8009,8602,8009,8602,7992xm8602,14l8602,8009,8618,7992,8633,7992,8633,29,8618,29,8602,14xm8633,7992l8618,7992,8602,8009,8633,8009,8633,7992xm8626,0l6718,0,6718,29,8602,29,8602,14,8633,14,8633,5,8626,0xm8633,14l8602,14,8618,29,8633,29,8633,14xe" filled="true" fillcolor="#0c0c0c" stroked="false">
              <v:path arrowok="t"/>
              <v:fill type="solid"/>
            </v:shape>
            <v:shape style="position:absolute;left:271;top:503;width:340;height:194" type="#_x0000_t202" filled="false" stroked="false">
              <v:textbox inset="0,0,0,0">
                <w:txbxContent>
                  <w:p>
                    <w:pPr>
                      <w:spacing w:line="194" w:lineRule="exact" w:before="0"/>
                      <w:ind w:left="0" w:right="-12" w:firstLine="0"/>
                      <w:jc w:val="left"/>
                      <w:rPr>
                        <w:rFonts w:ascii="Calibri"/>
                        <w:sz w:val="19"/>
                      </w:rPr>
                    </w:pPr>
                    <w:r>
                      <w:rPr>
                        <w:rFonts w:ascii="Calibri"/>
                        <w:sz w:val="19"/>
                      </w:rPr>
                      <w:t>Gto.</w:t>
                    </w:r>
                  </w:p>
                </w:txbxContent>
              </v:textbox>
              <w10:wrap type="none"/>
            </v:shape>
            <v:shape style="position:absolute;left:7680;top:252;width:877;height:428" type="#_x0000_t202" filled="false" stroked="false">
              <v:textbox inset="0,0,0,0">
                <w:txbxContent>
                  <w:p>
                    <w:pPr>
                      <w:spacing w:line="203" w:lineRule="exact" w:before="0"/>
                      <w:ind w:left="376" w:right="-1" w:firstLine="0"/>
                      <w:jc w:val="left"/>
                      <w:rPr>
                        <w:rFonts w:ascii="Calibri"/>
                        <w:sz w:val="19"/>
                      </w:rPr>
                    </w:pPr>
                    <w:r>
                      <w:rPr>
                        <w:rFonts w:ascii="Times New Roman"/>
                        <w:w w:val="102"/>
                        <w:sz w:val="19"/>
                        <w:shd w:fill="D7E4BC" w:color="auto" w:val="clear"/>
                      </w:rPr>
                      <w:t> </w:t>
                    </w:r>
                    <w:r>
                      <w:rPr>
                        <w:rFonts w:ascii="Calibri"/>
                        <w:sz w:val="19"/>
                        <w:shd w:fill="D7E4BC" w:color="auto" w:val="clear"/>
                      </w:rPr>
                      <w:t>2,458</w:t>
                    </w:r>
                  </w:p>
                  <w:p>
                    <w:pPr>
                      <w:spacing w:line="225" w:lineRule="exact" w:before="0"/>
                      <w:ind w:left="0" w:right="-1" w:firstLine="0"/>
                      <w:jc w:val="left"/>
                      <w:rPr>
                        <w:rFonts w:ascii="Calibri"/>
                        <w:sz w:val="19"/>
                      </w:rPr>
                    </w:pPr>
                    <w:r>
                      <w:rPr>
                        <w:rFonts w:ascii="Times New Roman"/>
                        <w:w w:val="102"/>
                        <w:sz w:val="19"/>
                        <w:shd w:fill="D7E4BC" w:color="auto" w:val="clear"/>
                      </w:rPr>
                      <w:t> </w:t>
                    </w:r>
                    <w:r>
                      <w:rPr>
                        <w:rFonts w:ascii="Calibri"/>
                        <w:sz w:val="19"/>
                        <w:shd w:fill="D7E4BC" w:color="auto" w:val="clear"/>
                      </w:rPr>
                      <w:t>2,325</w:t>
                    </w:r>
                  </w:p>
                </w:txbxContent>
              </v:textbox>
              <w10:wrap type="none"/>
            </v:shape>
            <v:shape style="position:absolute;left:170;top:698;width:7340;height:6728" type="#_x0000_t202" filled="false" stroked="false">
              <v:textbox inset="0,0,0,0">
                <w:txbxContent>
                  <w:p>
                    <w:pPr>
                      <w:spacing w:line="202" w:lineRule="exact" w:before="0"/>
                      <w:ind w:left="0" w:right="0" w:firstLine="0"/>
                      <w:jc w:val="right"/>
                      <w:rPr>
                        <w:rFonts w:ascii="Calibri"/>
                        <w:sz w:val="19"/>
                      </w:rPr>
                    </w:pPr>
                    <w:r>
                      <w:rPr>
                        <w:rFonts w:ascii="Times New Roman"/>
                        <w:w w:val="102"/>
                        <w:sz w:val="19"/>
                        <w:shd w:fill="D7E4BC" w:color="auto" w:val="clear"/>
                      </w:rPr>
                      <w:t> </w:t>
                    </w:r>
                    <w:r>
                      <w:rPr>
                        <w:rFonts w:ascii="Calibri"/>
                        <w:sz w:val="19"/>
                        <w:shd w:fill="D7E4BC" w:color="auto" w:val="clear"/>
                      </w:rPr>
                      <w:t>2,096</w:t>
                    </w:r>
                  </w:p>
                  <w:p>
                    <w:pPr>
                      <w:tabs>
                        <w:tab w:pos="6391" w:val="left" w:leader="none"/>
                      </w:tabs>
                      <w:spacing w:line="234" w:lineRule="exact" w:before="0"/>
                      <w:ind w:left="194" w:right="0" w:firstLine="0"/>
                      <w:jc w:val="left"/>
                      <w:rPr>
                        <w:rFonts w:ascii="Calibri"/>
                        <w:sz w:val="19"/>
                      </w:rPr>
                    </w:pPr>
                    <w:r>
                      <w:rPr>
                        <w:rFonts w:ascii="Calibri"/>
                        <w:sz w:val="19"/>
                      </w:rPr>
                      <w:t>Jal.</w:t>
                      <w:tab/>
                    </w:r>
                    <w:r>
                      <w:rPr>
                        <w:rFonts w:ascii="Calibri"/>
                        <w:position w:val="2"/>
                        <w:sz w:val="19"/>
                        <w:shd w:fill="D7E4BC" w:color="auto" w:val="clear"/>
                      </w:rPr>
                      <w:t>1,943</w:t>
                    </w:r>
                  </w:p>
                  <w:p>
                    <w:pPr>
                      <w:spacing w:line="214" w:lineRule="exact" w:before="0"/>
                      <w:ind w:left="0" w:right="1387" w:firstLine="0"/>
                      <w:jc w:val="right"/>
                      <w:rPr>
                        <w:rFonts w:ascii="Calibri"/>
                        <w:sz w:val="19"/>
                      </w:rPr>
                    </w:pPr>
                    <w:r>
                      <w:rPr>
                        <w:rFonts w:ascii="Times New Roman"/>
                        <w:w w:val="102"/>
                        <w:sz w:val="19"/>
                        <w:shd w:fill="D7E4BC" w:color="auto" w:val="clear"/>
                      </w:rPr>
                      <w:t> </w:t>
                    </w:r>
                    <w:r>
                      <w:rPr>
                        <w:rFonts w:ascii="Calibri"/>
                        <w:sz w:val="19"/>
                        <w:shd w:fill="D7E4BC" w:color="auto" w:val="clear"/>
                      </w:rPr>
                      <w:t>1,621</w:t>
                    </w:r>
                  </w:p>
                  <w:p>
                    <w:pPr>
                      <w:tabs>
                        <w:tab w:pos="5294" w:val="left" w:leader="none"/>
                      </w:tabs>
                      <w:spacing w:line="234" w:lineRule="exact" w:before="0"/>
                      <w:ind w:left="93" w:right="0" w:firstLine="0"/>
                      <w:jc w:val="left"/>
                      <w:rPr>
                        <w:rFonts w:ascii="Calibri"/>
                        <w:sz w:val="19"/>
                      </w:rPr>
                    </w:pPr>
                    <w:r>
                      <w:rPr>
                        <w:rFonts w:ascii="Calibri"/>
                        <w:sz w:val="19"/>
                      </w:rPr>
                      <w:t>Pue.</w:t>
                      <w:tab/>
                    </w:r>
                    <w:r>
                      <w:rPr>
                        <w:rFonts w:ascii="Calibri"/>
                        <w:position w:val="2"/>
                        <w:sz w:val="19"/>
                        <w:shd w:fill="D7E4BC" w:color="auto" w:val="clear"/>
                      </w:rPr>
                      <w:t>1,568</w:t>
                    </w:r>
                  </w:p>
                  <w:p>
                    <w:pPr>
                      <w:spacing w:line="214" w:lineRule="exact" w:before="0"/>
                      <w:ind w:left="0" w:right="1867" w:firstLine="0"/>
                      <w:jc w:val="right"/>
                      <w:rPr>
                        <w:rFonts w:ascii="Calibri"/>
                        <w:sz w:val="19"/>
                      </w:rPr>
                    </w:pPr>
                    <w:r>
                      <w:rPr>
                        <w:rFonts w:ascii="Times New Roman"/>
                        <w:w w:val="102"/>
                        <w:sz w:val="19"/>
                        <w:shd w:fill="D7E4BC" w:color="auto" w:val="clear"/>
                      </w:rPr>
                      <w:t> </w:t>
                    </w:r>
                    <w:r>
                      <w:rPr>
                        <w:rFonts w:ascii="Calibri"/>
                        <w:sz w:val="19"/>
                        <w:shd w:fill="D7E4BC" w:color="auto" w:val="clear"/>
                      </w:rPr>
                      <w:t>1,457</w:t>
                    </w:r>
                  </w:p>
                  <w:p>
                    <w:pPr>
                      <w:tabs>
                        <w:tab w:pos="4807" w:val="left" w:leader="none"/>
                      </w:tabs>
                      <w:spacing w:line="234" w:lineRule="exact" w:before="0"/>
                      <w:ind w:left="100" w:right="0" w:firstLine="0"/>
                      <w:jc w:val="left"/>
                      <w:rPr>
                        <w:rFonts w:ascii="Calibri"/>
                        <w:sz w:val="19"/>
                      </w:rPr>
                    </w:pPr>
                    <w:r>
                      <w:rPr>
                        <w:rFonts w:ascii="Calibri"/>
                        <w:sz w:val="19"/>
                      </w:rPr>
                      <w:t>Gro.</w:t>
                      <w:tab/>
                    </w:r>
                    <w:r>
                      <w:rPr>
                        <w:rFonts w:ascii="Calibri"/>
                        <w:position w:val="2"/>
                        <w:sz w:val="19"/>
                        <w:shd w:fill="D7E4BC" w:color="auto" w:val="clear"/>
                      </w:rPr>
                      <w:t>1,402</w:t>
                    </w:r>
                  </w:p>
                  <w:p>
                    <w:pPr>
                      <w:spacing w:line="214" w:lineRule="exact" w:before="0"/>
                      <w:ind w:left="1041" w:right="0" w:firstLine="0"/>
                      <w:jc w:val="center"/>
                      <w:rPr>
                        <w:rFonts w:ascii="Calibri"/>
                        <w:sz w:val="19"/>
                      </w:rPr>
                    </w:pPr>
                    <w:r>
                      <w:rPr>
                        <w:rFonts w:ascii="Times New Roman"/>
                        <w:w w:val="102"/>
                        <w:sz w:val="19"/>
                        <w:shd w:fill="D7E4BC" w:color="auto" w:val="clear"/>
                      </w:rPr>
                      <w:t> </w:t>
                    </w:r>
                    <w:r>
                      <w:rPr>
                        <w:rFonts w:ascii="Calibri"/>
                        <w:sz w:val="19"/>
                        <w:shd w:fill="D7E4BC" w:color="auto" w:val="clear"/>
                      </w:rPr>
                      <w:t>1,106</w:t>
                    </w:r>
                  </w:p>
                  <w:p>
                    <w:pPr>
                      <w:tabs>
                        <w:tab w:pos="3455" w:val="left" w:leader="none"/>
                      </w:tabs>
                      <w:spacing w:line="234" w:lineRule="exact" w:before="0"/>
                      <w:ind w:left="76" w:right="0" w:firstLine="0"/>
                      <w:jc w:val="left"/>
                      <w:rPr>
                        <w:rFonts w:ascii="Calibri"/>
                        <w:sz w:val="19"/>
                      </w:rPr>
                    </w:pPr>
                    <w:r>
                      <w:rPr>
                        <w:rFonts w:ascii="Calibri"/>
                        <w:sz w:val="19"/>
                      </w:rPr>
                      <w:t>Hgo.</w:t>
                      <w:tab/>
                    </w:r>
                    <w:r>
                      <w:rPr>
                        <w:rFonts w:ascii="Calibri"/>
                        <w:position w:val="2"/>
                        <w:sz w:val="19"/>
                        <w:shd w:fill="D7E4BC" w:color="auto" w:val="clear"/>
                      </w:rPr>
                      <w:t>940</w:t>
                    </w:r>
                  </w:p>
                  <w:p>
                    <w:pPr>
                      <w:spacing w:line="214" w:lineRule="exact" w:before="0"/>
                      <w:ind w:left="0" w:right="890" w:firstLine="0"/>
                      <w:jc w:val="center"/>
                      <w:rPr>
                        <w:rFonts w:ascii="Calibri"/>
                        <w:sz w:val="19"/>
                      </w:rPr>
                    </w:pPr>
                    <w:r>
                      <w:rPr>
                        <w:rFonts w:ascii="Times New Roman"/>
                        <w:w w:val="102"/>
                        <w:sz w:val="19"/>
                        <w:shd w:fill="D7E4BC" w:color="auto" w:val="clear"/>
                      </w:rPr>
                      <w:t> </w:t>
                    </w:r>
                    <w:r>
                      <w:rPr>
                        <w:rFonts w:ascii="Calibri"/>
                        <w:sz w:val="19"/>
                        <w:shd w:fill="D7E4BC" w:color="auto" w:val="clear"/>
                      </w:rPr>
                      <w:t>800</w:t>
                    </w:r>
                  </w:p>
                  <w:p>
                    <w:pPr>
                      <w:tabs>
                        <w:tab w:pos="2923" w:val="left" w:leader="none"/>
                      </w:tabs>
                      <w:spacing w:line="234" w:lineRule="exact" w:before="0"/>
                      <w:ind w:left="170" w:right="0" w:firstLine="0"/>
                      <w:jc w:val="left"/>
                      <w:rPr>
                        <w:rFonts w:ascii="Calibri"/>
                        <w:sz w:val="19"/>
                      </w:rPr>
                    </w:pPr>
                    <w:r>
                      <w:rPr>
                        <w:rFonts w:ascii="Calibri"/>
                        <w:sz w:val="19"/>
                      </w:rPr>
                      <w:t>SLP</w:t>
                      <w:tab/>
                    </w:r>
                    <w:r>
                      <w:rPr>
                        <w:rFonts w:ascii="Calibri"/>
                        <w:position w:val="2"/>
                        <w:sz w:val="19"/>
                        <w:shd w:fill="D7E4BC" w:color="auto" w:val="clear"/>
                      </w:rPr>
                      <w:t>759</w:t>
                    </w:r>
                  </w:p>
                  <w:p>
                    <w:pPr>
                      <w:spacing w:line="214" w:lineRule="exact" w:before="0"/>
                      <w:ind w:left="0" w:right="1606" w:firstLine="0"/>
                      <w:jc w:val="center"/>
                      <w:rPr>
                        <w:rFonts w:ascii="Calibri"/>
                        <w:sz w:val="19"/>
                      </w:rPr>
                    </w:pPr>
                    <w:r>
                      <w:rPr>
                        <w:rFonts w:ascii="Times New Roman"/>
                        <w:w w:val="102"/>
                        <w:sz w:val="19"/>
                        <w:shd w:fill="D7E4BC" w:color="auto" w:val="clear"/>
                      </w:rPr>
                      <w:t> </w:t>
                    </w:r>
                    <w:r>
                      <w:rPr>
                        <w:rFonts w:ascii="Calibri"/>
                        <w:sz w:val="19"/>
                        <w:shd w:fill="D7E4BC" w:color="auto" w:val="clear"/>
                      </w:rPr>
                      <w:t>678</w:t>
                    </w:r>
                  </w:p>
                  <w:p>
                    <w:pPr>
                      <w:tabs>
                        <w:tab w:pos="2522" w:val="left" w:leader="none"/>
                      </w:tabs>
                      <w:spacing w:line="234" w:lineRule="exact" w:before="0"/>
                      <w:ind w:left="55" w:right="0" w:firstLine="0"/>
                      <w:jc w:val="left"/>
                      <w:rPr>
                        <w:rFonts w:ascii="Calibri"/>
                        <w:sz w:val="19"/>
                      </w:rPr>
                    </w:pPr>
                    <w:r>
                      <w:rPr>
                        <w:rFonts w:ascii="Calibri"/>
                        <w:sz w:val="19"/>
                      </w:rPr>
                      <w:t>Mor.</w:t>
                      <w:tab/>
                    </w:r>
                    <w:r>
                      <w:rPr>
                        <w:rFonts w:ascii="Calibri"/>
                        <w:position w:val="2"/>
                        <w:sz w:val="19"/>
                        <w:shd w:fill="D7E4BC" w:color="auto" w:val="clear"/>
                      </w:rPr>
                      <w:t>621</w:t>
                    </w:r>
                  </w:p>
                  <w:p>
                    <w:pPr>
                      <w:spacing w:line="213" w:lineRule="exact" w:before="0"/>
                      <w:ind w:left="2200" w:right="0" w:firstLine="0"/>
                      <w:jc w:val="left"/>
                      <w:rPr>
                        <w:rFonts w:ascii="Calibri"/>
                        <w:sz w:val="19"/>
                      </w:rPr>
                    </w:pPr>
                    <w:r>
                      <w:rPr>
                        <w:rFonts w:ascii="Times New Roman"/>
                        <w:w w:val="102"/>
                        <w:sz w:val="19"/>
                        <w:shd w:fill="D7E4BC" w:color="auto" w:val="clear"/>
                      </w:rPr>
                      <w:t> </w:t>
                    </w:r>
                    <w:r>
                      <w:rPr>
                        <w:rFonts w:ascii="Calibri"/>
                        <w:sz w:val="19"/>
                        <w:shd w:fill="D7E4BC" w:color="auto" w:val="clear"/>
                      </w:rPr>
                      <w:t>512</w:t>
                    </w:r>
                  </w:p>
                  <w:p>
                    <w:pPr>
                      <w:tabs>
                        <w:tab w:pos="2135" w:val="left" w:leader="none"/>
                      </w:tabs>
                      <w:spacing w:line="234" w:lineRule="exact" w:before="0"/>
                      <w:ind w:left="156" w:right="0" w:firstLine="0"/>
                      <w:jc w:val="left"/>
                      <w:rPr>
                        <w:rFonts w:ascii="Calibri"/>
                        <w:sz w:val="19"/>
                      </w:rPr>
                    </w:pPr>
                    <w:r>
                      <w:rPr>
                        <w:rFonts w:ascii="Calibri"/>
                        <w:sz w:val="19"/>
                      </w:rPr>
                      <w:t>Sin.</w:t>
                      <w:tab/>
                    </w:r>
                    <w:r>
                      <w:rPr>
                        <w:rFonts w:ascii="Calibri"/>
                        <w:position w:val="2"/>
                        <w:sz w:val="19"/>
                        <w:shd w:fill="D7E4BC" w:color="auto" w:val="clear"/>
                      </w:rPr>
                      <w:t>489</w:t>
                    </w:r>
                  </w:p>
                  <w:p>
                    <w:pPr>
                      <w:spacing w:line="214" w:lineRule="exact" w:before="0"/>
                      <w:ind w:left="2155" w:right="0" w:firstLine="0"/>
                      <w:jc w:val="left"/>
                      <w:rPr>
                        <w:rFonts w:ascii="Calibri"/>
                        <w:sz w:val="19"/>
                      </w:rPr>
                    </w:pPr>
                    <w:r>
                      <w:rPr>
                        <w:rFonts w:ascii="Calibri"/>
                        <w:sz w:val="19"/>
                      </w:rPr>
                      <w:t>47</w:t>
                    </w:r>
                    <w:r>
                      <w:rPr>
                        <w:rFonts w:ascii="Calibri"/>
                        <w:sz w:val="19"/>
                        <w:shd w:fill="D7E4BC" w:color="auto" w:val="clear"/>
                      </w:rPr>
                      <w:t>5</w:t>
                    </w:r>
                  </w:p>
                  <w:p>
                    <w:pPr>
                      <w:tabs>
                        <w:tab w:pos="2378" w:val="right" w:leader="none"/>
                      </w:tabs>
                      <w:spacing w:line="234" w:lineRule="exact" w:before="0"/>
                      <w:ind w:left="79" w:right="0" w:firstLine="0"/>
                      <w:jc w:val="left"/>
                      <w:rPr>
                        <w:rFonts w:ascii="Calibri"/>
                        <w:sz w:val="19"/>
                      </w:rPr>
                    </w:pPr>
                    <w:r>
                      <w:rPr>
                        <w:rFonts w:ascii="Calibri"/>
                        <w:sz w:val="19"/>
                      </w:rPr>
                      <w:t>Dgo.</w:t>
                    </w:r>
                    <w:r>
                      <w:rPr>
                        <w:rFonts w:ascii="Times New Roman"/>
                        <w:position w:val="2"/>
                        <w:sz w:val="19"/>
                      </w:rPr>
                      <w:tab/>
                    </w:r>
                    <w:r>
                      <w:rPr>
                        <w:rFonts w:ascii="Calibri"/>
                        <w:position w:val="2"/>
                        <w:sz w:val="19"/>
                      </w:rPr>
                      <w:t>451</w:t>
                    </w:r>
                  </w:p>
                  <w:p>
                    <w:pPr>
                      <w:spacing w:line="214" w:lineRule="exact" w:before="0"/>
                      <w:ind w:left="2059" w:right="0" w:firstLine="0"/>
                      <w:jc w:val="left"/>
                      <w:rPr>
                        <w:rFonts w:ascii="Calibri"/>
                        <w:sz w:val="19"/>
                      </w:rPr>
                    </w:pPr>
                    <w:r>
                      <w:rPr>
                        <w:rFonts w:ascii="Calibri"/>
                        <w:sz w:val="19"/>
                      </w:rPr>
                      <w:t>442</w:t>
                    </w:r>
                  </w:p>
                  <w:p>
                    <w:pPr>
                      <w:tabs>
                        <w:tab w:pos="1826" w:val="left" w:leader="none"/>
                      </w:tabs>
                      <w:spacing w:line="233" w:lineRule="exact" w:before="0"/>
                      <w:ind w:left="84" w:right="0" w:firstLine="0"/>
                      <w:jc w:val="left"/>
                      <w:rPr>
                        <w:rFonts w:ascii="Calibri"/>
                        <w:sz w:val="19"/>
                      </w:rPr>
                    </w:pPr>
                    <w:r>
                      <w:rPr>
                        <w:rFonts w:ascii="Calibri"/>
                        <w:sz w:val="19"/>
                      </w:rPr>
                      <w:t>Nay.</w:t>
                      <w:tab/>
                    </w:r>
                    <w:r>
                      <w:rPr>
                        <w:rFonts w:ascii="Calibri"/>
                        <w:position w:val="2"/>
                        <w:sz w:val="19"/>
                        <w:shd w:fill="D7E4BC" w:color="auto" w:val="clear"/>
                      </w:rPr>
                      <w:t>384</w:t>
                    </w:r>
                  </w:p>
                  <w:p>
                    <w:pPr>
                      <w:spacing w:line="214" w:lineRule="exact" w:before="0"/>
                      <w:ind w:left="0" w:right="3571" w:firstLine="0"/>
                      <w:jc w:val="center"/>
                      <w:rPr>
                        <w:rFonts w:ascii="Calibri"/>
                        <w:sz w:val="19"/>
                      </w:rPr>
                    </w:pPr>
                    <w:r>
                      <w:rPr>
                        <w:rFonts w:ascii="Times New Roman"/>
                        <w:w w:val="102"/>
                        <w:sz w:val="19"/>
                        <w:shd w:fill="D7E4BC" w:color="auto" w:val="clear"/>
                      </w:rPr>
                      <w:t> </w:t>
                    </w:r>
                    <w:r>
                      <w:rPr>
                        <w:rFonts w:ascii="Calibri"/>
                        <w:sz w:val="19"/>
                        <w:shd w:fill="D7E4BC" w:color="auto" w:val="clear"/>
                      </w:rPr>
                      <w:t>342</w:t>
                    </w:r>
                  </w:p>
                  <w:p>
                    <w:pPr>
                      <w:tabs>
                        <w:tab w:pos="1735" w:val="left" w:leader="none"/>
                      </w:tabs>
                      <w:spacing w:line="234" w:lineRule="exact" w:before="0"/>
                      <w:ind w:left="163" w:right="0" w:firstLine="0"/>
                      <w:jc w:val="left"/>
                      <w:rPr>
                        <w:rFonts w:ascii="Calibri"/>
                        <w:sz w:val="19"/>
                      </w:rPr>
                    </w:pPr>
                    <w:r>
                      <w:rPr>
                        <w:rFonts w:ascii="Calibri"/>
                        <w:sz w:val="19"/>
                      </w:rPr>
                      <w:t>Ags</w:t>
                    </w:r>
                    <w:r>
                      <w:rPr>
                        <w:rFonts w:ascii="Times New Roman"/>
                        <w:position w:val="2"/>
                        <w:sz w:val="19"/>
                      </w:rPr>
                      <w:tab/>
                    </w:r>
                    <w:r>
                      <w:rPr>
                        <w:rFonts w:ascii="Calibri"/>
                        <w:position w:val="2"/>
                        <w:sz w:val="19"/>
                      </w:rPr>
                      <w:t>332</w:t>
                    </w:r>
                  </w:p>
                  <w:p>
                    <w:pPr>
                      <w:spacing w:line="214" w:lineRule="exact" w:before="0"/>
                      <w:ind w:left="840" w:right="4416" w:firstLine="0"/>
                      <w:jc w:val="center"/>
                      <w:rPr>
                        <w:rFonts w:ascii="Calibri"/>
                        <w:sz w:val="19"/>
                      </w:rPr>
                    </w:pPr>
                    <w:r>
                      <w:rPr>
                        <w:rFonts w:ascii="Calibri"/>
                        <w:sz w:val="19"/>
                      </w:rPr>
                      <w:t>331</w:t>
                    </w:r>
                  </w:p>
                  <w:p>
                    <w:pPr>
                      <w:tabs>
                        <w:tab w:pos="1636" w:val="left" w:leader="none"/>
                      </w:tabs>
                      <w:spacing w:line="234" w:lineRule="exact" w:before="0"/>
                      <w:ind w:left="98" w:right="0" w:firstLine="0"/>
                      <w:jc w:val="left"/>
                      <w:rPr>
                        <w:rFonts w:ascii="Calibri"/>
                        <w:sz w:val="19"/>
                      </w:rPr>
                    </w:pPr>
                    <w:r>
                      <w:rPr>
                        <w:rFonts w:ascii="Calibri"/>
                        <w:sz w:val="19"/>
                      </w:rPr>
                      <w:t>Son.</w:t>
                      <w:tab/>
                    </w:r>
                    <w:r>
                      <w:rPr>
                        <w:rFonts w:ascii="Calibri"/>
                        <w:position w:val="2"/>
                        <w:sz w:val="19"/>
                        <w:shd w:fill="D7E4BC" w:color="auto" w:val="clear"/>
                      </w:rPr>
                      <w:t>318</w:t>
                    </w:r>
                  </w:p>
                  <w:p>
                    <w:pPr>
                      <w:spacing w:line="214" w:lineRule="exact" w:before="0"/>
                      <w:ind w:left="658" w:right="4416" w:firstLine="0"/>
                      <w:jc w:val="center"/>
                      <w:rPr>
                        <w:rFonts w:ascii="Calibri"/>
                        <w:sz w:val="19"/>
                      </w:rPr>
                    </w:pPr>
                    <w:r>
                      <w:rPr>
                        <w:rFonts w:ascii="Calibri"/>
                        <w:sz w:val="19"/>
                      </w:rPr>
                      <w:t>300</w:t>
                    </w:r>
                  </w:p>
                  <w:p>
                    <w:pPr>
                      <w:tabs>
                        <w:tab w:pos="1639" w:val="left" w:leader="none"/>
                      </w:tabs>
                      <w:spacing w:line="234" w:lineRule="exact" w:before="0"/>
                      <w:ind w:left="76" w:right="0" w:firstLine="0"/>
                      <w:jc w:val="left"/>
                      <w:rPr>
                        <w:rFonts w:ascii="Calibri"/>
                        <w:sz w:val="19"/>
                      </w:rPr>
                    </w:pPr>
                    <w:r>
                      <w:rPr>
                        <w:rFonts w:ascii="Calibri"/>
                        <w:sz w:val="19"/>
                      </w:rPr>
                      <w:t>Tlax.</w:t>
                    </w:r>
                    <w:r>
                      <w:rPr>
                        <w:rFonts w:ascii="Times New Roman"/>
                        <w:position w:val="2"/>
                        <w:sz w:val="19"/>
                      </w:rPr>
                      <w:tab/>
                    </w:r>
                    <w:r>
                      <w:rPr>
                        <w:rFonts w:ascii="Calibri"/>
                        <w:position w:val="2"/>
                        <w:sz w:val="19"/>
                      </w:rPr>
                      <w:t>299</w:t>
                    </w:r>
                  </w:p>
                  <w:p>
                    <w:pPr>
                      <w:spacing w:line="214" w:lineRule="exact" w:before="0"/>
                      <w:ind w:left="0" w:right="4416" w:firstLine="0"/>
                      <w:jc w:val="center"/>
                      <w:rPr>
                        <w:rFonts w:ascii="Calibri"/>
                        <w:sz w:val="19"/>
                      </w:rPr>
                    </w:pPr>
                    <w:r>
                      <w:rPr>
                        <w:rFonts w:ascii="Times New Roman"/>
                        <w:w w:val="102"/>
                        <w:sz w:val="19"/>
                        <w:shd w:fill="D7E4BC" w:color="auto" w:val="clear"/>
                      </w:rPr>
                      <w:t> </w:t>
                    </w:r>
                    <w:r>
                      <w:rPr>
                        <w:rFonts w:ascii="Calibri"/>
                        <w:sz w:val="19"/>
                        <w:shd w:fill="D7E4BC" w:color="auto" w:val="clear"/>
                      </w:rPr>
                      <w:t>198</w:t>
                    </w:r>
                  </w:p>
                  <w:p>
                    <w:pPr>
                      <w:tabs>
                        <w:tab w:pos="1171" w:val="left" w:leader="none"/>
                      </w:tabs>
                      <w:spacing w:line="234" w:lineRule="exact" w:before="0"/>
                      <w:ind w:left="103" w:right="0" w:firstLine="0"/>
                      <w:jc w:val="left"/>
                      <w:rPr>
                        <w:rFonts w:ascii="Calibri"/>
                        <w:sz w:val="19"/>
                      </w:rPr>
                    </w:pPr>
                    <w:r>
                      <w:rPr>
                        <w:rFonts w:ascii="Calibri"/>
                        <w:sz w:val="19"/>
                      </w:rPr>
                      <w:t>Tab.</w:t>
                      <w:tab/>
                    </w:r>
                    <w:r>
                      <w:rPr>
                        <w:rFonts w:ascii="Calibri"/>
                        <w:position w:val="2"/>
                        <w:sz w:val="19"/>
                        <w:shd w:fill="D7E4BC" w:color="auto" w:val="clear"/>
                      </w:rPr>
                      <w:t>159</w:t>
                    </w:r>
                  </w:p>
                  <w:p>
                    <w:pPr>
                      <w:spacing w:line="214" w:lineRule="exact" w:before="0"/>
                      <w:ind w:left="0" w:right="4817" w:firstLine="0"/>
                      <w:jc w:val="center"/>
                      <w:rPr>
                        <w:rFonts w:ascii="Calibri"/>
                        <w:sz w:val="19"/>
                      </w:rPr>
                    </w:pPr>
                    <w:r>
                      <w:rPr>
                        <w:rFonts w:ascii="Times New Roman"/>
                        <w:w w:val="102"/>
                        <w:sz w:val="19"/>
                        <w:shd w:fill="D7E4BC" w:color="auto" w:val="clear"/>
                      </w:rPr>
                      <w:t> </w:t>
                    </w:r>
                    <w:r>
                      <w:rPr>
                        <w:rFonts w:ascii="Calibri"/>
                        <w:sz w:val="19"/>
                        <w:shd w:fill="D7E4BC" w:color="auto" w:val="clear"/>
                      </w:rPr>
                      <w:t>129</w:t>
                    </w:r>
                  </w:p>
                  <w:p>
                    <w:pPr>
                      <w:tabs>
                        <w:tab w:pos="995" w:val="left" w:leader="none"/>
                      </w:tabs>
                      <w:spacing w:line="234" w:lineRule="exact" w:before="0"/>
                      <w:ind w:left="0" w:right="0" w:firstLine="0"/>
                      <w:jc w:val="left"/>
                      <w:rPr>
                        <w:rFonts w:ascii="Calibri"/>
                        <w:sz w:val="19"/>
                      </w:rPr>
                    </w:pPr>
                    <w:r>
                      <w:rPr>
                        <w:rFonts w:ascii="Calibri"/>
                        <w:sz w:val="19"/>
                      </w:rPr>
                      <w:t>QRoo</w:t>
                      <w:tab/>
                    </w:r>
                    <w:r>
                      <w:rPr>
                        <w:rFonts w:ascii="Calibri"/>
                        <w:position w:val="2"/>
                        <w:sz w:val="19"/>
                        <w:shd w:fill="D7E4BC" w:color="auto" w:val="clear"/>
                      </w:rPr>
                      <w:t>100</w:t>
                    </w:r>
                  </w:p>
                  <w:p>
                    <w:pPr>
                      <w:spacing w:line="214" w:lineRule="exact" w:before="0"/>
                      <w:ind w:left="0" w:right="5237" w:firstLine="0"/>
                      <w:jc w:val="center"/>
                      <w:rPr>
                        <w:rFonts w:ascii="Calibri"/>
                        <w:sz w:val="19"/>
                      </w:rPr>
                    </w:pPr>
                    <w:r>
                      <w:rPr>
                        <w:rFonts w:ascii="Times New Roman"/>
                        <w:w w:val="102"/>
                        <w:sz w:val="19"/>
                        <w:shd w:fill="D7E4BC" w:color="auto" w:val="clear"/>
                      </w:rPr>
                      <w:t> </w:t>
                    </w:r>
                    <w:r>
                      <w:rPr>
                        <w:rFonts w:ascii="Calibri"/>
                        <w:sz w:val="19"/>
                        <w:shd w:fill="D7E4BC" w:color="auto" w:val="clear"/>
                      </w:rPr>
                      <w:t>75</w:t>
                    </w:r>
                  </w:p>
                  <w:p>
                    <w:pPr>
                      <w:tabs>
                        <w:tab w:pos="808" w:val="left" w:leader="none"/>
                      </w:tabs>
                      <w:spacing w:line="245" w:lineRule="exact" w:before="0"/>
                      <w:ind w:left="144" w:right="0" w:firstLine="0"/>
                      <w:jc w:val="left"/>
                      <w:rPr>
                        <w:rFonts w:ascii="Calibri"/>
                        <w:sz w:val="19"/>
                      </w:rPr>
                    </w:pPr>
                    <w:r>
                      <w:rPr>
                        <w:rFonts w:ascii="Calibri"/>
                        <w:sz w:val="19"/>
                      </w:rPr>
                      <w:t>BCS</w:t>
                      <w:tab/>
                    </w:r>
                    <w:r>
                      <w:rPr>
                        <w:rFonts w:ascii="Calibri"/>
                        <w:position w:val="2"/>
                        <w:sz w:val="19"/>
                        <w:shd w:fill="D7E4BC" w:color="auto" w:val="clear"/>
                      </w:rPr>
                      <w:t>36</w:t>
                    </w:r>
                  </w:p>
                </w:txbxContent>
              </v:textbox>
              <w10:wrap type="none"/>
            </v:shape>
            <v:shape style="position:absolute;left:722;top:7643;width:99;height:194" type="#_x0000_t202" filled="false" stroked="false">
              <v:textbox inset="0,0,0,0">
                <w:txbxContent>
                  <w:p>
                    <w:pPr>
                      <w:spacing w:line="194" w:lineRule="exact" w:before="0"/>
                      <w:ind w:left="0" w:right="0" w:firstLine="0"/>
                      <w:jc w:val="left"/>
                      <w:rPr>
                        <w:rFonts w:ascii="Calibri"/>
                        <w:sz w:val="19"/>
                      </w:rPr>
                    </w:pPr>
                    <w:r>
                      <w:rPr>
                        <w:rFonts w:ascii="Calibri"/>
                        <w:w w:val="102"/>
                        <w:sz w:val="19"/>
                      </w:rPr>
                      <w:t>0</w:t>
                    </w:r>
                  </w:p>
                </w:txbxContent>
              </v:textbox>
              <w10:wrap type="none"/>
            </v:shape>
            <v:shape style="position:absolute;left:2088;top:7643;width:296;height:194" type="#_x0000_t202" filled="false" stroked="false">
              <v:textbox inset="0,0,0,0">
                <w:txbxContent>
                  <w:p>
                    <w:pPr>
                      <w:spacing w:line="194" w:lineRule="exact" w:before="0"/>
                      <w:ind w:left="0" w:right="-13" w:firstLine="0"/>
                      <w:jc w:val="left"/>
                      <w:rPr>
                        <w:rFonts w:ascii="Calibri"/>
                        <w:sz w:val="19"/>
                      </w:rPr>
                    </w:pPr>
                    <w:r>
                      <w:rPr>
                        <w:rFonts w:ascii="Calibri"/>
                        <w:sz w:val="19"/>
                      </w:rPr>
                      <w:t>500</w:t>
                    </w:r>
                  </w:p>
                </w:txbxContent>
              </v:textbox>
              <w10:wrap type="none"/>
            </v:shape>
            <v:shape style="position:absolute;left:3478;top:7643;width:442;height:194" type="#_x0000_t202" filled="false" stroked="false">
              <v:textbox inset="0,0,0,0">
                <w:txbxContent>
                  <w:p>
                    <w:pPr>
                      <w:spacing w:line="194" w:lineRule="exact" w:before="0"/>
                      <w:ind w:left="0" w:right="-11" w:firstLine="0"/>
                      <w:jc w:val="left"/>
                      <w:rPr>
                        <w:rFonts w:ascii="Calibri"/>
                        <w:sz w:val="19"/>
                      </w:rPr>
                    </w:pPr>
                    <w:r>
                      <w:rPr>
                        <w:rFonts w:ascii="Calibri"/>
                        <w:sz w:val="19"/>
                      </w:rPr>
                      <w:t>1,000</w:t>
                    </w:r>
                  </w:p>
                </w:txbxContent>
              </v:textbox>
              <w10:wrap type="none"/>
            </v:shape>
            <v:shape style="position:absolute;left:4942;top:7643;width:442;height:194" type="#_x0000_t202" filled="false" stroked="false">
              <v:textbox inset="0,0,0,0">
                <w:txbxContent>
                  <w:p>
                    <w:pPr>
                      <w:spacing w:line="194" w:lineRule="exact" w:before="0"/>
                      <w:ind w:left="0" w:right="-11" w:firstLine="0"/>
                      <w:jc w:val="left"/>
                      <w:rPr>
                        <w:rFonts w:ascii="Calibri"/>
                        <w:sz w:val="19"/>
                      </w:rPr>
                    </w:pPr>
                    <w:r>
                      <w:rPr>
                        <w:rFonts w:ascii="Calibri"/>
                        <w:sz w:val="19"/>
                      </w:rPr>
                      <w:t>1,500</w:t>
                    </w:r>
                  </w:p>
                </w:txbxContent>
              </v:textbox>
              <w10:wrap type="none"/>
            </v:shape>
            <v:shape style="position:absolute;left:6403;top:7643;width:442;height:194" type="#_x0000_t202" filled="false" stroked="false">
              <v:textbox inset="0,0,0,0">
                <w:txbxContent>
                  <w:p>
                    <w:pPr>
                      <w:spacing w:line="194" w:lineRule="exact" w:before="0"/>
                      <w:ind w:left="0" w:right="-11" w:firstLine="0"/>
                      <w:jc w:val="left"/>
                      <w:rPr>
                        <w:rFonts w:ascii="Calibri"/>
                        <w:sz w:val="19"/>
                      </w:rPr>
                    </w:pPr>
                    <w:r>
                      <w:rPr>
                        <w:rFonts w:ascii="Calibri"/>
                        <w:sz w:val="19"/>
                      </w:rPr>
                      <w:t>2,000</w:t>
                    </w:r>
                  </w:p>
                </w:txbxContent>
              </v:textbox>
              <w10:wrap type="none"/>
            </v:shape>
            <v:shape style="position:absolute;left:7867;top:7643;width:442;height:194" type="#_x0000_t202" filled="false" stroked="false">
              <v:textbox inset="0,0,0,0">
                <w:txbxContent>
                  <w:p>
                    <w:pPr>
                      <w:spacing w:line="194" w:lineRule="exact" w:before="0"/>
                      <w:ind w:left="0" w:right="-11" w:firstLine="0"/>
                      <w:jc w:val="left"/>
                      <w:rPr>
                        <w:rFonts w:ascii="Calibri"/>
                        <w:sz w:val="19"/>
                      </w:rPr>
                    </w:pPr>
                    <w:r>
                      <w:rPr>
                        <w:rFonts w:ascii="Calibri"/>
                        <w:sz w:val="19"/>
                      </w:rPr>
                      <w:t>2,500</w:t>
                    </w:r>
                  </w:p>
                </w:txbxContent>
              </v:textbox>
              <w10:wrap type="none"/>
            </v:shape>
          </v:group>
        </w:pict>
      </w:r>
      <w:r>
        <w:rPr>
          <w:sz w:val="20"/>
        </w:rPr>
      </w:r>
    </w:p>
    <w:p>
      <w:pPr>
        <w:pStyle w:val="BodyText"/>
        <w:spacing w:before="2"/>
        <w:rPr>
          <w:b/>
          <w:sz w:val="13"/>
        </w:rPr>
      </w:pPr>
    </w:p>
    <w:p>
      <w:pPr>
        <w:spacing w:line="367" w:lineRule="auto" w:before="78"/>
        <w:ind w:left="118" w:right="228" w:firstLine="0"/>
        <w:jc w:val="left"/>
        <w:rPr>
          <w:sz w:val="21"/>
        </w:rPr>
      </w:pPr>
      <w:r>
        <w:rPr>
          <w:sz w:val="21"/>
        </w:rPr>
        <w:t>Fuente: En base a los montos otorgados por el Centro de Estudios de las Finanzas Públicas de la H. Cámara de Diputados con datos del Banco de   México.</w:t>
      </w:r>
    </w:p>
    <w:p>
      <w:pPr>
        <w:pStyle w:val="BodyText"/>
        <w:spacing w:before="8"/>
        <w:rPr>
          <w:sz w:val="17"/>
        </w:rPr>
      </w:pPr>
    </w:p>
    <w:p>
      <w:pPr>
        <w:pStyle w:val="BodyText"/>
        <w:spacing w:line="364" w:lineRule="auto" w:before="74"/>
        <w:ind w:left="118"/>
      </w:pPr>
      <w:r>
        <w:rPr/>
        <w:t>En la figura 8, se muestra como las remesas por entidad federativa, se han ido incrementando  de  forma  muy  importante  y  se  confirma  que  siguen  siendo los</w:t>
      </w:r>
    </w:p>
    <w:p>
      <w:pPr>
        <w:pStyle w:val="BodyText"/>
        <w:spacing w:before="2"/>
        <w:ind w:left="118"/>
      </w:pPr>
      <w:r>
        <w:rPr/>
        <w:t>estados  que  mayor  envió  de  remesas  hacen  los  migrantes  a  sus  respectivas</w:t>
      </w:r>
    </w:p>
    <w:p>
      <w:pPr>
        <w:pStyle w:val="BodyText"/>
        <w:spacing w:line="364" w:lineRule="auto" w:before="138"/>
        <w:ind w:left="118" w:right="185"/>
        <w:jc w:val="both"/>
      </w:pPr>
      <w:r>
        <w:rPr/>
        <w:t>entidades son Michoacán, Guanajuato, Estado de México y Jalisco, estos cuatros estados  suman 8,822 millones de dólares, de los 25,145 enviados en 2008,  lo   que  representan  el  35.5%  en  términos  relativos  de  31  Estados  y  el  DF.  </w:t>
      </w:r>
      <w:r>
        <w:rPr>
          <w:spacing w:val="21"/>
        </w:rPr>
        <w:t> </w:t>
      </w:r>
      <w:r>
        <w:rPr/>
        <w:t>Sin</w:t>
      </w:r>
    </w:p>
    <w:p>
      <w:pPr>
        <w:spacing w:after="0" w:line="364" w:lineRule="auto"/>
        <w:jc w:val="both"/>
        <w:sectPr>
          <w:type w:val="continuous"/>
          <w:pgSz w:w="11900" w:h="16840"/>
          <w:pgMar w:top="1600" w:bottom="280" w:left="1540" w:right="1500"/>
        </w:sectPr>
      </w:pPr>
    </w:p>
    <w:p>
      <w:pPr>
        <w:pStyle w:val="BodyText"/>
        <w:rPr>
          <w:sz w:val="20"/>
        </w:rPr>
      </w:pPr>
    </w:p>
    <w:p>
      <w:pPr>
        <w:pStyle w:val="BodyText"/>
        <w:spacing w:before="7"/>
        <w:rPr>
          <w:sz w:val="16"/>
        </w:rPr>
      </w:pPr>
    </w:p>
    <w:p>
      <w:pPr>
        <w:pStyle w:val="BodyText"/>
        <w:spacing w:line="364" w:lineRule="auto" w:before="74"/>
        <w:ind w:left="115" w:right="105"/>
        <w:jc w:val="both"/>
      </w:pPr>
      <w:r>
        <w:rPr/>
        <w:t>embargo como, se menciono anteriormente existen entidades como DF., Puebla, Veracruz,  y Guerrero que ha venido incrementando la recepción de remesas de   los trabajadores que laboran en los Estados Unidos estas cuatro entidades suman 6,048 millones de dólares que representa el 24%, las ocho entidades  suman 14,870 que significa el</w:t>
      </w:r>
      <w:r>
        <w:rPr>
          <w:spacing w:val="31"/>
        </w:rPr>
        <w:t> </w:t>
      </w:r>
      <w:r>
        <w:rPr/>
        <w:t>59.14%.</w:t>
      </w:r>
    </w:p>
    <w:p>
      <w:pPr>
        <w:pStyle w:val="BodyText"/>
        <w:rPr>
          <w:sz w:val="22"/>
        </w:rPr>
      </w:pPr>
    </w:p>
    <w:p>
      <w:pPr>
        <w:pStyle w:val="BodyText"/>
        <w:rPr>
          <w:sz w:val="22"/>
        </w:rPr>
      </w:pPr>
    </w:p>
    <w:p>
      <w:pPr>
        <w:pStyle w:val="BodyText"/>
        <w:rPr>
          <w:sz w:val="22"/>
        </w:rPr>
      </w:pPr>
    </w:p>
    <w:p>
      <w:pPr>
        <w:pStyle w:val="Heading4"/>
        <w:spacing w:line="364" w:lineRule="auto" w:before="194"/>
        <w:ind w:left="628" w:right="620"/>
        <w:jc w:val="center"/>
      </w:pPr>
      <w:r>
        <w:rPr/>
        <w:pict>
          <v:group style="position:absolute;margin-left:86.684998pt;margin-top:53.531219pt;width:420.55pt;height:193.5pt;mso-position-horizontal-relative:page;mso-position-vertical-relative:paragraph;z-index:7792;mso-wrap-distance-left:0;mso-wrap-distance-right:0" coordorigin="1734,1071" coordsize="8411,3870">
            <v:rect style="position:absolute;left:1735;top:1072;width:8407;height:3866" filled="false" stroked="true" strokeweight=".12pt" strokecolor="#7f7f7f"/>
            <v:shape style="position:absolute;left:3163;top:3554;width:5746;height:612" coordorigin="3163,3554" coordsize="5746,612" path="m3163,4166l4073,3554,8909,3554e" filled="false" stroked="true" strokeweight=".12pt" strokecolor="#7f7f7f">
              <v:path arrowok="t"/>
            </v:shape>
            <v:shape style="position:absolute;left:3163;top:2968;width:5746;height:629" coordorigin="3163,2968" coordsize="5746,629" path="m3163,3597l4073,2968,8909,2968e" filled="false" stroked="true" strokeweight=".12pt" strokecolor="#7f7f7f">
              <v:path arrowok="t"/>
            </v:shape>
            <v:shape style="position:absolute;left:3163;top:2399;width:5746;height:615" coordorigin="3163,2399" coordsize="5746,615" path="m3163,3014l4073,2399,8909,2399e" filled="false" stroked="true" strokeweight=".12pt" strokecolor="#7f7f7f">
              <v:path arrowok="t"/>
            </v:shape>
            <v:shape style="position:absolute;left:3163;top:1816;width:5746;height:627" coordorigin="3163,1816" coordsize="5746,627" path="m3163,2443l4073,1816,8909,1816e" filled="false" stroked="true" strokeweight=".12pt" strokecolor="#7f7f7f">
              <v:path arrowok="t"/>
            </v:shape>
            <v:shape style="position:absolute;left:3163;top:1247;width:5746;height:612" coordorigin="3163,1247" coordsize="5746,612" path="m3163,1859l4073,1247,8909,1247e" filled="false" stroked="true" strokeweight=".12pt" strokecolor="#7f7f7f">
              <v:path arrowok="t"/>
            </v:shape>
            <v:shape style="position:absolute;left:3163;top:3554;width:5746;height:612" coordorigin="3163,3554" coordsize="5746,612" path="m8909,3554l7999,4166,3163,4166,4073,3554,8909,3554xe" filled="false" stroked="true" strokeweight=".12pt" strokecolor="#7f7f7f">
              <v:path arrowok="t"/>
            </v:shape>
            <v:shape style="position:absolute;left:3163;top:1247;width:910;height:2919" coordorigin="3163,1247" coordsize="910,2919" path="m3163,4166l3163,1859,4073,1247,4073,3554,3163,4166xe" filled="false" stroked="true" strokeweight=".12pt" strokecolor="#00ff00">
              <v:path arrowok="t"/>
            </v:shape>
            <v:rect style="position:absolute;left:4073;top:1247;width:4836;height:2306" filled="false" stroked="true" strokeweight=".12pt" strokecolor="#00ff00"/>
            <v:line style="position:absolute" from="5534,2575" to="5534,3830" stroked="true" strokeweight="0pt" strokecolor="#860000"/>
            <v:line style="position:absolute" from="5518,2589" to="5518,3859" stroked="true" strokeweight="1.68pt" strokecolor="#8d0000"/>
            <v:rect style="position:absolute;left:5470;top:2618;width:31;height:1255" filled="true" fillcolor="#940000" stroked="false">
              <v:fill type="solid"/>
            </v:rect>
            <v:rect style="position:absolute;left:5436;top:2632;width:34;height:1255" filled="true" fillcolor="#9a0000" stroked="false">
              <v:fill type="solid"/>
            </v:rect>
            <v:rect style="position:absolute;left:5405;top:2649;width:31;height:1253" filled="true" fillcolor="#a10000" stroked="false">
              <v:fill type="solid"/>
            </v:rect>
            <v:rect style="position:absolute;left:5354;top:2663;width:50;height:1253" filled="true" fillcolor="#a80000" stroked="false">
              <v:fill type="solid"/>
            </v:rect>
            <v:rect style="position:absolute;left:5290;top:2678;width:65;height:1255" filled="true" fillcolor="#ae0000" stroked="false">
              <v:fill type="solid"/>
            </v:rect>
            <v:rect style="position:absolute;left:5225;top:2692;width:65;height:1255" filled="true" fillcolor="#b50000" stroked="false">
              <v:fill type="solid"/>
            </v:rect>
            <v:rect style="position:absolute;left:5160;top:2707;width:65;height:1255" filled="true" fillcolor="#bc0000" stroked="false">
              <v:fill type="solid"/>
            </v:rect>
            <v:rect style="position:absolute;left:5095;top:2721;width:65;height:1255" filled="true" fillcolor="#c30000" stroked="false">
              <v:fill type="solid"/>
            </v:rect>
            <v:rect style="position:absolute;left:5030;top:2735;width:65;height:1241" filled="true" fillcolor="#c90000" stroked="false">
              <v:fill type="solid"/>
            </v:rect>
            <v:rect style="position:absolute;left:4949;top:2735;width:82;height:1255" filled="true" fillcolor="#d00000" stroked="false">
              <v:fill type="solid"/>
            </v:rect>
            <v:rect style="position:absolute;left:4884;top:2750;width:65;height:1241" filled="true" fillcolor="#d70000" stroked="false">
              <v:fill type="solid"/>
            </v:rect>
            <v:rect style="position:absolute;left:4771;top:2750;width:113;height:1241" filled="true" fillcolor="#dd0000" stroked="false">
              <v:fill type="solid"/>
            </v:rect>
            <v:rect style="position:absolute;left:4706;top:2750;width:65;height:1241" filled="true" fillcolor="#e40000" stroked="false">
              <v:fill type="solid"/>
            </v:rect>
            <v:rect style="position:absolute;left:4642;top:2750;width:65;height:1241" filled="true" fillcolor="#eb0000" stroked="false">
              <v:fill type="solid"/>
            </v:rect>
            <v:rect style="position:absolute;left:4591;top:2735;width:50;height:1255" filled="true" fillcolor="#f20000" stroked="false">
              <v:fill type="solid"/>
            </v:rect>
            <v:rect style="position:absolute;left:4543;top:2735;width:48;height:1241" filled="true" fillcolor="#f80000" stroked="false">
              <v:fill type="solid"/>
            </v:rect>
            <v:rect style="position:absolute;left:4495;top:2721;width:48;height:1255" filled="true" fillcolor="#ff0000" stroked="false">
              <v:fill type="solid"/>
            </v:rect>
            <v:rect style="position:absolute;left:4462;top:2721;width:34;height:1241" filled="true" fillcolor="#ff0000" stroked="false">
              <v:fill type="solid"/>
            </v:rect>
            <v:rect style="position:absolute;left:4430;top:2707;width:31;height:1255" filled="true" fillcolor="#f80000" stroked="false">
              <v:fill type="solid"/>
            </v:rect>
            <v:line style="position:absolute" from="4422,2692" to="4422,3947" stroked="true" strokeweight=".84pt" strokecolor="#f20000"/>
            <v:line style="position:absolute" from="4405,2678" to="4405,3933" stroked="true" strokeweight=".84pt" strokecolor="#eb0000"/>
            <v:line style="position:absolute" from="4397,2663" to="4397,3916" stroked="true" strokeweight="0pt" strokecolor="#e40000"/>
            <v:shape style="position:absolute;left:4397;top:2488;width:1138;height:262" coordorigin="4397,2488" coordsize="1138,262" path="m5030,2735l4591,2735,4642,2750,4949,2750,5030,2735xm5371,2503l4819,2503,4690,2531,4642,2546,4577,2560,4526,2575,4495,2589,4462,2603,4430,2618,4397,2649,4397,2678,4430,2707,4462,2721,4495,2721,4543,2735,5095,2735,5354,2678,5405,2663,5436,2649,5470,2632,5501,2618,5534,2589,5534,2560,5518,2546,5484,2531,5470,2517,5419,2517,5371,2503xm5273,2488l4966,2488,4901,2503,5323,2503,5273,2488xe" filled="true" fillcolor="#bf0000" stroked="false">
              <v:path arrowok="t"/>
              <v:fill type="solid"/>
            </v:shape>
            <v:line style="position:absolute" from="6605,1831" to="6605,3830" stroked="true" strokeweight="0pt" strokecolor="#868600"/>
            <v:line style="position:absolute" from="6588,1845" to="6588,3859" stroked="true" strokeweight="1.68pt" strokecolor="#8d8d00"/>
            <v:rect style="position:absolute;left:6540;top:1874;width:31;height:1999" filled="true" fillcolor="#949400" stroked="false">
              <v:fill type="solid"/>
            </v:rect>
            <v:rect style="position:absolute;left:6506;top:1888;width:34;height:1999" filled="true" fillcolor="#9a9a00" stroked="false">
              <v:fill type="solid"/>
            </v:rect>
            <v:rect style="position:absolute;left:6475;top:1903;width:31;height:1999" filled="true" fillcolor="#a1a100" stroked="false">
              <v:fill type="solid"/>
            </v:rect>
            <v:rect style="position:absolute;left:6427;top:1919;width:48;height:1997" filled="true" fillcolor="#a8a800" stroked="false">
              <v:fill type="solid"/>
            </v:rect>
            <v:rect style="position:absolute;left:6360;top:1934;width:67;height:1999" filled="true" fillcolor="#aeae00" stroked="false">
              <v:fill type="solid"/>
            </v:rect>
            <v:rect style="position:absolute;left:6312;top:1948;width:48;height:1999" filled="true" fillcolor="#b5b500" stroked="false">
              <v:fill type="solid"/>
            </v:rect>
            <v:rect style="position:absolute;left:6247;top:1963;width:65;height:1999" filled="true" fillcolor="#bcbc00" stroked="false">
              <v:fill type="solid"/>
            </v:rect>
            <v:rect style="position:absolute;left:6182;top:1977;width:65;height:1999" filled="true" fillcolor="#c3c300" stroked="false">
              <v:fill type="solid"/>
            </v:rect>
            <v:rect style="position:absolute;left:6101;top:1991;width:82;height:1985" filled="true" fillcolor="#c9c900" stroked="false">
              <v:fill type="solid"/>
            </v:rect>
            <v:rect style="position:absolute;left:6036;top:1991;width:65;height:1999" filled="true" fillcolor="#d0d000" stroked="false">
              <v:fill type="solid"/>
            </v:rect>
            <v:rect style="position:absolute;left:5971;top:2006;width:65;height:1985" filled="true" fillcolor="#d7d700" stroked="false">
              <v:fill type="solid"/>
            </v:rect>
            <v:rect style="position:absolute;left:5858;top:2006;width:113;height:1985" filled="true" fillcolor="#dddd00" stroked="false">
              <v:fill type="solid"/>
            </v:rect>
            <v:rect style="position:absolute;left:5794;top:2006;width:65;height:1985" filled="true" fillcolor="#e4e400" stroked="false">
              <v:fill type="solid"/>
            </v:rect>
            <v:rect style="position:absolute;left:5729;top:2006;width:65;height:1985" filled="true" fillcolor="#ebeb00" stroked="false">
              <v:fill type="solid"/>
            </v:rect>
            <v:rect style="position:absolute;left:5678;top:1991;width:50;height:1999" filled="true" fillcolor="#f2f200" stroked="false">
              <v:fill type="solid"/>
            </v:rect>
            <v:rect style="position:absolute;left:5630;top:1991;width:48;height:1985" filled="true" fillcolor="#f8f800" stroked="false">
              <v:fill type="solid"/>
            </v:rect>
            <v:rect style="position:absolute;left:5582;top:1977;width:48;height:1999" filled="true" fillcolor="#ffff00" stroked="false">
              <v:fill type="solid"/>
            </v:rect>
            <v:rect style="position:absolute;left:5534;top:1977;width:48;height:1985" filled="true" fillcolor="#ffff00" stroked="false">
              <v:fill type="solid"/>
            </v:rect>
            <v:line style="position:absolute" from="5526,1963" to="5526,3962" stroked="true" strokeweight=".84pt" strokecolor="#f8f800"/>
            <v:line style="position:absolute" from="5501,1948" to="5501,3947" stroked="true" strokeweight="1.68pt" strokecolor="#f2f200"/>
            <v:line style="position:absolute" from="5477,1934" to="5477,3933" stroked="true" strokeweight=".72pt" strokecolor="#ebeb00"/>
            <v:line style="position:absolute" from="5470,1919" to="5470,3916" stroked="true" strokeweight="0pt" strokecolor="#e4e400"/>
            <v:shape style="position:absolute;left:5470;top:1759;width:1136;height:248" coordorigin="5470,1759" coordsize="1136,248" path="m6101,1991l5678,1991,5729,2006,6036,2006,6101,1991xm6442,1773l5890,1773,5760,1802,5712,1802,5647,1816,5599,1831,5566,1845,5534,1859,5501,1874,5470,1903,5470,1934,5484,1948,5518,1963,5534,1977,5582,1977,5630,1991,6182,1991,6312,1963,6360,1948,6427,1934,6475,1919,6506,1903,6540,1888,6571,1874,6605,1845,6605,1831,6588,1816,6557,1802,6540,1787,6492,1787,6442,1773xm6346,1759l6036,1759,5971,1773,6394,1773,6346,1759xe" filled="true" fillcolor="#bfbf00" stroked="false">
              <v:path arrowok="t"/>
              <v:fill type="solid"/>
            </v:shape>
            <v:line style="position:absolute" from="7675,1787" to="7675,3830" stroked="true" strokeweight="0pt" strokecolor="#008600"/>
            <v:line style="position:absolute" from="7660,1802" to="7660,3859" stroked="true" strokeweight="1.56pt" strokecolor="#008d00"/>
            <v:rect style="position:absolute;left:7610;top:1831;width:34;height:2042" filled="true" fillcolor="#009400" stroked="false">
              <v:fill type="solid"/>
            </v:rect>
            <v:rect style="position:absolute;left:7579;top:1845;width:31;height:2042" filled="true" fillcolor="#009a00" stroked="false">
              <v:fill type="solid"/>
            </v:rect>
            <v:rect style="position:absolute;left:7546;top:1859;width:34;height:2042" filled="true" fillcolor="#00a100" stroked="false">
              <v:fill type="solid"/>
            </v:rect>
            <v:rect style="position:absolute;left:7498;top:1874;width:48;height:2042" filled="true" fillcolor="#00a800" stroked="false">
              <v:fill type="solid"/>
            </v:rect>
            <v:rect style="position:absolute;left:7433;top:1888;width:65;height:2045" filled="true" fillcolor="#00ae00" stroked="false">
              <v:fill type="solid"/>
            </v:rect>
            <v:rect style="position:absolute;left:7382;top:1903;width:50;height:2045" filled="true" fillcolor="#00b500" stroked="false">
              <v:fill type="solid"/>
            </v:rect>
            <v:rect style="position:absolute;left:7318;top:1919;width:65;height:2042" filled="true" fillcolor="#00bc00" stroked="false">
              <v:fill type="solid"/>
            </v:rect>
            <v:rect style="position:absolute;left:7253;top:1934;width:65;height:2042" filled="true" fillcolor="#00c300" stroked="false">
              <v:fill type="solid"/>
            </v:rect>
            <v:rect style="position:absolute;left:7174;top:1948;width:79;height:2028" filled="true" fillcolor="#00c900" stroked="false">
              <v:fill type="solid"/>
            </v:rect>
            <v:rect style="position:absolute;left:7109;top:1948;width:65;height:2042" filled="true" fillcolor="#00d000" stroked="false">
              <v:fill type="solid"/>
            </v:rect>
            <v:rect style="position:absolute;left:7042;top:1963;width:67;height:2028" filled="true" fillcolor="#00d700" stroked="false">
              <v:fill type="solid"/>
            </v:rect>
            <v:rect style="position:absolute;left:6929;top:1963;width:113;height:2028" filled="true" fillcolor="#00dd00" stroked="false">
              <v:fill type="solid"/>
            </v:rect>
            <v:rect style="position:absolute;left:6864;top:1963;width:65;height:2028" filled="true" fillcolor="#00e400" stroked="false">
              <v:fill type="solid"/>
            </v:rect>
            <v:rect style="position:absolute;left:6799;top:1963;width:65;height:2028" filled="true" fillcolor="#00eb00" stroked="false">
              <v:fill type="solid"/>
            </v:rect>
            <v:rect style="position:absolute;left:6751;top:1948;width:48;height:2042" filled="true" fillcolor="#00f200" stroked="false">
              <v:fill type="solid"/>
            </v:rect>
            <v:rect style="position:absolute;left:6701;top:1948;width:50;height:2028" filled="true" fillcolor="#00f800" stroked="false">
              <v:fill type="solid"/>
            </v:rect>
            <v:rect style="position:absolute;left:6653;top:1934;width:48;height:2042" filled="true" fillcolor="#00ff00" stroked="false">
              <v:fill type="solid"/>
            </v:rect>
            <v:rect style="position:absolute;left:6605;top:1934;width:48;height:2028" filled="true" fillcolor="#00ff00" stroked="false">
              <v:fill type="solid"/>
            </v:rect>
            <v:line style="position:absolute" from="6596,1919" to="6596,3962" stroked="true" strokeweight=".84pt" strokecolor="#00f800"/>
            <v:line style="position:absolute" from="6572,1903" to="6572,3947" stroked="true" strokeweight="1.56pt" strokecolor="#00f200"/>
            <v:line style="position:absolute" from="6548,1888" to="6548,3933" stroked="true" strokeweight=".84pt" strokecolor="#00eb00"/>
            <v:line style="position:absolute" from="6540,1874" to="6540,3916" stroked="true" strokeweight="0pt" strokecolor="#00e400"/>
            <v:shape style="position:absolute;left:6540;top:1699;width:1136;height:264" coordorigin="6540,1699" coordsize="1136,264" path="m7174,1948l6751,1948,6799,1963,7109,1963,7174,1948xm7529,1713l6977,1713,6912,1730,6718,1773,6670,1787,6636,1802,6605,1816,6571,1831,6540,1859,6540,1888,6557,1903,6588,1919,6605,1934,6653,1934,6701,1948,7253,1948,7382,1919,7433,1903,7498,1888,7546,1874,7579,1859,7610,1845,7644,1831,7675,1802,7675,1773,7658,1759,7644,1744,7610,1730,7579,1730,7529,1713xm7433,1699l7123,1699,7042,1713,7481,1713,7433,1699xe" filled="true" fillcolor="#00bf00" stroked="false">
              <v:path arrowok="t"/>
              <v:fill type="solid"/>
            </v:shape>
            <v:shape style="position:absolute;left:4692;top:2198;width:454;height:336" type="#_x0000_t75" stroked="false">
              <v:imagedata r:id="rId204" o:title=""/>
            </v:shape>
            <v:line style="position:absolute" from="3163,4166" to="3163,1859" stroked="true" strokeweight=".12pt" strokecolor="#7f7f7f"/>
            <v:line style="position:absolute" from="3163,4166" to="3115,4166" stroked="true" strokeweight=".12pt" strokecolor="#7f7f7f"/>
            <v:line style="position:absolute" from="3163,3597" to="3115,3597" stroked="true" strokeweight=".12pt" strokecolor="#7f7f7f"/>
            <v:line style="position:absolute" from="3163,3014" to="3115,3014" stroked="true" strokeweight=".12pt" strokecolor="#7f7f7f"/>
            <v:line style="position:absolute" from="3163,2443" to="3115,2443" stroked="true" strokeweight=".12pt" strokecolor="#7f7f7f"/>
            <v:line style="position:absolute" from="3163,1859" to="3115,1859" stroked="true" strokeweight=".12pt" strokecolor="#7f7f7f"/>
            <v:rect style="position:absolute;left:3132;top:4663;width:130;height:115" filled="true" fillcolor="#ff0000" stroked="false">
              <v:fill type="solid"/>
            </v:rect>
            <v:rect style="position:absolute;left:4625;top:4663;width:130;height:115" filled="true" fillcolor="#ffff00" stroked="false">
              <v:fill type="solid"/>
            </v:rect>
            <v:rect style="position:absolute;left:7092;top:4663;width:130;height:115" filled="true" fillcolor="#00ff00" stroked="false">
              <v:fill type="solid"/>
            </v:rect>
            <v:rect style="position:absolute;left:1735;top:1072;width:8407;height:3866" filled="false" stroked="true" strokeweight=".12pt" strokecolor="#7f7f7f"/>
            <v:shape style="position:absolute;left:5844;top:1520;width:398;height:190" type="#_x0000_t202" filled="false" stroked="false">
              <v:textbox inset="0,0,0,0">
                <w:txbxContent>
                  <w:p>
                    <w:pPr>
                      <w:spacing w:line="190" w:lineRule="exact" w:before="0"/>
                      <w:ind w:left="0" w:right="0" w:firstLine="0"/>
                      <w:jc w:val="left"/>
                      <w:rPr>
                        <w:rFonts w:ascii="Calibri"/>
                        <w:sz w:val="19"/>
                      </w:rPr>
                    </w:pPr>
                    <w:r>
                      <w:rPr>
                        <w:rFonts w:ascii="Calibri"/>
                        <w:w w:val="110"/>
                        <w:sz w:val="19"/>
                      </w:rPr>
                      <w:t>34.3</w:t>
                    </w:r>
                  </w:p>
                </w:txbxContent>
              </v:textbox>
              <w10:wrap type="none"/>
            </v:shape>
            <v:shape style="position:absolute;left:6914;top:1460;width:400;height:190" type="#_x0000_t202" filled="false" stroked="false">
              <v:textbox inset="0,0,0,0">
                <w:txbxContent>
                  <w:p>
                    <w:pPr>
                      <w:spacing w:line="190" w:lineRule="exact" w:before="0"/>
                      <w:ind w:left="0" w:right="0" w:firstLine="0"/>
                      <w:jc w:val="left"/>
                      <w:rPr>
                        <w:rFonts w:ascii="Calibri"/>
                        <w:sz w:val="19"/>
                      </w:rPr>
                    </w:pPr>
                    <w:r>
                      <w:rPr>
                        <w:rFonts w:ascii="Calibri"/>
                        <w:w w:val="110"/>
                        <w:sz w:val="19"/>
                      </w:rPr>
                      <w:t>35.2</w:t>
                    </w:r>
                  </w:p>
                </w:txbxContent>
              </v:textbox>
              <w10:wrap type="none"/>
            </v:shape>
            <v:shape style="position:absolute;left:2856;top:1782;width:223;height:773" type="#_x0000_t202" filled="false" stroked="false">
              <v:textbox inset="0,0,0,0">
                <w:txbxContent>
                  <w:p>
                    <w:pPr>
                      <w:spacing w:line="193" w:lineRule="exact" w:before="0"/>
                      <w:ind w:left="0" w:right="-9" w:firstLine="0"/>
                      <w:jc w:val="left"/>
                      <w:rPr>
                        <w:rFonts w:ascii="Calibri"/>
                        <w:sz w:val="19"/>
                      </w:rPr>
                    </w:pPr>
                    <w:r>
                      <w:rPr>
                        <w:rFonts w:ascii="Calibri"/>
                        <w:w w:val="110"/>
                        <w:sz w:val="19"/>
                      </w:rPr>
                      <w:t>40</w:t>
                    </w:r>
                  </w:p>
                  <w:p>
                    <w:pPr>
                      <w:spacing w:line="240" w:lineRule="auto" w:before="0"/>
                      <w:rPr>
                        <w:b/>
                        <w:sz w:val="18"/>
                      </w:rPr>
                    </w:pPr>
                  </w:p>
                  <w:p>
                    <w:pPr>
                      <w:spacing w:line="228" w:lineRule="exact" w:before="144"/>
                      <w:ind w:left="0" w:right="-9" w:firstLine="0"/>
                      <w:jc w:val="left"/>
                      <w:rPr>
                        <w:rFonts w:ascii="Calibri"/>
                        <w:sz w:val="19"/>
                      </w:rPr>
                    </w:pPr>
                    <w:r>
                      <w:rPr>
                        <w:rFonts w:ascii="Calibri"/>
                        <w:w w:val="110"/>
                        <w:sz w:val="19"/>
                      </w:rPr>
                      <w:t>30</w:t>
                    </w:r>
                  </w:p>
                </w:txbxContent>
              </v:textbox>
              <w10:wrap type="none"/>
            </v:shape>
            <v:shape style="position:absolute;left:4723;top:2279;width:400;height:190" type="#_x0000_t202" filled="false" stroked="false">
              <v:textbox inset="0,0,0,0">
                <w:txbxContent>
                  <w:p>
                    <w:pPr>
                      <w:spacing w:line="190" w:lineRule="exact" w:before="0"/>
                      <w:ind w:left="0" w:right="0" w:firstLine="0"/>
                      <w:jc w:val="left"/>
                      <w:rPr>
                        <w:rFonts w:ascii="Calibri"/>
                        <w:sz w:val="19"/>
                      </w:rPr>
                    </w:pPr>
                    <w:r>
                      <w:rPr>
                        <w:rFonts w:ascii="Calibri"/>
                        <w:w w:val="110"/>
                        <w:sz w:val="19"/>
                      </w:rPr>
                      <w:t>21.5</w:t>
                    </w:r>
                  </w:p>
                </w:txbxContent>
              </v:textbox>
              <w10:wrap type="none"/>
            </v:shape>
            <v:shape style="position:absolute;left:2856;top:2934;width:223;height:1345" type="#_x0000_t202" filled="false" stroked="false">
              <v:textbox inset="0,0,0,0">
                <w:txbxContent>
                  <w:p>
                    <w:pPr>
                      <w:spacing w:line="193" w:lineRule="exact" w:before="0"/>
                      <w:ind w:left="0" w:right="0" w:firstLine="0"/>
                      <w:jc w:val="center"/>
                      <w:rPr>
                        <w:rFonts w:ascii="Calibri"/>
                        <w:sz w:val="19"/>
                      </w:rPr>
                    </w:pPr>
                    <w:r>
                      <w:rPr>
                        <w:rFonts w:ascii="Calibri"/>
                        <w:w w:val="110"/>
                        <w:sz w:val="19"/>
                      </w:rPr>
                      <w:t>20</w:t>
                    </w:r>
                  </w:p>
                  <w:p>
                    <w:pPr>
                      <w:spacing w:line="240" w:lineRule="auto" w:before="0"/>
                      <w:rPr>
                        <w:b/>
                        <w:sz w:val="18"/>
                      </w:rPr>
                    </w:pPr>
                  </w:p>
                  <w:p>
                    <w:pPr>
                      <w:spacing w:before="146"/>
                      <w:ind w:left="0" w:right="0" w:firstLine="0"/>
                      <w:jc w:val="center"/>
                      <w:rPr>
                        <w:rFonts w:ascii="Calibri"/>
                        <w:sz w:val="19"/>
                      </w:rPr>
                    </w:pPr>
                    <w:r>
                      <w:rPr>
                        <w:rFonts w:ascii="Calibri"/>
                        <w:w w:val="110"/>
                        <w:sz w:val="19"/>
                      </w:rPr>
                      <w:t>10</w:t>
                    </w:r>
                  </w:p>
                  <w:p>
                    <w:pPr>
                      <w:spacing w:line="240" w:lineRule="auto" w:before="0"/>
                      <w:rPr>
                        <w:b/>
                        <w:sz w:val="18"/>
                      </w:rPr>
                    </w:pPr>
                  </w:p>
                  <w:p>
                    <w:pPr>
                      <w:spacing w:line="228" w:lineRule="exact" w:before="130"/>
                      <w:ind w:left="115" w:right="0" w:firstLine="0"/>
                      <w:jc w:val="center"/>
                      <w:rPr>
                        <w:rFonts w:ascii="Calibri"/>
                        <w:sz w:val="19"/>
                      </w:rPr>
                    </w:pPr>
                    <w:r>
                      <w:rPr>
                        <w:rFonts w:ascii="Calibri"/>
                        <w:w w:val="111"/>
                        <w:sz w:val="19"/>
                      </w:rPr>
                      <w:t>0</w:t>
                    </w:r>
                  </w:p>
                </w:txbxContent>
              </v:textbox>
              <w10:wrap type="none"/>
            </v:shape>
            <v:shape style="position:absolute;left:3312;top:4628;width:990;height:190" type="#_x0000_t202" filled="false" stroked="false">
              <v:textbox inset="0,0,0,0">
                <w:txbxContent>
                  <w:p>
                    <w:pPr>
                      <w:spacing w:line="190" w:lineRule="exact" w:before="0"/>
                      <w:ind w:left="0" w:right="0" w:firstLine="0"/>
                      <w:jc w:val="left"/>
                      <w:rPr>
                        <w:rFonts w:ascii="Calibri"/>
                        <w:sz w:val="19"/>
                      </w:rPr>
                    </w:pPr>
                    <w:r>
                      <w:rPr>
                        <w:rFonts w:ascii="Calibri"/>
                        <w:w w:val="110"/>
                        <w:sz w:val="19"/>
                      </w:rPr>
                      <w:t>Mexicanos</w:t>
                    </w:r>
                  </w:p>
                </w:txbxContent>
              </v:textbox>
              <w10:wrap type="none"/>
            </v:shape>
            <v:shape style="position:absolute;left:4805;top:4628;width:1964;height:190" type="#_x0000_t202" filled="false" stroked="false">
              <v:textbox inset="0,0,0,0">
                <w:txbxContent>
                  <w:p>
                    <w:pPr>
                      <w:spacing w:line="190" w:lineRule="exact" w:before="0"/>
                      <w:ind w:left="0" w:right="0" w:firstLine="0"/>
                      <w:jc w:val="left"/>
                      <w:rPr>
                        <w:rFonts w:ascii="Calibri"/>
                        <w:sz w:val="19"/>
                      </w:rPr>
                    </w:pPr>
                    <w:r>
                      <w:rPr>
                        <w:rFonts w:ascii="Calibri"/>
                        <w:w w:val="110"/>
                        <w:sz w:val="19"/>
                      </w:rPr>
                      <w:t>R es to  de inmigrantes</w:t>
                    </w:r>
                  </w:p>
                </w:txbxContent>
              </v:textbox>
              <w10:wrap type="none"/>
            </v:shape>
            <v:shape style="position:absolute;left:7272;top:4628;width:1512;height:190" type="#_x0000_t202" filled="false" stroked="false">
              <v:textbox inset="0,0,0,0">
                <w:txbxContent>
                  <w:p>
                    <w:pPr>
                      <w:spacing w:line="190" w:lineRule="exact" w:before="0"/>
                      <w:ind w:left="0" w:right="0" w:firstLine="0"/>
                      <w:jc w:val="left"/>
                      <w:rPr>
                        <w:rFonts w:ascii="Calibri"/>
                        <w:sz w:val="19"/>
                      </w:rPr>
                    </w:pPr>
                    <w:r>
                      <w:rPr>
                        <w:rFonts w:ascii="Calibri"/>
                        <w:w w:val="110"/>
                        <w:sz w:val="19"/>
                      </w:rPr>
                      <w:t>P oblacion nativa</w:t>
                    </w:r>
                  </w:p>
                </w:txbxContent>
              </v:textbox>
              <w10:wrap type="none"/>
            </v:shape>
            <w10:wrap type="topAndBottom"/>
          </v:group>
        </w:pict>
      </w:r>
      <w:r>
        <w:rPr/>
        <w:t>Figura 9. Ingreso promedio anual (miles de dólares) de la población residente en Estados Unidos por condición de migración,  2003</w:t>
      </w:r>
    </w:p>
    <w:p>
      <w:pPr>
        <w:spacing w:line="367" w:lineRule="auto" w:before="46"/>
        <w:ind w:left="111" w:right="101" w:firstLine="0"/>
        <w:jc w:val="center"/>
        <w:rPr>
          <w:sz w:val="21"/>
        </w:rPr>
      </w:pPr>
      <w:r>
        <w:rPr>
          <w:sz w:val="21"/>
        </w:rPr>
        <w:t>Fuente: Estimaciones de CONAPO con base en Bureau of Census, Current Population Survey (CPS), Marzo de 2003. Tomado de CONAPO,  2004.</w:t>
      </w:r>
    </w:p>
    <w:p>
      <w:pPr>
        <w:pStyle w:val="BodyText"/>
        <w:rPr>
          <w:sz w:val="20"/>
        </w:rPr>
      </w:pPr>
    </w:p>
    <w:p>
      <w:pPr>
        <w:pStyle w:val="BodyText"/>
        <w:rPr>
          <w:sz w:val="20"/>
        </w:rPr>
      </w:pPr>
    </w:p>
    <w:p>
      <w:pPr>
        <w:pStyle w:val="BodyText"/>
        <w:spacing w:before="4"/>
        <w:rPr>
          <w:sz w:val="22"/>
        </w:rPr>
      </w:pPr>
    </w:p>
    <w:p>
      <w:pPr>
        <w:pStyle w:val="BodyText"/>
        <w:spacing w:line="364" w:lineRule="auto"/>
        <w:ind w:left="115" w:right="105"/>
        <w:jc w:val="both"/>
      </w:pPr>
      <w:r>
        <w:rPr/>
        <w:t>Como se observa en la figura 9 aunque el ingreso promedio que perciben los inmigrantes es 62% inferior al de los inmigrantes de otros países y de los nativos  de la Unión Americana, la migración mexicana sigue aumentando. Subsiste, sin embargo una amplia diferencia salarial o de ingresos con el resto de la población que reside en Estados Unidos y sobre todo con el ingreso que obtendrían en México.</w:t>
      </w:r>
    </w:p>
    <w:p>
      <w:pPr>
        <w:spacing w:after="0" w:line="364" w:lineRule="auto"/>
        <w:jc w:val="both"/>
        <w:sectPr>
          <w:footerReference w:type="default" r:id="rId203"/>
          <w:pgSz w:w="11900" w:h="16840"/>
          <w:pgMar w:footer="1679" w:header="0" w:top="1600" w:bottom="1860" w:left="1540" w:right="1580"/>
          <w:pgNumType w:start="160"/>
        </w:sectPr>
      </w:pPr>
    </w:p>
    <w:p>
      <w:pPr>
        <w:pStyle w:val="BodyText"/>
        <w:rPr>
          <w:sz w:val="20"/>
        </w:rPr>
      </w:pPr>
    </w:p>
    <w:p>
      <w:pPr>
        <w:pStyle w:val="BodyText"/>
        <w:spacing w:before="5"/>
        <w:rPr>
          <w:sz w:val="16"/>
        </w:rPr>
      </w:pPr>
    </w:p>
    <w:p>
      <w:pPr>
        <w:pStyle w:val="Heading4"/>
        <w:spacing w:line="364" w:lineRule="auto" w:before="74"/>
        <w:ind w:left="3269" w:right="690" w:hanging="3005"/>
      </w:pPr>
      <w:r>
        <w:rPr/>
        <w:t>Figura 10. Distribución de remesas por uso y destino principal (1984,1993- 1997), de acuerdo a:</w:t>
      </w:r>
    </w:p>
    <w:p>
      <w:pPr>
        <w:pStyle w:val="BodyText"/>
        <w:spacing w:before="2"/>
        <w:rPr>
          <w:b/>
          <w:sz w:val="24"/>
        </w:rPr>
      </w:pPr>
    </w:p>
    <w:p>
      <w:pPr>
        <w:pStyle w:val="ListParagraph"/>
        <w:numPr>
          <w:ilvl w:val="0"/>
          <w:numId w:val="10"/>
        </w:numPr>
        <w:tabs>
          <w:tab w:pos="520" w:val="left" w:leader="none"/>
        </w:tabs>
        <w:spacing w:line="240" w:lineRule="auto" w:before="0" w:after="0"/>
        <w:ind w:left="519" w:right="0" w:hanging="339"/>
        <w:jc w:val="both"/>
        <w:rPr>
          <w:b/>
          <w:sz w:val="23"/>
        </w:rPr>
      </w:pPr>
      <w:r>
        <w:rPr>
          <w:b/>
          <w:sz w:val="23"/>
        </w:rPr>
        <w:t>ETIDEU,</w:t>
      </w:r>
      <w:r>
        <w:rPr>
          <w:b/>
          <w:spacing w:val="17"/>
          <w:sz w:val="23"/>
        </w:rPr>
        <w:t> </w:t>
      </w:r>
      <w:r>
        <w:rPr>
          <w:b/>
          <w:sz w:val="23"/>
        </w:rPr>
        <w:t>1984</w:t>
      </w:r>
    </w:p>
    <w:p>
      <w:pPr>
        <w:pStyle w:val="BodyText"/>
        <w:spacing w:before="8"/>
        <w:rPr>
          <w:b/>
          <w:sz w:val="13"/>
        </w:rPr>
      </w:pPr>
      <w:r>
        <w:rPr/>
        <w:pict>
          <v:group style="position:absolute;margin-left:86.924995pt;margin-top:9.847357pt;width:440.45pt;height:161.2pt;mso-position-horizontal-relative:page;mso-position-vertical-relative:paragraph;z-index:8008;mso-wrap-distance-left:0;mso-wrap-distance-right:0" coordorigin="1738,197" coordsize="8809,3224">
            <v:rect style="position:absolute;left:1740;top:198;width:8806;height:3221" filled="false" stroked="true" strokeweight=".12pt" strokecolor="#7f7f7f"/>
            <v:shape style="position:absolute;left:5345;top:467;width:682;height:1143" coordorigin="5345,467" coordsize="682,1143" path="m5345,467l5345,856,6026,1610,6026,1221,5345,467xe" filled="true" fillcolor="#6e411f" stroked="false">
              <v:path arrowok="t"/>
              <v:fill type="solid"/>
            </v:shape>
            <v:shape style="position:absolute;left:5345;top:431;width:682;height:790" coordorigin="5345,431" coordsize="682,790" path="m6026,431l5753,431,5686,443,5532,443,5465,455,5431,455,5345,467,6026,1221,6026,431xe" filled="true" fillcolor="#db833d" stroked="false">
              <v:path arrowok="t"/>
              <v:fill type="solid"/>
            </v:shape>
            <v:shape style="position:absolute;left:4154;top:748;width:1649;height:898" coordorigin="4154,748" coordsize="1649,898" path="m4154,748l4154,1137,5803,1646,5803,1257,4154,748xe" filled="true" fillcolor="#204c57" stroked="false">
              <v:path arrowok="t"/>
              <v:fill type="solid"/>
            </v:shape>
            <v:shape style="position:absolute;left:4154;top:503;width:1649;height:754" coordorigin="4154,503" coordsize="1649,754" path="m5124,503l5090,503,5023,515,4990,515,4920,527,4886,539,4802,554,4766,554,4699,566,4682,578,4615,590,4582,602,4512,614,4478,626,4428,638,4394,650,4342,662,4308,674,4258,698,4224,710,4174,722,4154,734,5803,1257,5124,503xe" filled="true" fillcolor="#4097ae" stroked="false">
              <v:path arrowok="t"/>
              <v:fill type="solid"/>
            </v:shape>
            <v:shape style="position:absolute;left:4054;top:784;width:1649;height:898" coordorigin="4054,784" coordsize="1649,898" path="m4054,784l4054,1173,5702,1682,5702,1293,4054,784xe" filled="true" fillcolor="#382c47" stroked="false">
              <v:path arrowok="t"/>
              <v:fill type="solid"/>
            </v:shape>
            <v:shape style="position:absolute;left:3782;top:904;width:1887;height:790" coordorigin="3782,904" coordsize="1887,790" path="m3782,904l3782,1293,5669,1694,5669,1305,3782,904xe" filled="true" fillcolor="#445226" stroked="false">
              <v:path arrowok="t"/>
              <v:fill type="solid"/>
            </v:shape>
            <v:shape style="position:absolute;left:3782;top:784;width:1887;height:521" coordorigin="3782,784" coordsize="1887,521" path="m4020,784l3970,808,3934,820,3883,844,3850,856,3833,868,3782,892,5669,1305,4020,784xe" filled="true" fillcolor="#88a44e" stroked="false">
              <v:path arrowok="t"/>
              <v:fill type="solid"/>
            </v:shape>
            <v:shape style="position:absolute;left:3766;top:916;width:1887;height:790" coordorigin="3766,916" coordsize="1887,790" path="m3766,916l3766,1305,5652,1706,5652,1317,3766,916xe" filled="true" fillcolor="#542221" stroked="false">
              <v:path arrowok="t"/>
              <v:fill type="solid"/>
            </v:shape>
            <v:shape style="position:absolute;left:4190;top:1622;width:4402;height:1131" coordorigin="4190,1622" coordsize="4402,1131" path="m6655,2740l6110,2740,6194,2752,6586,2752,6655,2740xm6842,2728l5923,2728,6007,2740,6773,2740,6842,2728xm7027,2716l5736,2716,5822,2728,6960,2728,7027,2716xm7214,2692l5566,2692,5702,2716,7063,2716,7147,2704,7214,2692xm4190,1646l4190,2034,4207,2058,4207,2070,4224,2094,4241,2133,4241,2145,4274,2193,4325,2229,4342,2253,4358,2265,4394,2303,4478,2363,4546,2387,4582,2411,4632,2435,4649,2447,4699,2471,4750,2483,4786,2498,4836,2522,4886,2534,4920,2546,4970,2570,5040,2582,5057,2594,5194,2618,5227,2630,5278,2642,5345,2654,5378,2666,5465,2678,5532,2692,7248,2692,7318,2678,7385,2666,7418,2654,7555,2630,7589,2618,7656,2606,7709,2594,7742,2582,7793,2570,7860,2546,7896,2534,7946,2522,7997,2498,8014,2483,8064,2471,8117,2447,8150,2435,8184,2411,8234,2387,8251,2375,8287,2363,6194,2363,6110,2351,6007,2351,5923,2339,5822,2339,5736,2327,5702,2327,5566,2303,5532,2303,5465,2289,5378,2277,5345,2265,5278,2253,5227,2241,5194,2229,5057,2205,5040,2193,4970,2181,4920,2157,4886,2145,4836,2133,4786,2109,4750,2094,4699,2082,4649,2058,4632,2046,4582,2022,4546,1998,4478,1974,4394,1914,4358,1876,4342,1864,4325,1840,4274,1804,4241,1756,4241,1744,4224,1706,4207,1682,4207,1670,4190,1646xm8592,1622l8575,1646,8575,1670,8558,1682,8558,1706,8542,1744,8525,1756,8491,1804,8472,1816,8455,1840,8405,1876,8388,1914,8338,1950,8287,1974,8251,1986,8234,1998,8184,2022,8150,2046,8117,2058,8064,2082,8014,2094,7997,2109,7946,2133,7896,2145,7860,2157,7793,2181,7742,2193,7709,2205,7656,2217,7589,2229,7555,2241,7418,2265,7385,2277,7318,2289,7248,2303,7214,2303,7147,2315,7063,2327,7027,2327,6960,2339,6842,2339,6773,2351,6655,2351,6586,2363,8287,2363,8338,2339,8388,2303,8405,2265,8455,2229,8472,2205,8491,2193,8525,2145,8542,2133,8558,2094,8558,2070,8575,2058,8575,2034,8592,2010,8592,1622xe" filled="true" fillcolor="#223853" stroked="false">
              <v:path arrowok="t"/>
              <v:fill type="solid"/>
            </v:shape>
            <v:shape style="position:absolute;left:4190;top:796;width:4402;height:1580" coordorigin="4190,796" coordsize="4402,1580" path="m6619,2363l6161,2363,6230,2375,6535,2375,6619,2363xm6842,2351l5923,2351,5974,2363,6806,2363,6842,2351xm6994,2339l5786,2339,5856,2351,6926,2351,6994,2339xm7776,2193l5006,2193,5057,2217,5124,2229,5158,2241,5227,2253,5261,2253,5311,2277,5378,2289,5414,2289,5566,2315,5599,2315,5736,2339,7027,2339,7097,2327,7147,2327,7284,2303,7318,2303,7385,2289,7452,2277,7488,2265,7622,2241,7656,2229,7709,2217,7776,2193xm4495,1173l4378,1257,4358,1269,4325,1293,4308,1331,4291,1343,4274,1367,4258,1379,4224,1427,4224,1439,4207,1475,4190,1499,4190,1646,4207,1682,4207,1694,4224,1720,4241,1744,4241,1756,4258,1792,4274,1816,4325,1852,4342,1876,4358,1888,4394,1914,4512,1998,4546,2010,4582,2034,4598,2046,4699,2094,4733,2094,4786,2121,4836,2145,4853,2157,4920,2169,4970,2193,7793,2193,7860,2169,7896,2157,7946,2145,7997,2121,8014,2109,8064,2094,8117,2070,8150,2058,8184,2034,8234,2010,8251,1998,8287,1974,8338,1950,8388,1914,8405,1888,8472,1840,8491,1816,8558,1720,8558,1706,8575,1682,8575,1634,8592,1610,8592,1586,6382,1586,4495,1173xm6689,796l6382,796,6382,1586,8592,1586,8592,1538,8575,1526,8575,1499,8558,1475,8558,1463,8542,1427,8525,1403,8525,1391,8508,1367,8472,1343,8472,1331,8438,1293,8405,1269,8405,1257,8321,1197,8268,1173,8218,1137,8167,1122,8150,1110,8100,1086,8047,1062,8014,1050,7963,1038,7913,1014,7896,1002,7826,990,7776,966,7742,966,7675,942,7656,942,7589,916,7522,904,7488,892,7351,868,7318,868,7181,844,7147,844,7063,832,6994,820,6960,820,6876,808,6773,808,6689,796xe" filled="true" fillcolor="#4471a6" stroked="false">
              <v:path arrowok="t"/>
              <v:fill type="solid"/>
            </v:shape>
            <v:line style="position:absolute" from="2609,3219" to="2729,3219" stroked="true" strokeweight="4.2pt" strokecolor="#4471a6"/>
            <v:line style="position:absolute" from="4666,3219" to="4786,3219" stroked="true" strokeweight="4.2pt" strokecolor="#a94542"/>
            <v:line style="position:absolute" from="5074,3219" to="5194,3219" stroked="true" strokeweight="4.2pt" strokecolor="#88a44e"/>
            <v:line style="position:absolute" from="7385,3219" to="7505,3219" stroked="true" strokeweight="4.2pt" strokecolor="#70578e"/>
            <v:line style="position:absolute" from="7793,3219" to="7913,3219" stroked="true" strokeweight="4.2pt" strokecolor="#4097ae"/>
            <v:line style="position:absolute" from="9017,3219" to="9137,3219" stroked="true" strokeweight="4.2pt" strokecolor="#db833d"/>
            <v:rect style="position:absolute;left:1740;top:198;width:8806;height:3221" filled="false" stroked="true" strokeweight=".12pt" strokecolor="#7f7f7f"/>
            <v:shape style="position:absolute;left:5431;top:219;width:297;height:159" type="#_x0000_t202" filled="false" stroked="false">
              <v:textbox inset="0,0,0,0">
                <w:txbxContent>
                  <w:p>
                    <w:pPr>
                      <w:spacing w:line="158" w:lineRule="exact" w:before="0"/>
                      <w:ind w:left="0" w:right="0" w:firstLine="0"/>
                      <w:jc w:val="left"/>
                      <w:rPr>
                        <w:rFonts w:ascii="Calibri"/>
                        <w:sz w:val="16"/>
                      </w:rPr>
                    </w:pPr>
                    <w:r>
                      <w:rPr>
                        <w:rFonts w:ascii="Calibri"/>
                        <w:w w:val="135"/>
                        <w:sz w:val="16"/>
                      </w:rPr>
                      <w:t>5.1</w:t>
                    </w:r>
                  </w:p>
                </w:txbxContent>
              </v:textbox>
              <w10:wrap type="none"/>
            </v:shape>
            <v:shape style="position:absolute;left:4171;top:378;width:300;height:159" type="#_x0000_t202" filled="false" stroked="false">
              <v:textbox inset="0,0,0,0">
                <w:txbxContent>
                  <w:p>
                    <w:pPr>
                      <w:spacing w:line="158" w:lineRule="exact" w:before="0"/>
                      <w:ind w:left="0" w:right="-12" w:firstLine="0"/>
                      <w:jc w:val="left"/>
                      <w:rPr>
                        <w:rFonts w:ascii="Calibri"/>
                        <w:sz w:val="16"/>
                      </w:rPr>
                    </w:pPr>
                    <w:r>
                      <w:rPr>
                        <w:rFonts w:ascii="Calibri"/>
                        <w:w w:val="135"/>
                        <w:sz w:val="16"/>
                      </w:rPr>
                      <w:t>8.5</w:t>
                    </w:r>
                  </w:p>
                </w:txbxContent>
              </v:textbox>
              <w10:wrap type="none"/>
            </v:shape>
            <v:shape style="position:absolute;left:3492;top:670;width:300;height:159" type="#_x0000_t202" filled="false" stroked="false">
              <v:textbox inset="0,0,0,0">
                <w:txbxContent>
                  <w:p>
                    <w:pPr>
                      <w:spacing w:line="158" w:lineRule="exact" w:before="0"/>
                      <w:ind w:left="0" w:right="-12" w:firstLine="0"/>
                      <w:jc w:val="left"/>
                      <w:rPr>
                        <w:rFonts w:ascii="Calibri"/>
                        <w:sz w:val="16"/>
                      </w:rPr>
                    </w:pPr>
                    <w:r>
                      <w:rPr>
                        <w:rFonts w:ascii="Calibri"/>
                        <w:w w:val="135"/>
                        <w:sz w:val="16"/>
                      </w:rPr>
                      <w:t>2.7</w:t>
                    </w:r>
                  </w:p>
                </w:txbxContent>
              </v:textbox>
              <w10:wrap type="none"/>
            </v:shape>
            <v:shape style="position:absolute;left:7572;top:2749;width:420;height:159" type="#_x0000_t202" filled="false" stroked="false">
              <v:textbox inset="0,0,0,0">
                <w:txbxContent>
                  <w:p>
                    <w:pPr>
                      <w:spacing w:line="158" w:lineRule="exact" w:before="0"/>
                      <w:ind w:left="0" w:right="-13" w:firstLine="0"/>
                      <w:jc w:val="left"/>
                      <w:rPr>
                        <w:rFonts w:ascii="Calibri"/>
                        <w:sz w:val="16"/>
                      </w:rPr>
                    </w:pPr>
                    <w:r>
                      <w:rPr>
                        <w:rFonts w:ascii="Calibri"/>
                        <w:w w:val="135"/>
                        <w:sz w:val="16"/>
                      </w:rPr>
                      <w:t>83.7</w:t>
                    </w:r>
                  </w:p>
                </w:txbxContent>
              </v:textbox>
              <w10:wrap type="none"/>
            </v:shape>
            <v:shape style="position:absolute;left:2796;top:3150;width:1645;height:159" type="#_x0000_t202" filled="false" stroked="false">
              <v:textbox inset="0,0,0,0">
                <w:txbxContent>
                  <w:p>
                    <w:pPr>
                      <w:spacing w:line="158" w:lineRule="exact" w:before="0"/>
                      <w:ind w:left="0" w:right="-11" w:firstLine="0"/>
                      <w:jc w:val="left"/>
                      <w:rPr>
                        <w:rFonts w:ascii="Calibri"/>
                        <w:sz w:val="16"/>
                      </w:rPr>
                    </w:pPr>
                    <w:r>
                      <w:rPr>
                        <w:rFonts w:ascii="Calibri"/>
                        <w:w w:val="140"/>
                        <w:sz w:val="16"/>
                      </w:rPr>
                      <w:t>C</w:t>
                    </w:r>
                    <w:r>
                      <w:rPr>
                        <w:rFonts w:ascii="Calibri"/>
                        <w:spacing w:val="-20"/>
                        <w:w w:val="140"/>
                        <w:sz w:val="16"/>
                      </w:rPr>
                      <w:t> </w:t>
                    </w:r>
                    <w:r>
                      <w:rPr>
                        <w:rFonts w:ascii="Calibri"/>
                        <w:w w:val="140"/>
                        <w:sz w:val="16"/>
                      </w:rPr>
                      <w:t>ons</w:t>
                    </w:r>
                    <w:r>
                      <w:rPr>
                        <w:rFonts w:ascii="Calibri"/>
                        <w:spacing w:val="-23"/>
                        <w:w w:val="140"/>
                        <w:sz w:val="16"/>
                      </w:rPr>
                      <w:t> </w:t>
                    </w:r>
                    <w:r>
                      <w:rPr>
                        <w:rFonts w:ascii="Calibri"/>
                        <w:spacing w:val="4"/>
                        <w:w w:val="140"/>
                        <w:sz w:val="16"/>
                      </w:rPr>
                      <w:t>umo</w:t>
                    </w:r>
                    <w:r>
                      <w:rPr>
                        <w:rFonts w:ascii="Calibri"/>
                        <w:spacing w:val="15"/>
                        <w:w w:val="140"/>
                        <w:sz w:val="16"/>
                      </w:rPr>
                      <w:t> </w:t>
                    </w:r>
                    <w:r>
                      <w:rPr>
                        <w:rFonts w:ascii="Calibri"/>
                        <w:spacing w:val="5"/>
                        <w:w w:val="140"/>
                        <w:sz w:val="16"/>
                      </w:rPr>
                      <w:t>bas</w:t>
                    </w:r>
                    <w:r>
                      <w:rPr>
                        <w:rFonts w:ascii="Calibri"/>
                        <w:spacing w:val="-23"/>
                        <w:w w:val="140"/>
                        <w:sz w:val="16"/>
                      </w:rPr>
                      <w:t> </w:t>
                    </w:r>
                    <w:r>
                      <w:rPr>
                        <w:rFonts w:ascii="Calibri"/>
                        <w:w w:val="140"/>
                        <w:sz w:val="16"/>
                      </w:rPr>
                      <w:t>ic</w:t>
                    </w:r>
                    <w:r>
                      <w:rPr>
                        <w:rFonts w:ascii="Calibri"/>
                        <w:spacing w:val="-28"/>
                        <w:w w:val="140"/>
                        <w:sz w:val="16"/>
                      </w:rPr>
                      <w:t> </w:t>
                    </w:r>
                    <w:r>
                      <w:rPr>
                        <w:rFonts w:ascii="Calibri"/>
                        <w:w w:val="140"/>
                        <w:sz w:val="16"/>
                      </w:rPr>
                      <w:t>o</w:t>
                    </w:r>
                  </w:p>
                </w:txbxContent>
              </v:textbox>
              <w10:wrap type="none"/>
            </v:shape>
            <v:shape style="position:absolute;left:5261;top:3150;width:1889;height:159" type="#_x0000_t202" filled="false" stroked="false">
              <v:textbox inset="0,0,0,0">
                <w:txbxContent>
                  <w:p>
                    <w:pPr>
                      <w:spacing w:line="158" w:lineRule="exact" w:before="0"/>
                      <w:ind w:left="0" w:right="-10" w:firstLine="0"/>
                      <w:jc w:val="left"/>
                      <w:rPr>
                        <w:rFonts w:ascii="Calibri"/>
                        <w:sz w:val="16"/>
                      </w:rPr>
                    </w:pPr>
                    <w:r>
                      <w:rPr>
                        <w:rFonts w:ascii="Calibri"/>
                        <w:spacing w:val="-4"/>
                        <w:w w:val="140"/>
                        <w:sz w:val="16"/>
                      </w:rPr>
                      <w:t>Invers </w:t>
                    </w:r>
                    <w:r>
                      <w:rPr>
                        <w:rFonts w:ascii="Calibri"/>
                        <w:w w:val="140"/>
                        <w:sz w:val="16"/>
                      </w:rPr>
                      <w:t>ion produc</w:t>
                    </w:r>
                    <w:r>
                      <w:rPr>
                        <w:rFonts w:ascii="Calibri"/>
                        <w:spacing w:val="-40"/>
                        <w:w w:val="140"/>
                        <w:sz w:val="16"/>
                      </w:rPr>
                      <w:t> </w:t>
                    </w:r>
                    <w:r>
                      <w:rPr>
                        <w:rFonts w:ascii="Calibri"/>
                        <w:spacing w:val="-6"/>
                        <w:w w:val="140"/>
                        <w:sz w:val="16"/>
                      </w:rPr>
                      <w:t>tiva</w:t>
                    </w:r>
                  </w:p>
                </w:txbxContent>
              </v:textbox>
              <w10:wrap type="none"/>
            </v:shape>
            <v:shape style="position:absolute;left:7980;top:3150;width:802;height:159" type="#_x0000_t202" filled="false" stroked="false">
              <v:textbox inset="0,0,0,0">
                <w:txbxContent>
                  <w:p>
                    <w:pPr>
                      <w:spacing w:line="158" w:lineRule="exact" w:before="0"/>
                      <w:ind w:left="0" w:right="-15" w:firstLine="0"/>
                      <w:jc w:val="left"/>
                      <w:rPr>
                        <w:rFonts w:ascii="Calibri"/>
                        <w:sz w:val="16"/>
                      </w:rPr>
                    </w:pPr>
                    <w:r>
                      <w:rPr>
                        <w:rFonts w:ascii="Calibri"/>
                        <w:w w:val="140"/>
                        <w:sz w:val="16"/>
                      </w:rPr>
                      <w:t>V</w:t>
                    </w:r>
                    <w:r>
                      <w:rPr>
                        <w:rFonts w:ascii="Calibri"/>
                        <w:spacing w:val="-39"/>
                        <w:w w:val="140"/>
                        <w:sz w:val="16"/>
                      </w:rPr>
                      <w:t> </w:t>
                    </w:r>
                    <w:r>
                      <w:rPr>
                        <w:rFonts w:ascii="Calibri"/>
                        <w:w w:val="140"/>
                        <w:sz w:val="16"/>
                      </w:rPr>
                      <w:t>ivienda</w:t>
                    </w:r>
                  </w:p>
                </w:txbxContent>
              </v:textbox>
              <w10:wrap type="none"/>
            </v:shape>
            <v:shape style="position:absolute;left:9204;top:3150;width:512;height:159" type="#_x0000_t202" filled="false" stroked="false">
              <v:textbox inset="0,0,0,0">
                <w:txbxContent>
                  <w:p>
                    <w:pPr>
                      <w:spacing w:line="158" w:lineRule="exact" w:before="0"/>
                      <w:ind w:left="0" w:right="-17" w:firstLine="0"/>
                      <w:jc w:val="left"/>
                      <w:rPr>
                        <w:rFonts w:ascii="Calibri"/>
                        <w:sz w:val="16"/>
                      </w:rPr>
                    </w:pPr>
                    <w:r>
                      <w:rPr>
                        <w:rFonts w:ascii="Calibri"/>
                        <w:w w:val="140"/>
                        <w:sz w:val="16"/>
                      </w:rPr>
                      <w:t>O</w:t>
                    </w:r>
                    <w:r>
                      <w:rPr>
                        <w:rFonts w:ascii="Calibri"/>
                        <w:spacing w:val="-33"/>
                        <w:w w:val="140"/>
                        <w:sz w:val="16"/>
                      </w:rPr>
                      <w:t> </w:t>
                    </w:r>
                    <w:r>
                      <w:rPr>
                        <w:rFonts w:ascii="Calibri"/>
                        <w:spacing w:val="-4"/>
                        <w:w w:val="140"/>
                        <w:sz w:val="16"/>
                      </w:rPr>
                      <w:t>tros</w:t>
                    </w:r>
                  </w:p>
                </w:txbxContent>
              </v:textbox>
              <w10:wrap type="none"/>
            </v:shape>
            <w10:wrap type="topAndBottom"/>
          </v:group>
        </w:pict>
      </w:r>
    </w:p>
    <w:p>
      <w:pPr>
        <w:pStyle w:val="BodyText"/>
        <w:rPr>
          <w:b/>
          <w:sz w:val="22"/>
        </w:rPr>
      </w:pPr>
    </w:p>
    <w:p>
      <w:pPr>
        <w:pStyle w:val="ListParagraph"/>
        <w:numPr>
          <w:ilvl w:val="0"/>
          <w:numId w:val="10"/>
        </w:numPr>
        <w:tabs>
          <w:tab w:pos="858" w:val="left" w:leader="none"/>
        </w:tabs>
        <w:spacing w:line="240" w:lineRule="auto" w:before="182" w:after="0"/>
        <w:ind w:left="857" w:right="0" w:hanging="348"/>
        <w:jc w:val="left"/>
        <w:rPr>
          <w:b/>
          <w:sz w:val="23"/>
        </w:rPr>
      </w:pPr>
      <w:r>
        <w:rPr>
          <w:b/>
          <w:sz w:val="23"/>
        </w:rPr>
        <w:t>Según el EMIF,</w:t>
      </w:r>
      <w:r>
        <w:rPr>
          <w:b/>
          <w:spacing w:val="33"/>
          <w:sz w:val="23"/>
        </w:rPr>
        <w:t> </w:t>
      </w:r>
      <w:r>
        <w:rPr>
          <w:b/>
          <w:sz w:val="23"/>
        </w:rPr>
        <w:t>1993-1997</w:t>
      </w:r>
    </w:p>
    <w:p>
      <w:pPr>
        <w:pStyle w:val="BodyText"/>
        <w:rPr>
          <w:b/>
          <w:sz w:val="20"/>
        </w:rPr>
      </w:pPr>
    </w:p>
    <w:p>
      <w:pPr>
        <w:pStyle w:val="BodyText"/>
        <w:spacing w:before="1"/>
        <w:rPr>
          <w:b/>
          <w:sz w:val="17"/>
        </w:rPr>
      </w:pPr>
      <w:r>
        <w:rPr/>
        <w:pict>
          <v:group style="position:absolute;margin-left:87.044998pt;margin-top:11.788378pt;width:451.85pt;height:137.950pt;mso-position-horizontal-relative:page;mso-position-vertical-relative:paragraph;z-index:8224;mso-wrap-distance-left:0;mso-wrap-distance-right:0" coordorigin="1741,236" coordsize="9037,2759">
            <v:rect style="position:absolute;left:1742;top:237;width:9034;height:2755" filled="false" stroked="true" strokeweight=".12pt" strokecolor="#7f7f7f"/>
            <v:shape style="position:absolute;left:5650;top:446;width:473;height:999" coordorigin="5650,446" coordsize="473,999" path="m5650,446l5650,780,6122,1444,6122,1111,5650,446xe" filled="true" fillcolor="#6e411f" stroked="false">
              <v:path arrowok="t"/>
              <v:fill type="solid"/>
            </v:shape>
            <v:shape style="position:absolute;left:5650;top:436;width:473;height:675" coordorigin="5650,436" coordsize="473,675" path="m6122,436l5808,436,5772,446,5650,446,6122,1111,6122,436xe" filled="true" fillcolor="#db833d" stroked="false">
              <v:path arrowok="t"/>
              <v:fill type="solid"/>
            </v:shape>
            <v:shape style="position:absolute;left:3646;top:933;width:2146;height:552" coordorigin="3646,933" coordsize="2146,552" path="m3646,933l3646,1267,5791,1485,5791,1152,3646,933xe" filled="true" fillcolor="#204c57" stroked="false">
              <v:path arrowok="t"/>
              <v:fill type="solid"/>
            </v:shape>
            <v:shape style="position:absolute;left:3646;top:487;width:2146;height:665" coordorigin="3646,487" coordsize="2146,665" path="m5318,487l5249,499,5196,499,5126,508,5057,508,5023,518,4934,530,4901,530,4762,549,4726,549,4656,571,4586,580,4553,580,4483,602,4430,612,4394,624,4325,633,4308,643,4238,655,4186,674,4150,686,4099,696,4046,717,4030,727,3977,748,3924,768,3907,780,3871,799,3818,811,3802,820,3768,852,3749,861,3715,883,3679,904,3662,914,3646,933,5791,1152,5318,487xe" filled="true" fillcolor="#4097ae" stroked="false">
              <v:path arrowok="t"/>
              <v:fill type="solid"/>
            </v:shape>
            <v:shape style="position:absolute;left:3487;top:1008;width:2146;height:550" coordorigin="3487,1008" coordsize="2146,550" path="m3487,1008l3487,1339,5633,1557,5633,1226,3487,1008xe" filled="true" fillcolor="#382c47" stroked="false">
              <v:path arrowok="t"/>
              <v:fill type="solid"/>
            </v:shape>
            <v:shape style="position:absolute;left:3401;top:1089;width:2216;height:480" coordorigin="3401,1089" coordsize="2216,480" path="m3401,1089l3401,1423,5616,1569,5616,1236,3401,1089xe" filled="true" fillcolor="#445226" stroked="false">
              <v:path arrowok="t"/>
              <v:fill type="solid"/>
            </v:shape>
            <v:shape style="position:absolute;left:3401;top:1017;width:2216;height:219" coordorigin="3401,1017" coordsize="2216,219" path="m3470,1017l3454,1027,3437,1039,3437,1048,3418,1058,3418,1070,3401,1089,5616,1236,3470,1017xe" filled="true" fillcolor="#88a44e" stroked="false">
              <v:path arrowok="t"/>
              <v:fill type="solid"/>
            </v:shape>
            <v:shape style="position:absolute;left:3401;top:1101;width:2216;height:478" coordorigin="3401,1101" coordsize="2216,478" path="m3401,1101l3401,1432,5616,1579,5616,1245,3401,1101xe" filled="true" fillcolor="#542221" stroked="false">
              <v:path arrowok="t"/>
              <v:fill type="solid"/>
            </v:shape>
            <v:shape style="position:absolute;left:4272;top:1454;width:4553;height:977" coordorigin="4272,1454" coordsize="4553,977" path="m6818,2421l6262,2421,6348,2431,6749,2431,6818,2421xm7010,2412l6070,2412,6156,2421,6941,2421,7010,2412xm7202,2400l5878,2400,5947,2412,7133,2412,7202,2400xm7394,2380l5686,2380,5772,2390,5842,2400,7255,2400,7394,2380xm4272,1476l4272,1807,4291,1838,4291,1850,4308,1869,4325,1891,4325,1900,4342,1932,4361,1953,4378,1963,4411,1984,4430,2006,4447,2016,4483,2037,4517,2056,4534,2068,4570,2088,4622,2109,4639,2119,4673,2140,4726,2162,4745,2172,4795,2193,4848,2203,4884,2212,4934,2234,4987,2244,5023,2256,5076,2275,5146,2287,5179,2296,5302,2318,5338,2328,5407,2337,5477,2349,5510,2359,5580,2368,5650,2380,7430,2380,7500,2368,7570,2359,7620,2349,7692,2337,7742,2328,7778,2318,7848,2306,7918,2296,7954,2287,8004,2275,8074,2256,8093,2244,8162,2234,8215,2212,8232,2203,8285,2193,8335,2172,8354,2162,8405,2140,8458,2119,8477,2109,8492,2100,6348,2100,6262,2088,6156,2088,6070,2078,5947,2078,5878,2068,5842,2068,5772,2056,5686,2047,5650,2047,5580,2037,5510,2025,5477,2016,5407,2006,5338,1994,5302,1984,5232,1975,5179,1963,5146,1953,5076,1944,5023,1922,4987,1912,4934,1900,4884,1881,4848,1869,4795,1860,4745,1838,4726,1828,4673,1807,4639,1788,4622,1776,4570,1756,4534,1735,4517,1725,4483,1704,4447,1682,4430,1672,4411,1651,4378,1632,4361,1620,4342,1600,4325,1569,4325,1557,4308,1538,4291,1516,4291,1507,4272,1476xm8825,1454l8808,1476,8808,1507,8789,1516,8789,1538,8772,1557,8755,1569,8738,1600,8719,1620,8702,1632,8686,1651,8650,1672,8633,1682,8616,1704,8580,1725,8546,1735,8510,1756,8477,1776,8458,1788,8405,1807,8354,1828,8335,1838,8285,1860,8232,1869,8215,1881,8162,1900,8093,1912,8074,1922,8004,1944,7954,1953,7918,1963,7848,1975,7778,1984,7742,1994,7692,2006,7620,2016,7570,2025,7500,2037,7430,2047,7394,2047,7325,2056,7255,2068,7202,2068,7133,2078,7010,2078,6941,2088,6818,2088,6749,2100,8492,2100,8510,2088,8546,2068,8580,2056,8616,2037,8633,2016,8650,2006,8686,1984,8702,1963,8719,1953,8738,1932,8755,1900,8772,1891,8789,1869,8789,1850,8808,1838,8808,1807,8825,1788,8825,1454xe" filled="true" fillcolor="#223853" stroked="false">
              <v:path arrowok="t"/>
              <v:fill type="solid"/>
            </v:shape>
            <v:shape style="position:absolute;left:4272;top:748;width:4553;height:1361" coordorigin="4272,748" coordsize="4553,1361" path="m6785,2100l6262,2100,6348,2109,6749,2109,6785,2100xm7063,2088l6070,2088,6156,2100,6977,2100,7063,2088xm4325,1276l4308,1298,4308,1308,4291,1329,4272,1351,4272,1485,4291,1507,4291,1526,4325,1569,4325,1579,4342,1600,4361,1620,4378,1632,4411,1663,4430,1682,4447,1694,4483,1713,4517,1735,4534,1744,4570,1766,4622,1788,4639,1797,4673,1819,4726,1838,4745,1850,4795,1860,4848,1881,4884,1891,4934,1912,4987,1922,5023,1932,5076,1944,5146,1963,5179,1975,5232,1984,5302,1994,5338,2006,5407,2016,5441,2025,5510,2037,5580,2047,5616,2047,5772,2068,5808,2068,5947,2088,7133,2088,7169,2078,7255,2078,7289,2068,7358,2056,7430,2056,7464,2047,7620,2025,7656,2025,7709,2006,7778,1994,7812,1994,7882,1975,7954,1963,7970,1953,8040,1944,8093,1922,8126,1912,8179,1900,8318,1850,8354,1838,8388,1828,8424,1807,8477,1788,8494,1776,8527,1756,8546,1744,8597,1725,8616,1704,8633,1694,8666,1672,8702,1651,8702,1632,8738,1610,8755,1588,8755,1579,8772,1557,8789,1526,8789,1516,8808,1495,8808,1476,8825,1464,8825,1423,6540,1423,4325,1276xm6854,748l6540,748,6540,1423,8825,1423,8825,1401,8808,1382,8808,1339,8789,1320,8772,1298,8772,1288,8755,1257,8738,1236,8719,1226,8702,1204,8686,1195,8650,1173,8616,1152,8616,1142,8527,1089,8510,1080,8477,1070,8424,1048,8405,1039,8354,1017,8318,996,8285,986,8232,964,8179,955,8162,945,8093,924,8040,914,8004,904,7954,892,7882,873,7848,873,7778,852,7709,842,7692,842,7620,820,7534,811,7500,811,7430,799,7394,799,7255,780,7202,780,7133,768,7063,758,6941,758,6854,748xe" filled="true" fillcolor="#4471a6" stroked="false">
              <v:path arrowok="t"/>
              <v:fill type="solid"/>
            </v:shape>
            <v:line style="position:absolute" from="2633,2822" to="2755,2822" stroked="true" strokeweight="3.6pt" strokecolor="#4471a6"/>
            <v:line style="position:absolute" from="4745,2822" to="4865,2822" stroked="true" strokeweight="3.6pt" strokecolor="#a94542"/>
            <v:line style="position:absolute" from="5162,2822" to="5285,2822" stroked="true" strokeweight="3.6pt" strokecolor="#88a44e"/>
            <v:line style="position:absolute" from="7534,2822" to="7656,2822" stroked="true" strokeweight="3.6pt" strokecolor="#70578e"/>
            <v:line style="position:absolute" from="7954,2822" to="8074,2822" stroked="true" strokeweight="3.6pt" strokecolor="#4097ae"/>
            <v:line style="position:absolute" from="9209,2822" to="9331,2822" stroked="true" strokeweight="3.6pt" strokecolor="#db833d"/>
            <v:rect style="position:absolute;left:1742;top:237;width:9034;height:2755" filled="false" stroked="true" strokeweight=".12pt" strokecolor="#7f7f7f"/>
            <v:shape style="position:absolute;left:5650;top:237;width:307;height:136" type="#_x0000_t202" filled="false" stroked="false">
              <v:textbox inset="0,0,0,0">
                <w:txbxContent>
                  <w:p>
                    <w:pPr>
                      <w:spacing w:line="135" w:lineRule="exact" w:before="0"/>
                      <w:ind w:left="0" w:right="-2" w:firstLine="0"/>
                      <w:jc w:val="left"/>
                      <w:rPr>
                        <w:rFonts w:ascii="Calibri"/>
                        <w:sz w:val="13"/>
                      </w:rPr>
                    </w:pPr>
                    <w:r>
                      <w:rPr>
                        <w:rFonts w:ascii="Calibri"/>
                        <w:w w:val="175"/>
                        <w:sz w:val="13"/>
                      </w:rPr>
                      <w:t>3.3</w:t>
                    </w:r>
                  </w:p>
                </w:txbxContent>
              </v:textbox>
              <w10:wrap type="none"/>
            </v:shape>
            <v:shape style="position:absolute;left:3749;top:455;width:430;height:136" type="#_x0000_t202" filled="false" stroked="false">
              <v:textbox inset="0,0,0,0">
                <w:txbxContent>
                  <w:p>
                    <w:pPr>
                      <w:spacing w:line="135" w:lineRule="exact" w:before="0"/>
                      <w:ind w:left="0" w:right="0" w:firstLine="0"/>
                      <w:jc w:val="left"/>
                      <w:rPr>
                        <w:rFonts w:ascii="Calibri"/>
                        <w:sz w:val="13"/>
                      </w:rPr>
                    </w:pPr>
                    <w:r>
                      <w:rPr>
                        <w:rFonts w:ascii="Calibri"/>
                        <w:w w:val="175"/>
                        <w:sz w:val="13"/>
                      </w:rPr>
                      <w:t>16.5</w:t>
                    </w:r>
                  </w:p>
                </w:txbxContent>
              </v:textbox>
              <w10:wrap type="none"/>
            </v:shape>
            <v:shape style="position:absolute;left:3000;top:954;width:307;height:136" type="#_x0000_t202" filled="false" stroked="false">
              <v:textbox inset="0,0,0,0">
                <w:txbxContent>
                  <w:p>
                    <w:pPr>
                      <w:spacing w:line="135" w:lineRule="exact" w:before="0"/>
                      <w:ind w:left="0" w:right="-19" w:firstLine="0"/>
                      <w:jc w:val="left"/>
                      <w:rPr>
                        <w:rFonts w:ascii="Calibri"/>
                        <w:sz w:val="13"/>
                      </w:rPr>
                    </w:pPr>
                    <w:r>
                      <w:rPr>
                        <w:rFonts w:ascii="Calibri"/>
                        <w:spacing w:val="2"/>
                        <w:w w:val="175"/>
                        <w:sz w:val="13"/>
                      </w:rPr>
                      <w:t>1.</w:t>
                    </w:r>
                    <w:r>
                      <w:rPr>
                        <w:rFonts w:ascii="Calibri"/>
                        <w:spacing w:val="-38"/>
                        <w:w w:val="175"/>
                        <w:sz w:val="13"/>
                      </w:rPr>
                      <w:t> </w:t>
                    </w:r>
                    <w:r>
                      <w:rPr>
                        <w:rFonts w:ascii="Calibri"/>
                        <w:w w:val="175"/>
                        <w:sz w:val="13"/>
                      </w:rPr>
                      <w:t>7</w:t>
                    </w:r>
                  </w:p>
                </w:txbxContent>
              </v:textbox>
              <w10:wrap type="none"/>
            </v:shape>
            <v:shape style="position:absolute;left:8057;top:2368;width:430;height:136" type="#_x0000_t202" filled="false" stroked="false">
              <v:textbox inset="0,0,0,0">
                <w:txbxContent>
                  <w:p>
                    <w:pPr>
                      <w:spacing w:line="135" w:lineRule="exact" w:before="0"/>
                      <w:ind w:left="0" w:right="0" w:firstLine="0"/>
                      <w:jc w:val="left"/>
                      <w:rPr>
                        <w:rFonts w:ascii="Calibri"/>
                        <w:sz w:val="13"/>
                      </w:rPr>
                    </w:pPr>
                    <w:r>
                      <w:rPr>
                        <w:rFonts w:ascii="Calibri"/>
                        <w:w w:val="175"/>
                        <w:sz w:val="13"/>
                      </w:rPr>
                      <w:t>78.5</w:t>
                    </w:r>
                  </w:p>
                </w:txbxContent>
              </v:textbox>
              <w10:wrap type="none"/>
            </v:shape>
            <v:shape style="position:absolute;left:2825;top:2762;width:1689;height:136" type="#_x0000_t202" filled="false" stroked="false">
              <v:textbox inset="0,0,0,0">
                <w:txbxContent>
                  <w:p>
                    <w:pPr>
                      <w:spacing w:line="135" w:lineRule="exact" w:before="0"/>
                      <w:ind w:left="0" w:right="-12" w:firstLine="0"/>
                      <w:jc w:val="left"/>
                      <w:rPr>
                        <w:rFonts w:ascii="Calibri"/>
                        <w:sz w:val="13"/>
                      </w:rPr>
                    </w:pPr>
                    <w:r>
                      <w:rPr>
                        <w:rFonts w:ascii="Calibri"/>
                        <w:w w:val="175"/>
                        <w:sz w:val="13"/>
                      </w:rPr>
                      <w:t>C</w:t>
                    </w:r>
                    <w:r>
                      <w:rPr>
                        <w:rFonts w:ascii="Calibri"/>
                        <w:spacing w:val="-17"/>
                        <w:w w:val="175"/>
                        <w:sz w:val="13"/>
                      </w:rPr>
                      <w:t> </w:t>
                    </w:r>
                    <w:r>
                      <w:rPr>
                        <w:rFonts w:ascii="Calibri"/>
                        <w:w w:val="175"/>
                        <w:sz w:val="13"/>
                      </w:rPr>
                      <w:t>ons</w:t>
                    </w:r>
                    <w:r>
                      <w:rPr>
                        <w:rFonts w:ascii="Calibri"/>
                        <w:spacing w:val="-18"/>
                        <w:w w:val="175"/>
                        <w:sz w:val="13"/>
                      </w:rPr>
                      <w:t> </w:t>
                    </w:r>
                    <w:r>
                      <w:rPr>
                        <w:rFonts w:ascii="Calibri"/>
                        <w:spacing w:val="4"/>
                        <w:w w:val="175"/>
                        <w:sz w:val="13"/>
                      </w:rPr>
                      <w:t>umo</w:t>
                    </w:r>
                    <w:r>
                      <w:rPr>
                        <w:rFonts w:ascii="Calibri"/>
                        <w:spacing w:val="21"/>
                        <w:w w:val="175"/>
                        <w:sz w:val="13"/>
                      </w:rPr>
                      <w:t> </w:t>
                    </w:r>
                    <w:r>
                      <w:rPr>
                        <w:rFonts w:ascii="Calibri"/>
                        <w:spacing w:val="4"/>
                        <w:w w:val="175"/>
                        <w:sz w:val="13"/>
                      </w:rPr>
                      <w:t>bas</w:t>
                    </w:r>
                    <w:r>
                      <w:rPr>
                        <w:rFonts w:ascii="Calibri"/>
                        <w:spacing w:val="-18"/>
                        <w:w w:val="175"/>
                        <w:sz w:val="13"/>
                      </w:rPr>
                      <w:t> </w:t>
                    </w:r>
                    <w:r>
                      <w:rPr>
                        <w:rFonts w:ascii="Calibri"/>
                        <w:w w:val="175"/>
                        <w:sz w:val="13"/>
                      </w:rPr>
                      <w:t>ic</w:t>
                    </w:r>
                    <w:r>
                      <w:rPr>
                        <w:rFonts w:ascii="Calibri"/>
                        <w:spacing w:val="-25"/>
                        <w:w w:val="175"/>
                        <w:sz w:val="13"/>
                      </w:rPr>
                      <w:t> </w:t>
                    </w:r>
                    <w:r>
                      <w:rPr>
                        <w:rFonts w:ascii="Calibri"/>
                        <w:w w:val="175"/>
                        <w:sz w:val="13"/>
                      </w:rPr>
                      <w:t>o</w:t>
                    </w:r>
                  </w:p>
                </w:txbxContent>
              </v:textbox>
              <w10:wrap type="none"/>
            </v:shape>
            <v:shape style="position:absolute;left:5354;top:2762;width:1940;height:136" type="#_x0000_t202" filled="false" stroked="false">
              <v:textbox inset="0,0,0,0">
                <w:txbxContent>
                  <w:p>
                    <w:pPr>
                      <w:spacing w:line="135" w:lineRule="exact" w:before="0"/>
                      <w:ind w:left="0" w:right="-11" w:firstLine="0"/>
                      <w:jc w:val="left"/>
                      <w:rPr>
                        <w:rFonts w:ascii="Calibri"/>
                        <w:sz w:val="13"/>
                      </w:rPr>
                    </w:pPr>
                    <w:r>
                      <w:rPr>
                        <w:rFonts w:ascii="Calibri"/>
                        <w:spacing w:val="-4"/>
                        <w:w w:val="175"/>
                        <w:sz w:val="13"/>
                      </w:rPr>
                      <w:t>Invers </w:t>
                    </w:r>
                    <w:r>
                      <w:rPr>
                        <w:rFonts w:ascii="Calibri"/>
                        <w:w w:val="175"/>
                        <w:sz w:val="13"/>
                      </w:rPr>
                      <w:t>ion produc</w:t>
                    </w:r>
                    <w:r>
                      <w:rPr>
                        <w:rFonts w:ascii="Calibri"/>
                        <w:spacing w:val="-19"/>
                        <w:w w:val="175"/>
                        <w:sz w:val="13"/>
                      </w:rPr>
                      <w:t> </w:t>
                    </w:r>
                    <w:r>
                      <w:rPr>
                        <w:rFonts w:ascii="Calibri"/>
                        <w:spacing w:val="-6"/>
                        <w:w w:val="175"/>
                        <w:sz w:val="13"/>
                      </w:rPr>
                      <w:t>tiva</w:t>
                    </w:r>
                  </w:p>
                </w:txbxContent>
              </v:textbox>
              <w10:wrap type="none"/>
            </v:shape>
            <v:shape style="position:absolute;left:8143;top:2762;width:824;height:136" type="#_x0000_t202" filled="false" stroked="false">
              <v:textbox inset="0,0,0,0">
                <w:txbxContent>
                  <w:p>
                    <w:pPr>
                      <w:spacing w:line="135" w:lineRule="exact" w:before="0"/>
                      <w:ind w:left="0" w:right="-17" w:firstLine="0"/>
                      <w:jc w:val="left"/>
                      <w:rPr>
                        <w:rFonts w:ascii="Calibri"/>
                        <w:sz w:val="13"/>
                      </w:rPr>
                    </w:pPr>
                    <w:r>
                      <w:rPr>
                        <w:rFonts w:ascii="Calibri"/>
                        <w:w w:val="175"/>
                        <w:sz w:val="13"/>
                      </w:rPr>
                      <w:t>V</w:t>
                    </w:r>
                    <w:r>
                      <w:rPr>
                        <w:rFonts w:ascii="Calibri"/>
                        <w:spacing w:val="-28"/>
                        <w:w w:val="175"/>
                        <w:sz w:val="13"/>
                      </w:rPr>
                      <w:t> </w:t>
                    </w:r>
                    <w:r>
                      <w:rPr>
                        <w:rFonts w:ascii="Calibri"/>
                        <w:w w:val="175"/>
                        <w:sz w:val="13"/>
                      </w:rPr>
                      <w:t>ivienda</w:t>
                    </w:r>
                  </w:p>
                </w:txbxContent>
              </v:textbox>
              <w10:wrap type="none"/>
            </v:shape>
            <v:shape style="position:absolute;left:9398;top:2762;width:526;height:136" type="#_x0000_t202" filled="false" stroked="false">
              <v:textbox inset="0,0,0,0">
                <w:txbxContent>
                  <w:p>
                    <w:pPr>
                      <w:spacing w:line="135" w:lineRule="exact" w:before="0"/>
                      <w:ind w:left="0" w:right="-17" w:firstLine="0"/>
                      <w:jc w:val="left"/>
                      <w:rPr>
                        <w:rFonts w:ascii="Calibri"/>
                        <w:sz w:val="13"/>
                      </w:rPr>
                    </w:pPr>
                    <w:r>
                      <w:rPr>
                        <w:rFonts w:ascii="Calibri"/>
                        <w:w w:val="175"/>
                        <w:sz w:val="13"/>
                      </w:rPr>
                      <w:t>O</w:t>
                    </w:r>
                    <w:r>
                      <w:rPr>
                        <w:rFonts w:ascii="Calibri"/>
                        <w:spacing w:val="-28"/>
                        <w:w w:val="175"/>
                        <w:sz w:val="13"/>
                      </w:rPr>
                      <w:t> </w:t>
                    </w:r>
                    <w:r>
                      <w:rPr>
                        <w:rFonts w:ascii="Calibri"/>
                        <w:spacing w:val="-4"/>
                        <w:w w:val="175"/>
                        <w:sz w:val="13"/>
                      </w:rPr>
                      <w:t>tros</w:t>
                    </w:r>
                  </w:p>
                </w:txbxContent>
              </v:textbox>
              <w10:wrap type="none"/>
            </v:shape>
            <w10:wrap type="topAndBottom"/>
          </v:group>
        </w:pict>
      </w:r>
    </w:p>
    <w:p>
      <w:pPr>
        <w:pStyle w:val="BodyText"/>
        <w:rPr>
          <w:b/>
          <w:sz w:val="22"/>
        </w:rPr>
      </w:pPr>
    </w:p>
    <w:p>
      <w:pPr>
        <w:spacing w:line="367" w:lineRule="auto" w:before="177"/>
        <w:ind w:left="115" w:right="690" w:firstLine="57"/>
        <w:jc w:val="left"/>
        <w:rPr>
          <w:sz w:val="21"/>
        </w:rPr>
      </w:pPr>
      <w:r>
        <w:rPr>
          <w:sz w:val="21"/>
        </w:rPr>
        <w:t>Fuente: Elaboración con datos de Zauzeta, 1981 y CONAPO, ETIDEU, tomado de Figueroa (2006).</w:t>
      </w:r>
    </w:p>
    <w:p>
      <w:pPr>
        <w:pStyle w:val="BodyText"/>
        <w:spacing w:before="1"/>
        <w:rPr>
          <w:sz w:val="24"/>
        </w:rPr>
      </w:pPr>
    </w:p>
    <w:p>
      <w:pPr>
        <w:pStyle w:val="BodyText"/>
        <w:spacing w:line="364" w:lineRule="auto" w:before="1"/>
        <w:ind w:left="115" w:right="665"/>
        <w:jc w:val="both"/>
      </w:pPr>
      <w:r>
        <w:rPr/>
        <w:t>Del total de remesas que ingresan a los hogares, para 1984  el  83.7%  se  dedicaba al consumo básico y solo  2.7% a inversión (Figura 10a).  En cambio,  para el periodo 1993- 1997 el consumo básico disminuyó a 78.5% y para la inversión disminuyo a 1.7% (Figura</w:t>
      </w:r>
      <w:r>
        <w:rPr>
          <w:spacing w:val="41"/>
        </w:rPr>
        <w:t> </w:t>
      </w:r>
      <w:r>
        <w:rPr/>
        <w:t>10b).</w:t>
      </w:r>
    </w:p>
    <w:p>
      <w:pPr>
        <w:spacing w:after="0" w:line="364" w:lineRule="auto"/>
        <w:jc w:val="both"/>
        <w:sectPr>
          <w:pgSz w:w="11900" w:h="16840"/>
          <w:pgMar w:header="0" w:footer="1679" w:top="1600" w:bottom="1860" w:left="1540" w:right="1020"/>
        </w:sectPr>
      </w:pPr>
    </w:p>
    <w:p>
      <w:pPr>
        <w:pStyle w:val="BodyText"/>
        <w:rPr>
          <w:sz w:val="20"/>
        </w:rPr>
      </w:pPr>
    </w:p>
    <w:p>
      <w:pPr>
        <w:pStyle w:val="BodyText"/>
        <w:spacing w:before="1"/>
        <w:rPr>
          <w:sz w:val="17"/>
        </w:rPr>
      </w:pPr>
    </w:p>
    <w:p>
      <w:pPr>
        <w:pStyle w:val="Heading2"/>
        <w:numPr>
          <w:ilvl w:val="3"/>
          <w:numId w:val="5"/>
        </w:numPr>
        <w:tabs>
          <w:tab w:pos="582" w:val="left" w:leader="none"/>
        </w:tabs>
        <w:spacing w:line="240" w:lineRule="auto" w:before="61" w:after="0"/>
        <w:ind w:left="581" w:right="0" w:hanging="465"/>
        <w:jc w:val="both"/>
      </w:pPr>
      <w:r>
        <w:rPr/>
        <w:t>CONCLUSIONES</w:t>
      </w:r>
    </w:p>
    <w:p>
      <w:pPr>
        <w:pStyle w:val="BodyText"/>
        <w:spacing w:before="2"/>
        <w:rPr>
          <w:b/>
          <w:sz w:val="40"/>
        </w:rPr>
      </w:pPr>
    </w:p>
    <w:p>
      <w:pPr>
        <w:pStyle w:val="BodyText"/>
        <w:spacing w:line="364" w:lineRule="auto"/>
        <w:ind w:left="115" w:right="103" w:firstLine="64"/>
        <w:jc w:val="both"/>
      </w:pPr>
      <w:r>
        <w:rPr/>
        <w:t>La migración aumenta en cantidad, tipo y destino esto trae como consecuencia  que las remesas se incrementen, esta entrada cada vez mayor de las mismas no se ve reflejado en un mayor crecimiento y desarrollo de las zonas </w:t>
      </w:r>
      <w:r>
        <w:rPr>
          <w:spacing w:val="20"/>
        </w:rPr>
        <w:t> </w:t>
      </w:r>
      <w:r>
        <w:rPr/>
        <w:t>expulsoras.</w:t>
      </w:r>
    </w:p>
    <w:p>
      <w:pPr>
        <w:pStyle w:val="BodyText"/>
        <w:spacing w:before="2"/>
        <w:rPr>
          <w:sz w:val="24"/>
        </w:rPr>
      </w:pPr>
    </w:p>
    <w:p>
      <w:pPr>
        <w:pStyle w:val="BodyText"/>
        <w:spacing w:line="364" w:lineRule="auto"/>
        <w:ind w:left="115" w:right="105"/>
        <w:jc w:val="both"/>
      </w:pPr>
      <w:r>
        <w:rPr/>
        <w:t>Las remesas constituyen una fuente de recursos económicos muy importante porque significa el ingreso de más de un millón de familias mexicanas que les permiten sufragar sus gastos en alimentación, educación, atención médica, adquisición de vivienda o mejoramiento de la misma, ó para ahorro o inversión de bienes de capital. Sin embargo estos ingresos que recibe los familiares de los migrantes no son utilizados como inversión directa en la creación de empleos o para que ellos mismos generen su propio negocio, para que estos recursos que reciben les permitan una mayor capitalización y con ello dejen de depender  en  gran medida de los</w:t>
      </w:r>
      <w:r>
        <w:rPr>
          <w:spacing w:val="30"/>
        </w:rPr>
        <w:t> </w:t>
      </w:r>
      <w:r>
        <w:rPr/>
        <w:t>remesas.</w:t>
      </w:r>
    </w:p>
    <w:p>
      <w:pPr>
        <w:pStyle w:val="BodyText"/>
        <w:rPr>
          <w:sz w:val="24"/>
        </w:rPr>
      </w:pPr>
    </w:p>
    <w:p>
      <w:pPr>
        <w:pStyle w:val="BodyText"/>
        <w:spacing w:line="364" w:lineRule="auto"/>
        <w:ind w:left="115" w:right="105"/>
        <w:jc w:val="both"/>
      </w:pPr>
      <w:r>
        <w:rPr/>
        <w:t>Todo esto se debe a que alrededor del 80% de las remesas se destinan  al consumo básico, alrededor del 5% a vivienda y sólo cerca del 10% a inversión productiva.</w:t>
      </w:r>
    </w:p>
    <w:p>
      <w:pPr>
        <w:pStyle w:val="BodyText"/>
        <w:rPr>
          <w:sz w:val="24"/>
        </w:rPr>
      </w:pPr>
    </w:p>
    <w:p>
      <w:pPr>
        <w:pStyle w:val="BodyText"/>
        <w:spacing w:line="364" w:lineRule="auto"/>
        <w:ind w:left="115" w:right="100"/>
      </w:pPr>
      <w:r>
        <w:rPr/>
        <w:t>En este contexto es necesario emplear las remesas familiares en inversión, de tal manera que provoque un efecto multiplicador que beneficie a las zonas con mayor captación de remesas.</w:t>
      </w:r>
    </w:p>
    <w:p>
      <w:pPr>
        <w:pStyle w:val="BodyText"/>
        <w:rPr>
          <w:sz w:val="24"/>
        </w:rPr>
      </w:pPr>
    </w:p>
    <w:p>
      <w:pPr>
        <w:pStyle w:val="BodyText"/>
        <w:spacing w:line="364" w:lineRule="auto"/>
        <w:ind w:left="115" w:right="106"/>
        <w:jc w:val="both"/>
      </w:pPr>
      <w:r>
        <w:rPr/>
        <w:t>Por otra parte, la migración también trae como consecuencia algunos puntos negativos que afectan sobre todo a la gente que no recibe recursos económicos porque no tienen familiares o ellos no practican la migración a los Estados Unidos, ya que los terrenos, casas, parcelas pequeñas propiedades, etc., se encaren por  los precios altos que los migrantes pagan para adquirirlos, los habitantes que no   se van al país del norte no podrán pagar esas cantidades que los migrantes o sus familiares si</w:t>
      </w:r>
      <w:r>
        <w:rPr>
          <w:spacing w:val="18"/>
        </w:rPr>
        <w:t> </w:t>
      </w:r>
      <w:r>
        <w:rPr/>
        <w:t>pagan.</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Además la mayoría de los movimientos poblacionales en todas las regiones geográficas del mundo, obedecen  principalmente  a motivaciones vinculadas con la búsqueda de mejores condiciones de vida. No obstante, en casi todos los casos el costo social de lograr que los hogares reciban lo necesario para sobrevivir es la ruptura familiar y la seguridad</w:t>
      </w:r>
      <w:r>
        <w:rPr>
          <w:spacing w:val="46"/>
        </w:rPr>
        <w:t> </w:t>
      </w:r>
      <w:r>
        <w:rPr/>
        <w:t>personal.</w:t>
      </w:r>
    </w:p>
    <w:p>
      <w:pPr>
        <w:pStyle w:val="BodyText"/>
        <w:spacing w:before="6"/>
        <w:rPr>
          <w:sz w:val="17"/>
        </w:rPr>
      </w:pPr>
    </w:p>
    <w:p>
      <w:pPr>
        <w:pStyle w:val="BodyText"/>
        <w:spacing w:line="364" w:lineRule="auto"/>
        <w:ind w:left="115" w:right="106"/>
        <w:jc w:val="both"/>
      </w:pPr>
      <w:r>
        <w:rPr/>
        <w:t>Según El Fondo Monetario Internacional (FMI) afirma que las “remesas tienen un efecto más compensatorio que generador de inversiones”¹: las  remesas  que  llegan a México, que es el segundo país que capta más dinero por este rubro en    el mundo después de la India, tienen utilidad para mejorar la vida diaria de la familias que las reciben, pero su impacto es más que reducido como factor de crecimiento económico, de acuerdo con las conclusiones de un estudio del FMI.  Sin embargo </w:t>
      </w:r>
      <w:r>
        <w:rPr>
          <w:b/>
          <w:i/>
        </w:rPr>
        <w:t>“las remesas no pueden ser identificadas como capital para el </w:t>
      </w:r>
      <w:r>
        <w:rPr>
          <w:b/>
          <w:i/>
        </w:rPr>
        <w:t>crecimiento económico, sino como una compensación por un pobre desempeño económico” en los países receptores” </w:t>
      </w:r>
      <w:r>
        <w:rPr/>
        <w:t>indico el  FMI.  Es  importante destacar que efectivamente las remesas sirven para  alentar  el  consumo de las familias pero no la inversión de capital para generar mayor crecimiento y desarrollo para la economía mexicana. Por esto es importante que   el gobierno implemente e impulse programas productivos en las comunidades de los estados que mayor envió de remesas</w:t>
      </w:r>
      <w:r>
        <w:rPr>
          <w:spacing w:val="51"/>
        </w:rPr>
        <w:t> </w:t>
      </w:r>
      <w:r>
        <w:rPr/>
        <w:t>tienen.</w:t>
      </w:r>
    </w:p>
    <w:p>
      <w:pPr>
        <w:pStyle w:val="BodyText"/>
        <w:spacing w:before="4"/>
        <w:rPr>
          <w:sz w:val="17"/>
        </w:rPr>
      </w:pPr>
    </w:p>
    <w:p>
      <w:pPr>
        <w:pStyle w:val="BodyText"/>
        <w:spacing w:line="364" w:lineRule="auto"/>
        <w:ind w:left="115" w:right="104"/>
        <w:jc w:val="both"/>
      </w:pPr>
      <w:r>
        <w:rPr/>
        <w:t>En este momento, las remesas provenientes de los mexicanos que viven en Estados Unidos podrían resultar afectadas, sobre todo por aquellos connacionales que trabajan en la industria de la construcción, la más golpeada por la crisis hipotecaria.</w:t>
      </w:r>
    </w:p>
    <w:p>
      <w:pPr>
        <w:pStyle w:val="BodyText"/>
        <w:spacing w:before="4"/>
        <w:rPr>
          <w:sz w:val="17"/>
        </w:rPr>
      </w:pPr>
    </w:p>
    <w:p>
      <w:pPr>
        <w:pStyle w:val="BodyText"/>
        <w:spacing w:line="364" w:lineRule="auto"/>
        <w:ind w:left="115" w:right="106"/>
        <w:jc w:val="both"/>
      </w:pPr>
      <w:r>
        <w:rPr/>
        <w:t>Además a nivel mundial debido a los altos precios de los alimentos y de los energéticos hay presiones inflacionarias que provocarán mayor efecto en las familias altamente dependientes de estas</w:t>
      </w:r>
      <w:r>
        <w:rPr>
          <w:spacing w:val="61"/>
        </w:rPr>
        <w:t> </w:t>
      </w:r>
      <w:r>
        <w:rPr/>
        <w:t>transferencias.</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3"/>
        <w:rPr>
          <w:sz w:val="17"/>
        </w:rPr>
      </w:pPr>
    </w:p>
    <w:p>
      <w:pPr>
        <w:pStyle w:val="Heading2"/>
        <w:numPr>
          <w:ilvl w:val="3"/>
          <w:numId w:val="5"/>
        </w:numPr>
        <w:tabs>
          <w:tab w:pos="496" w:val="left" w:leader="none"/>
        </w:tabs>
        <w:spacing w:line="240" w:lineRule="auto" w:before="61" w:after="0"/>
        <w:ind w:left="495" w:right="0" w:hanging="379"/>
        <w:jc w:val="both"/>
      </w:pPr>
      <w:r>
        <w:rPr/>
        <w:t>REFERENCIAS</w:t>
      </w:r>
      <w:r>
        <w:rPr>
          <w:spacing w:val="10"/>
        </w:rPr>
        <w:t> </w:t>
      </w:r>
      <w:r>
        <w:rPr/>
        <w:t>BIBLIOGRÁFICAS</w:t>
      </w:r>
    </w:p>
    <w:p>
      <w:pPr>
        <w:pStyle w:val="BodyText"/>
        <w:rPr>
          <w:b/>
          <w:sz w:val="40"/>
        </w:rPr>
      </w:pPr>
    </w:p>
    <w:p>
      <w:pPr>
        <w:pStyle w:val="BodyText"/>
        <w:spacing w:line="364" w:lineRule="auto"/>
        <w:ind w:left="115" w:right="107"/>
        <w:jc w:val="both"/>
      </w:pPr>
      <w:r>
        <w:rPr/>
        <w:t>Alarcón, R. 1995. Inmigrants or Transnacional Workers? The Settlement Process among Mexicans in Rural California. Davis, California. Universidad de California, Instituto de Estudios Rurales de California.</w:t>
      </w:r>
    </w:p>
    <w:p>
      <w:pPr>
        <w:pStyle w:val="BodyText"/>
        <w:spacing w:before="2"/>
        <w:rPr>
          <w:sz w:val="24"/>
        </w:rPr>
      </w:pPr>
    </w:p>
    <w:p>
      <w:pPr>
        <w:pStyle w:val="BodyText"/>
        <w:spacing w:line="364" w:lineRule="auto"/>
        <w:ind w:left="115" w:right="107"/>
        <w:jc w:val="both"/>
      </w:pPr>
      <w:r>
        <w:rPr/>
        <w:t>Bustamante, J. 1994. Migración de México a Estados Unidos: un enfoque sociológico, La migración laboral mexicana a estados Unidos de América: una perspectiva bilateral desde México. México, D. F. Secretaria de Relaciones Exteriores.</w:t>
      </w:r>
    </w:p>
    <w:p>
      <w:pPr>
        <w:pStyle w:val="BodyText"/>
        <w:rPr>
          <w:sz w:val="24"/>
        </w:rPr>
      </w:pPr>
    </w:p>
    <w:p>
      <w:pPr>
        <w:pStyle w:val="BodyText"/>
        <w:spacing w:line="364" w:lineRule="auto"/>
        <w:ind w:left="115" w:right="108"/>
        <w:jc w:val="both"/>
      </w:pPr>
      <w:r>
        <w:rPr/>
        <w:t>Canales, A. I. 2000. Internacional inmigration and labor flexibility in the NAFTA context. Internacional Social Sciences Journal, No.165. Organización de las Naciones Unidas para la Educación, la Ciencia y la Cultura  (UNESCO).</w:t>
      </w:r>
    </w:p>
    <w:p>
      <w:pPr>
        <w:pStyle w:val="BodyText"/>
        <w:rPr>
          <w:sz w:val="24"/>
        </w:rPr>
      </w:pPr>
    </w:p>
    <w:p>
      <w:pPr>
        <w:pStyle w:val="BodyText"/>
        <w:spacing w:line="364" w:lineRule="auto"/>
        <w:ind w:left="115" w:right="105"/>
        <w:jc w:val="both"/>
      </w:pPr>
      <w:r>
        <w:rPr/>
        <w:t>Cornelius, W. 1990. Los migrantes de la crisis. El nuevo perfil de la migración de mano de obra mexicana a California en los años ochenta. Población y Trabajo en contextos regionales. Gail Mummert (comp.), Zamora, El Colegio de  Michoacán.</w:t>
      </w:r>
    </w:p>
    <w:p>
      <w:pPr>
        <w:pStyle w:val="BodyText"/>
        <w:rPr>
          <w:sz w:val="24"/>
        </w:rPr>
      </w:pPr>
    </w:p>
    <w:p>
      <w:pPr>
        <w:pStyle w:val="BodyText"/>
        <w:spacing w:line="542" w:lineRule="auto"/>
        <w:ind w:left="115" w:right="157"/>
        <w:jc w:val="both"/>
      </w:pPr>
      <w:r>
        <w:rPr/>
        <w:t>Banco de México. 2005. Indicadores económicos de México. Carpeta electrónica. México, D. F.  </w:t>
      </w:r>
      <w:hyperlink r:id="rId205">
        <w:r>
          <w:rPr/>
          <w:t>http://www.banxico.org.mx/einfofinanciera/Fsinfofinanciera.htm1.</w:t>
        </w:r>
      </w:hyperlink>
    </w:p>
    <w:p>
      <w:pPr>
        <w:pStyle w:val="BodyText"/>
        <w:spacing w:before="86"/>
        <w:ind w:left="115"/>
        <w:jc w:val="both"/>
        <w:rPr>
          <w:i/>
        </w:rPr>
      </w:pPr>
      <w:r>
        <w:rPr/>
        <w:t>Binational Study. 1997. Migration between México and United  Status</w:t>
      </w:r>
      <w:r>
        <w:rPr>
          <w:i/>
        </w:rPr>
        <w:t>.</w:t>
      </w:r>
    </w:p>
    <w:p>
      <w:pPr>
        <w:pStyle w:val="BodyText"/>
        <w:rPr>
          <w:i/>
          <w:sz w:val="22"/>
        </w:rPr>
      </w:pPr>
    </w:p>
    <w:p>
      <w:pPr>
        <w:pStyle w:val="BodyText"/>
        <w:tabs>
          <w:tab w:pos="7942" w:val="left" w:leader="none"/>
        </w:tabs>
        <w:spacing w:line="364" w:lineRule="auto" w:before="159"/>
        <w:ind w:left="116" w:right="107"/>
        <w:jc w:val="both"/>
      </w:pPr>
      <w:r>
        <w:rPr/>
        <w:t>Brooks D. 2008. Para 2025 los inmigrantes representarán 15% de la población de Estados</w:t>
        <w:tab/>
        <w:t>Unidos</w:t>
      </w:r>
    </w:p>
    <w:p>
      <w:pPr>
        <w:pStyle w:val="BodyText"/>
        <w:spacing w:line="367" w:lineRule="auto" w:before="2"/>
        <w:ind w:left="115" w:right="105"/>
        <w:jc w:val="both"/>
      </w:pPr>
      <w:r>
        <w:rPr>
          <w:b/>
        </w:rPr>
        <w:t>(</w:t>
      </w:r>
      <w:hyperlink r:id="rId206">
        <w:r>
          <w:rPr/>
          <w:t>http://www.jornada.unam.mx/2008/02/12/index.php?article=029n1</w:t>
        </w:r>
        <w:r>
          <w:rPr>
            <w:b/>
          </w:rPr>
          <w:t>),</w:t>
        </w:r>
      </w:hyperlink>
      <w:r>
        <w:rPr>
          <w:b/>
        </w:rPr>
        <w:t> </w:t>
      </w:r>
      <w:r>
        <w:rPr/>
        <w:t>consultado 1/09/2008.</w:t>
      </w:r>
    </w:p>
    <w:p>
      <w:pPr>
        <w:pStyle w:val="BodyText"/>
        <w:spacing w:before="9"/>
      </w:pPr>
    </w:p>
    <w:p>
      <w:pPr>
        <w:pStyle w:val="BodyText"/>
        <w:spacing w:line="364" w:lineRule="auto"/>
        <w:ind w:left="115" w:right="105"/>
        <w:jc w:val="both"/>
      </w:pPr>
      <w:r>
        <w:rPr/>
        <w:t>Chávez, L. 1994. The power of the imagined community: a logistic análisis of settlement by undocumented Mexicans and Central Americans. American Antropologist, vol. 96, No. 1.</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4"/>
        <w:jc w:val="both"/>
      </w:pPr>
      <w:r>
        <w:rPr/>
        <w:t>Consejo Nacional de Población (CONAPO). 2004. La nueva era de las  migraciones. Características de la migración internacional en México. CONAPO. ISBN: 970-628-835-X. Mexico, D. F. </w:t>
      </w:r>
      <w:r>
        <w:rPr>
          <w:spacing w:val="9"/>
        </w:rPr>
        <w:t> </w:t>
      </w:r>
      <w:hyperlink r:id="rId147">
        <w:r>
          <w:rPr/>
          <w:t>&lt;http://www.conapo.gob.mx</w:t>
        </w:r>
      </w:hyperlink>
      <w:r>
        <w:rPr/>
        <w:t>&gt;</w:t>
      </w:r>
    </w:p>
    <w:p>
      <w:pPr>
        <w:pStyle w:val="BodyText"/>
        <w:spacing w:before="2"/>
        <w:rPr>
          <w:sz w:val="24"/>
        </w:rPr>
      </w:pPr>
    </w:p>
    <w:p>
      <w:pPr>
        <w:pStyle w:val="BodyText"/>
        <w:spacing w:line="364" w:lineRule="auto"/>
        <w:ind w:left="115" w:right="108"/>
        <w:jc w:val="both"/>
      </w:pPr>
      <w:r>
        <w:rPr/>
        <w:t>Fernández-Kelly, P. 1991. Labor Force Recomposition and Industrial  Reestructuring in Electronics: Implications for Free Trade. Conference Paper, No. 64, Nueva York, Universidad de</w:t>
      </w:r>
      <w:r>
        <w:rPr>
          <w:spacing w:val="46"/>
        </w:rPr>
        <w:t> </w:t>
      </w:r>
      <w:r>
        <w:rPr/>
        <w:t>Columbia.</w:t>
      </w:r>
    </w:p>
    <w:p>
      <w:pPr>
        <w:pStyle w:val="BodyText"/>
        <w:rPr>
          <w:sz w:val="24"/>
        </w:rPr>
      </w:pPr>
    </w:p>
    <w:p>
      <w:pPr>
        <w:pStyle w:val="BodyText"/>
        <w:spacing w:line="364" w:lineRule="auto"/>
        <w:ind w:left="115" w:right="105"/>
        <w:jc w:val="both"/>
      </w:pPr>
      <w:r>
        <w:rPr/>
        <w:t>Figueroa H. E., Pérez S. F. y Daza M. A. 2006. EL impacto de las remesas familiares sobre el nivel de precios y el tipo de cambio. Memoria del X Congreso Internacional sobre Integración Regional, Fronteras y Globalización en el  Continente Americano, del 30 de nov., al 2 de diciembre. San Cristóbal de las Casas, Chiapas.</w:t>
      </w:r>
      <w:r>
        <w:rPr>
          <w:spacing w:val="25"/>
        </w:rPr>
        <w:t> </w:t>
      </w:r>
      <w:r>
        <w:rPr/>
        <w:t>México.</w:t>
      </w:r>
    </w:p>
    <w:p>
      <w:pPr>
        <w:pStyle w:val="BodyText"/>
        <w:rPr>
          <w:sz w:val="24"/>
        </w:rPr>
      </w:pPr>
    </w:p>
    <w:p>
      <w:pPr>
        <w:pStyle w:val="BodyText"/>
        <w:spacing w:line="364" w:lineRule="auto"/>
        <w:ind w:left="115" w:right="107"/>
        <w:jc w:val="both"/>
      </w:pPr>
      <w:r>
        <w:rPr/>
        <w:t>Gástelum G. Ma. Á.1991. Migración de trabajadores mexicanos indocumentados    a los Estados Unidos. México, D. F: Facultad de Derecho de la Universidad Nacional Autónoma de México</w:t>
      </w:r>
      <w:r>
        <w:rPr>
          <w:spacing w:val="46"/>
        </w:rPr>
        <w:t> </w:t>
      </w:r>
      <w:r>
        <w:rPr/>
        <w:t>(UNAM).</w:t>
      </w:r>
    </w:p>
    <w:p>
      <w:pPr>
        <w:pStyle w:val="BodyText"/>
        <w:rPr>
          <w:sz w:val="24"/>
        </w:rPr>
      </w:pPr>
    </w:p>
    <w:p>
      <w:pPr>
        <w:pStyle w:val="BodyText"/>
        <w:spacing w:line="364" w:lineRule="auto"/>
        <w:ind w:left="115" w:right="110"/>
        <w:jc w:val="both"/>
      </w:pPr>
      <w:r>
        <w:rPr/>
        <w:t>Hondagneu-Sotelo, P. 1994. Gender Transitions: Mexican Experiences of Inmigration. University of California Press.</w:t>
      </w:r>
    </w:p>
    <w:p>
      <w:pPr>
        <w:pStyle w:val="BodyText"/>
        <w:spacing w:before="5"/>
        <w:rPr>
          <w:sz w:val="24"/>
        </w:rPr>
      </w:pPr>
    </w:p>
    <w:p>
      <w:pPr>
        <w:pStyle w:val="BodyText"/>
        <w:spacing w:line="364" w:lineRule="auto"/>
        <w:ind w:left="115" w:right="109"/>
        <w:jc w:val="both"/>
      </w:pPr>
      <w:r>
        <w:rPr/>
        <w:t>Levine, E. 2004. La migración de mexicanos a Estados Unidos no ha disminuido,    a diez años del TLCAN. Comunidad Académica en Línea. Boletín UNAM-DGCS- 310</w:t>
      </w:r>
      <w:r>
        <w:rPr>
          <w:spacing w:val="60"/>
        </w:rPr>
        <w:t> </w:t>
      </w:r>
      <w:r>
        <w:rPr/>
        <w:t>(http///</w:t>
      </w:r>
      <w:hyperlink r:id="rId207">
        <w:r>
          <w:rPr/>
          <w:t>www.dgi.unam.mx/boletín/bdboletin/2004_30.html).</w:t>
        </w:r>
      </w:hyperlink>
    </w:p>
    <w:p>
      <w:pPr>
        <w:pStyle w:val="BodyText"/>
        <w:spacing w:before="5"/>
        <w:rPr>
          <w:sz w:val="24"/>
        </w:rPr>
      </w:pPr>
    </w:p>
    <w:p>
      <w:pPr>
        <w:pStyle w:val="BodyText"/>
        <w:spacing w:line="364" w:lineRule="auto"/>
        <w:ind w:left="115" w:right="106"/>
        <w:jc w:val="both"/>
      </w:pPr>
      <w:r>
        <w:rPr/>
        <w:t>López, R. 1994. Migración internacional indocumentada de Mexicanos de la zona metropolitana de la ciudad de México a Estados Unidos en la década de los ochenta. Tesis de maestría en Estudios de población. El Colegio de la Frontera Norte. Tijuana, B. C.</w:t>
      </w:r>
    </w:p>
    <w:p>
      <w:pPr>
        <w:pStyle w:val="BodyText"/>
        <w:spacing w:before="9"/>
      </w:pPr>
    </w:p>
    <w:p>
      <w:pPr>
        <w:pStyle w:val="BodyText"/>
        <w:spacing w:line="367" w:lineRule="auto"/>
        <w:ind w:left="116" w:right="103"/>
        <w:jc w:val="both"/>
      </w:pPr>
      <w:r>
        <w:rPr/>
        <w:t>Massey, D. </w:t>
      </w:r>
      <w:r>
        <w:rPr>
          <w:i/>
        </w:rPr>
        <w:t>et. al</w:t>
      </w:r>
      <w:r>
        <w:rPr/>
        <w:t>. 1987. Return to Aztlan. The Social Process of Internacional Migration from Western México. Berkeley, California, University  of  California  Press.</w:t>
      </w:r>
    </w:p>
    <w:p>
      <w:pPr>
        <w:spacing w:after="0" w:line="367"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Papail, J. y A. J. 1996. Migración mexicana a Estados Unidos  y  desarrollo  regional en Jalisco. Universidad de Guadalajara. Guadalajara, </w:t>
      </w:r>
      <w:r>
        <w:rPr>
          <w:spacing w:val="18"/>
        </w:rPr>
        <w:t> </w:t>
      </w:r>
      <w:r>
        <w:rPr/>
        <w:t>Jalisco</w:t>
      </w:r>
    </w:p>
    <w:p>
      <w:pPr>
        <w:pStyle w:val="BodyText"/>
        <w:rPr>
          <w:sz w:val="24"/>
        </w:rPr>
      </w:pPr>
    </w:p>
    <w:p>
      <w:pPr>
        <w:pStyle w:val="BodyText"/>
        <w:spacing w:line="280" w:lineRule="auto"/>
        <w:ind w:left="115" w:right="105"/>
        <w:jc w:val="both"/>
      </w:pPr>
      <w:r>
        <w:rPr/>
        <w:t>Pessar, P. 1986. The role of gender in Dominican settlement in the U. S. Woman and Change in Latin America. J. Nash y H. Safa (comps.). Massachusetts, Bergin and Garvey Publishers, Inc.</w:t>
      </w:r>
    </w:p>
    <w:p>
      <w:pPr>
        <w:pStyle w:val="BodyText"/>
        <w:spacing w:before="8"/>
      </w:pPr>
    </w:p>
    <w:p>
      <w:pPr>
        <w:pStyle w:val="BodyText"/>
        <w:spacing w:line="364" w:lineRule="auto"/>
        <w:ind w:left="115" w:right="105"/>
        <w:jc w:val="both"/>
      </w:pPr>
      <w:r>
        <w:rPr/>
        <w:t>Rodríguez, N. 1987. Undocumented Central American in Houston: diverse populations. International Migration review, No.</w:t>
      </w:r>
      <w:r>
        <w:rPr>
          <w:spacing w:val="53"/>
        </w:rPr>
        <w:t> </w:t>
      </w:r>
      <w:r>
        <w:rPr/>
        <w:t>21.</w:t>
      </w:r>
    </w:p>
    <w:p>
      <w:pPr>
        <w:pStyle w:val="BodyText"/>
        <w:rPr>
          <w:sz w:val="24"/>
        </w:rPr>
      </w:pPr>
    </w:p>
    <w:p>
      <w:pPr>
        <w:pStyle w:val="BodyText"/>
        <w:spacing w:line="367" w:lineRule="auto"/>
        <w:ind w:left="115" w:right="105"/>
        <w:jc w:val="both"/>
      </w:pPr>
      <w:r>
        <w:rPr/>
        <w:t>Rouse, R. 1991. Mexican migration and the social space of postmodernism. Diaspora, vol. 1, No. 1.</w:t>
      </w:r>
    </w:p>
    <w:p>
      <w:pPr>
        <w:pStyle w:val="BodyText"/>
        <w:spacing w:before="9"/>
      </w:pPr>
    </w:p>
    <w:p>
      <w:pPr>
        <w:pStyle w:val="BodyText"/>
        <w:ind w:left="115"/>
        <w:jc w:val="both"/>
      </w:pPr>
      <w:r>
        <w:rPr/>
        <w:t>Sassen, S. 1998. The globalization and Its discontentst. The New  Press.</w:t>
      </w:r>
    </w:p>
    <w:p>
      <w:pPr>
        <w:pStyle w:val="BodyText"/>
        <w:rPr>
          <w:sz w:val="22"/>
        </w:rPr>
      </w:pPr>
    </w:p>
    <w:p>
      <w:pPr>
        <w:pStyle w:val="BodyText"/>
        <w:spacing w:line="364" w:lineRule="auto" w:before="157"/>
        <w:ind w:left="115" w:right="104" w:firstLine="64"/>
        <w:jc w:val="both"/>
      </w:pPr>
      <w:r>
        <w:rPr/>
        <w:t>Sassen, S. and Smith R. 1992. Post-industrial growth and economic  reorganization: their impact on inmigrant employment. US-México Relations:Labor Market Interdependence. Jorge Bustamante, C. Reynolds y R. Hinojosa (comps.). Stanford University</w:t>
      </w:r>
      <w:r>
        <w:rPr>
          <w:spacing w:val="29"/>
        </w:rPr>
        <w:t> </w:t>
      </w:r>
      <w:r>
        <w:rPr/>
        <w:t>Press.</w:t>
      </w:r>
    </w:p>
    <w:p>
      <w:pPr>
        <w:pStyle w:val="BodyText"/>
        <w:rPr>
          <w:sz w:val="24"/>
        </w:rPr>
      </w:pPr>
    </w:p>
    <w:p>
      <w:pPr>
        <w:pStyle w:val="BodyText"/>
        <w:spacing w:line="364" w:lineRule="auto"/>
        <w:ind w:left="115" w:right="107"/>
        <w:jc w:val="both"/>
      </w:pPr>
      <w:r>
        <w:rPr/>
        <w:t>Zloluiski, C. 1998. In the shadow of the Sillicon Valley: Mexican Immigration Workers in a Low-Income Barrio in san  José.  Tesis  de  Doctorado  en Antropología,  Universidad de California. Santa Bárbara, </w:t>
      </w:r>
      <w:r>
        <w:rPr>
          <w:spacing w:val="10"/>
        </w:rPr>
        <w:t> </w:t>
      </w:r>
      <w:r>
        <w:rPr/>
        <w:t>California.</w:t>
      </w:r>
    </w:p>
    <w:p>
      <w:pPr>
        <w:pStyle w:val="BodyText"/>
        <w:spacing w:before="2"/>
        <w:rPr>
          <w:sz w:val="24"/>
        </w:rPr>
      </w:pPr>
    </w:p>
    <w:p>
      <w:pPr>
        <w:pStyle w:val="BodyText"/>
        <w:spacing w:line="280" w:lineRule="auto"/>
        <w:ind w:left="115" w:right="259"/>
      </w:pPr>
      <w:r>
        <w:rPr/>
        <w:t>Verduzco G. 2004. La migración mexicana a Estados Unidos estructuración de una selectividad histórica. El Colegio de México. México, D.  F</w:t>
      </w:r>
    </w:p>
    <w:p>
      <w:pPr>
        <w:spacing w:after="0" w:line="280" w:lineRule="auto"/>
        <w:sectPr>
          <w:pgSz w:w="11900" w:h="16840"/>
          <w:pgMar w:header="0" w:footer="1679" w:top="1600" w:bottom="1860" w:left="1540" w:right="1580"/>
        </w:sectPr>
      </w:pPr>
    </w:p>
    <w:p>
      <w:pPr>
        <w:pStyle w:val="BodyText"/>
        <w:rPr>
          <w:sz w:val="20"/>
        </w:rPr>
      </w:pPr>
    </w:p>
    <w:p>
      <w:pPr>
        <w:pStyle w:val="BodyText"/>
        <w:spacing w:before="7"/>
        <w:rPr>
          <w:sz w:val="17"/>
        </w:rPr>
      </w:pPr>
    </w:p>
    <w:p>
      <w:pPr>
        <w:pStyle w:val="Heading1"/>
        <w:spacing w:line="362" w:lineRule="auto" w:before="56"/>
        <w:ind w:left="1092" w:right="349" w:hanging="732"/>
      </w:pPr>
      <w:r>
        <w:rPr/>
        <w:t>4. ANÁLISIS DE LAS REMESAS FAMILIARES EN EL CONTEXTO MUNDIAL Y EN MÉXICO</w:t>
      </w:r>
    </w:p>
    <w:p>
      <w:pPr>
        <w:pStyle w:val="BodyText"/>
        <w:rPr>
          <w:b/>
          <w:sz w:val="34"/>
        </w:rPr>
      </w:pPr>
    </w:p>
    <w:p>
      <w:pPr>
        <w:pStyle w:val="Heading4"/>
        <w:spacing w:before="211"/>
        <w:ind w:left="107" w:right="101"/>
        <w:jc w:val="center"/>
      </w:pPr>
      <w:r>
        <w:rPr/>
        <w:t>Orsohe Ramírez Abarca</w:t>
      </w:r>
    </w:p>
    <w:p>
      <w:pPr>
        <w:spacing w:before="140"/>
        <w:ind w:left="104" w:right="101" w:firstLine="0"/>
        <w:jc w:val="center"/>
        <w:rPr>
          <w:sz w:val="19"/>
        </w:rPr>
      </w:pPr>
      <w:r>
        <w:rPr>
          <w:sz w:val="19"/>
        </w:rPr>
        <w:t>Universidad Autónoma del Estado México. </w:t>
      </w:r>
      <w:r>
        <w:rPr>
          <w:spacing w:val="51"/>
          <w:sz w:val="19"/>
        </w:rPr>
        <w:t> </w:t>
      </w:r>
      <w:hyperlink r:id="rId18">
        <w:r>
          <w:rPr>
            <w:sz w:val="19"/>
          </w:rPr>
          <w:t>orsohe@yahoo.com</w:t>
        </w:r>
      </w:hyperlink>
    </w:p>
    <w:p>
      <w:pPr>
        <w:pStyle w:val="Heading4"/>
        <w:spacing w:before="116"/>
        <w:ind w:left="105" w:right="101"/>
        <w:jc w:val="center"/>
      </w:pPr>
      <w:r>
        <w:rPr/>
        <w:t>Esther Figueroa Hernández</w:t>
      </w:r>
    </w:p>
    <w:p>
      <w:pPr>
        <w:spacing w:before="140"/>
        <w:ind w:left="107" w:right="101" w:firstLine="0"/>
        <w:jc w:val="center"/>
        <w:rPr>
          <w:sz w:val="19"/>
        </w:rPr>
      </w:pPr>
      <w:r>
        <w:rPr>
          <w:sz w:val="19"/>
        </w:rPr>
        <w:t>Universidad Autónoma del Estado México.   </w:t>
      </w:r>
      <w:hyperlink r:id="rId17">
        <w:r>
          <w:rPr>
            <w:sz w:val="19"/>
          </w:rPr>
          <w:t>esfigue_3@yahoo.com.mx</w:t>
        </w:r>
      </w:hyperlink>
    </w:p>
    <w:p>
      <w:pPr>
        <w:pStyle w:val="Heading4"/>
        <w:spacing w:before="113"/>
        <w:ind w:left="106" w:right="101"/>
        <w:jc w:val="center"/>
      </w:pPr>
      <w:r>
        <w:rPr/>
        <w:t>Gerónimo Barrios Puente</w:t>
      </w:r>
    </w:p>
    <w:p>
      <w:pPr>
        <w:spacing w:before="142"/>
        <w:ind w:left="105" w:right="101" w:firstLine="0"/>
        <w:jc w:val="center"/>
        <w:rPr>
          <w:sz w:val="19"/>
        </w:rPr>
      </w:pPr>
      <w:r>
        <w:rPr>
          <w:sz w:val="19"/>
        </w:rPr>
        <w:t>Universidad  Autónoma  Chapingo </w:t>
      </w:r>
      <w:hyperlink r:id="rId208">
        <w:r>
          <w:rPr>
            <w:sz w:val="19"/>
          </w:rPr>
          <w:t>gbarrios@yahoo.co.mx</w:t>
        </w:r>
      </w:hyperlink>
    </w:p>
    <w:p>
      <w:pPr>
        <w:pStyle w:val="Heading4"/>
        <w:spacing w:before="113"/>
        <w:ind w:left="102" w:right="101"/>
        <w:jc w:val="center"/>
      </w:pPr>
      <w:r>
        <w:rPr/>
        <w:t>Francisco Pérez Soto</w:t>
      </w:r>
    </w:p>
    <w:p>
      <w:pPr>
        <w:spacing w:before="142"/>
        <w:ind w:left="105" w:right="101" w:firstLine="0"/>
        <w:jc w:val="center"/>
        <w:rPr>
          <w:sz w:val="19"/>
        </w:rPr>
      </w:pPr>
      <w:r>
        <w:rPr>
          <w:sz w:val="19"/>
        </w:rPr>
        <w:t>Universidad  Autónoma  Chapingo </w:t>
      </w:r>
      <w:hyperlink r:id="rId19">
        <w:r>
          <w:rPr>
            <w:sz w:val="19"/>
          </w:rPr>
          <w:t>perezsotof@hotmail.com</w:t>
        </w:r>
      </w:hyperlink>
    </w:p>
    <w:p>
      <w:pPr>
        <w:pStyle w:val="Heading4"/>
        <w:spacing w:before="113"/>
        <w:ind w:left="105" w:right="101"/>
        <w:jc w:val="center"/>
      </w:pPr>
      <w:r>
        <w:rPr/>
        <w:t>Jesús Loera Martínez</w:t>
      </w:r>
    </w:p>
    <w:p>
      <w:pPr>
        <w:spacing w:before="140"/>
        <w:ind w:left="107" w:right="101" w:firstLine="0"/>
        <w:jc w:val="center"/>
        <w:rPr>
          <w:sz w:val="19"/>
        </w:rPr>
      </w:pPr>
      <w:r>
        <w:rPr>
          <w:sz w:val="19"/>
        </w:rPr>
        <w:t>Universidad  Autónoma  Chapingo. </w:t>
      </w:r>
      <w:hyperlink r:id="rId32">
        <w:r>
          <w:rPr>
            <w:sz w:val="19"/>
          </w:rPr>
          <w:t>jloeramtz2004@yahoo.com.mx</w:t>
        </w:r>
      </w:hyperlink>
    </w:p>
    <w:p>
      <w:pPr>
        <w:pStyle w:val="Heading4"/>
        <w:spacing w:before="116"/>
        <w:ind w:left="104" w:right="101"/>
        <w:jc w:val="center"/>
      </w:pPr>
      <w:r>
        <w:rPr/>
        <w:t>Luis Enrique Espinosa Torres</w:t>
      </w:r>
    </w:p>
    <w:p>
      <w:pPr>
        <w:spacing w:before="140"/>
        <w:ind w:left="107" w:right="101" w:firstLine="0"/>
        <w:jc w:val="center"/>
        <w:rPr>
          <w:sz w:val="19"/>
        </w:rPr>
      </w:pPr>
      <w:r>
        <w:rPr>
          <w:sz w:val="19"/>
        </w:rPr>
        <w:t>Universidad Autónoma del  Estado  México. </w:t>
      </w:r>
      <w:hyperlink r:id="rId209">
        <w:r>
          <w:rPr>
            <w:sz w:val="19"/>
          </w:rPr>
          <w:t>luisespinosatorres@yahoo.com.mx</w:t>
        </w:r>
      </w:hyperlink>
    </w:p>
    <w:p>
      <w:pPr>
        <w:pStyle w:val="BodyText"/>
        <w:rPr>
          <w:sz w:val="18"/>
        </w:rPr>
      </w:pPr>
    </w:p>
    <w:p>
      <w:pPr>
        <w:pStyle w:val="BodyText"/>
        <w:spacing w:before="7"/>
        <w:rPr>
          <w:sz w:val="26"/>
        </w:rPr>
      </w:pPr>
    </w:p>
    <w:p>
      <w:pPr>
        <w:pStyle w:val="ListParagraph"/>
        <w:numPr>
          <w:ilvl w:val="0"/>
          <w:numId w:val="11"/>
        </w:numPr>
        <w:tabs>
          <w:tab w:pos="376" w:val="left" w:leader="none"/>
        </w:tabs>
        <w:spacing w:line="240" w:lineRule="auto" w:before="1" w:after="0"/>
        <w:ind w:left="116" w:right="0" w:firstLine="0"/>
        <w:jc w:val="both"/>
        <w:rPr>
          <w:b/>
          <w:sz w:val="31"/>
        </w:rPr>
      </w:pPr>
      <w:r>
        <w:rPr>
          <w:b/>
          <w:sz w:val="31"/>
        </w:rPr>
        <w:t>INTRODUCCIÓN</w:t>
      </w:r>
    </w:p>
    <w:p>
      <w:pPr>
        <w:pStyle w:val="BodyText"/>
        <w:rPr>
          <w:b/>
          <w:sz w:val="30"/>
        </w:rPr>
      </w:pPr>
    </w:p>
    <w:p>
      <w:pPr>
        <w:pStyle w:val="BodyText"/>
        <w:spacing w:line="364" w:lineRule="auto" w:before="244"/>
        <w:ind w:left="115" w:right="105"/>
        <w:jc w:val="both"/>
      </w:pPr>
      <w:r>
        <w:rPr/>
        <w:t>Las remesas familiares constituyen uno de los grandes beneficios que deja la migración internacional de los individuos de los diferentes países fundamentalmente de aquellos considerados en vías de desarrollo, y se considera  a América latina la región de mayor importancia con relación a los mayores flujos de estas divisas. Debido a la gran trascendencia que ha venido teniendo las remesas para las naciones consideradas en vías de desarrollo, el Fondo  Multilateral de Inversiones (FOMIN) del Banco Interamericano de desarrollo (BID), en el año 2000, se ha dado a la tarea de recopilar información estadística con respecto a este rubro, así como de los costos de transacción en que se incurren,  los proveedores de servicios y el posible impacto de estas en el desarrollo de las economías de los países que tienen población</w:t>
      </w:r>
      <w:r>
        <w:rPr>
          <w:spacing w:val="60"/>
        </w:rPr>
        <w:t> </w:t>
      </w:r>
      <w:r>
        <w:rPr/>
        <w:t>migrante.</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En este sentido, la migración es una variable de análisis fundamental en el envío  de las remesas familiares a los países de origen, y ésta debe de ser entendida como el cambio de residencia de uno o varios individuos que puede  ser  de  manera temporal o definitiva, que generalmente es con la intención de buscar una mejora en su situación así como de su desarrollo personal, familiar y </w:t>
      </w:r>
      <w:r>
        <w:rPr>
          <w:spacing w:val="24"/>
        </w:rPr>
        <w:t> </w:t>
      </w:r>
      <w:r>
        <w:rPr/>
        <w:t>profesional.</w:t>
      </w:r>
    </w:p>
    <w:p>
      <w:pPr>
        <w:pStyle w:val="BodyText"/>
        <w:rPr>
          <w:sz w:val="22"/>
        </w:rPr>
      </w:pPr>
    </w:p>
    <w:p>
      <w:pPr>
        <w:pStyle w:val="BodyText"/>
        <w:spacing w:line="364" w:lineRule="auto" w:before="155"/>
        <w:ind w:left="115" w:right="105"/>
        <w:jc w:val="both"/>
      </w:pPr>
      <w:r>
        <w:rPr/>
        <w:t>La migración internacional es uno de los grandes fenómenos globales de nuestros días. Por lo que actualmente es cada vez mayor la movilidad de personas que cruzan los limites internacionales y se desplazan a países incluso distantes  a  pesar de las restricciones migratorias  que están poniendo algunos países  como  es el caso de Estados Unidos. La mayoría de los flujos poblacionales en todas las regiones del mundo obedecen a motivaciones vinculadas con la búsqueda de mejores condiciones de vida, que generalmente obedecen a la falta de oportunidades de trabajo en los países de origen y a las asimetrías que existen entre las</w:t>
      </w:r>
      <w:r>
        <w:rPr>
          <w:spacing w:val="21"/>
        </w:rPr>
        <w:t> </w:t>
      </w:r>
      <w:r>
        <w:rPr/>
        <w:t>economías.</w:t>
      </w:r>
    </w:p>
    <w:p>
      <w:pPr>
        <w:pStyle w:val="BodyText"/>
        <w:rPr>
          <w:sz w:val="22"/>
        </w:rPr>
      </w:pPr>
    </w:p>
    <w:p>
      <w:pPr>
        <w:pStyle w:val="BodyText"/>
        <w:spacing w:line="364" w:lineRule="auto" w:before="155"/>
        <w:ind w:left="115" w:right="105"/>
        <w:jc w:val="both"/>
      </w:pPr>
      <w:r>
        <w:rPr/>
        <w:t>El proceso de globalización que está viviendo la economía mundial desde luego que contribuye a una mayor migración con la apertura de los mercados de bienes, servicios y capitales. Se calcula que el monto aumentó de 75 a 84 millones entre 1965 y 1975, y de los 105 a los 120 millones entre 1985 y 1990. Se menciona también que alrededor de 150 millones de migrantes celebraron la entrada de nuevo siglo fuera de sus países de origen (CONAPO,  </w:t>
      </w:r>
      <w:r>
        <w:rPr>
          <w:spacing w:val="4"/>
        </w:rPr>
        <w:t> </w:t>
      </w:r>
      <w:r>
        <w:rPr/>
        <w:t>2000).</w:t>
      </w:r>
    </w:p>
    <w:p>
      <w:pPr>
        <w:pStyle w:val="BodyText"/>
        <w:rPr>
          <w:sz w:val="22"/>
        </w:rPr>
      </w:pPr>
    </w:p>
    <w:p>
      <w:pPr>
        <w:pStyle w:val="BodyText"/>
        <w:spacing w:line="364" w:lineRule="auto" w:before="155"/>
        <w:ind w:left="115" w:right="105"/>
        <w:jc w:val="both"/>
      </w:pPr>
      <w:r>
        <w:rPr/>
        <w:t>El Banco Interamericano de Desarrollo (2000) revela  que las remesas fluyen de   los países industrializados  demandantes de mano de obra hacia los países en   vías de desarrollo que están privados de ingresos. Lo que debe de entenderse como los millones de personas que se trasladan al norte y el dinero se traslada al sur, siendo las remesas una de las expresiones más tangibles del transnacionalismo y de los vínculos que se entretejen entre países destinos y países de origen. Asimismo, las remesas responden a la responsabilidad familiar que muchos inmigrantes tienen con aquellas personas cercanas que dejaron </w:t>
      </w:r>
      <w:r>
        <w:rPr>
          <w:spacing w:val="40"/>
        </w:rPr>
        <w:t> </w:t>
      </w:r>
      <w:r>
        <w:rPr/>
        <w:t>atrás</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4"/>
        <w:jc w:val="both"/>
      </w:pPr>
      <w:r>
        <w:rPr/>
        <w:t>en sus países de origen y por el cual procuran un mejor bienestar social y económico.</w:t>
      </w:r>
    </w:p>
    <w:p>
      <w:pPr>
        <w:pStyle w:val="BodyText"/>
        <w:rPr>
          <w:sz w:val="22"/>
        </w:rPr>
      </w:pPr>
    </w:p>
    <w:p>
      <w:pPr>
        <w:pStyle w:val="BodyText"/>
        <w:spacing w:line="364" w:lineRule="auto" w:before="155"/>
        <w:ind w:left="115" w:right="104"/>
        <w:jc w:val="both"/>
      </w:pPr>
      <w:r>
        <w:rPr/>
        <w:t>En la actualidad, se reconoce en todas las regiones en desarrollo del globo terráqueo el impacto que tienen las remesas familiares al llegar directamente a millones de hogares, especialistas mencionan que aproximadamente el 10% de la población mundial se ven beneficiadas por este concepto. En este sentido, las remesas es un alivio para muchas naciones y desde luego que se que es muy posible que tiene un efecto multiplicador en el crecimiento económico y de la inversión. Para darse una idea de la trascendencia de estos recursos  económicos,</w:t>
      </w:r>
    </w:p>
    <w:p>
      <w:pPr>
        <w:pStyle w:val="BodyText"/>
        <w:spacing w:line="364" w:lineRule="auto" w:before="5"/>
        <w:ind w:left="115" w:right="105"/>
        <w:jc w:val="both"/>
      </w:pPr>
      <w:r>
        <w:rPr/>
        <w:t>150 millones de migrantes de todo el mundo enviaron alrededor de 300,000 millones de dólares a sus familias en los países en  desarrollo en  2006  según datos del Fondo Internacional de Desarrollo Agrícola  (FIDA).</w:t>
      </w:r>
    </w:p>
    <w:p>
      <w:pPr>
        <w:pStyle w:val="BodyText"/>
        <w:rPr>
          <w:sz w:val="22"/>
        </w:rPr>
      </w:pPr>
    </w:p>
    <w:p>
      <w:pPr>
        <w:pStyle w:val="BodyText"/>
        <w:spacing w:line="364" w:lineRule="auto" w:before="153"/>
        <w:ind w:left="115" w:right="105"/>
        <w:jc w:val="both"/>
      </w:pPr>
      <w:r>
        <w:rPr/>
        <w:t>Para millones de familias de todo el mundo, las remesas constituyen el único  medio para salir de la pobreza. Lo que es importante resaltar es que las remesas para algunas o muchas naciones constituyen el único medio para salir de la pobreza. El FIDA menciona que gran parte de esos flujos económicos se emplea fundamentalmente para cubrir necesidades básicas de las familias receptoras, como son alimentos, vestidos y alojamiento; revelando que entre el 80 y 90% de  las cantidades recibidas se emplean para cubrir este tipo de necesidades, aunado también a subsanar entre otras cosas la atención sanitaria y la  educación;  mientras que el 10 y/o 20% restante se gasta en una combinación de inversiones   y ahorros formales e</w:t>
      </w:r>
      <w:r>
        <w:rPr>
          <w:spacing w:val="40"/>
        </w:rPr>
        <w:t> </w:t>
      </w:r>
      <w:r>
        <w:rPr/>
        <w:t>informales.</w:t>
      </w:r>
    </w:p>
    <w:p>
      <w:pPr>
        <w:pStyle w:val="BodyText"/>
        <w:rPr>
          <w:sz w:val="22"/>
        </w:rPr>
      </w:pPr>
    </w:p>
    <w:p>
      <w:pPr>
        <w:pStyle w:val="Heading3"/>
        <w:spacing w:before="149"/>
        <w:ind w:left="115"/>
      </w:pPr>
      <w:r>
        <w:rPr/>
        <w:t>1.1. Conceptualización de las de las remesas</w:t>
      </w:r>
    </w:p>
    <w:p>
      <w:pPr>
        <w:pStyle w:val="BodyText"/>
        <w:rPr>
          <w:b/>
          <w:sz w:val="26"/>
        </w:rPr>
      </w:pPr>
    </w:p>
    <w:p>
      <w:pPr>
        <w:pStyle w:val="BodyText"/>
        <w:spacing w:before="3"/>
        <w:rPr>
          <w:b/>
        </w:rPr>
      </w:pPr>
    </w:p>
    <w:p>
      <w:pPr>
        <w:pStyle w:val="BodyText"/>
        <w:spacing w:line="364" w:lineRule="auto"/>
        <w:ind w:left="115" w:right="105"/>
        <w:jc w:val="both"/>
      </w:pPr>
      <w:r>
        <w:rPr/>
        <w:t>El concepto de remesas de acuerdo a la definición  de  la  Organización Internacional de la Migración, éste término debe de ser entendido como la porción de sus ingresos que el migrante internacional envía desde el país de acogida a su país  de  origen.  Esta  organización  menciona  que  es  necesario  establecer  una</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6"/>
        <w:jc w:val="both"/>
      </w:pPr>
      <w:r>
        <w:rPr/>
        <w:t>diferencia entre remesas oficiales que se transfieren a través de los canales bancarios oficiales y que, por lo tanto figuran en las estadísticas oficiales, y las remesas informales, que se envían a través de sistema privados de transferencia de dinero, otra es por medio de amigos y familiares, o que pueden ser llevados    por el mismo</w:t>
      </w:r>
      <w:r>
        <w:rPr>
          <w:spacing w:val="23"/>
        </w:rPr>
        <w:t> </w:t>
      </w:r>
      <w:r>
        <w:rPr/>
        <w:t>migrante.</w:t>
      </w:r>
    </w:p>
    <w:p>
      <w:pPr>
        <w:pStyle w:val="BodyText"/>
        <w:rPr>
          <w:sz w:val="22"/>
        </w:rPr>
      </w:pPr>
    </w:p>
    <w:p>
      <w:pPr>
        <w:pStyle w:val="BodyText"/>
        <w:spacing w:line="364" w:lineRule="auto" w:before="155"/>
        <w:ind w:left="115" w:right="105"/>
        <w:jc w:val="both"/>
      </w:pPr>
      <w:r>
        <w:rPr/>
        <w:t>Una de las definiciones más coloquiales de las remesas familiares es entendida como el dinero que los emigrantes envían a su país de origen, siempre que sea a cambio de nada tangible; es decir, como regalo. No obstante, en la contabilidad oficial de los países, no existe un único apunte contable que recoja este  concepto.</w:t>
      </w:r>
    </w:p>
    <w:p>
      <w:pPr>
        <w:pStyle w:val="BodyText"/>
        <w:rPr>
          <w:sz w:val="22"/>
        </w:rPr>
      </w:pPr>
    </w:p>
    <w:p>
      <w:pPr>
        <w:pStyle w:val="BodyText"/>
        <w:spacing w:line="364" w:lineRule="auto" w:before="155"/>
        <w:ind w:left="115" w:right="105"/>
        <w:jc w:val="both"/>
      </w:pPr>
      <w:r>
        <w:rPr/>
        <w:t>El fondo Monetario Internacional en su Manual de Balanza de  Pagos  (1993)  define a las remesas de trabajadores como las transferencias corrientes de los extranjeros residentes, entendiendo por ello que han permanecido o intentan permanecer por un periodo de por lo menos un año. Para el caso de los inmigrantes no residentes, es decir, los que llevan menos de un año en el país, vienen calculados en otro apartado llamado  </w:t>
      </w:r>
      <w:r>
        <w:rPr>
          <w:b/>
        </w:rPr>
        <w:t>“compensación  de  empleados”</w:t>
      </w:r>
      <w:r>
        <w:rPr/>
        <w:t>, que suma los ingresos que los no residentes han percibido de los residentes calculándolo en bruto, éste incluye desde sueldos hasta contribuciones a la seguridad</w:t>
      </w:r>
      <w:r>
        <w:rPr>
          <w:spacing w:val="20"/>
        </w:rPr>
        <w:t> </w:t>
      </w:r>
      <w:r>
        <w:rPr/>
        <w:t>social.</w:t>
      </w:r>
    </w:p>
    <w:p>
      <w:pPr>
        <w:pStyle w:val="BodyText"/>
        <w:rPr>
          <w:sz w:val="22"/>
        </w:rPr>
      </w:pPr>
    </w:p>
    <w:p>
      <w:pPr>
        <w:pStyle w:val="Heading2"/>
        <w:numPr>
          <w:ilvl w:val="0"/>
          <w:numId w:val="11"/>
        </w:numPr>
        <w:tabs>
          <w:tab w:pos="462" w:val="left" w:leader="none"/>
        </w:tabs>
        <w:spacing w:line="240" w:lineRule="auto" w:before="147" w:after="0"/>
        <w:ind w:left="461" w:right="0" w:hanging="345"/>
        <w:jc w:val="both"/>
      </w:pPr>
      <w:r>
        <w:rPr/>
        <w:t>METODOLOGÍA</w:t>
      </w:r>
    </w:p>
    <w:p>
      <w:pPr>
        <w:pStyle w:val="BodyText"/>
        <w:rPr>
          <w:b/>
          <w:sz w:val="30"/>
        </w:rPr>
      </w:pPr>
    </w:p>
    <w:p>
      <w:pPr>
        <w:pStyle w:val="BodyText"/>
        <w:spacing w:line="364" w:lineRule="auto" w:before="244"/>
        <w:ind w:left="115" w:right="104"/>
        <w:jc w:val="both"/>
      </w:pPr>
      <w:r>
        <w:rPr/>
        <w:t>En el presente trabajo de indagación con respecto al análisis de las remesas familiares en el escenario mundial y su análisis en ámbito nacional, se realizó una búsqueda de información secundaria para conocer y cuantificar el monto de las remesas que se me fluyen en el mundo y particularmente en México. Una vez obtenida esta información se examinó el comportamiento de las remesas en el contexto mundial y por continente para identificar los continentes de recepcionan mayores flujos de este rubro así como conocer también los principales países captadores de remesas, para el caso del país se hizo la exploración de los   meses</w:t>
      </w:r>
    </w:p>
    <w:p>
      <w:pPr>
        <w:spacing w:after="0" w:line="364" w:lineRule="auto"/>
        <w:jc w:val="both"/>
        <w:sectPr>
          <w:footerReference w:type="default" r:id="rId210"/>
          <w:pgSz w:w="11900" w:h="16840"/>
          <w:pgMar w:footer="1679" w:header="0" w:top="1600" w:bottom="1860" w:left="1540" w:right="1580"/>
          <w:pgNumType w:start="170"/>
        </w:sectPr>
      </w:pPr>
    </w:p>
    <w:p>
      <w:pPr>
        <w:pStyle w:val="BodyText"/>
        <w:rPr>
          <w:sz w:val="20"/>
        </w:rPr>
      </w:pPr>
    </w:p>
    <w:p>
      <w:pPr>
        <w:pStyle w:val="BodyText"/>
        <w:spacing w:before="7"/>
        <w:rPr>
          <w:sz w:val="16"/>
        </w:rPr>
      </w:pPr>
    </w:p>
    <w:p>
      <w:pPr>
        <w:pStyle w:val="BodyText"/>
        <w:spacing w:line="364" w:lineRule="auto" w:before="74"/>
        <w:ind w:left="115" w:right="106"/>
        <w:jc w:val="both"/>
      </w:pPr>
      <w:r>
        <w:rPr/>
        <w:t>en que se envían los mayores montos, así como los instrumentos utilizados para  su envío a los países de destino. Se calcularon promedios de las series de datos analizados así como las participaciones que tiene a nivel  de  continente,  de  países, para e caso de República Mexicana se hizo este cálculo  para  las  entidades federativas, para los meses a lo largo de la serie de datos así como   para los instrumentos de</w:t>
      </w:r>
      <w:r>
        <w:rPr>
          <w:spacing w:val="36"/>
        </w:rPr>
        <w:t> </w:t>
      </w:r>
      <w:r>
        <w:rPr/>
        <w:t>envío.</w:t>
      </w:r>
    </w:p>
    <w:p>
      <w:pPr>
        <w:pStyle w:val="BodyText"/>
        <w:rPr>
          <w:sz w:val="22"/>
        </w:rPr>
      </w:pPr>
    </w:p>
    <w:p>
      <w:pPr>
        <w:pStyle w:val="BodyText"/>
        <w:spacing w:line="364" w:lineRule="auto" w:before="155"/>
        <w:ind w:left="115" w:right="105"/>
        <w:jc w:val="both"/>
      </w:pPr>
      <w:r>
        <w:rPr/>
        <w:t>Una vez analizada la información estadística de las remesas en ambos contexto mundial y nacional, se elaboraron cuadros de salida, gráficas de promedio, de participaciones y de tasas de crecimiento para realizar un mejor análisis de la información de remesas. Después de esto, se realizó la redacción del documento de las remesas familiares y de las conclusiones finales del presente </w:t>
      </w:r>
      <w:r>
        <w:rPr>
          <w:spacing w:val="22"/>
        </w:rPr>
        <w:t> </w:t>
      </w:r>
      <w:r>
        <w:rPr/>
        <w:t>trabajo.</w:t>
      </w:r>
    </w:p>
    <w:p>
      <w:pPr>
        <w:pStyle w:val="BodyText"/>
        <w:rPr>
          <w:sz w:val="22"/>
        </w:rPr>
      </w:pPr>
    </w:p>
    <w:p>
      <w:pPr>
        <w:pStyle w:val="Heading2"/>
        <w:numPr>
          <w:ilvl w:val="0"/>
          <w:numId w:val="11"/>
        </w:numPr>
        <w:tabs>
          <w:tab w:pos="836" w:val="left" w:leader="none"/>
        </w:tabs>
        <w:spacing w:line="362" w:lineRule="auto" w:before="147" w:after="0"/>
        <w:ind w:left="116" w:right="108" w:firstLine="0"/>
        <w:jc w:val="both"/>
      </w:pPr>
      <w:r>
        <w:rPr/>
        <w:t>ANÁLISIS Y DISCUSIÓN DE LAS REMESAS FAMILIARES</w:t>
      </w:r>
    </w:p>
    <w:p>
      <w:pPr>
        <w:pStyle w:val="BodyText"/>
        <w:spacing w:before="6"/>
        <w:rPr>
          <w:b/>
          <w:sz w:val="35"/>
        </w:rPr>
      </w:pPr>
    </w:p>
    <w:p>
      <w:pPr>
        <w:pStyle w:val="Heading3"/>
        <w:numPr>
          <w:ilvl w:val="1"/>
          <w:numId w:val="12"/>
        </w:numPr>
        <w:tabs>
          <w:tab w:pos="647" w:val="left" w:leader="none"/>
        </w:tabs>
        <w:spacing w:line="240" w:lineRule="auto" w:before="0" w:after="0"/>
        <w:ind w:left="646" w:right="0" w:hanging="530"/>
        <w:jc w:val="both"/>
      </w:pPr>
      <w:r>
        <w:rPr/>
        <w:t>Las remesas familiares en el contexto</w:t>
      </w:r>
      <w:r>
        <w:rPr>
          <w:spacing w:val="38"/>
        </w:rPr>
        <w:t> </w:t>
      </w:r>
      <w:r>
        <w:rPr/>
        <w:t>mundial</w:t>
      </w:r>
    </w:p>
    <w:p>
      <w:pPr>
        <w:pStyle w:val="BodyText"/>
        <w:rPr>
          <w:b/>
          <w:sz w:val="26"/>
        </w:rPr>
      </w:pPr>
    </w:p>
    <w:p>
      <w:pPr>
        <w:pStyle w:val="BodyText"/>
        <w:spacing w:before="3"/>
        <w:rPr>
          <w:b/>
        </w:rPr>
      </w:pPr>
    </w:p>
    <w:p>
      <w:pPr>
        <w:pStyle w:val="BodyText"/>
        <w:spacing w:line="364" w:lineRule="auto"/>
        <w:ind w:left="115" w:right="105"/>
        <w:jc w:val="both"/>
      </w:pPr>
      <w:r>
        <w:rPr/>
        <w:t>En el análisis de las remesas se reafirma que éstas prácticamente llegan a todos los rincones del mundo, tal y como se puede apreciar en la figura 1, en donde se revela la importancia que tienen los continentes en la captación de los flujos de estos recursos económicos procedente de los países donde llegan los </w:t>
      </w:r>
      <w:r>
        <w:rPr>
          <w:spacing w:val="29"/>
        </w:rPr>
        <w:t> </w:t>
      </w:r>
      <w:r>
        <w:rPr/>
        <w:t>migrantes.</w:t>
      </w:r>
    </w:p>
    <w:p>
      <w:pPr>
        <w:pStyle w:val="BodyText"/>
        <w:rPr>
          <w:sz w:val="22"/>
        </w:rPr>
      </w:pPr>
    </w:p>
    <w:p>
      <w:pPr>
        <w:pStyle w:val="BodyText"/>
        <w:spacing w:line="364" w:lineRule="auto" w:before="155"/>
        <w:ind w:left="115" w:right="110"/>
        <w:jc w:val="both"/>
      </w:pPr>
      <w:r>
        <w:rPr/>
        <w:t>En el escenario mundial, es Asia y Oceanía los que más reciben remesas al representar ésta el 37.8% de las remesas mundiales en donde prácticamente el 100% de las transferencias es vía electrónica, seguido de América Latina y el Caribe con el 22.7% del total mundial en donde sólo el 50% es enviada a través   de instituciones bancarias, Europa con el 17.0% usualmente todo es girado por conducto de los bancos, África con 12.7% y cercano Oriente 9.5%, estos dos últimas regiones generalmente utilizan también las transferencias </w:t>
      </w:r>
      <w:r>
        <w:rPr>
          <w:spacing w:val="21"/>
        </w:rPr>
        <w:t> </w:t>
      </w:r>
      <w:r>
        <w:rPr/>
        <w:t>electrónicas.</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3"/>
        <w:rPr>
          <w:sz w:val="16"/>
        </w:rPr>
      </w:pPr>
    </w:p>
    <w:p>
      <w:pPr>
        <w:pStyle w:val="Heading4"/>
        <w:spacing w:line="244" w:lineRule="auto" w:before="73"/>
        <w:ind w:left="3231" w:hanging="3089"/>
      </w:pPr>
      <w:r>
        <w:rPr/>
        <w:pict>
          <v:group style="position:absolute;margin-left:83.279999pt;margin-top:36.516167pt;width:432.25pt;height:227.05pt;mso-position-horizontal-relative:page;mso-position-vertical-relative:paragraph;z-index:8536;mso-wrap-distance-left:0;mso-wrap-distance-right:0" coordorigin="1666,730" coordsize="8645,4541">
            <v:line style="position:absolute" from="5093,963" to="5093,1184" stroked="true" strokeweight=".72pt" strokecolor="#858585"/>
            <v:line style="position:absolute" from="5093,1474" to="5093,1911" stroked="true" strokeweight=".72pt" strokecolor="#858585"/>
            <v:line style="position:absolute" from="5093,2206" to="5093,2643" stroked="true" strokeweight=".72pt" strokecolor="#858585"/>
            <v:line style="position:absolute" from="5093,2936" to="5093,3375" stroked="true" strokeweight=".72pt" strokecolor="#858585"/>
            <v:line style="position:absolute" from="5093,3666" to="5093,4105" stroked="true" strokeweight=".72pt" strokecolor="#858585"/>
            <v:line style="position:absolute" from="5093,4398" to="5093,4678" stroked="true" strokeweight=".72pt" strokecolor="#858585"/>
            <v:line style="position:absolute" from="6011,3666" to="6011,4105" stroked="true" strokeweight=".6pt" strokecolor="#858585"/>
            <v:line style="position:absolute" from="6011,4398" to="6011,4678" stroked="true" strokeweight=".6pt" strokecolor="#858585"/>
            <v:line style="position:absolute" from="6929,3666" to="6929,4105" stroked="true" strokeweight=".72pt" strokecolor="#858585"/>
            <v:line style="position:absolute" from="6929,4398" to="6929,4678" stroked="true" strokeweight=".72pt" strokecolor="#858585"/>
            <v:line style="position:absolute" from="7846,3670" to="7846,4105" stroked="true" strokeweight=".72pt" strokecolor="#858585"/>
            <v:line style="position:absolute" from="7846,4398" to="7846,4678" stroked="true" strokeweight=".72pt" strokecolor="#858585"/>
            <v:line style="position:absolute" from="8762,963" to="8762,4105" stroked="true" strokeweight=".72pt" strokecolor="#858585"/>
            <v:line style="position:absolute" from="8762,4398" to="8762,4678" stroked="true" strokeweight=".72pt" strokecolor="#858585"/>
            <v:rect style="position:absolute;left:4174;top:4105;width:5189;height:293" filled="true" fillcolor="#365f91" stroked="false">
              <v:fill type="solid"/>
            </v:rect>
            <v:line style="position:absolute" from="6011,2936" to="6011,3375" stroked="true" strokeweight=".6pt" strokecolor="#858585"/>
            <v:line style="position:absolute" from="6929,2941" to="6929,3375" stroked="true" strokeweight=".72pt" strokecolor="#858585"/>
            <v:rect style="position:absolute;left:4174;top:3375;width:3118;height:290" filled="true" fillcolor="#365f91" stroked="false">
              <v:fill type="solid"/>
            </v:rect>
            <v:line style="position:absolute" from="6011,1479" to="6011,2643" stroked="true" strokeweight=".6pt" strokecolor="#858585"/>
            <v:rect style="position:absolute;left:4174;top:2643;width:2333;height:293" filled="true" fillcolor="#365f91" stroked="false">
              <v:fill type="solid"/>
            </v:rect>
            <v:rect style="position:absolute;left:4174;top:1911;width:1771;height:295" filled="true" fillcolor="#365f91" stroked="false">
              <v:fill type="solid"/>
            </v:rect>
            <v:rect style="position:absolute;left:4174;top:1184;width:1308;height:290" filled="true" fillcolor="#365f91" stroked="false">
              <v:fill type="solid"/>
            </v:rect>
            <v:line style="position:absolute" from="9682,4402" to="9682,4678" stroked="true" strokeweight=".72pt" strokecolor="#858585"/>
            <v:line style="position:absolute" from="4174,4617" to="9682,4617" stroked="true" strokeweight=".6pt" strokecolor="#858585"/>
            <v:line style="position:absolute" from="4175,963" to="4175,4678" stroked="true" strokeweight=".6pt" strokecolor="#858585"/>
            <v:line style="position:absolute" from="4114,4617" to="4174,4617" stroked="true" strokeweight=".6pt" strokecolor="#858585"/>
            <v:line style="position:absolute" from="4114,3886" to="4174,3886" stroked="true" strokeweight=".72pt" strokecolor="#858585"/>
            <v:line style="position:absolute" from="4114,3154" to="4174,3154" stroked="true" strokeweight=".72pt" strokecolor="#858585"/>
            <v:line style="position:absolute" from="4114,2424" to="4174,2424" stroked="true" strokeweight=".6pt" strokecolor="#858585"/>
            <v:line style="position:absolute" from="4114,1695" to="4174,1695" stroked="true" strokeweight=".72pt" strokecolor="#858585"/>
            <v:line style="position:absolute" from="4114,963" to="4174,963" stroked="true" strokeweight=".72pt" strokecolor="#858585"/>
            <v:line style="position:absolute" from="9682,963" to="9682,4105" stroked="true" strokeweight=".72pt" strokecolor="#858585"/>
            <v:rect style="position:absolute;left:9386;top:4105;width:905;height:298" filled="true" fillcolor="#fdeada" stroked="false">
              <v:fill type="solid"/>
            </v:rect>
            <v:line style="position:absolute" from="7846,963" to="7846,3375" stroked="true" strokeweight=".72pt" strokecolor="#858585"/>
            <v:rect style="position:absolute;left:7349;top:3375;width:806;height:295" filled="true" fillcolor="#fdeada" stroked="false">
              <v:fill type="solid"/>
            </v:rect>
            <v:line style="position:absolute" from="6929,963" to="6929,2643" stroked="true" strokeweight=".72pt" strokecolor="#858585"/>
            <v:rect style="position:absolute;left:6564;top:2643;width:806;height:298" filled="true" fillcolor="#fdeada" stroked="false">
              <v:fill type="solid"/>
            </v:rect>
            <v:rect style="position:absolute;left:6005;top:1914;width:806;height:295" filled="true" fillcolor="#fdeada" stroked="false">
              <v:fill type="solid"/>
            </v:rect>
            <v:line style="position:absolute" from="6011,963" to="6011,1182" stroked="true" strokeweight=".6pt" strokecolor="#858585"/>
            <v:rect style="position:absolute;left:5539;top:1182;width:806;height:298" filled="true" fillcolor="#fdeada" stroked="false">
              <v:fill type="solid"/>
            </v:rect>
            <v:shape style="position:absolute;left:1666;top:730;width:8645;height:4541" coordorigin="1666,730" coordsize="8645,4541" path="m10303,730l1673,730,1666,740,1666,5262,1673,5271,10303,5271,10310,5262,10310,5252,1704,5252,1685,5233,1704,5233,1704,771,1685,771,1704,750,10310,750,10310,740,10303,730xm1704,5233l1685,5233,1704,5252,1704,5233xm10272,5233l1704,5233,1704,5252,10272,5252,10272,5233xm10272,750l10272,5252,10291,5233,10310,5233,10310,771,10291,771,10272,750xm10310,5233l10291,5233,10272,5252,10310,5252,10310,5233xm1704,750l1685,771,1704,771,1704,750xm10272,750l1704,750,1704,771,10272,771,10272,750xm10310,750l10272,750,10291,771,10310,771,10310,750xe" filled="true" fillcolor="#0c0c0c" stroked="false">
              <v:path arrowok="t"/>
              <v:fill type="solid"/>
            </v:shape>
            <v:shape style="position:absolute;left:2676;top:1238;width:1315;height:194" type="#_x0000_t202" filled="false" stroked="false">
              <v:textbox inset="0,0,0,0">
                <w:txbxContent>
                  <w:p>
                    <w:pPr>
                      <w:spacing w:line="194" w:lineRule="exact" w:before="0"/>
                      <w:ind w:left="0" w:right="0" w:firstLine="0"/>
                      <w:jc w:val="left"/>
                      <w:rPr>
                        <w:rFonts w:ascii="Calibri"/>
                        <w:b/>
                        <w:sz w:val="19"/>
                      </w:rPr>
                    </w:pPr>
                    <w:r>
                      <w:rPr>
                        <w:rFonts w:ascii="Calibri"/>
                        <w:b/>
                        <w:sz w:val="19"/>
                      </w:rPr>
                      <w:t>Cercano Oriente</w:t>
                    </w:r>
                  </w:p>
                </w:txbxContent>
              </v:textbox>
              <w10:wrap type="none"/>
            </v:shape>
            <v:shape style="position:absolute;left:5597;top:1250;width:687;height:194" type="#_x0000_t202" filled="false" stroked="false">
              <v:textbox inset="0,0,0,0">
                <w:txbxContent>
                  <w:p>
                    <w:pPr>
                      <w:spacing w:line="194" w:lineRule="exact" w:before="0"/>
                      <w:ind w:left="0" w:right="-7" w:firstLine="0"/>
                      <w:jc w:val="left"/>
                      <w:rPr>
                        <w:rFonts w:ascii="Calibri"/>
                        <w:sz w:val="19"/>
                      </w:rPr>
                    </w:pPr>
                    <w:r>
                      <w:rPr>
                        <w:rFonts w:ascii="Calibri"/>
                        <w:sz w:val="19"/>
                      </w:rPr>
                      <w:t>28,449.0</w:t>
                    </w:r>
                  </w:p>
                </w:txbxContent>
              </v:textbox>
              <w10:wrap type="none"/>
            </v:shape>
            <v:shape style="position:absolute;left:3518;top:1970;width:473;height:194" type="#_x0000_t202" filled="false" stroked="false">
              <v:textbox inset="0,0,0,0">
                <w:txbxContent>
                  <w:p>
                    <w:pPr>
                      <w:spacing w:line="194" w:lineRule="exact" w:before="0"/>
                      <w:ind w:left="0" w:right="-10" w:firstLine="0"/>
                      <w:jc w:val="left"/>
                      <w:rPr>
                        <w:rFonts w:ascii="Calibri"/>
                        <w:b/>
                        <w:sz w:val="19"/>
                      </w:rPr>
                    </w:pPr>
                    <w:r>
                      <w:rPr>
                        <w:rFonts w:ascii="Calibri"/>
                        <w:b/>
                        <w:sz w:val="19"/>
                      </w:rPr>
                      <w:t>Africa</w:t>
                    </w:r>
                  </w:p>
                </w:txbxContent>
              </v:textbox>
              <w10:wrap type="none"/>
            </v:shape>
            <v:shape style="position:absolute;left:6062;top:1979;width:687;height:194" type="#_x0000_t202" filled="false" stroked="false">
              <v:textbox inset="0,0,0,0">
                <w:txbxContent>
                  <w:p>
                    <w:pPr>
                      <w:spacing w:line="194" w:lineRule="exact" w:before="0"/>
                      <w:ind w:left="0" w:right="-7" w:firstLine="0"/>
                      <w:jc w:val="left"/>
                      <w:rPr>
                        <w:rFonts w:ascii="Calibri"/>
                        <w:sz w:val="19"/>
                      </w:rPr>
                    </w:pPr>
                    <w:r>
                      <w:rPr>
                        <w:rFonts w:ascii="Calibri"/>
                        <w:sz w:val="19"/>
                      </w:rPr>
                      <w:t>38,611.0</w:t>
                    </w:r>
                  </w:p>
                </w:txbxContent>
              </v:textbox>
              <w10:wrap type="none"/>
            </v:shape>
            <v:shape style="position:absolute;left:3418;top:2699;width:576;height:194" type="#_x0000_t202" filled="false" stroked="false">
              <v:textbox inset="0,0,0,0">
                <w:txbxContent>
                  <w:p>
                    <w:pPr>
                      <w:spacing w:line="194" w:lineRule="exact" w:before="0"/>
                      <w:ind w:left="0" w:right="-5" w:firstLine="0"/>
                      <w:jc w:val="left"/>
                      <w:rPr>
                        <w:rFonts w:ascii="Calibri"/>
                        <w:b/>
                        <w:sz w:val="19"/>
                      </w:rPr>
                    </w:pPr>
                    <w:r>
                      <w:rPr>
                        <w:rFonts w:ascii="Calibri"/>
                        <w:b/>
                        <w:sz w:val="19"/>
                      </w:rPr>
                      <w:t>Europa</w:t>
                    </w:r>
                  </w:p>
                </w:txbxContent>
              </v:textbox>
              <w10:wrap type="none"/>
            </v:shape>
            <v:shape style="position:absolute;left:6622;top:2711;width:687;height:194" type="#_x0000_t202" filled="false" stroked="false">
              <v:textbox inset="0,0,0,0">
                <w:txbxContent>
                  <w:p>
                    <w:pPr>
                      <w:spacing w:line="194" w:lineRule="exact" w:before="0"/>
                      <w:ind w:left="0" w:right="-7" w:firstLine="0"/>
                      <w:jc w:val="left"/>
                      <w:rPr>
                        <w:rFonts w:ascii="Calibri"/>
                        <w:sz w:val="19"/>
                      </w:rPr>
                    </w:pPr>
                    <w:r>
                      <w:rPr>
                        <w:rFonts w:ascii="Calibri"/>
                        <w:sz w:val="19"/>
                      </w:rPr>
                      <w:t>50,805.0</w:t>
                    </w:r>
                  </w:p>
                </w:txbxContent>
              </v:textbox>
              <w10:wrap type="none"/>
            </v:shape>
            <v:shape style="position:absolute;left:1898;top:3431;width:2093;height:194" type="#_x0000_t202" filled="false" stroked="false">
              <v:textbox inset="0,0,0,0">
                <w:txbxContent>
                  <w:p>
                    <w:pPr>
                      <w:spacing w:line="194" w:lineRule="exact" w:before="0"/>
                      <w:ind w:left="0" w:right="0" w:firstLine="0"/>
                      <w:jc w:val="left"/>
                      <w:rPr>
                        <w:rFonts w:ascii="Calibri" w:hAnsi="Calibri"/>
                        <w:b/>
                        <w:sz w:val="19"/>
                      </w:rPr>
                    </w:pPr>
                    <w:r>
                      <w:rPr>
                        <w:rFonts w:ascii="Calibri" w:hAnsi="Calibri"/>
                        <w:b/>
                        <w:sz w:val="19"/>
                      </w:rPr>
                      <w:t>América Latina y el Caribe</w:t>
                    </w:r>
                  </w:p>
                </w:txbxContent>
              </v:textbox>
              <w10:wrap type="none"/>
            </v:shape>
            <v:shape style="position:absolute;left:7406;top:3441;width:687;height:194" type="#_x0000_t202" filled="false" stroked="false">
              <v:textbox inset="0,0,0,0">
                <w:txbxContent>
                  <w:p>
                    <w:pPr>
                      <w:spacing w:line="194" w:lineRule="exact" w:before="0"/>
                      <w:ind w:left="0" w:right="-7" w:firstLine="0"/>
                      <w:jc w:val="left"/>
                      <w:rPr>
                        <w:rFonts w:ascii="Calibri"/>
                        <w:sz w:val="19"/>
                      </w:rPr>
                    </w:pPr>
                    <w:r>
                      <w:rPr>
                        <w:rFonts w:ascii="Calibri"/>
                        <w:sz w:val="19"/>
                      </w:rPr>
                      <w:t>67,905.0</w:t>
                    </w:r>
                  </w:p>
                </w:txbxContent>
              </v:textbox>
              <w10:wrap type="none"/>
            </v:shape>
            <v:shape style="position:absolute;left:2820;top:4161;width:1172;height:194" type="#_x0000_t202" filled="false" stroked="false">
              <v:textbox inset="0,0,0,0">
                <w:txbxContent>
                  <w:p>
                    <w:pPr>
                      <w:spacing w:line="194" w:lineRule="exact" w:before="0"/>
                      <w:ind w:left="0" w:right="0" w:firstLine="0"/>
                      <w:jc w:val="left"/>
                      <w:rPr>
                        <w:rFonts w:ascii="Calibri" w:hAnsi="Calibri"/>
                        <w:b/>
                        <w:sz w:val="19"/>
                      </w:rPr>
                    </w:pPr>
                    <w:r>
                      <w:rPr>
                        <w:rFonts w:ascii="Calibri" w:hAnsi="Calibri"/>
                        <w:b/>
                        <w:sz w:val="19"/>
                      </w:rPr>
                      <w:t>Asia y Oceanía</w:t>
                    </w:r>
                  </w:p>
                </w:txbxContent>
              </v:textbox>
              <w10:wrap type="none"/>
            </v:shape>
            <v:shape style="position:absolute;left:9444;top:4173;width:785;height:194" type="#_x0000_t202" filled="false" stroked="false">
              <v:textbox inset="0,0,0,0">
                <w:txbxContent>
                  <w:p>
                    <w:pPr>
                      <w:spacing w:line="194" w:lineRule="exact" w:before="0"/>
                      <w:ind w:left="0" w:right="-5" w:firstLine="0"/>
                      <w:jc w:val="left"/>
                      <w:rPr>
                        <w:rFonts w:ascii="Calibri"/>
                        <w:sz w:val="19"/>
                      </w:rPr>
                    </w:pPr>
                    <w:r>
                      <w:rPr>
                        <w:rFonts w:ascii="Calibri"/>
                        <w:sz w:val="19"/>
                      </w:rPr>
                      <w:t>113,055.0</w:t>
                    </w:r>
                  </w:p>
                </w:txbxContent>
              </v:textbox>
              <w10:wrap type="none"/>
            </v:shape>
            <v:shape style="position:absolute;left:4049;top:4838;width:248;height:194" type="#_x0000_t202" filled="false" stroked="false">
              <v:textbox inset="0,0,0,0">
                <w:txbxContent>
                  <w:p>
                    <w:pPr>
                      <w:spacing w:line="194" w:lineRule="exact" w:before="0"/>
                      <w:ind w:left="0" w:right="-16" w:firstLine="0"/>
                      <w:jc w:val="left"/>
                      <w:rPr>
                        <w:rFonts w:ascii="Calibri"/>
                        <w:b/>
                        <w:sz w:val="19"/>
                      </w:rPr>
                    </w:pPr>
                    <w:r>
                      <w:rPr>
                        <w:rFonts w:ascii="Calibri"/>
                        <w:b/>
                        <w:sz w:val="19"/>
                      </w:rPr>
                      <w:t>0.0</w:t>
                    </w:r>
                  </w:p>
                </w:txbxContent>
              </v:textbox>
              <w10:wrap type="none"/>
            </v:shape>
            <v:shape style="position:absolute;left:4747;top:4838;width:5326;height:194" type="#_x0000_t202" filled="false" stroked="false">
              <v:textbox inset="0,0,0,0">
                <w:txbxContent>
                  <w:p>
                    <w:pPr>
                      <w:tabs>
                        <w:tab w:pos="916" w:val="left" w:leader="none"/>
                        <w:tab w:pos="1836" w:val="left" w:leader="none"/>
                        <w:tab w:pos="2753" w:val="left" w:leader="none"/>
                      </w:tabs>
                      <w:spacing w:line="194" w:lineRule="exact" w:before="0"/>
                      <w:ind w:left="0" w:right="0" w:firstLine="0"/>
                      <w:jc w:val="left"/>
                      <w:rPr>
                        <w:rFonts w:ascii="Calibri"/>
                        <w:b/>
                        <w:sz w:val="19"/>
                      </w:rPr>
                    </w:pPr>
                    <w:r>
                      <w:rPr>
                        <w:rFonts w:ascii="Calibri"/>
                        <w:b/>
                        <w:sz w:val="19"/>
                      </w:rPr>
                      <w:t>20,000.0</w:t>
                      <w:tab/>
                      <w:t>40,000.0</w:t>
                      <w:tab/>
                      <w:t>60,000.0</w:t>
                      <w:tab/>
                      <w:t>80,000.0     100,000.0 </w:t>
                    </w:r>
                    <w:r>
                      <w:rPr>
                        <w:rFonts w:ascii="Calibri"/>
                        <w:b/>
                        <w:spacing w:val="38"/>
                        <w:sz w:val="19"/>
                      </w:rPr>
                      <w:t> </w:t>
                    </w:r>
                    <w:r>
                      <w:rPr>
                        <w:rFonts w:ascii="Calibri"/>
                        <w:b/>
                        <w:sz w:val="19"/>
                      </w:rPr>
                      <w:t>120,000.0</w:t>
                    </w:r>
                  </w:p>
                </w:txbxContent>
              </v:textbox>
              <w10:wrap type="none"/>
            </v:shape>
            <w10:wrap type="topAndBottom"/>
          </v:group>
        </w:pict>
      </w:r>
      <w:r>
        <w:rPr/>
        <w:t>Figura 1. Flujo de remesas familiares hacia los continentes del mundo, 2006, (Millones de dólares)</w:t>
      </w:r>
    </w:p>
    <w:p>
      <w:pPr>
        <w:spacing w:before="91"/>
        <w:ind w:left="115" w:right="0" w:firstLine="0"/>
        <w:jc w:val="both"/>
        <w:rPr>
          <w:sz w:val="21"/>
        </w:rPr>
      </w:pPr>
      <w:r>
        <w:rPr>
          <w:sz w:val="21"/>
        </w:rPr>
        <w:t>Fuente: Elaboración propia con información estadística de Banco Mundial.   2006.</w:t>
      </w:r>
    </w:p>
    <w:p>
      <w:pPr>
        <w:pStyle w:val="BodyText"/>
        <w:rPr>
          <w:sz w:val="20"/>
        </w:rPr>
      </w:pPr>
    </w:p>
    <w:p>
      <w:pPr>
        <w:pStyle w:val="BodyText"/>
        <w:spacing w:before="2"/>
        <w:rPr>
          <w:sz w:val="26"/>
        </w:rPr>
      </w:pPr>
    </w:p>
    <w:p>
      <w:pPr>
        <w:pStyle w:val="BodyText"/>
        <w:spacing w:line="364" w:lineRule="auto" w:before="1"/>
        <w:ind w:left="115" w:right="204"/>
        <w:jc w:val="both"/>
      </w:pPr>
      <w:r>
        <w:rPr/>
        <w:t>En el ámbito mundial, el continente que percibe el mayor número de remesas familiares es el continente de Asía y Oceanía de 113,055 millones de dólares que significa el 37.8% de las remesas que se mueven en el mundo. Dentro de las regiones de mayor trascendencia en la captación de éste rubro se encuentra Asía Meridional en donde se capta el 40% de lo que se va esta región donde destacan países como Afganistán, Nepal, Bangladesh, entre otros; es seguido de Asía Sudoriental que atrae el 28.8% (Se encuentran países como Laos, Timor Leste, Filipinas, etc.) y la tercer lugar se exhibe a Asia Oriental con 20.4% y  conjuntamente estas tres subregiones dentro de ésta región definida por el FIDA aportan el 89.8% (Cuadro</w:t>
      </w:r>
      <w:r>
        <w:rPr>
          <w:spacing w:val="29"/>
        </w:rPr>
        <w:t> </w:t>
      </w:r>
      <w:r>
        <w:rPr/>
        <w:t>1).</w:t>
      </w:r>
    </w:p>
    <w:p>
      <w:pPr>
        <w:pStyle w:val="BodyText"/>
        <w:rPr>
          <w:sz w:val="22"/>
        </w:rPr>
      </w:pPr>
    </w:p>
    <w:p>
      <w:pPr>
        <w:pStyle w:val="BodyText"/>
        <w:spacing w:line="364" w:lineRule="auto" w:before="155"/>
        <w:ind w:left="115" w:right="204"/>
        <w:jc w:val="both"/>
      </w:pPr>
      <w:r>
        <w:rPr/>
        <w:t>América Latina y el Caribe es la segunda región captadora de remesas familiares con 69,905 millones de dólares que significa el 22.7% de las remesas mundiales. México absorbe el 35.7% de éste rubro y en el mismo porcentaje se destina a Sudamérica, que en conjunto captan el 71.4% de ésta región, en Sudamérica los principales países son Guyana, Suriname, Bolivia, Ecuador, etc.; y   Centroamérica</w:t>
      </w:r>
    </w:p>
    <w:p>
      <w:pPr>
        <w:spacing w:after="0" w:line="364" w:lineRule="auto"/>
        <w:jc w:val="both"/>
        <w:sectPr>
          <w:pgSz w:w="11900" w:h="16840"/>
          <w:pgMar w:header="0" w:footer="1679" w:top="1600" w:bottom="1860" w:left="1540" w:right="1480"/>
        </w:sectPr>
      </w:pPr>
    </w:p>
    <w:p>
      <w:pPr>
        <w:pStyle w:val="BodyText"/>
        <w:rPr>
          <w:sz w:val="20"/>
        </w:rPr>
      </w:pPr>
    </w:p>
    <w:p>
      <w:pPr>
        <w:pStyle w:val="BodyText"/>
        <w:spacing w:before="7"/>
        <w:rPr>
          <w:sz w:val="16"/>
        </w:rPr>
      </w:pPr>
    </w:p>
    <w:p>
      <w:pPr>
        <w:pStyle w:val="BodyText"/>
        <w:spacing w:line="364" w:lineRule="auto" w:before="74"/>
        <w:ind w:left="195" w:right="162"/>
        <w:jc w:val="both"/>
      </w:pPr>
      <w:r>
        <w:rPr/>
        <w:t>(Destacan naciones tales como Honduras, El Salvador, Nicaragua, Guatemala,  etc.) y el Caribe (Granada, San Vicente y las Granadinas, Haití,  Saint  Kitts  y Nevis, entre otros) atraen el 28.6% (FIDA, 2006). Hasta hace unos años Estados unidos era el principal destino de los emigrantes, pero esto ha venido cambiando con flujos migratorios hacia Italia y España en el Continente Europeo y dentro de América Latina se emigra hacia Argentina, Brasil y Costa Rica, que en estos momentos son las economías más consolidadas desde el punto de vista económico.</w:t>
      </w:r>
    </w:p>
    <w:p>
      <w:pPr>
        <w:pStyle w:val="BodyText"/>
        <w:rPr>
          <w:sz w:val="22"/>
        </w:rPr>
      </w:pPr>
    </w:p>
    <w:p>
      <w:pPr>
        <w:pStyle w:val="Heading4"/>
        <w:spacing w:before="148"/>
        <w:ind w:left="1999" w:right="1976"/>
        <w:jc w:val="center"/>
      </w:pPr>
      <w:r>
        <w:rPr/>
        <w:t>Cuadro 1. Flujo de remesas mundiales,</w:t>
      </w:r>
      <w:r>
        <w:rPr>
          <w:spacing w:val="59"/>
        </w:rPr>
        <w:t> </w:t>
      </w:r>
      <w:r>
        <w:rPr/>
        <w:t>2006</w:t>
      </w:r>
    </w:p>
    <w:p>
      <w:pPr>
        <w:spacing w:before="8"/>
        <w:ind w:left="1999" w:right="1972" w:firstLine="0"/>
        <w:jc w:val="center"/>
        <w:rPr>
          <w:b/>
          <w:sz w:val="21"/>
        </w:rPr>
      </w:pPr>
      <w:r>
        <w:rPr>
          <w:b/>
          <w:sz w:val="21"/>
        </w:rPr>
        <w:t>(Millones de dólares)</w:t>
      </w:r>
    </w:p>
    <w:p>
      <w:pPr>
        <w:pStyle w:val="BodyText"/>
        <w:spacing w:before="6"/>
        <w:rPr>
          <w:b/>
          <w:sz w:val="10"/>
        </w:rPr>
      </w:pPr>
    </w:p>
    <w:tbl>
      <w:tblPr>
        <w:tblW w:w="0" w:type="auto"/>
        <w:jc w:val="left"/>
        <w:tblInd w:w="119"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5676"/>
        <w:gridCol w:w="917"/>
        <w:gridCol w:w="679"/>
        <w:gridCol w:w="1382"/>
      </w:tblGrid>
      <w:tr>
        <w:trPr>
          <w:trHeight w:val="378" w:hRule="exact"/>
        </w:trPr>
        <w:tc>
          <w:tcPr>
            <w:tcW w:w="5676" w:type="dxa"/>
            <w:tcBorders>
              <w:left w:val="single" w:sz="8" w:space="0" w:color="000000"/>
              <w:bottom w:val="single" w:sz="8" w:space="0" w:color="000000"/>
              <w:right w:val="single" w:sz="8" w:space="0" w:color="000000"/>
            </w:tcBorders>
          </w:tcPr>
          <w:p>
            <w:pPr>
              <w:pStyle w:val="TableParagraph"/>
              <w:spacing w:before="8"/>
              <w:jc w:val="left"/>
              <w:rPr>
                <w:b/>
                <w:sz w:val="15"/>
              </w:rPr>
            </w:pPr>
          </w:p>
          <w:p>
            <w:pPr>
              <w:pStyle w:val="TableParagraph"/>
              <w:spacing w:before="0"/>
              <w:ind w:left="57"/>
              <w:jc w:val="left"/>
              <w:rPr>
                <w:b/>
                <w:sz w:val="15"/>
              </w:rPr>
            </w:pPr>
            <w:r>
              <w:rPr>
                <w:b/>
                <w:w w:val="105"/>
                <w:sz w:val="15"/>
              </w:rPr>
              <w:t>CONTINENTES/PAÍSES</w:t>
            </w:r>
          </w:p>
        </w:tc>
        <w:tc>
          <w:tcPr>
            <w:tcW w:w="917" w:type="dxa"/>
            <w:tcBorders>
              <w:left w:val="single" w:sz="8" w:space="0" w:color="000000"/>
              <w:bottom w:val="single" w:sz="8" w:space="0" w:color="000000"/>
              <w:right w:val="single" w:sz="8" w:space="0" w:color="000000"/>
            </w:tcBorders>
          </w:tcPr>
          <w:p>
            <w:pPr>
              <w:pStyle w:val="TableParagraph"/>
              <w:spacing w:before="8"/>
              <w:jc w:val="left"/>
              <w:rPr>
                <w:b/>
                <w:sz w:val="15"/>
              </w:rPr>
            </w:pPr>
          </w:p>
          <w:p>
            <w:pPr>
              <w:pStyle w:val="TableParagraph"/>
              <w:spacing w:before="0"/>
              <w:ind w:left="158"/>
              <w:jc w:val="left"/>
              <w:rPr>
                <w:b/>
                <w:sz w:val="15"/>
              </w:rPr>
            </w:pPr>
            <w:r>
              <w:rPr>
                <w:b/>
                <w:w w:val="105"/>
                <w:sz w:val="15"/>
              </w:rPr>
              <w:t>MONTO</w:t>
            </w:r>
          </w:p>
        </w:tc>
        <w:tc>
          <w:tcPr>
            <w:tcW w:w="679" w:type="dxa"/>
            <w:tcBorders>
              <w:left w:val="single" w:sz="8" w:space="0" w:color="000000"/>
              <w:bottom w:val="single" w:sz="8" w:space="0" w:color="000000"/>
              <w:right w:val="single" w:sz="8" w:space="0" w:color="000000"/>
            </w:tcBorders>
          </w:tcPr>
          <w:p>
            <w:pPr>
              <w:pStyle w:val="TableParagraph"/>
              <w:spacing w:before="8"/>
              <w:jc w:val="left"/>
              <w:rPr>
                <w:b/>
                <w:sz w:val="15"/>
              </w:rPr>
            </w:pPr>
          </w:p>
          <w:p>
            <w:pPr>
              <w:pStyle w:val="TableParagraph"/>
              <w:spacing w:before="0"/>
              <w:ind w:right="58"/>
              <w:jc w:val="center"/>
              <w:rPr>
                <w:b/>
                <w:sz w:val="15"/>
              </w:rPr>
            </w:pPr>
            <w:r>
              <w:rPr>
                <w:b/>
                <w:w w:val="104"/>
                <w:sz w:val="15"/>
              </w:rPr>
              <w:t>%</w:t>
            </w:r>
          </w:p>
        </w:tc>
        <w:tc>
          <w:tcPr>
            <w:tcW w:w="1382" w:type="dxa"/>
            <w:tcBorders>
              <w:left w:val="single" w:sz="8" w:space="0" w:color="000000"/>
              <w:bottom w:val="single" w:sz="8" w:space="0" w:color="000000"/>
              <w:right w:val="single" w:sz="8" w:space="0" w:color="000000"/>
            </w:tcBorders>
          </w:tcPr>
          <w:p>
            <w:pPr>
              <w:pStyle w:val="TableParagraph"/>
              <w:spacing w:line="247" w:lineRule="auto" w:before="3"/>
              <w:ind w:left="57"/>
              <w:jc w:val="left"/>
              <w:rPr>
                <w:b/>
                <w:sz w:val="15"/>
              </w:rPr>
            </w:pPr>
            <w:r>
              <w:rPr>
                <w:b/>
                <w:w w:val="105"/>
                <w:sz w:val="15"/>
              </w:rPr>
              <w:t>PORC. </w:t>
            </w:r>
            <w:r>
              <w:rPr>
                <w:b/>
                <w:sz w:val="15"/>
              </w:rPr>
              <w:t>REGIÓN/MUNDO</w:t>
            </w:r>
          </w:p>
        </w:tc>
      </w:tr>
      <w:tr>
        <w:trPr>
          <w:trHeight w:val="199" w:hRule="exact"/>
        </w:trPr>
        <w:tc>
          <w:tcPr>
            <w:tcW w:w="8654" w:type="dxa"/>
            <w:gridSpan w:val="4"/>
            <w:tcBorders>
              <w:top w:val="single" w:sz="8" w:space="0" w:color="000000"/>
              <w:left w:val="single" w:sz="8" w:space="0" w:color="000000"/>
              <w:bottom w:val="single" w:sz="8" w:space="0" w:color="000000"/>
              <w:right w:val="single" w:sz="8" w:space="0" w:color="000000"/>
            </w:tcBorders>
          </w:tcPr>
          <w:p>
            <w:pPr/>
          </w:p>
        </w:tc>
      </w:tr>
      <w:tr>
        <w:trPr>
          <w:trHeight w:val="199" w:hRule="exact"/>
        </w:trPr>
        <w:tc>
          <w:tcPr>
            <w:tcW w:w="5676" w:type="dxa"/>
            <w:tcBorders>
              <w:top w:val="single" w:sz="8" w:space="0" w:color="000000"/>
              <w:left w:val="single" w:sz="8" w:space="0" w:color="000000"/>
              <w:bottom w:val="single" w:sz="8" w:space="0" w:color="000000"/>
              <w:right w:val="single" w:sz="8" w:space="0" w:color="000000"/>
            </w:tcBorders>
          </w:tcPr>
          <w:p>
            <w:pPr>
              <w:pStyle w:val="TableParagraph"/>
              <w:spacing w:line="171" w:lineRule="exact" w:before="0"/>
              <w:ind w:left="57"/>
              <w:jc w:val="left"/>
              <w:rPr>
                <w:b/>
                <w:sz w:val="15"/>
              </w:rPr>
            </w:pPr>
            <w:r>
              <w:rPr>
                <w:b/>
                <w:w w:val="105"/>
                <w:sz w:val="15"/>
              </w:rPr>
              <w:t>Asia y Oceanía</w:t>
            </w:r>
          </w:p>
        </w:tc>
        <w:tc>
          <w:tcPr>
            <w:tcW w:w="917" w:type="dxa"/>
            <w:tcBorders>
              <w:top w:val="single" w:sz="8" w:space="0" w:color="000000"/>
              <w:left w:val="single" w:sz="8" w:space="0" w:color="000000"/>
              <w:bottom w:val="single" w:sz="8" w:space="0" w:color="000000"/>
              <w:right w:val="single" w:sz="8" w:space="0" w:color="000000"/>
            </w:tcBorders>
          </w:tcPr>
          <w:p>
            <w:pPr>
              <w:pStyle w:val="TableParagraph"/>
              <w:spacing w:line="171" w:lineRule="exact" w:before="0"/>
              <w:ind w:right="59"/>
              <w:rPr>
                <w:b/>
                <w:sz w:val="15"/>
              </w:rPr>
            </w:pPr>
            <w:r>
              <w:rPr>
                <w:b/>
                <w:sz w:val="15"/>
              </w:rPr>
              <w:t>113,055.0</w:t>
            </w:r>
          </w:p>
        </w:tc>
        <w:tc>
          <w:tcPr>
            <w:tcW w:w="679" w:type="dxa"/>
            <w:tcBorders>
              <w:top w:val="single" w:sz="8" w:space="0" w:color="000000"/>
              <w:left w:val="single" w:sz="8" w:space="0" w:color="000000"/>
              <w:bottom w:val="single" w:sz="8" w:space="0" w:color="000000"/>
              <w:right w:val="single" w:sz="8" w:space="0" w:color="000000"/>
            </w:tcBorders>
          </w:tcPr>
          <w:p>
            <w:pPr>
              <w:pStyle w:val="TableParagraph"/>
              <w:spacing w:line="171" w:lineRule="exact" w:before="0"/>
              <w:ind w:right="57"/>
              <w:rPr>
                <w:b/>
                <w:sz w:val="15"/>
              </w:rPr>
            </w:pPr>
            <w:r>
              <w:rPr>
                <w:b/>
                <w:sz w:val="15"/>
              </w:rPr>
              <w:t>100</w:t>
            </w:r>
          </w:p>
        </w:tc>
        <w:tc>
          <w:tcPr>
            <w:tcW w:w="1382" w:type="dxa"/>
            <w:vMerge w:val="restart"/>
            <w:tcBorders>
              <w:top w:val="single" w:sz="8" w:space="0" w:color="000000"/>
              <w:left w:val="single" w:sz="8" w:space="0" w:color="000000"/>
              <w:right w:val="single" w:sz="8" w:space="0" w:color="000000"/>
            </w:tcBorders>
          </w:tcPr>
          <w:p>
            <w:pPr>
              <w:pStyle w:val="TableParagraph"/>
              <w:spacing w:line="171" w:lineRule="exact" w:before="0"/>
              <w:ind w:right="59"/>
              <w:rPr>
                <w:b/>
                <w:sz w:val="15"/>
              </w:rPr>
            </w:pPr>
            <w:r>
              <w:rPr>
                <w:b/>
                <w:sz w:val="15"/>
              </w:rPr>
              <w:t>37.8</w:t>
            </w:r>
          </w:p>
        </w:tc>
      </w:tr>
      <w:tr>
        <w:trPr>
          <w:trHeight w:val="193" w:hRule="exact"/>
        </w:trPr>
        <w:tc>
          <w:tcPr>
            <w:tcW w:w="5676" w:type="dxa"/>
            <w:tcBorders>
              <w:top w:val="single" w:sz="8" w:space="0" w:color="000000"/>
              <w:left w:val="single" w:sz="8" w:space="0" w:color="000000"/>
              <w:bottom w:val="single" w:sz="3" w:space="0" w:color="000000"/>
              <w:right w:val="single" w:sz="8" w:space="0" w:color="000000"/>
            </w:tcBorders>
          </w:tcPr>
          <w:p>
            <w:pPr>
              <w:pStyle w:val="TableParagraph"/>
              <w:spacing w:before="3"/>
              <w:ind w:left="57"/>
              <w:jc w:val="left"/>
              <w:rPr>
                <w:sz w:val="15"/>
              </w:rPr>
            </w:pPr>
            <w:r>
              <w:rPr>
                <w:w w:val="105"/>
                <w:sz w:val="15"/>
              </w:rPr>
              <w:t>Asia Central</w:t>
            </w:r>
          </w:p>
        </w:tc>
        <w:tc>
          <w:tcPr>
            <w:tcW w:w="917" w:type="dxa"/>
            <w:tcBorders>
              <w:top w:val="single" w:sz="8" w:space="0" w:color="000000"/>
              <w:left w:val="single" w:sz="8" w:space="0" w:color="000000"/>
              <w:bottom w:val="single" w:sz="3" w:space="0" w:color="000000"/>
              <w:right w:val="single" w:sz="8" w:space="0" w:color="000000"/>
            </w:tcBorders>
          </w:tcPr>
          <w:p>
            <w:pPr>
              <w:pStyle w:val="TableParagraph"/>
              <w:spacing w:before="3"/>
              <w:ind w:right="59"/>
              <w:rPr>
                <w:sz w:val="15"/>
              </w:rPr>
            </w:pPr>
            <w:r>
              <w:rPr>
                <w:sz w:val="15"/>
              </w:rPr>
              <w:t>10,155.0</w:t>
            </w:r>
          </w:p>
        </w:tc>
        <w:tc>
          <w:tcPr>
            <w:tcW w:w="679" w:type="dxa"/>
            <w:tcBorders>
              <w:top w:val="single" w:sz="8" w:space="0" w:color="000000"/>
              <w:left w:val="single" w:sz="8" w:space="0" w:color="000000"/>
              <w:bottom w:val="single" w:sz="3" w:space="0" w:color="000000"/>
              <w:right w:val="single" w:sz="8" w:space="0" w:color="000000"/>
            </w:tcBorders>
          </w:tcPr>
          <w:p>
            <w:pPr>
              <w:pStyle w:val="TableParagraph"/>
              <w:spacing w:before="3"/>
              <w:ind w:right="59"/>
              <w:rPr>
                <w:sz w:val="15"/>
              </w:rPr>
            </w:pPr>
            <w:r>
              <w:rPr>
                <w:sz w:val="15"/>
              </w:rPr>
              <w:t>9.0</w:t>
            </w:r>
          </w:p>
        </w:tc>
        <w:tc>
          <w:tcPr>
            <w:tcW w:w="1382" w:type="dxa"/>
            <w:vMerge/>
            <w:tcBorders>
              <w:left w:val="single" w:sz="8" w:space="0" w:color="000000"/>
              <w:right w:val="single" w:sz="8" w:space="0" w:color="000000"/>
            </w:tcBorders>
          </w:tcPr>
          <w:p>
            <w:pPr/>
          </w:p>
        </w:tc>
      </w:tr>
      <w:tr>
        <w:trPr>
          <w:trHeight w:val="188" w:hRule="exact"/>
        </w:trPr>
        <w:tc>
          <w:tcPr>
            <w:tcW w:w="5676" w:type="dxa"/>
            <w:tcBorders>
              <w:top w:val="single" w:sz="3" w:space="0" w:color="000000"/>
              <w:left w:val="single" w:sz="8" w:space="0" w:color="000000"/>
              <w:bottom w:val="single" w:sz="4" w:space="0" w:color="000000"/>
              <w:right w:val="single" w:sz="8" w:space="0" w:color="000000"/>
            </w:tcBorders>
          </w:tcPr>
          <w:p>
            <w:pPr>
              <w:pStyle w:val="TableParagraph"/>
              <w:spacing w:before="5"/>
              <w:ind w:left="57"/>
              <w:jc w:val="left"/>
              <w:rPr>
                <w:sz w:val="15"/>
              </w:rPr>
            </w:pPr>
            <w:r>
              <w:rPr>
                <w:w w:val="105"/>
                <w:sz w:val="15"/>
              </w:rPr>
              <w:t>Asia Oriental</w:t>
            </w:r>
          </w:p>
        </w:tc>
        <w:tc>
          <w:tcPr>
            <w:tcW w:w="917" w:type="dxa"/>
            <w:tcBorders>
              <w:top w:val="single" w:sz="3" w:space="0" w:color="000000"/>
              <w:left w:val="single" w:sz="8" w:space="0" w:color="000000"/>
              <w:bottom w:val="single" w:sz="4" w:space="0" w:color="000000"/>
              <w:right w:val="single" w:sz="8" w:space="0" w:color="000000"/>
            </w:tcBorders>
          </w:tcPr>
          <w:p>
            <w:pPr>
              <w:pStyle w:val="TableParagraph"/>
              <w:spacing w:before="5"/>
              <w:ind w:right="59"/>
              <w:rPr>
                <w:sz w:val="15"/>
              </w:rPr>
            </w:pPr>
            <w:r>
              <w:rPr>
                <w:sz w:val="15"/>
              </w:rPr>
              <w:t>23,079.0</w:t>
            </w:r>
          </w:p>
        </w:tc>
        <w:tc>
          <w:tcPr>
            <w:tcW w:w="679" w:type="dxa"/>
            <w:tcBorders>
              <w:top w:val="single" w:sz="3" w:space="0" w:color="000000"/>
              <w:left w:val="single" w:sz="8" w:space="0" w:color="000000"/>
              <w:bottom w:val="single" w:sz="4" w:space="0" w:color="000000"/>
              <w:right w:val="single" w:sz="8" w:space="0" w:color="000000"/>
            </w:tcBorders>
          </w:tcPr>
          <w:p>
            <w:pPr>
              <w:pStyle w:val="TableParagraph"/>
              <w:spacing w:before="5"/>
              <w:ind w:right="59"/>
              <w:rPr>
                <w:sz w:val="15"/>
              </w:rPr>
            </w:pPr>
            <w:r>
              <w:rPr>
                <w:sz w:val="15"/>
              </w:rPr>
              <w:t>20.4</w:t>
            </w:r>
          </w:p>
        </w:tc>
        <w:tc>
          <w:tcPr>
            <w:tcW w:w="1382" w:type="dxa"/>
            <w:vMerge/>
            <w:tcBorders>
              <w:left w:val="single" w:sz="8" w:space="0" w:color="000000"/>
              <w:right w:val="single" w:sz="8" w:space="0" w:color="000000"/>
            </w:tcBorders>
          </w:tcPr>
          <w:p>
            <w:pPr/>
          </w:p>
        </w:tc>
      </w:tr>
      <w:tr>
        <w:trPr>
          <w:trHeight w:val="187" w:hRule="exact"/>
        </w:trPr>
        <w:tc>
          <w:tcPr>
            <w:tcW w:w="5676" w:type="dxa"/>
            <w:tcBorders>
              <w:top w:val="single" w:sz="4" w:space="0" w:color="000000"/>
              <w:left w:val="single" w:sz="8" w:space="0" w:color="000000"/>
              <w:bottom w:val="single" w:sz="4" w:space="0" w:color="000000"/>
              <w:right w:val="single" w:sz="8" w:space="0" w:color="000000"/>
            </w:tcBorders>
          </w:tcPr>
          <w:p>
            <w:pPr>
              <w:pStyle w:val="TableParagraph"/>
              <w:spacing w:before="5"/>
              <w:ind w:left="57"/>
              <w:jc w:val="left"/>
              <w:rPr>
                <w:sz w:val="15"/>
              </w:rPr>
            </w:pPr>
            <w:r>
              <w:rPr>
                <w:w w:val="105"/>
                <w:sz w:val="15"/>
              </w:rPr>
              <w:t>Oceanía</w:t>
            </w:r>
          </w:p>
        </w:tc>
        <w:tc>
          <w:tcPr>
            <w:tcW w:w="917" w:type="dxa"/>
            <w:tcBorders>
              <w:top w:val="single" w:sz="4" w:space="0" w:color="000000"/>
              <w:left w:val="single" w:sz="8" w:space="0" w:color="000000"/>
              <w:bottom w:val="single" w:sz="4" w:space="0" w:color="000000"/>
              <w:right w:val="single" w:sz="8" w:space="0" w:color="000000"/>
            </w:tcBorders>
          </w:tcPr>
          <w:p>
            <w:pPr>
              <w:pStyle w:val="TableParagraph"/>
              <w:spacing w:before="5"/>
              <w:ind w:right="59"/>
              <w:rPr>
                <w:sz w:val="15"/>
              </w:rPr>
            </w:pPr>
            <w:r>
              <w:rPr>
                <w:w w:val="105"/>
                <w:sz w:val="15"/>
              </w:rPr>
              <w:t>1,393.0</w:t>
            </w:r>
          </w:p>
        </w:tc>
        <w:tc>
          <w:tcPr>
            <w:tcW w:w="679" w:type="dxa"/>
            <w:tcBorders>
              <w:top w:val="single" w:sz="4" w:space="0" w:color="000000"/>
              <w:left w:val="single" w:sz="8" w:space="0" w:color="000000"/>
              <w:bottom w:val="single" w:sz="4" w:space="0" w:color="000000"/>
              <w:right w:val="single" w:sz="8" w:space="0" w:color="000000"/>
            </w:tcBorders>
          </w:tcPr>
          <w:p>
            <w:pPr>
              <w:pStyle w:val="TableParagraph"/>
              <w:spacing w:before="5"/>
              <w:ind w:right="59"/>
              <w:rPr>
                <w:sz w:val="15"/>
              </w:rPr>
            </w:pPr>
            <w:r>
              <w:rPr>
                <w:sz w:val="15"/>
              </w:rPr>
              <w:t>1.2</w:t>
            </w:r>
          </w:p>
        </w:tc>
        <w:tc>
          <w:tcPr>
            <w:tcW w:w="1382" w:type="dxa"/>
            <w:vMerge/>
            <w:tcBorders>
              <w:left w:val="single" w:sz="8" w:space="0" w:color="000000"/>
              <w:right w:val="single" w:sz="8" w:space="0" w:color="000000"/>
            </w:tcBorders>
          </w:tcPr>
          <w:p>
            <w:pPr/>
          </w:p>
        </w:tc>
      </w:tr>
      <w:tr>
        <w:trPr>
          <w:trHeight w:val="190" w:hRule="exact"/>
        </w:trPr>
        <w:tc>
          <w:tcPr>
            <w:tcW w:w="5676" w:type="dxa"/>
            <w:tcBorders>
              <w:top w:val="single" w:sz="4" w:space="0" w:color="000000"/>
              <w:left w:val="single" w:sz="8" w:space="0" w:color="000000"/>
              <w:bottom w:val="single" w:sz="4" w:space="0" w:color="000000"/>
              <w:right w:val="single" w:sz="8" w:space="0" w:color="000000"/>
            </w:tcBorders>
          </w:tcPr>
          <w:p>
            <w:pPr>
              <w:pStyle w:val="TableParagraph"/>
              <w:spacing w:before="5"/>
              <w:ind w:left="57"/>
              <w:jc w:val="left"/>
              <w:rPr>
                <w:sz w:val="15"/>
              </w:rPr>
            </w:pPr>
            <w:r>
              <w:rPr>
                <w:w w:val="105"/>
                <w:sz w:val="15"/>
              </w:rPr>
              <w:t>Asia Meridional</w:t>
            </w:r>
          </w:p>
        </w:tc>
        <w:tc>
          <w:tcPr>
            <w:tcW w:w="917" w:type="dxa"/>
            <w:tcBorders>
              <w:top w:val="single" w:sz="4" w:space="0" w:color="000000"/>
              <w:left w:val="single" w:sz="8" w:space="0" w:color="000000"/>
              <w:bottom w:val="single" w:sz="4" w:space="0" w:color="000000"/>
              <w:right w:val="single" w:sz="8" w:space="0" w:color="000000"/>
            </w:tcBorders>
          </w:tcPr>
          <w:p>
            <w:pPr>
              <w:pStyle w:val="TableParagraph"/>
              <w:spacing w:before="5"/>
              <w:ind w:right="59"/>
              <w:rPr>
                <w:sz w:val="15"/>
              </w:rPr>
            </w:pPr>
            <w:r>
              <w:rPr>
                <w:sz w:val="15"/>
              </w:rPr>
              <w:t>45,922.0</w:t>
            </w:r>
          </w:p>
        </w:tc>
        <w:tc>
          <w:tcPr>
            <w:tcW w:w="679" w:type="dxa"/>
            <w:tcBorders>
              <w:top w:val="single" w:sz="4" w:space="0" w:color="000000"/>
              <w:left w:val="single" w:sz="8" w:space="0" w:color="000000"/>
              <w:bottom w:val="single" w:sz="4" w:space="0" w:color="000000"/>
              <w:right w:val="single" w:sz="8" w:space="0" w:color="000000"/>
            </w:tcBorders>
          </w:tcPr>
          <w:p>
            <w:pPr>
              <w:pStyle w:val="TableParagraph"/>
              <w:spacing w:before="5"/>
              <w:ind w:right="59"/>
              <w:rPr>
                <w:sz w:val="15"/>
              </w:rPr>
            </w:pPr>
            <w:r>
              <w:rPr>
                <w:sz w:val="15"/>
              </w:rPr>
              <w:t>40.6</w:t>
            </w:r>
          </w:p>
        </w:tc>
        <w:tc>
          <w:tcPr>
            <w:tcW w:w="1382" w:type="dxa"/>
            <w:vMerge/>
            <w:tcBorders>
              <w:left w:val="single" w:sz="8" w:space="0" w:color="000000"/>
              <w:right w:val="single" w:sz="8" w:space="0" w:color="000000"/>
            </w:tcBorders>
          </w:tcPr>
          <w:p>
            <w:pPr/>
          </w:p>
        </w:tc>
      </w:tr>
      <w:tr>
        <w:trPr>
          <w:trHeight w:val="194" w:hRule="exact"/>
        </w:trPr>
        <w:tc>
          <w:tcPr>
            <w:tcW w:w="5676" w:type="dxa"/>
            <w:tcBorders>
              <w:top w:val="single" w:sz="4" w:space="0" w:color="000000"/>
              <w:left w:val="single" w:sz="8" w:space="0" w:color="000000"/>
              <w:bottom w:val="single" w:sz="8" w:space="0" w:color="000000"/>
              <w:right w:val="single" w:sz="8" w:space="0" w:color="000000"/>
            </w:tcBorders>
          </w:tcPr>
          <w:p>
            <w:pPr>
              <w:pStyle w:val="TableParagraph"/>
              <w:spacing w:before="3"/>
              <w:ind w:left="57"/>
              <w:jc w:val="left"/>
              <w:rPr>
                <w:sz w:val="15"/>
              </w:rPr>
            </w:pPr>
            <w:r>
              <w:rPr>
                <w:w w:val="105"/>
                <w:sz w:val="15"/>
              </w:rPr>
              <w:t>Asia Sudoriental</w:t>
            </w:r>
          </w:p>
        </w:tc>
        <w:tc>
          <w:tcPr>
            <w:tcW w:w="917" w:type="dxa"/>
            <w:tcBorders>
              <w:top w:val="single" w:sz="4" w:space="0" w:color="000000"/>
              <w:left w:val="single" w:sz="8" w:space="0" w:color="000000"/>
              <w:bottom w:val="single" w:sz="8" w:space="0" w:color="000000"/>
              <w:right w:val="single" w:sz="8" w:space="0" w:color="000000"/>
            </w:tcBorders>
          </w:tcPr>
          <w:p>
            <w:pPr>
              <w:pStyle w:val="TableParagraph"/>
              <w:spacing w:before="3"/>
              <w:ind w:right="59"/>
              <w:rPr>
                <w:sz w:val="15"/>
              </w:rPr>
            </w:pPr>
            <w:r>
              <w:rPr>
                <w:sz w:val="15"/>
              </w:rPr>
              <w:t>32,506.0</w:t>
            </w:r>
          </w:p>
        </w:tc>
        <w:tc>
          <w:tcPr>
            <w:tcW w:w="679" w:type="dxa"/>
            <w:tcBorders>
              <w:top w:val="single" w:sz="4" w:space="0" w:color="000000"/>
              <w:left w:val="single" w:sz="8" w:space="0" w:color="000000"/>
              <w:bottom w:val="single" w:sz="8" w:space="0" w:color="000000"/>
              <w:right w:val="single" w:sz="8" w:space="0" w:color="000000"/>
            </w:tcBorders>
          </w:tcPr>
          <w:p>
            <w:pPr>
              <w:pStyle w:val="TableParagraph"/>
              <w:spacing w:before="3"/>
              <w:ind w:right="59"/>
              <w:rPr>
                <w:sz w:val="15"/>
              </w:rPr>
            </w:pPr>
            <w:r>
              <w:rPr>
                <w:sz w:val="15"/>
              </w:rPr>
              <w:t>28.8</w:t>
            </w:r>
          </w:p>
        </w:tc>
        <w:tc>
          <w:tcPr>
            <w:tcW w:w="1382" w:type="dxa"/>
            <w:vMerge/>
            <w:tcBorders>
              <w:left w:val="single" w:sz="8" w:space="0" w:color="000000"/>
              <w:bottom w:val="single" w:sz="8" w:space="0" w:color="000000"/>
              <w:right w:val="single" w:sz="8" w:space="0" w:color="000000"/>
            </w:tcBorders>
          </w:tcPr>
          <w:p>
            <w:pPr/>
          </w:p>
        </w:tc>
      </w:tr>
      <w:tr>
        <w:trPr>
          <w:trHeight w:val="198" w:hRule="exact"/>
        </w:trPr>
        <w:tc>
          <w:tcPr>
            <w:tcW w:w="8654" w:type="dxa"/>
            <w:gridSpan w:val="4"/>
            <w:tcBorders>
              <w:top w:val="single" w:sz="8" w:space="0" w:color="000000"/>
              <w:left w:val="single" w:sz="8" w:space="0" w:color="000000"/>
              <w:right w:val="single" w:sz="8" w:space="0" w:color="000000"/>
            </w:tcBorders>
          </w:tcPr>
          <w:p>
            <w:pPr/>
          </w:p>
        </w:tc>
      </w:tr>
      <w:tr>
        <w:trPr>
          <w:trHeight w:val="198" w:hRule="exact"/>
        </w:trPr>
        <w:tc>
          <w:tcPr>
            <w:tcW w:w="5676" w:type="dxa"/>
            <w:tcBorders>
              <w:left w:val="single" w:sz="8" w:space="0" w:color="000000"/>
              <w:bottom w:val="single" w:sz="8" w:space="0" w:color="000000"/>
              <w:right w:val="single" w:sz="8" w:space="0" w:color="000000"/>
            </w:tcBorders>
          </w:tcPr>
          <w:p>
            <w:pPr>
              <w:pStyle w:val="TableParagraph"/>
              <w:spacing w:before="1"/>
              <w:ind w:left="57"/>
              <w:jc w:val="left"/>
              <w:rPr>
                <w:b/>
                <w:sz w:val="15"/>
              </w:rPr>
            </w:pPr>
            <w:r>
              <w:rPr>
                <w:b/>
                <w:w w:val="105"/>
                <w:sz w:val="15"/>
              </w:rPr>
              <w:t>América Latina y el Caribe</w:t>
            </w:r>
          </w:p>
        </w:tc>
        <w:tc>
          <w:tcPr>
            <w:tcW w:w="917" w:type="dxa"/>
            <w:tcBorders>
              <w:left w:val="single" w:sz="8" w:space="0" w:color="000000"/>
              <w:bottom w:val="single" w:sz="8" w:space="0" w:color="000000"/>
              <w:right w:val="single" w:sz="8" w:space="0" w:color="000000"/>
            </w:tcBorders>
          </w:tcPr>
          <w:p>
            <w:pPr>
              <w:pStyle w:val="TableParagraph"/>
              <w:spacing w:before="1"/>
              <w:ind w:right="59"/>
              <w:rPr>
                <w:b/>
                <w:sz w:val="15"/>
              </w:rPr>
            </w:pPr>
            <w:r>
              <w:rPr>
                <w:b/>
                <w:sz w:val="15"/>
              </w:rPr>
              <w:t>67,905.0</w:t>
            </w:r>
          </w:p>
        </w:tc>
        <w:tc>
          <w:tcPr>
            <w:tcW w:w="679" w:type="dxa"/>
            <w:tcBorders>
              <w:left w:val="single" w:sz="8" w:space="0" w:color="000000"/>
              <w:bottom w:val="single" w:sz="8" w:space="0" w:color="000000"/>
              <w:right w:val="single" w:sz="8" w:space="0" w:color="000000"/>
            </w:tcBorders>
          </w:tcPr>
          <w:p>
            <w:pPr>
              <w:pStyle w:val="TableParagraph"/>
              <w:spacing w:before="1"/>
              <w:ind w:right="57"/>
              <w:rPr>
                <w:b/>
                <w:sz w:val="15"/>
              </w:rPr>
            </w:pPr>
            <w:r>
              <w:rPr>
                <w:b/>
                <w:sz w:val="15"/>
              </w:rPr>
              <w:t>100</w:t>
            </w:r>
          </w:p>
        </w:tc>
        <w:tc>
          <w:tcPr>
            <w:tcW w:w="1382" w:type="dxa"/>
            <w:vMerge w:val="restart"/>
            <w:tcBorders>
              <w:left w:val="single" w:sz="8" w:space="0" w:color="000000"/>
              <w:right w:val="single" w:sz="8" w:space="0" w:color="000000"/>
            </w:tcBorders>
          </w:tcPr>
          <w:p>
            <w:pPr>
              <w:pStyle w:val="TableParagraph"/>
              <w:spacing w:before="1"/>
              <w:ind w:right="59"/>
              <w:rPr>
                <w:b/>
                <w:sz w:val="15"/>
              </w:rPr>
            </w:pPr>
            <w:r>
              <w:rPr>
                <w:b/>
                <w:sz w:val="15"/>
              </w:rPr>
              <w:t>22.7</w:t>
            </w:r>
          </w:p>
        </w:tc>
      </w:tr>
      <w:tr>
        <w:trPr>
          <w:trHeight w:val="194" w:hRule="exact"/>
        </w:trPr>
        <w:tc>
          <w:tcPr>
            <w:tcW w:w="5676" w:type="dxa"/>
            <w:tcBorders>
              <w:top w:val="single" w:sz="8" w:space="0" w:color="000000"/>
              <w:left w:val="single" w:sz="8" w:space="0" w:color="000000"/>
              <w:bottom w:val="single" w:sz="4" w:space="0" w:color="000000"/>
              <w:right w:val="single" w:sz="8" w:space="0" w:color="000000"/>
            </w:tcBorders>
          </w:tcPr>
          <w:p>
            <w:pPr>
              <w:pStyle w:val="TableParagraph"/>
              <w:spacing w:before="5"/>
              <w:ind w:left="57"/>
              <w:jc w:val="left"/>
              <w:rPr>
                <w:sz w:val="15"/>
              </w:rPr>
            </w:pPr>
            <w:r>
              <w:rPr>
                <w:w w:val="105"/>
                <w:sz w:val="15"/>
              </w:rPr>
              <w:t>Caribe</w:t>
            </w:r>
          </w:p>
        </w:tc>
        <w:tc>
          <w:tcPr>
            <w:tcW w:w="917" w:type="dxa"/>
            <w:tcBorders>
              <w:top w:val="single" w:sz="8" w:space="0" w:color="000000"/>
              <w:left w:val="single" w:sz="8" w:space="0" w:color="000000"/>
              <w:bottom w:val="single" w:sz="4" w:space="0" w:color="000000"/>
              <w:right w:val="single" w:sz="8" w:space="0" w:color="000000"/>
            </w:tcBorders>
          </w:tcPr>
          <w:p>
            <w:pPr>
              <w:pStyle w:val="TableParagraph"/>
              <w:spacing w:before="5"/>
              <w:ind w:right="59"/>
              <w:rPr>
                <w:sz w:val="15"/>
              </w:rPr>
            </w:pPr>
            <w:r>
              <w:rPr>
                <w:w w:val="105"/>
                <w:sz w:val="15"/>
              </w:rPr>
              <w:t>8,370.0</w:t>
            </w:r>
          </w:p>
        </w:tc>
        <w:tc>
          <w:tcPr>
            <w:tcW w:w="679" w:type="dxa"/>
            <w:tcBorders>
              <w:top w:val="single" w:sz="8" w:space="0" w:color="000000"/>
              <w:left w:val="single" w:sz="8" w:space="0" w:color="000000"/>
              <w:bottom w:val="single" w:sz="4" w:space="0" w:color="000000"/>
              <w:right w:val="single" w:sz="8" w:space="0" w:color="000000"/>
            </w:tcBorders>
          </w:tcPr>
          <w:p>
            <w:pPr>
              <w:pStyle w:val="TableParagraph"/>
              <w:spacing w:before="5"/>
              <w:ind w:right="59"/>
              <w:rPr>
                <w:sz w:val="15"/>
              </w:rPr>
            </w:pPr>
            <w:r>
              <w:rPr>
                <w:sz w:val="15"/>
              </w:rPr>
              <w:t>12.3</w:t>
            </w:r>
          </w:p>
        </w:tc>
        <w:tc>
          <w:tcPr>
            <w:tcW w:w="1382" w:type="dxa"/>
            <w:vMerge/>
            <w:tcBorders>
              <w:left w:val="single" w:sz="8" w:space="0" w:color="000000"/>
              <w:right w:val="single" w:sz="8" w:space="0" w:color="000000"/>
            </w:tcBorders>
          </w:tcPr>
          <w:p>
            <w:pPr/>
          </w:p>
        </w:tc>
      </w:tr>
      <w:tr>
        <w:trPr>
          <w:trHeight w:val="190" w:hRule="exact"/>
        </w:trPr>
        <w:tc>
          <w:tcPr>
            <w:tcW w:w="5676" w:type="dxa"/>
            <w:tcBorders>
              <w:top w:val="single" w:sz="4" w:space="0" w:color="000000"/>
              <w:left w:val="single" w:sz="8" w:space="0" w:color="000000"/>
              <w:bottom w:val="single" w:sz="4" w:space="0" w:color="000000"/>
              <w:right w:val="single" w:sz="8" w:space="0" w:color="000000"/>
            </w:tcBorders>
          </w:tcPr>
          <w:p>
            <w:pPr>
              <w:pStyle w:val="TableParagraph"/>
              <w:spacing w:before="3"/>
              <w:ind w:left="57"/>
              <w:jc w:val="left"/>
              <w:rPr>
                <w:sz w:val="15"/>
              </w:rPr>
            </w:pPr>
            <w:r>
              <w:rPr>
                <w:w w:val="105"/>
                <w:sz w:val="15"/>
              </w:rPr>
              <w:t>Centroamérica</w:t>
            </w:r>
          </w:p>
        </w:tc>
        <w:tc>
          <w:tcPr>
            <w:tcW w:w="917" w:type="dxa"/>
            <w:tcBorders>
              <w:top w:val="single" w:sz="4" w:space="0" w:color="000000"/>
              <w:left w:val="single" w:sz="8" w:space="0" w:color="000000"/>
              <w:bottom w:val="single" w:sz="4" w:space="0" w:color="000000"/>
              <w:right w:val="single" w:sz="8" w:space="0" w:color="000000"/>
            </w:tcBorders>
          </w:tcPr>
          <w:p>
            <w:pPr>
              <w:pStyle w:val="TableParagraph"/>
              <w:spacing w:before="3"/>
              <w:ind w:right="59"/>
              <w:rPr>
                <w:sz w:val="15"/>
              </w:rPr>
            </w:pPr>
            <w:r>
              <w:rPr>
                <w:sz w:val="15"/>
              </w:rPr>
              <w:t>11,031.0</w:t>
            </w:r>
          </w:p>
        </w:tc>
        <w:tc>
          <w:tcPr>
            <w:tcW w:w="679" w:type="dxa"/>
            <w:tcBorders>
              <w:top w:val="single" w:sz="4" w:space="0" w:color="000000"/>
              <w:left w:val="single" w:sz="8" w:space="0" w:color="000000"/>
              <w:bottom w:val="single" w:sz="4" w:space="0" w:color="000000"/>
              <w:right w:val="single" w:sz="8" w:space="0" w:color="000000"/>
            </w:tcBorders>
          </w:tcPr>
          <w:p>
            <w:pPr>
              <w:pStyle w:val="TableParagraph"/>
              <w:spacing w:before="3"/>
              <w:ind w:right="59"/>
              <w:rPr>
                <w:sz w:val="15"/>
              </w:rPr>
            </w:pPr>
            <w:r>
              <w:rPr>
                <w:sz w:val="15"/>
              </w:rPr>
              <w:t>16.2</w:t>
            </w:r>
          </w:p>
        </w:tc>
        <w:tc>
          <w:tcPr>
            <w:tcW w:w="1382" w:type="dxa"/>
            <w:vMerge/>
            <w:tcBorders>
              <w:left w:val="single" w:sz="8" w:space="0" w:color="000000"/>
              <w:right w:val="single" w:sz="8" w:space="0" w:color="000000"/>
            </w:tcBorders>
          </w:tcPr>
          <w:p>
            <w:pPr/>
          </w:p>
        </w:tc>
      </w:tr>
      <w:tr>
        <w:trPr>
          <w:trHeight w:val="190" w:hRule="exact"/>
        </w:trPr>
        <w:tc>
          <w:tcPr>
            <w:tcW w:w="5676" w:type="dxa"/>
            <w:tcBorders>
              <w:top w:val="single" w:sz="4" w:space="0" w:color="000000"/>
              <w:left w:val="single" w:sz="8" w:space="0" w:color="000000"/>
              <w:bottom w:val="single" w:sz="4" w:space="0" w:color="000000"/>
              <w:right w:val="single" w:sz="8" w:space="0" w:color="000000"/>
            </w:tcBorders>
          </w:tcPr>
          <w:p>
            <w:pPr>
              <w:pStyle w:val="TableParagraph"/>
              <w:spacing w:before="3"/>
              <w:ind w:left="57"/>
              <w:jc w:val="left"/>
              <w:rPr>
                <w:sz w:val="15"/>
              </w:rPr>
            </w:pPr>
            <w:r>
              <w:rPr>
                <w:w w:val="105"/>
                <w:sz w:val="15"/>
              </w:rPr>
              <w:t>México</w:t>
            </w:r>
          </w:p>
        </w:tc>
        <w:tc>
          <w:tcPr>
            <w:tcW w:w="917" w:type="dxa"/>
            <w:tcBorders>
              <w:top w:val="single" w:sz="4" w:space="0" w:color="000000"/>
              <w:left w:val="single" w:sz="8" w:space="0" w:color="000000"/>
              <w:bottom w:val="single" w:sz="4" w:space="0" w:color="000000"/>
              <w:right w:val="single" w:sz="8" w:space="0" w:color="000000"/>
            </w:tcBorders>
          </w:tcPr>
          <w:p>
            <w:pPr>
              <w:pStyle w:val="TableParagraph"/>
              <w:spacing w:before="3"/>
              <w:ind w:right="59"/>
              <w:rPr>
                <w:sz w:val="15"/>
              </w:rPr>
            </w:pPr>
            <w:r>
              <w:rPr>
                <w:sz w:val="15"/>
              </w:rPr>
              <w:t>24,254.0</w:t>
            </w:r>
          </w:p>
        </w:tc>
        <w:tc>
          <w:tcPr>
            <w:tcW w:w="679" w:type="dxa"/>
            <w:tcBorders>
              <w:top w:val="single" w:sz="4" w:space="0" w:color="000000"/>
              <w:left w:val="single" w:sz="8" w:space="0" w:color="000000"/>
              <w:bottom w:val="single" w:sz="4" w:space="0" w:color="000000"/>
              <w:right w:val="single" w:sz="8" w:space="0" w:color="000000"/>
            </w:tcBorders>
          </w:tcPr>
          <w:p>
            <w:pPr>
              <w:pStyle w:val="TableParagraph"/>
              <w:spacing w:before="3"/>
              <w:ind w:right="59"/>
              <w:rPr>
                <w:sz w:val="15"/>
              </w:rPr>
            </w:pPr>
            <w:r>
              <w:rPr>
                <w:sz w:val="15"/>
              </w:rPr>
              <w:t>35.7</w:t>
            </w:r>
          </w:p>
        </w:tc>
        <w:tc>
          <w:tcPr>
            <w:tcW w:w="1382" w:type="dxa"/>
            <w:vMerge/>
            <w:tcBorders>
              <w:left w:val="single" w:sz="8" w:space="0" w:color="000000"/>
              <w:right w:val="single" w:sz="8" w:space="0" w:color="000000"/>
            </w:tcBorders>
          </w:tcPr>
          <w:p>
            <w:pPr/>
          </w:p>
        </w:tc>
      </w:tr>
      <w:tr>
        <w:trPr>
          <w:trHeight w:val="193" w:hRule="exact"/>
        </w:trPr>
        <w:tc>
          <w:tcPr>
            <w:tcW w:w="5676" w:type="dxa"/>
            <w:tcBorders>
              <w:top w:val="single" w:sz="4" w:space="0" w:color="000000"/>
              <w:left w:val="single" w:sz="8" w:space="0" w:color="000000"/>
              <w:right w:val="single" w:sz="8" w:space="0" w:color="000000"/>
            </w:tcBorders>
          </w:tcPr>
          <w:p>
            <w:pPr>
              <w:pStyle w:val="TableParagraph"/>
              <w:spacing w:before="3"/>
              <w:ind w:left="57"/>
              <w:jc w:val="left"/>
              <w:rPr>
                <w:sz w:val="15"/>
              </w:rPr>
            </w:pPr>
            <w:r>
              <w:rPr>
                <w:w w:val="105"/>
                <w:sz w:val="15"/>
              </w:rPr>
              <w:t>Sudamérica</w:t>
            </w:r>
          </w:p>
        </w:tc>
        <w:tc>
          <w:tcPr>
            <w:tcW w:w="917" w:type="dxa"/>
            <w:tcBorders>
              <w:top w:val="single" w:sz="4" w:space="0" w:color="000000"/>
              <w:left w:val="single" w:sz="8" w:space="0" w:color="000000"/>
              <w:right w:val="single" w:sz="8" w:space="0" w:color="000000"/>
            </w:tcBorders>
          </w:tcPr>
          <w:p>
            <w:pPr>
              <w:pStyle w:val="TableParagraph"/>
              <w:spacing w:before="3"/>
              <w:ind w:right="59"/>
              <w:rPr>
                <w:sz w:val="15"/>
              </w:rPr>
            </w:pPr>
            <w:r>
              <w:rPr>
                <w:sz w:val="15"/>
              </w:rPr>
              <w:t>24,250.0</w:t>
            </w:r>
          </w:p>
        </w:tc>
        <w:tc>
          <w:tcPr>
            <w:tcW w:w="679" w:type="dxa"/>
            <w:tcBorders>
              <w:top w:val="single" w:sz="4" w:space="0" w:color="000000"/>
              <w:left w:val="single" w:sz="8" w:space="0" w:color="000000"/>
              <w:right w:val="single" w:sz="8" w:space="0" w:color="000000"/>
            </w:tcBorders>
          </w:tcPr>
          <w:p>
            <w:pPr>
              <w:pStyle w:val="TableParagraph"/>
              <w:spacing w:before="3"/>
              <w:ind w:right="59"/>
              <w:rPr>
                <w:sz w:val="15"/>
              </w:rPr>
            </w:pPr>
            <w:r>
              <w:rPr>
                <w:sz w:val="15"/>
              </w:rPr>
              <w:t>35.7</w:t>
            </w:r>
          </w:p>
        </w:tc>
        <w:tc>
          <w:tcPr>
            <w:tcW w:w="1382" w:type="dxa"/>
            <w:vMerge/>
            <w:tcBorders>
              <w:left w:val="single" w:sz="8" w:space="0" w:color="000000"/>
              <w:right w:val="single" w:sz="8" w:space="0" w:color="000000"/>
            </w:tcBorders>
          </w:tcPr>
          <w:p>
            <w:pPr/>
          </w:p>
        </w:tc>
      </w:tr>
      <w:tr>
        <w:trPr>
          <w:trHeight w:val="198" w:hRule="exact"/>
        </w:trPr>
        <w:tc>
          <w:tcPr>
            <w:tcW w:w="8654" w:type="dxa"/>
            <w:gridSpan w:val="4"/>
            <w:tcBorders>
              <w:left w:val="single" w:sz="8" w:space="0" w:color="000000"/>
              <w:bottom w:val="single" w:sz="8" w:space="0" w:color="000000"/>
              <w:right w:val="single" w:sz="8" w:space="0" w:color="000000"/>
            </w:tcBorders>
          </w:tcPr>
          <w:p>
            <w:pPr/>
          </w:p>
        </w:tc>
      </w:tr>
      <w:tr>
        <w:trPr>
          <w:trHeight w:val="199" w:hRule="exact"/>
        </w:trPr>
        <w:tc>
          <w:tcPr>
            <w:tcW w:w="5676" w:type="dxa"/>
            <w:tcBorders>
              <w:top w:val="single" w:sz="8" w:space="0" w:color="000000"/>
              <w:left w:val="single" w:sz="8" w:space="0" w:color="000000"/>
              <w:bottom w:val="single" w:sz="8" w:space="0" w:color="000000"/>
              <w:right w:val="single" w:sz="8" w:space="0" w:color="000000"/>
            </w:tcBorders>
          </w:tcPr>
          <w:p>
            <w:pPr>
              <w:pStyle w:val="TableParagraph"/>
              <w:spacing w:before="1"/>
              <w:ind w:left="57"/>
              <w:jc w:val="left"/>
              <w:rPr>
                <w:b/>
                <w:sz w:val="15"/>
              </w:rPr>
            </w:pPr>
            <w:r>
              <w:rPr>
                <w:b/>
                <w:w w:val="105"/>
                <w:sz w:val="15"/>
              </w:rPr>
              <w:t>Europa</w:t>
            </w:r>
          </w:p>
        </w:tc>
        <w:tc>
          <w:tcPr>
            <w:tcW w:w="917" w:type="dxa"/>
            <w:tcBorders>
              <w:top w:val="single" w:sz="8" w:space="0" w:color="000000"/>
              <w:left w:val="single" w:sz="8" w:space="0" w:color="000000"/>
              <w:bottom w:val="single" w:sz="8" w:space="0" w:color="000000"/>
              <w:right w:val="single" w:sz="8" w:space="0" w:color="000000"/>
            </w:tcBorders>
          </w:tcPr>
          <w:p>
            <w:pPr>
              <w:pStyle w:val="TableParagraph"/>
              <w:spacing w:before="1"/>
              <w:ind w:right="59"/>
              <w:rPr>
                <w:b/>
                <w:sz w:val="15"/>
              </w:rPr>
            </w:pPr>
            <w:r>
              <w:rPr>
                <w:b/>
                <w:sz w:val="15"/>
              </w:rPr>
              <w:t>50,805.0</w:t>
            </w:r>
          </w:p>
        </w:tc>
        <w:tc>
          <w:tcPr>
            <w:tcW w:w="679" w:type="dxa"/>
            <w:tcBorders>
              <w:top w:val="single" w:sz="8" w:space="0" w:color="000000"/>
              <w:left w:val="single" w:sz="8" w:space="0" w:color="000000"/>
              <w:bottom w:val="single" w:sz="8" w:space="0" w:color="000000"/>
              <w:right w:val="single" w:sz="8" w:space="0" w:color="000000"/>
            </w:tcBorders>
          </w:tcPr>
          <w:p>
            <w:pPr>
              <w:pStyle w:val="TableParagraph"/>
              <w:spacing w:before="1"/>
              <w:ind w:right="57"/>
              <w:rPr>
                <w:b/>
                <w:sz w:val="15"/>
              </w:rPr>
            </w:pPr>
            <w:r>
              <w:rPr>
                <w:b/>
                <w:sz w:val="15"/>
              </w:rPr>
              <w:t>100</w:t>
            </w:r>
          </w:p>
        </w:tc>
        <w:tc>
          <w:tcPr>
            <w:tcW w:w="1382" w:type="dxa"/>
            <w:vMerge w:val="restart"/>
            <w:tcBorders>
              <w:top w:val="single" w:sz="8" w:space="0" w:color="000000"/>
              <w:left w:val="single" w:sz="8" w:space="0" w:color="000000"/>
              <w:right w:val="single" w:sz="8" w:space="0" w:color="000000"/>
            </w:tcBorders>
          </w:tcPr>
          <w:p>
            <w:pPr>
              <w:pStyle w:val="TableParagraph"/>
              <w:spacing w:before="1"/>
              <w:ind w:right="59"/>
              <w:rPr>
                <w:b/>
                <w:sz w:val="15"/>
              </w:rPr>
            </w:pPr>
            <w:r>
              <w:rPr>
                <w:b/>
                <w:sz w:val="15"/>
              </w:rPr>
              <w:t>17.0</w:t>
            </w:r>
          </w:p>
        </w:tc>
      </w:tr>
      <w:tr>
        <w:trPr>
          <w:trHeight w:val="194" w:hRule="exact"/>
        </w:trPr>
        <w:tc>
          <w:tcPr>
            <w:tcW w:w="5676" w:type="dxa"/>
            <w:tcBorders>
              <w:top w:val="single" w:sz="8" w:space="0" w:color="000000"/>
              <w:left w:val="single" w:sz="8" w:space="0" w:color="000000"/>
              <w:bottom w:val="single" w:sz="4" w:space="0" w:color="000000"/>
              <w:right w:val="single" w:sz="8" w:space="0" w:color="000000"/>
            </w:tcBorders>
          </w:tcPr>
          <w:p>
            <w:pPr>
              <w:pStyle w:val="TableParagraph"/>
              <w:spacing w:before="3"/>
              <w:ind w:left="57"/>
              <w:jc w:val="left"/>
              <w:rPr>
                <w:sz w:val="15"/>
              </w:rPr>
            </w:pPr>
            <w:r>
              <w:rPr>
                <w:w w:val="105"/>
                <w:sz w:val="15"/>
              </w:rPr>
              <w:t>Europa Central</w:t>
            </w:r>
          </w:p>
        </w:tc>
        <w:tc>
          <w:tcPr>
            <w:tcW w:w="917" w:type="dxa"/>
            <w:tcBorders>
              <w:top w:val="single" w:sz="8" w:space="0" w:color="000000"/>
              <w:left w:val="single" w:sz="8" w:space="0" w:color="000000"/>
              <w:bottom w:val="single" w:sz="4" w:space="0" w:color="000000"/>
              <w:right w:val="single" w:sz="8" w:space="0" w:color="000000"/>
            </w:tcBorders>
          </w:tcPr>
          <w:p>
            <w:pPr>
              <w:pStyle w:val="TableParagraph"/>
              <w:spacing w:before="3"/>
              <w:ind w:right="59"/>
              <w:rPr>
                <w:sz w:val="15"/>
              </w:rPr>
            </w:pPr>
            <w:r>
              <w:rPr>
                <w:sz w:val="15"/>
              </w:rPr>
              <w:t>14,106.0</w:t>
            </w:r>
          </w:p>
        </w:tc>
        <w:tc>
          <w:tcPr>
            <w:tcW w:w="679" w:type="dxa"/>
            <w:tcBorders>
              <w:top w:val="single" w:sz="8" w:space="0" w:color="000000"/>
              <w:left w:val="single" w:sz="8" w:space="0" w:color="000000"/>
              <w:bottom w:val="single" w:sz="4" w:space="0" w:color="000000"/>
              <w:right w:val="single" w:sz="8" w:space="0" w:color="000000"/>
            </w:tcBorders>
          </w:tcPr>
          <w:p>
            <w:pPr>
              <w:pStyle w:val="TableParagraph"/>
              <w:spacing w:before="3"/>
              <w:ind w:right="59"/>
              <w:rPr>
                <w:sz w:val="15"/>
              </w:rPr>
            </w:pPr>
            <w:r>
              <w:rPr>
                <w:sz w:val="15"/>
              </w:rPr>
              <w:t>27.8</w:t>
            </w:r>
          </w:p>
        </w:tc>
        <w:tc>
          <w:tcPr>
            <w:tcW w:w="1382" w:type="dxa"/>
            <w:vMerge/>
            <w:tcBorders>
              <w:left w:val="single" w:sz="8" w:space="0" w:color="000000"/>
              <w:right w:val="single" w:sz="8" w:space="0" w:color="000000"/>
            </w:tcBorders>
          </w:tcPr>
          <w:p>
            <w:pPr/>
          </w:p>
        </w:tc>
      </w:tr>
      <w:tr>
        <w:trPr>
          <w:trHeight w:val="187" w:hRule="exact"/>
        </w:trPr>
        <w:tc>
          <w:tcPr>
            <w:tcW w:w="5676" w:type="dxa"/>
            <w:tcBorders>
              <w:top w:val="single" w:sz="4" w:space="0" w:color="000000"/>
              <w:left w:val="single" w:sz="8" w:space="0" w:color="000000"/>
              <w:bottom w:val="single" w:sz="4" w:space="0" w:color="000000"/>
              <w:right w:val="single" w:sz="8" w:space="0" w:color="000000"/>
            </w:tcBorders>
          </w:tcPr>
          <w:p>
            <w:pPr>
              <w:pStyle w:val="TableParagraph"/>
              <w:spacing w:before="3"/>
              <w:ind w:left="57"/>
              <w:jc w:val="left"/>
              <w:rPr>
                <w:sz w:val="15"/>
              </w:rPr>
            </w:pPr>
            <w:r>
              <w:rPr>
                <w:w w:val="105"/>
                <w:sz w:val="15"/>
              </w:rPr>
              <w:t>Federación</w:t>
            </w:r>
            <w:r>
              <w:rPr>
                <w:spacing w:val="-11"/>
                <w:w w:val="105"/>
                <w:sz w:val="15"/>
              </w:rPr>
              <w:t> </w:t>
            </w:r>
            <w:r>
              <w:rPr>
                <w:w w:val="105"/>
                <w:sz w:val="15"/>
              </w:rPr>
              <w:t>de</w:t>
            </w:r>
            <w:r>
              <w:rPr>
                <w:spacing w:val="-13"/>
                <w:w w:val="105"/>
                <w:sz w:val="15"/>
              </w:rPr>
              <w:t> </w:t>
            </w:r>
            <w:r>
              <w:rPr>
                <w:w w:val="105"/>
                <w:sz w:val="15"/>
              </w:rPr>
              <w:t>Rusia</w:t>
            </w:r>
            <w:r>
              <w:rPr>
                <w:spacing w:val="-9"/>
                <w:w w:val="105"/>
                <w:sz w:val="15"/>
              </w:rPr>
              <w:t> </w:t>
            </w:r>
            <w:r>
              <w:rPr>
                <w:w w:val="105"/>
                <w:sz w:val="15"/>
              </w:rPr>
              <w:t>y</w:t>
            </w:r>
            <w:r>
              <w:rPr>
                <w:spacing w:val="-11"/>
                <w:w w:val="105"/>
                <w:sz w:val="15"/>
              </w:rPr>
              <w:t> </w:t>
            </w:r>
            <w:r>
              <w:rPr>
                <w:w w:val="105"/>
                <w:sz w:val="15"/>
              </w:rPr>
              <w:t>Europa</w:t>
            </w:r>
            <w:r>
              <w:rPr>
                <w:spacing w:val="-11"/>
                <w:w w:val="105"/>
                <w:sz w:val="15"/>
              </w:rPr>
              <w:t> </w:t>
            </w:r>
            <w:r>
              <w:rPr>
                <w:w w:val="105"/>
                <w:sz w:val="15"/>
              </w:rPr>
              <w:t>Oriental</w:t>
            </w:r>
            <w:r>
              <w:rPr>
                <w:spacing w:val="-14"/>
                <w:w w:val="105"/>
                <w:sz w:val="15"/>
              </w:rPr>
              <w:t> </w:t>
            </w:r>
            <w:r>
              <w:rPr>
                <w:w w:val="105"/>
                <w:sz w:val="15"/>
              </w:rPr>
              <w:t>(Comunidad</w:t>
            </w:r>
            <w:r>
              <w:rPr>
                <w:spacing w:val="-11"/>
                <w:w w:val="105"/>
                <w:sz w:val="15"/>
              </w:rPr>
              <w:t> </w:t>
            </w:r>
            <w:r>
              <w:rPr>
                <w:w w:val="105"/>
                <w:sz w:val="15"/>
              </w:rPr>
              <w:t>de</w:t>
            </w:r>
            <w:r>
              <w:rPr>
                <w:spacing w:val="-11"/>
                <w:w w:val="105"/>
                <w:sz w:val="15"/>
              </w:rPr>
              <w:t> </w:t>
            </w:r>
            <w:r>
              <w:rPr>
                <w:w w:val="105"/>
                <w:sz w:val="15"/>
              </w:rPr>
              <w:t>estados</w:t>
            </w:r>
            <w:r>
              <w:rPr>
                <w:spacing w:val="-10"/>
                <w:w w:val="105"/>
                <w:sz w:val="15"/>
              </w:rPr>
              <w:t> </w:t>
            </w:r>
            <w:r>
              <w:rPr>
                <w:w w:val="105"/>
                <w:sz w:val="15"/>
              </w:rPr>
              <w:t>independientes)</w:t>
            </w:r>
          </w:p>
        </w:tc>
        <w:tc>
          <w:tcPr>
            <w:tcW w:w="917" w:type="dxa"/>
            <w:tcBorders>
              <w:top w:val="single" w:sz="4" w:space="0" w:color="000000"/>
              <w:left w:val="single" w:sz="8" w:space="0" w:color="000000"/>
              <w:bottom w:val="single" w:sz="4" w:space="0" w:color="000000"/>
              <w:right w:val="single" w:sz="8" w:space="0" w:color="000000"/>
            </w:tcBorders>
          </w:tcPr>
          <w:p>
            <w:pPr>
              <w:pStyle w:val="TableParagraph"/>
              <w:spacing w:before="3"/>
              <w:ind w:right="59"/>
              <w:rPr>
                <w:sz w:val="15"/>
              </w:rPr>
            </w:pPr>
            <w:r>
              <w:rPr>
                <w:sz w:val="15"/>
              </w:rPr>
              <w:t>25,634.0</w:t>
            </w:r>
          </w:p>
        </w:tc>
        <w:tc>
          <w:tcPr>
            <w:tcW w:w="679" w:type="dxa"/>
            <w:tcBorders>
              <w:top w:val="single" w:sz="4" w:space="0" w:color="000000"/>
              <w:left w:val="single" w:sz="8" w:space="0" w:color="000000"/>
              <w:bottom w:val="single" w:sz="4" w:space="0" w:color="000000"/>
              <w:right w:val="single" w:sz="8" w:space="0" w:color="000000"/>
            </w:tcBorders>
          </w:tcPr>
          <w:p>
            <w:pPr>
              <w:pStyle w:val="TableParagraph"/>
              <w:spacing w:before="3"/>
              <w:ind w:right="59"/>
              <w:rPr>
                <w:sz w:val="15"/>
              </w:rPr>
            </w:pPr>
            <w:r>
              <w:rPr>
                <w:sz w:val="15"/>
              </w:rPr>
              <w:t>50.5</w:t>
            </w:r>
          </w:p>
        </w:tc>
        <w:tc>
          <w:tcPr>
            <w:tcW w:w="1382" w:type="dxa"/>
            <w:vMerge/>
            <w:tcBorders>
              <w:left w:val="single" w:sz="8" w:space="0" w:color="000000"/>
              <w:right w:val="single" w:sz="8" w:space="0" w:color="000000"/>
            </w:tcBorders>
          </w:tcPr>
          <w:p>
            <w:pPr/>
          </w:p>
        </w:tc>
      </w:tr>
      <w:tr>
        <w:trPr>
          <w:trHeight w:val="193" w:hRule="exact"/>
        </w:trPr>
        <w:tc>
          <w:tcPr>
            <w:tcW w:w="5676" w:type="dxa"/>
            <w:tcBorders>
              <w:top w:val="single" w:sz="4" w:space="0" w:color="000000"/>
              <w:left w:val="single" w:sz="8" w:space="0" w:color="000000"/>
              <w:right w:val="single" w:sz="8" w:space="0" w:color="000000"/>
            </w:tcBorders>
          </w:tcPr>
          <w:p>
            <w:pPr>
              <w:pStyle w:val="TableParagraph"/>
              <w:spacing w:before="5"/>
              <w:ind w:left="57"/>
              <w:jc w:val="left"/>
              <w:rPr>
                <w:sz w:val="15"/>
              </w:rPr>
            </w:pPr>
            <w:r>
              <w:rPr>
                <w:w w:val="105"/>
                <w:sz w:val="15"/>
              </w:rPr>
              <w:t>Europa Sudoriental</w:t>
            </w:r>
          </w:p>
        </w:tc>
        <w:tc>
          <w:tcPr>
            <w:tcW w:w="917" w:type="dxa"/>
            <w:tcBorders>
              <w:top w:val="single" w:sz="4" w:space="0" w:color="000000"/>
              <w:left w:val="single" w:sz="8" w:space="0" w:color="000000"/>
              <w:right w:val="single" w:sz="8" w:space="0" w:color="000000"/>
            </w:tcBorders>
          </w:tcPr>
          <w:p>
            <w:pPr>
              <w:pStyle w:val="TableParagraph"/>
              <w:spacing w:before="5"/>
              <w:ind w:right="59"/>
              <w:rPr>
                <w:sz w:val="15"/>
              </w:rPr>
            </w:pPr>
            <w:r>
              <w:rPr>
                <w:sz w:val="15"/>
              </w:rPr>
              <w:t>11,065.0</w:t>
            </w:r>
          </w:p>
        </w:tc>
        <w:tc>
          <w:tcPr>
            <w:tcW w:w="679" w:type="dxa"/>
            <w:tcBorders>
              <w:top w:val="single" w:sz="4" w:space="0" w:color="000000"/>
              <w:left w:val="single" w:sz="8" w:space="0" w:color="000000"/>
              <w:right w:val="single" w:sz="8" w:space="0" w:color="000000"/>
            </w:tcBorders>
          </w:tcPr>
          <w:p>
            <w:pPr>
              <w:pStyle w:val="TableParagraph"/>
              <w:spacing w:before="5"/>
              <w:ind w:right="59"/>
              <w:rPr>
                <w:sz w:val="15"/>
              </w:rPr>
            </w:pPr>
            <w:r>
              <w:rPr>
                <w:sz w:val="15"/>
              </w:rPr>
              <w:t>21.8</w:t>
            </w:r>
          </w:p>
        </w:tc>
        <w:tc>
          <w:tcPr>
            <w:tcW w:w="1382" w:type="dxa"/>
            <w:vMerge/>
            <w:tcBorders>
              <w:left w:val="single" w:sz="8" w:space="0" w:color="000000"/>
              <w:right w:val="single" w:sz="8" w:space="0" w:color="000000"/>
            </w:tcBorders>
          </w:tcPr>
          <w:p>
            <w:pPr/>
          </w:p>
        </w:tc>
      </w:tr>
      <w:tr>
        <w:trPr>
          <w:trHeight w:val="198" w:hRule="exact"/>
        </w:trPr>
        <w:tc>
          <w:tcPr>
            <w:tcW w:w="8654" w:type="dxa"/>
            <w:gridSpan w:val="4"/>
            <w:tcBorders>
              <w:left w:val="single" w:sz="8" w:space="0" w:color="000000"/>
              <w:bottom w:val="single" w:sz="8" w:space="0" w:color="000000"/>
              <w:right w:val="single" w:sz="8" w:space="0" w:color="000000"/>
            </w:tcBorders>
          </w:tcPr>
          <w:p>
            <w:pPr/>
          </w:p>
        </w:tc>
      </w:tr>
      <w:tr>
        <w:trPr>
          <w:trHeight w:val="199" w:hRule="exact"/>
        </w:trPr>
        <w:tc>
          <w:tcPr>
            <w:tcW w:w="5676" w:type="dxa"/>
            <w:tcBorders>
              <w:top w:val="single" w:sz="8" w:space="0" w:color="000000"/>
              <w:left w:val="single" w:sz="8" w:space="0" w:color="000000"/>
              <w:bottom w:val="single" w:sz="8" w:space="0" w:color="000000"/>
              <w:right w:val="single" w:sz="8" w:space="0" w:color="000000"/>
            </w:tcBorders>
          </w:tcPr>
          <w:p>
            <w:pPr>
              <w:pStyle w:val="TableParagraph"/>
              <w:spacing w:before="1"/>
              <w:ind w:left="57"/>
              <w:jc w:val="left"/>
              <w:rPr>
                <w:b/>
                <w:sz w:val="15"/>
              </w:rPr>
            </w:pPr>
            <w:r>
              <w:rPr>
                <w:b/>
                <w:w w:val="105"/>
                <w:sz w:val="15"/>
              </w:rPr>
              <w:t>África</w:t>
            </w:r>
          </w:p>
        </w:tc>
        <w:tc>
          <w:tcPr>
            <w:tcW w:w="917" w:type="dxa"/>
            <w:tcBorders>
              <w:top w:val="single" w:sz="8" w:space="0" w:color="000000"/>
              <w:left w:val="single" w:sz="8" w:space="0" w:color="000000"/>
              <w:bottom w:val="single" w:sz="8" w:space="0" w:color="000000"/>
              <w:right w:val="single" w:sz="8" w:space="0" w:color="000000"/>
            </w:tcBorders>
          </w:tcPr>
          <w:p>
            <w:pPr>
              <w:pStyle w:val="TableParagraph"/>
              <w:spacing w:before="1"/>
              <w:ind w:right="59"/>
              <w:rPr>
                <w:b/>
                <w:sz w:val="15"/>
              </w:rPr>
            </w:pPr>
            <w:r>
              <w:rPr>
                <w:b/>
                <w:sz w:val="15"/>
              </w:rPr>
              <w:t>38,611.0</w:t>
            </w:r>
          </w:p>
        </w:tc>
        <w:tc>
          <w:tcPr>
            <w:tcW w:w="679" w:type="dxa"/>
            <w:tcBorders>
              <w:top w:val="single" w:sz="8" w:space="0" w:color="000000"/>
              <w:left w:val="single" w:sz="8" w:space="0" w:color="000000"/>
              <w:bottom w:val="single" w:sz="8" w:space="0" w:color="000000"/>
              <w:right w:val="single" w:sz="8" w:space="0" w:color="000000"/>
            </w:tcBorders>
          </w:tcPr>
          <w:p>
            <w:pPr>
              <w:pStyle w:val="TableParagraph"/>
              <w:spacing w:before="1"/>
              <w:ind w:right="57"/>
              <w:rPr>
                <w:b/>
                <w:sz w:val="15"/>
              </w:rPr>
            </w:pPr>
            <w:r>
              <w:rPr>
                <w:b/>
                <w:sz w:val="15"/>
              </w:rPr>
              <w:t>100</w:t>
            </w:r>
          </w:p>
        </w:tc>
        <w:tc>
          <w:tcPr>
            <w:tcW w:w="1382" w:type="dxa"/>
            <w:vMerge w:val="restart"/>
            <w:tcBorders>
              <w:top w:val="single" w:sz="8" w:space="0" w:color="000000"/>
              <w:left w:val="single" w:sz="8" w:space="0" w:color="000000"/>
              <w:right w:val="single" w:sz="8" w:space="0" w:color="000000"/>
            </w:tcBorders>
          </w:tcPr>
          <w:p>
            <w:pPr>
              <w:pStyle w:val="TableParagraph"/>
              <w:spacing w:before="1"/>
              <w:ind w:right="59"/>
              <w:rPr>
                <w:b/>
                <w:sz w:val="15"/>
              </w:rPr>
            </w:pPr>
            <w:r>
              <w:rPr>
                <w:b/>
                <w:sz w:val="15"/>
              </w:rPr>
              <w:t>12.9</w:t>
            </w:r>
          </w:p>
        </w:tc>
      </w:tr>
      <w:tr>
        <w:trPr>
          <w:trHeight w:val="194" w:hRule="exact"/>
        </w:trPr>
        <w:tc>
          <w:tcPr>
            <w:tcW w:w="5676" w:type="dxa"/>
            <w:tcBorders>
              <w:top w:val="single" w:sz="8" w:space="0" w:color="000000"/>
              <w:left w:val="single" w:sz="8" w:space="0" w:color="000000"/>
              <w:bottom w:val="single" w:sz="4" w:space="0" w:color="000000"/>
              <w:right w:val="single" w:sz="8" w:space="0" w:color="000000"/>
            </w:tcBorders>
          </w:tcPr>
          <w:p>
            <w:pPr>
              <w:pStyle w:val="TableParagraph"/>
              <w:spacing w:before="5"/>
              <w:ind w:left="57"/>
              <w:jc w:val="left"/>
              <w:rPr>
                <w:sz w:val="15"/>
              </w:rPr>
            </w:pPr>
            <w:r>
              <w:rPr>
                <w:w w:val="105"/>
                <w:sz w:val="15"/>
              </w:rPr>
              <w:t>África Central</w:t>
            </w:r>
          </w:p>
        </w:tc>
        <w:tc>
          <w:tcPr>
            <w:tcW w:w="917" w:type="dxa"/>
            <w:tcBorders>
              <w:top w:val="single" w:sz="8" w:space="0" w:color="000000"/>
              <w:left w:val="single" w:sz="8" w:space="0" w:color="000000"/>
              <w:bottom w:val="single" w:sz="4" w:space="0" w:color="000000"/>
              <w:right w:val="single" w:sz="8" w:space="0" w:color="000000"/>
            </w:tcBorders>
          </w:tcPr>
          <w:p>
            <w:pPr>
              <w:pStyle w:val="TableParagraph"/>
              <w:spacing w:before="5"/>
              <w:ind w:right="59"/>
              <w:rPr>
                <w:sz w:val="15"/>
              </w:rPr>
            </w:pPr>
            <w:r>
              <w:rPr>
                <w:w w:val="105"/>
                <w:sz w:val="15"/>
              </w:rPr>
              <w:t>2,690.0</w:t>
            </w:r>
          </w:p>
        </w:tc>
        <w:tc>
          <w:tcPr>
            <w:tcW w:w="679" w:type="dxa"/>
            <w:tcBorders>
              <w:top w:val="single" w:sz="8" w:space="0" w:color="000000"/>
              <w:left w:val="single" w:sz="8" w:space="0" w:color="000000"/>
              <w:bottom w:val="single" w:sz="4" w:space="0" w:color="000000"/>
              <w:right w:val="single" w:sz="8" w:space="0" w:color="000000"/>
            </w:tcBorders>
          </w:tcPr>
          <w:p>
            <w:pPr>
              <w:pStyle w:val="TableParagraph"/>
              <w:spacing w:before="5"/>
              <w:ind w:right="59"/>
              <w:rPr>
                <w:sz w:val="15"/>
              </w:rPr>
            </w:pPr>
            <w:r>
              <w:rPr>
                <w:sz w:val="15"/>
              </w:rPr>
              <w:t>7.0</w:t>
            </w:r>
          </w:p>
        </w:tc>
        <w:tc>
          <w:tcPr>
            <w:tcW w:w="1382" w:type="dxa"/>
            <w:vMerge/>
            <w:tcBorders>
              <w:left w:val="single" w:sz="8" w:space="0" w:color="000000"/>
              <w:right w:val="single" w:sz="8" w:space="0" w:color="000000"/>
            </w:tcBorders>
          </w:tcPr>
          <w:p>
            <w:pPr/>
          </w:p>
        </w:tc>
      </w:tr>
      <w:tr>
        <w:trPr>
          <w:trHeight w:val="188" w:hRule="exact"/>
        </w:trPr>
        <w:tc>
          <w:tcPr>
            <w:tcW w:w="5676" w:type="dxa"/>
            <w:tcBorders>
              <w:top w:val="single" w:sz="4" w:space="0" w:color="000000"/>
              <w:left w:val="single" w:sz="8" w:space="0" w:color="000000"/>
              <w:bottom w:val="single" w:sz="3" w:space="0" w:color="000000"/>
              <w:right w:val="single" w:sz="8" w:space="0" w:color="000000"/>
            </w:tcBorders>
          </w:tcPr>
          <w:p>
            <w:pPr>
              <w:pStyle w:val="TableParagraph"/>
              <w:spacing w:before="3"/>
              <w:ind w:left="57"/>
              <w:jc w:val="left"/>
              <w:rPr>
                <w:sz w:val="15"/>
              </w:rPr>
            </w:pPr>
            <w:r>
              <w:rPr>
                <w:w w:val="105"/>
                <w:sz w:val="15"/>
              </w:rPr>
              <w:t>África oriental</w:t>
            </w:r>
          </w:p>
        </w:tc>
        <w:tc>
          <w:tcPr>
            <w:tcW w:w="917" w:type="dxa"/>
            <w:tcBorders>
              <w:top w:val="single" w:sz="4" w:space="0" w:color="000000"/>
              <w:left w:val="single" w:sz="8" w:space="0" w:color="000000"/>
              <w:bottom w:val="single" w:sz="3" w:space="0" w:color="000000"/>
              <w:right w:val="single" w:sz="8" w:space="0" w:color="000000"/>
            </w:tcBorders>
          </w:tcPr>
          <w:p>
            <w:pPr>
              <w:pStyle w:val="TableParagraph"/>
              <w:spacing w:before="3"/>
              <w:ind w:right="59"/>
              <w:rPr>
                <w:sz w:val="15"/>
              </w:rPr>
            </w:pPr>
            <w:r>
              <w:rPr>
                <w:w w:val="105"/>
                <w:sz w:val="15"/>
              </w:rPr>
              <w:t>5,929.0</w:t>
            </w:r>
          </w:p>
        </w:tc>
        <w:tc>
          <w:tcPr>
            <w:tcW w:w="679" w:type="dxa"/>
            <w:tcBorders>
              <w:top w:val="single" w:sz="4" w:space="0" w:color="000000"/>
              <w:left w:val="single" w:sz="8" w:space="0" w:color="000000"/>
              <w:bottom w:val="single" w:sz="3" w:space="0" w:color="000000"/>
              <w:right w:val="single" w:sz="8" w:space="0" w:color="000000"/>
            </w:tcBorders>
          </w:tcPr>
          <w:p>
            <w:pPr>
              <w:pStyle w:val="TableParagraph"/>
              <w:spacing w:before="3"/>
              <w:ind w:right="59"/>
              <w:rPr>
                <w:sz w:val="15"/>
              </w:rPr>
            </w:pPr>
            <w:r>
              <w:rPr>
                <w:sz w:val="15"/>
              </w:rPr>
              <w:t>15.4</w:t>
            </w:r>
          </w:p>
        </w:tc>
        <w:tc>
          <w:tcPr>
            <w:tcW w:w="1382" w:type="dxa"/>
            <w:vMerge/>
            <w:tcBorders>
              <w:left w:val="single" w:sz="8" w:space="0" w:color="000000"/>
              <w:right w:val="single" w:sz="8" w:space="0" w:color="000000"/>
            </w:tcBorders>
          </w:tcPr>
          <w:p>
            <w:pPr/>
          </w:p>
        </w:tc>
      </w:tr>
      <w:tr>
        <w:trPr>
          <w:trHeight w:val="188" w:hRule="exact"/>
        </w:trPr>
        <w:tc>
          <w:tcPr>
            <w:tcW w:w="5676" w:type="dxa"/>
            <w:tcBorders>
              <w:top w:val="single" w:sz="3" w:space="0" w:color="000000"/>
              <w:left w:val="single" w:sz="8" w:space="0" w:color="000000"/>
              <w:bottom w:val="single" w:sz="4" w:space="0" w:color="000000"/>
              <w:right w:val="single" w:sz="8" w:space="0" w:color="000000"/>
            </w:tcBorders>
          </w:tcPr>
          <w:p>
            <w:pPr>
              <w:pStyle w:val="TableParagraph"/>
              <w:spacing w:before="5"/>
              <w:ind w:left="57"/>
              <w:jc w:val="left"/>
              <w:rPr>
                <w:sz w:val="15"/>
              </w:rPr>
            </w:pPr>
            <w:r>
              <w:rPr>
                <w:w w:val="105"/>
                <w:sz w:val="15"/>
              </w:rPr>
              <w:t>África septentrional</w:t>
            </w:r>
          </w:p>
        </w:tc>
        <w:tc>
          <w:tcPr>
            <w:tcW w:w="917" w:type="dxa"/>
            <w:tcBorders>
              <w:top w:val="single" w:sz="3" w:space="0" w:color="000000"/>
              <w:left w:val="single" w:sz="8" w:space="0" w:color="000000"/>
              <w:bottom w:val="single" w:sz="4" w:space="0" w:color="000000"/>
              <w:right w:val="single" w:sz="8" w:space="0" w:color="000000"/>
            </w:tcBorders>
          </w:tcPr>
          <w:p>
            <w:pPr>
              <w:pStyle w:val="TableParagraph"/>
              <w:spacing w:before="5"/>
              <w:ind w:right="59"/>
              <w:rPr>
                <w:sz w:val="15"/>
              </w:rPr>
            </w:pPr>
            <w:r>
              <w:rPr>
                <w:sz w:val="15"/>
              </w:rPr>
              <w:t>17,614.0</w:t>
            </w:r>
          </w:p>
        </w:tc>
        <w:tc>
          <w:tcPr>
            <w:tcW w:w="679" w:type="dxa"/>
            <w:tcBorders>
              <w:top w:val="single" w:sz="3" w:space="0" w:color="000000"/>
              <w:left w:val="single" w:sz="8" w:space="0" w:color="000000"/>
              <w:bottom w:val="single" w:sz="4" w:space="0" w:color="000000"/>
              <w:right w:val="single" w:sz="8" w:space="0" w:color="000000"/>
            </w:tcBorders>
          </w:tcPr>
          <w:p>
            <w:pPr>
              <w:pStyle w:val="TableParagraph"/>
              <w:spacing w:before="5"/>
              <w:ind w:right="59"/>
              <w:rPr>
                <w:sz w:val="15"/>
              </w:rPr>
            </w:pPr>
            <w:r>
              <w:rPr>
                <w:sz w:val="15"/>
              </w:rPr>
              <w:t>45.6</w:t>
            </w:r>
          </w:p>
        </w:tc>
        <w:tc>
          <w:tcPr>
            <w:tcW w:w="1382" w:type="dxa"/>
            <w:vMerge/>
            <w:tcBorders>
              <w:left w:val="single" w:sz="8" w:space="0" w:color="000000"/>
              <w:right w:val="single" w:sz="8" w:space="0" w:color="000000"/>
            </w:tcBorders>
          </w:tcPr>
          <w:p>
            <w:pPr/>
          </w:p>
        </w:tc>
      </w:tr>
      <w:tr>
        <w:trPr>
          <w:trHeight w:val="190" w:hRule="exact"/>
        </w:trPr>
        <w:tc>
          <w:tcPr>
            <w:tcW w:w="5676" w:type="dxa"/>
            <w:tcBorders>
              <w:top w:val="single" w:sz="4" w:space="0" w:color="000000"/>
              <w:left w:val="single" w:sz="8" w:space="0" w:color="000000"/>
              <w:bottom w:val="single" w:sz="4" w:space="0" w:color="000000"/>
              <w:right w:val="single" w:sz="8" w:space="0" w:color="000000"/>
            </w:tcBorders>
          </w:tcPr>
          <w:p>
            <w:pPr>
              <w:pStyle w:val="TableParagraph"/>
              <w:spacing w:before="5"/>
              <w:ind w:left="57"/>
              <w:jc w:val="left"/>
              <w:rPr>
                <w:sz w:val="15"/>
              </w:rPr>
            </w:pPr>
            <w:r>
              <w:rPr>
                <w:w w:val="105"/>
                <w:sz w:val="15"/>
              </w:rPr>
              <w:t>África meridional</w:t>
            </w:r>
          </w:p>
        </w:tc>
        <w:tc>
          <w:tcPr>
            <w:tcW w:w="917" w:type="dxa"/>
            <w:tcBorders>
              <w:top w:val="single" w:sz="4" w:space="0" w:color="000000"/>
              <w:left w:val="single" w:sz="8" w:space="0" w:color="000000"/>
              <w:bottom w:val="single" w:sz="4" w:space="0" w:color="000000"/>
              <w:right w:val="single" w:sz="8" w:space="0" w:color="000000"/>
            </w:tcBorders>
          </w:tcPr>
          <w:p>
            <w:pPr>
              <w:pStyle w:val="TableParagraph"/>
              <w:spacing w:before="5"/>
              <w:ind w:right="59"/>
              <w:rPr>
                <w:sz w:val="15"/>
              </w:rPr>
            </w:pPr>
            <w:r>
              <w:rPr>
                <w:w w:val="105"/>
                <w:sz w:val="15"/>
              </w:rPr>
              <w:t>1,979.0</w:t>
            </w:r>
          </w:p>
        </w:tc>
        <w:tc>
          <w:tcPr>
            <w:tcW w:w="679" w:type="dxa"/>
            <w:tcBorders>
              <w:top w:val="single" w:sz="4" w:space="0" w:color="000000"/>
              <w:left w:val="single" w:sz="8" w:space="0" w:color="000000"/>
              <w:bottom w:val="single" w:sz="4" w:space="0" w:color="000000"/>
              <w:right w:val="single" w:sz="8" w:space="0" w:color="000000"/>
            </w:tcBorders>
          </w:tcPr>
          <w:p>
            <w:pPr>
              <w:pStyle w:val="TableParagraph"/>
              <w:spacing w:before="5"/>
              <w:ind w:right="59"/>
              <w:rPr>
                <w:sz w:val="15"/>
              </w:rPr>
            </w:pPr>
            <w:r>
              <w:rPr>
                <w:sz w:val="15"/>
              </w:rPr>
              <w:t>5.1</w:t>
            </w:r>
          </w:p>
        </w:tc>
        <w:tc>
          <w:tcPr>
            <w:tcW w:w="1382" w:type="dxa"/>
            <w:vMerge/>
            <w:tcBorders>
              <w:left w:val="single" w:sz="8" w:space="0" w:color="000000"/>
              <w:right w:val="single" w:sz="8" w:space="0" w:color="000000"/>
            </w:tcBorders>
          </w:tcPr>
          <w:p>
            <w:pPr/>
          </w:p>
        </w:tc>
      </w:tr>
      <w:tr>
        <w:trPr>
          <w:trHeight w:val="194" w:hRule="exact"/>
        </w:trPr>
        <w:tc>
          <w:tcPr>
            <w:tcW w:w="5676" w:type="dxa"/>
            <w:tcBorders>
              <w:top w:val="single" w:sz="4" w:space="0" w:color="000000"/>
              <w:left w:val="single" w:sz="8" w:space="0" w:color="000000"/>
              <w:bottom w:val="single" w:sz="8" w:space="0" w:color="000000"/>
              <w:right w:val="single" w:sz="8" w:space="0" w:color="000000"/>
            </w:tcBorders>
          </w:tcPr>
          <w:p>
            <w:pPr>
              <w:pStyle w:val="TableParagraph"/>
              <w:spacing w:before="5"/>
              <w:ind w:left="57"/>
              <w:jc w:val="left"/>
              <w:rPr>
                <w:sz w:val="15"/>
              </w:rPr>
            </w:pPr>
            <w:r>
              <w:rPr>
                <w:w w:val="105"/>
                <w:sz w:val="15"/>
              </w:rPr>
              <w:t>África Occidental</w:t>
            </w:r>
          </w:p>
        </w:tc>
        <w:tc>
          <w:tcPr>
            <w:tcW w:w="917" w:type="dxa"/>
            <w:tcBorders>
              <w:top w:val="single" w:sz="4" w:space="0" w:color="000000"/>
              <w:left w:val="single" w:sz="8" w:space="0" w:color="000000"/>
              <w:bottom w:val="single" w:sz="8" w:space="0" w:color="000000"/>
              <w:right w:val="single" w:sz="8" w:space="0" w:color="000000"/>
            </w:tcBorders>
          </w:tcPr>
          <w:p>
            <w:pPr>
              <w:pStyle w:val="TableParagraph"/>
              <w:spacing w:before="5"/>
              <w:ind w:right="59"/>
              <w:rPr>
                <w:sz w:val="15"/>
              </w:rPr>
            </w:pPr>
            <w:r>
              <w:rPr>
                <w:sz w:val="15"/>
              </w:rPr>
              <w:t>10,399.0</w:t>
            </w:r>
          </w:p>
        </w:tc>
        <w:tc>
          <w:tcPr>
            <w:tcW w:w="679" w:type="dxa"/>
            <w:tcBorders>
              <w:top w:val="single" w:sz="4" w:space="0" w:color="000000"/>
              <w:left w:val="single" w:sz="8" w:space="0" w:color="000000"/>
              <w:bottom w:val="single" w:sz="8" w:space="0" w:color="000000"/>
              <w:right w:val="single" w:sz="8" w:space="0" w:color="000000"/>
            </w:tcBorders>
          </w:tcPr>
          <w:p>
            <w:pPr>
              <w:pStyle w:val="TableParagraph"/>
              <w:spacing w:before="5"/>
              <w:ind w:right="59"/>
              <w:rPr>
                <w:sz w:val="15"/>
              </w:rPr>
            </w:pPr>
            <w:r>
              <w:rPr>
                <w:sz w:val="15"/>
              </w:rPr>
              <w:t>26.9</w:t>
            </w:r>
          </w:p>
        </w:tc>
        <w:tc>
          <w:tcPr>
            <w:tcW w:w="1382" w:type="dxa"/>
            <w:vMerge/>
            <w:tcBorders>
              <w:left w:val="single" w:sz="8" w:space="0" w:color="000000"/>
              <w:bottom w:val="single" w:sz="8" w:space="0" w:color="000000"/>
              <w:right w:val="single" w:sz="8" w:space="0" w:color="000000"/>
            </w:tcBorders>
          </w:tcPr>
          <w:p>
            <w:pPr/>
          </w:p>
        </w:tc>
      </w:tr>
      <w:tr>
        <w:trPr>
          <w:trHeight w:val="199" w:hRule="exact"/>
        </w:trPr>
        <w:tc>
          <w:tcPr>
            <w:tcW w:w="8654" w:type="dxa"/>
            <w:gridSpan w:val="4"/>
            <w:tcBorders>
              <w:top w:val="single" w:sz="8" w:space="0" w:color="000000"/>
              <w:left w:val="single" w:sz="8" w:space="0" w:color="000000"/>
              <w:bottom w:val="single" w:sz="8" w:space="0" w:color="000000"/>
              <w:right w:val="single" w:sz="8" w:space="0" w:color="000000"/>
            </w:tcBorders>
          </w:tcPr>
          <w:p>
            <w:pPr/>
          </w:p>
        </w:tc>
      </w:tr>
      <w:tr>
        <w:trPr>
          <w:trHeight w:val="196" w:hRule="exact"/>
        </w:trPr>
        <w:tc>
          <w:tcPr>
            <w:tcW w:w="5676" w:type="dxa"/>
            <w:tcBorders>
              <w:top w:val="single" w:sz="8" w:space="0" w:color="000000"/>
              <w:left w:val="single" w:sz="8" w:space="0" w:color="000000"/>
              <w:right w:val="single" w:sz="8" w:space="0" w:color="000000"/>
            </w:tcBorders>
          </w:tcPr>
          <w:p>
            <w:pPr>
              <w:pStyle w:val="TableParagraph"/>
              <w:spacing w:line="171" w:lineRule="exact" w:before="0"/>
              <w:ind w:left="57"/>
              <w:jc w:val="left"/>
              <w:rPr>
                <w:b/>
                <w:sz w:val="15"/>
              </w:rPr>
            </w:pPr>
            <w:r>
              <w:rPr>
                <w:b/>
                <w:w w:val="105"/>
                <w:sz w:val="15"/>
              </w:rPr>
              <w:t>Cercano Oriente</w:t>
            </w:r>
          </w:p>
        </w:tc>
        <w:tc>
          <w:tcPr>
            <w:tcW w:w="917" w:type="dxa"/>
            <w:tcBorders>
              <w:top w:val="single" w:sz="8" w:space="0" w:color="000000"/>
              <w:left w:val="single" w:sz="8" w:space="0" w:color="000000"/>
              <w:right w:val="single" w:sz="8" w:space="0" w:color="000000"/>
            </w:tcBorders>
          </w:tcPr>
          <w:p>
            <w:pPr>
              <w:pStyle w:val="TableParagraph"/>
              <w:spacing w:line="171" w:lineRule="exact" w:before="0"/>
              <w:ind w:right="59"/>
              <w:rPr>
                <w:b/>
                <w:sz w:val="15"/>
              </w:rPr>
            </w:pPr>
            <w:r>
              <w:rPr>
                <w:b/>
                <w:sz w:val="15"/>
              </w:rPr>
              <w:t>28,449.0</w:t>
            </w:r>
          </w:p>
        </w:tc>
        <w:tc>
          <w:tcPr>
            <w:tcW w:w="679" w:type="dxa"/>
            <w:tcBorders>
              <w:top w:val="single" w:sz="8" w:space="0" w:color="000000"/>
              <w:left w:val="single" w:sz="8" w:space="0" w:color="000000"/>
              <w:right w:val="single" w:sz="8" w:space="0" w:color="000000"/>
            </w:tcBorders>
          </w:tcPr>
          <w:p>
            <w:pPr>
              <w:pStyle w:val="TableParagraph"/>
              <w:spacing w:line="171" w:lineRule="exact" w:before="0"/>
              <w:ind w:right="57"/>
              <w:rPr>
                <w:b/>
                <w:sz w:val="15"/>
              </w:rPr>
            </w:pPr>
            <w:r>
              <w:rPr>
                <w:b/>
                <w:sz w:val="15"/>
              </w:rPr>
              <w:t>100</w:t>
            </w:r>
          </w:p>
        </w:tc>
        <w:tc>
          <w:tcPr>
            <w:tcW w:w="1382" w:type="dxa"/>
            <w:vMerge w:val="restart"/>
            <w:tcBorders>
              <w:top w:val="single" w:sz="8" w:space="0" w:color="000000"/>
              <w:left w:val="single" w:sz="8" w:space="0" w:color="000000"/>
              <w:right w:val="single" w:sz="8" w:space="0" w:color="000000"/>
            </w:tcBorders>
          </w:tcPr>
          <w:p>
            <w:pPr>
              <w:pStyle w:val="TableParagraph"/>
              <w:spacing w:line="171" w:lineRule="exact" w:before="0"/>
              <w:ind w:right="59"/>
              <w:rPr>
                <w:b/>
                <w:sz w:val="15"/>
              </w:rPr>
            </w:pPr>
            <w:r>
              <w:rPr>
                <w:b/>
                <w:sz w:val="15"/>
              </w:rPr>
              <w:t>9.5</w:t>
            </w:r>
          </w:p>
        </w:tc>
      </w:tr>
      <w:tr>
        <w:trPr>
          <w:trHeight w:val="193" w:hRule="exact"/>
        </w:trPr>
        <w:tc>
          <w:tcPr>
            <w:tcW w:w="5676" w:type="dxa"/>
            <w:tcBorders>
              <w:left w:val="single" w:sz="8" w:space="0" w:color="000000"/>
              <w:bottom w:val="single" w:sz="4" w:space="0" w:color="000000"/>
              <w:right w:val="single" w:sz="8" w:space="0" w:color="000000"/>
            </w:tcBorders>
          </w:tcPr>
          <w:p>
            <w:pPr>
              <w:pStyle w:val="TableParagraph"/>
              <w:spacing w:before="8"/>
              <w:ind w:left="57"/>
              <w:jc w:val="left"/>
              <w:rPr>
                <w:sz w:val="15"/>
              </w:rPr>
            </w:pPr>
            <w:r>
              <w:rPr>
                <w:w w:val="105"/>
                <w:sz w:val="15"/>
              </w:rPr>
              <w:t>Cáucaso</w:t>
            </w:r>
          </w:p>
        </w:tc>
        <w:tc>
          <w:tcPr>
            <w:tcW w:w="917" w:type="dxa"/>
            <w:tcBorders>
              <w:left w:val="single" w:sz="8" w:space="0" w:color="000000"/>
              <w:bottom w:val="single" w:sz="4" w:space="0" w:color="000000"/>
              <w:right w:val="single" w:sz="8" w:space="0" w:color="000000"/>
            </w:tcBorders>
          </w:tcPr>
          <w:p>
            <w:pPr>
              <w:pStyle w:val="TableParagraph"/>
              <w:spacing w:before="8"/>
              <w:ind w:right="59"/>
              <w:rPr>
                <w:sz w:val="15"/>
              </w:rPr>
            </w:pPr>
            <w:r>
              <w:rPr>
                <w:w w:val="105"/>
                <w:sz w:val="15"/>
              </w:rPr>
              <w:t>4,584.0</w:t>
            </w:r>
          </w:p>
        </w:tc>
        <w:tc>
          <w:tcPr>
            <w:tcW w:w="679" w:type="dxa"/>
            <w:tcBorders>
              <w:left w:val="single" w:sz="8" w:space="0" w:color="000000"/>
              <w:bottom w:val="single" w:sz="4" w:space="0" w:color="000000"/>
              <w:right w:val="single" w:sz="8" w:space="0" w:color="000000"/>
            </w:tcBorders>
          </w:tcPr>
          <w:p>
            <w:pPr>
              <w:pStyle w:val="TableParagraph"/>
              <w:spacing w:before="8"/>
              <w:ind w:right="59"/>
              <w:rPr>
                <w:sz w:val="15"/>
              </w:rPr>
            </w:pPr>
            <w:r>
              <w:rPr>
                <w:sz w:val="15"/>
              </w:rPr>
              <w:t>16.1</w:t>
            </w:r>
          </w:p>
        </w:tc>
        <w:tc>
          <w:tcPr>
            <w:tcW w:w="1382" w:type="dxa"/>
            <w:vMerge/>
            <w:tcBorders>
              <w:left w:val="single" w:sz="8" w:space="0" w:color="000000"/>
              <w:right w:val="single" w:sz="8" w:space="0" w:color="000000"/>
            </w:tcBorders>
          </w:tcPr>
          <w:p>
            <w:pPr/>
          </w:p>
        </w:tc>
      </w:tr>
      <w:tr>
        <w:trPr>
          <w:trHeight w:val="190" w:hRule="exact"/>
        </w:trPr>
        <w:tc>
          <w:tcPr>
            <w:tcW w:w="5676" w:type="dxa"/>
            <w:tcBorders>
              <w:top w:val="single" w:sz="4" w:space="0" w:color="000000"/>
              <w:left w:val="single" w:sz="8" w:space="0" w:color="000000"/>
              <w:bottom w:val="single" w:sz="4" w:space="0" w:color="000000"/>
              <w:right w:val="single" w:sz="8" w:space="0" w:color="000000"/>
            </w:tcBorders>
          </w:tcPr>
          <w:p>
            <w:pPr>
              <w:pStyle w:val="TableParagraph"/>
              <w:spacing w:before="8"/>
              <w:ind w:left="57"/>
              <w:jc w:val="left"/>
              <w:rPr>
                <w:sz w:val="15"/>
              </w:rPr>
            </w:pPr>
            <w:r>
              <w:rPr>
                <w:w w:val="105"/>
                <w:sz w:val="15"/>
              </w:rPr>
              <w:t>Oriente Medio</w:t>
            </w:r>
          </w:p>
        </w:tc>
        <w:tc>
          <w:tcPr>
            <w:tcW w:w="917" w:type="dxa"/>
            <w:tcBorders>
              <w:top w:val="single" w:sz="4" w:space="0" w:color="000000"/>
              <w:left w:val="single" w:sz="8" w:space="0" w:color="000000"/>
              <w:bottom w:val="single" w:sz="4" w:space="0" w:color="000000"/>
              <w:right w:val="single" w:sz="8" w:space="0" w:color="000000"/>
            </w:tcBorders>
          </w:tcPr>
          <w:p>
            <w:pPr>
              <w:pStyle w:val="TableParagraph"/>
              <w:spacing w:before="8"/>
              <w:ind w:right="59"/>
              <w:rPr>
                <w:sz w:val="15"/>
              </w:rPr>
            </w:pPr>
            <w:r>
              <w:rPr>
                <w:sz w:val="15"/>
              </w:rPr>
              <w:t>16,388.0</w:t>
            </w:r>
          </w:p>
        </w:tc>
        <w:tc>
          <w:tcPr>
            <w:tcW w:w="679" w:type="dxa"/>
            <w:tcBorders>
              <w:top w:val="single" w:sz="4" w:space="0" w:color="000000"/>
              <w:left w:val="single" w:sz="8" w:space="0" w:color="000000"/>
              <w:bottom w:val="single" w:sz="4" w:space="0" w:color="000000"/>
              <w:right w:val="single" w:sz="8" w:space="0" w:color="000000"/>
            </w:tcBorders>
          </w:tcPr>
          <w:p>
            <w:pPr>
              <w:pStyle w:val="TableParagraph"/>
              <w:spacing w:before="8"/>
              <w:ind w:right="59"/>
              <w:rPr>
                <w:sz w:val="15"/>
              </w:rPr>
            </w:pPr>
            <w:r>
              <w:rPr>
                <w:sz w:val="15"/>
              </w:rPr>
              <w:t>57.6</w:t>
            </w:r>
          </w:p>
        </w:tc>
        <w:tc>
          <w:tcPr>
            <w:tcW w:w="1382" w:type="dxa"/>
            <w:vMerge/>
            <w:tcBorders>
              <w:left w:val="single" w:sz="8" w:space="0" w:color="000000"/>
              <w:right w:val="single" w:sz="8" w:space="0" w:color="000000"/>
            </w:tcBorders>
          </w:tcPr>
          <w:p>
            <w:pPr/>
          </w:p>
        </w:tc>
      </w:tr>
      <w:tr>
        <w:trPr>
          <w:trHeight w:val="194" w:hRule="exact"/>
        </w:trPr>
        <w:tc>
          <w:tcPr>
            <w:tcW w:w="5676" w:type="dxa"/>
            <w:tcBorders>
              <w:top w:val="single" w:sz="4" w:space="0" w:color="000000"/>
              <w:left w:val="single" w:sz="8" w:space="0" w:color="000000"/>
              <w:bottom w:val="single" w:sz="8" w:space="0" w:color="000000"/>
              <w:right w:val="single" w:sz="8" w:space="0" w:color="000000"/>
            </w:tcBorders>
          </w:tcPr>
          <w:p>
            <w:pPr>
              <w:pStyle w:val="TableParagraph"/>
              <w:spacing w:before="3"/>
              <w:ind w:left="57"/>
              <w:jc w:val="left"/>
              <w:rPr>
                <w:sz w:val="15"/>
              </w:rPr>
            </w:pPr>
            <w:r>
              <w:rPr>
                <w:w w:val="105"/>
                <w:sz w:val="15"/>
              </w:rPr>
              <w:t>Turquía</w:t>
            </w:r>
          </w:p>
        </w:tc>
        <w:tc>
          <w:tcPr>
            <w:tcW w:w="917" w:type="dxa"/>
            <w:tcBorders>
              <w:top w:val="single" w:sz="4" w:space="0" w:color="000000"/>
              <w:left w:val="single" w:sz="8" w:space="0" w:color="000000"/>
              <w:bottom w:val="single" w:sz="8" w:space="0" w:color="000000"/>
              <w:right w:val="single" w:sz="8" w:space="0" w:color="000000"/>
            </w:tcBorders>
          </w:tcPr>
          <w:p>
            <w:pPr>
              <w:pStyle w:val="TableParagraph"/>
              <w:spacing w:before="3"/>
              <w:ind w:right="59"/>
              <w:rPr>
                <w:sz w:val="15"/>
              </w:rPr>
            </w:pPr>
            <w:r>
              <w:rPr>
                <w:w w:val="105"/>
                <w:sz w:val="15"/>
              </w:rPr>
              <w:t>7,477.0</w:t>
            </w:r>
          </w:p>
        </w:tc>
        <w:tc>
          <w:tcPr>
            <w:tcW w:w="679" w:type="dxa"/>
            <w:tcBorders>
              <w:top w:val="single" w:sz="4" w:space="0" w:color="000000"/>
              <w:left w:val="single" w:sz="8" w:space="0" w:color="000000"/>
              <w:bottom w:val="single" w:sz="8" w:space="0" w:color="000000"/>
              <w:right w:val="single" w:sz="8" w:space="0" w:color="000000"/>
            </w:tcBorders>
          </w:tcPr>
          <w:p>
            <w:pPr>
              <w:pStyle w:val="TableParagraph"/>
              <w:spacing w:before="3"/>
              <w:ind w:right="59"/>
              <w:rPr>
                <w:sz w:val="15"/>
              </w:rPr>
            </w:pPr>
            <w:r>
              <w:rPr>
                <w:sz w:val="15"/>
              </w:rPr>
              <w:t>26.3</w:t>
            </w:r>
          </w:p>
        </w:tc>
        <w:tc>
          <w:tcPr>
            <w:tcW w:w="1382" w:type="dxa"/>
            <w:vMerge/>
            <w:tcBorders>
              <w:left w:val="single" w:sz="8" w:space="0" w:color="000000"/>
              <w:bottom w:val="single" w:sz="8" w:space="0" w:color="000000"/>
              <w:right w:val="single" w:sz="8" w:space="0" w:color="000000"/>
            </w:tcBorders>
          </w:tcPr>
          <w:p>
            <w:pPr/>
          </w:p>
        </w:tc>
      </w:tr>
      <w:tr>
        <w:trPr>
          <w:trHeight w:val="199" w:hRule="exact"/>
        </w:trPr>
        <w:tc>
          <w:tcPr>
            <w:tcW w:w="8654" w:type="dxa"/>
            <w:gridSpan w:val="4"/>
            <w:tcBorders>
              <w:top w:val="single" w:sz="8" w:space="0" w:color="000000"/>
              <w:left w:val="single" w:sz="8" w:space="0" w:color="000000"/>
              <w:bottom w:val="single" w:sz="8" w:space="0" w:color="000000"/>
              <w:right w:val="single" w:sz="8" w:space="0" w:color="000000"/>
            </w:tcBorders>
          </w:tcPr>
          <w:p>
            <w:pPr/>
          </w:p>
        </w:tc>
      </w:tr>
      <w:tr>
        <w:trPr>
          <w:trHeight w:val="197" w:hRule="exact"/>
        </w:trPr>
        <w:tc>
          <w:tcPr>
            <w:tcW w:w="5676" w:type="dxa"/>
            <w:tcBorders>
              <w:top w:val="single" w:sz="8" w:space="0" w:color="000000"/>
              <w:left w:val="single" w:sz="8" w:space="0" w:color="000000"/>
              <w:bottom w:val="single" w:sz="8" w:space="0" w:color="000000"/>
              <w:right w:val="single" w:sz="8" w:space="0" w:color="000000"/>
            </w:tcBorders>
          </w:tcPr>
          <w:p>
            <w:pPr>
              <w:pStyle w:val="TableParagraph"/>
              <w:spacing w:line="171" w:lineRule="exact" w:before="0"/>
              <w:ind w:left="57"/>
              <w:jc w:val="left"/>
              <w:rPr>
                <w:b/>
                <w:sz w:val="15"/>
              </w:rPr>
            </w:pPr>
            <w:r>
              <w:rPr>
                <w:b/>
                <w:w w:val="105"/>
                <w:sz w:val="15"/>
              </w:rPr>
              <w:t>REMESAS MUNDIALES</w:t>
            </w:r>
          </w:p>
        </w:tc>
        <w:tc>
          <w:tcPr>
            <w:tcW w:w="1596" w:type="dxa"/>
            <w:gridSpan w:val="2"/>
            <w:tcBorders>
              <w:top w:val="single" w:sz="8" w:space="0" w:color="000000"/>
              <w:left w:val="single" w:sz="8" w:space="0" w:color="000000"/>
              <w:bottom w:val="single" w:sz="8" w:space="0" w:color="000000"/>
              <w:right w:val="single" w:sz="8" w:space="0" w:color="000000"/>
            </w:tcBorders>
          </w:tcPr>
          <w:p>
            <w:pPr>
              <w:pStyle w:val="TableParagraph"/>
              <w:spacing w:line="171" w:lineRule="exact" w:before="0"/>
              <w:ind w:left="441"/>
              <w:jc w:val="left"/>
              <w:rPr>
                <w:b/>
                <w:sz w:val="15"/>
              </w:rPr>
            </w:pPr>
            <w:r>
              <w:rPr>
                <w:b/>
                <w:w w:val="105"/>
                <w:sz w:val="15"/>
              </w:rPr>
              <w:t>298,825.0</w:t>
            </w:r>
          </w:p>
        </w:tc>
        <w:tc>
          <w:tcPr>
            <w:tcW w:w="1382" w:type="dxa"/>
            <w:tcBorders>
              <w:top w:val="single" w:sz="8" w:space="0" w:color="000000"/>
              <w:left w:val="single" w:sz="8" w:space="0" w:color="000000"/>
              <w:bottom w:val="single" w:sz="8" w:space="0" w:color="000000"/>
              <w:right w:val="single" w:sz="8" w:space="0" w:color="000000"/>
            </w:tcBorders>
          </w:tcPr>
          <w:p>
            <w:pPr/>
          </w:p>
        </w:tc>
      </w:tr>
    </w:tbl>
    <w:p>
      <w:pPr>
        <w:spacing w:before="2"/>
        <w:ind w:left="195" w:right="223" w:firstLine="0"/>
        <w:jc w:val="left"/>
        <w:rPr>
          <w:sz w:val="21"/>
        </w:rPr>
      </w:pPr>
      <w:r>
        <w:rPr>
          <w:sz w:val="21"/>
        </w:rPr>
        <w:t>Fuente: Elaboración propia con información estadística del FIDA.  2006.</w:t>
      </w:r>
    </w:p>
    <w:p>
      <w:pPr>
        <w:pStyle w:val="BodyText"/>
        <w:rPr>
          <w:sz w:val="20"/>
        </w:rPr>
      </w:pPr>
    </w:p>
    <w:p>
      <w:pPr>
        <w:pStyle w:val="BodyText"/>
        <w:spacing w:before="2"/>
        <w:rPr>
          <w:sz w:val="26"/>
        </w:rPr>
      </w:pPr>
    </w:p>
    <w:p>
      <w:pPr>
        <w:pStyle w:val="BodyText"/>
        <w:spacing w:line="364" w:lineRule="auto" w:before="1"/>
        <w:ind w:left="195" w:right="165"/>
      </w:pPr>
      <w:r>
        <w:rPr/>
        <w:t>En este sentido, es sobresaliente recalcar que América latina y el  Caribe es una  de  las  regiones  que  ha  experimentado  un  intenso  dinamismo  en  su</w:t>
      </w:r>
      <w:r>
        <w:rPr>
          <w:spacing w:val="-16"/>
        </w:rPr>
        <w:t> </w:t>
      </w:r>
      <w:r>
        <w:rPr/>
        <w:t>migración</w:t>
      </w:r>
    </w:p>
    <w:p>
      <w:pPr>
        <w:spacing w:after="0" w:line="364" w:lineRule="auto"/>
        <w:sectPr>
          <w:pgSz w:w="11900" w:h="16840"/>
          <w:pgMar w:header="0" w:footer="1679" w:top="1600" w:bottom="1860" w:left="1460" w:right="1520"/>
        </w:sectPr>
      </w:pPr>
    </w:p>
    <w:p>
      <w:pPr>
        <w:pStyle w:val="BodyText"/>
        <w:rPr>
          <w:sz w:val="20"/>
        </w:rPr>
      </w:pPr>
    </w:p>
    <w:p>
      <w:pPr>
        <w:pStyle w:val="BodyText"/>
        <w:spacing w:before="7"/>
        <w:rPr>
          <w:sz w:val="16"/>
        </w:rPr>
      </w:pPr>
    </w:p>
    <w:p>
      <w:pPr>
        <w:pStyle w:val="BodyText"/>
        <w:spacing w:line="364" w:lineRule="auto" w:before="74"/>
        <w:ind w:left="115" w:right="105"/>
        <w:jc w:val="both"/>
      </w:pPr>
      <w:r>
        <w:rPr/>
        <w:t>internacional y en la recepción de remesas durante los últimos años,  esta  migración ha probado ser un motor fundamental para el desarrollo de muchas naciones latinoamericanas y caribeñas. Sin embargo, uno de los problemas a que se enfrenta en el envío de los recursos a ésta región, es que los recursos que mandan los migrantes a sus países de origen llegan con dificultad a las familias receptoras o son mermados mientras se transfieren o sencillamente no llegan (Lozano,</w:t>
      </w:r>
      <w:r>
        <w:rPr>
          <w:spacing w:val="16"/>
        </w:rPr>
        <w:t> </w:t>
      </w:r>
      <w:r>
        <w:rPr/>
        <w:t>2003).</w:t>
      </w:r>
    </w:p>
    <w:p>
      <w:pPr>
        <w:pStyle w:val="BodyText"/>
        <w:rPr>
          <w:sz w:val="22"/>
        </w:rPr>
      </w:pPr>
    </w:p>
    <w:p>
      <w:pPr>
        <w:pStyle w:val="BodyText"/>
        <w:spacing w:line="364" w:lineRule="auto" w:before="155"/>
        <w:ind w:left="115" w:right="104"/>
        <w:jc w:val="both"/>
      </w:pPr>
      <w:r>
        <w:rPr/>
        <w:t>El continente Europeo ocupa el tercer lugar en la recepción de remesas familiares en el escenario mundial con 50,805 millones de dólares que revela el 17.0% del total mundial. El 50.7% de estos recursos económicos se van hacia la Federación de Rusia y Europa Oriental (Comunidad de estados independientes)  a  países como Belarús, República de Moldova, Ucrania, etc., Europa Central se lleva el 27.8% de las remesas en donde se beneficia a países como República Checa, Estonia, Rumania, Polonia, Eslovaquia, entre otros; y en la parte de Europa Sudoriental se envía el 21.8% de estos recursos y se favorece a países  tales  como Albania (El más importante), Bosnia Herzegovina, Serbia y Montenegro, </w:t>
      </w:r>
      <w:r>
        <w:rPr>
          <w:spacing w:val="31"/>
        </w:rPr>
        <w:t> </w:t>
      </w:r>
      <w:r>
        <w:rPr/>
        <w:t>etc.</w:t>
      </w:r>
    </w:p>
    <w:p>
      <w:pPr>
        <w:pStyle w:val="BodyText"/>
        <w:rPr>
          <w:sz w:val="22"/>
        </w:rPr>
      </w:pPr>
    </w:p>
    <w:p>
      <w:pPr>
        <w:pStyle w:val="BodyText"/>
        <w:spacing w:line="364" w:lineRule="auto" w:before="155"/>
        <w:ind w:left="115" w:right="105"/>
        <w:jc w:val="both"/>
      </w:pPr>
      <w:r>
        <w:rPr/>
        <w:t>Es importante resaltar que en el ámbito mundial existen más de 30 millones de migrantes procedentes de países europeos de países  de  economías  en transición. El 9.5% de la población ha migrado al extranjero para vivir y trabajar en otras naciones, también se da la emigración hacia Ucrania que es considerado   uno de los países más poblados de Europa, y también se  emigra hacia Italia,  Reino Unido y Estados Unidos</w:t>
      </w:r>
      <w:r>
        <w:rPr>
          <w:spacing w:val="51"/>
        </w:rPr>
        <w:t> </w:t>
      </w:r>
      <w:r>
        <w:rPr/>
        <w:t>principalmente.</w:t>
      </w:r>
    </w:p>
    <w:p>
      <w:pPr>
        <w:pStyle w:val="BodyText"/>
        <w:rPr>
          <w:sz w:val="22"/>
        </w:rPr>
      </w:pPr>
    </w:p>
    <w:p>
      <w:pPr>
        <w:pStyle w:val="BodyText"/>
        <w:spacing w:line="364" w:lineRule="auto" w:before="155"/>
        <w:ind w:left="115" w:right="103"/>
        <w:jc w:val="both"/>
      </w:pPr>
      <w:r>
        <w:rPr/>
        <w:t>El cuarto lugar en envío de remesas familiares en ocupado por África con 38,611 millones de dólares (12.9% del total mundial), dentro de éste continente la subregión de mayor trascendencia en la captación de remesas es África Septentrional con 17,614 millones de dólares dentro de la cual destacan países como Marruecos, Túnez, Argelia, Egipto, etc.; la segunda subregión es África occidental con 10,399 millones de dólares en este concepto y, las naciones que</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6"/>
        <w:jc w:val="both"/>
      </w:pPr>
      <w:r>
        <w:rPr/>
        <w:t>más sobresalen en el mayor monto de recursos económicos percibidos se encuentran Cabo verde, Liberia, Gambia, Malí, Sierra Leona, etc. El resto de las subregiones que comprenden África Oriental, África Central y África Meridional solamente perciben el 27.4% de las remesas en este  continente.</w:t>
      </w:r>
    </w:p>
    <w:p>
      <w:pPr>
        <w:pStyle w:val="BodyText"/>
        <w:rPr>
          <w:sz w:val="22"/>
        </w:rPr>
      </w:pPr>
    </w:p>
    <w:p>
      <w:pPr>
        <w:pStyle w:val="BodyText"/>
        <w:spacing w:line="364" w:lineRule="auto" w:before="155"/>
        <w:ind w:left="115" w:right="105"/>
        <w:jc w:val="both"/>
      </w:pPr>
      <w:r>
        <w:rPr/>
        <w:t>Dentro de la última región que define el FIDA se encuentra el Cercano Oriente    que participa exclusivamente con el 9.5% de las remesas mundiales (28,449 millones de dólares). Dentro de ésta zona limítrofe, es el Medio Oriente quien más recursos económicos recibe siendo de 16,388 millones de dólares (57.6% dentro  de la región Cercano Oriente), donde destacan países tales como  Gaza  y  la Rivera Occidental, Líbano, Jordania, etc.; Turquía y Cáucaso </w:t>
      </w:r>
      <w:r>
        <w:rPr>
          <w:spacing w:val="13"/>
        </w:rPr>
        <w:t> </w:t>
      </w:r>
      <w:r>
        <w:rPr/>
        <w:t>42.4%.</w:t>
      </w:r>
    </w:p>
    <w:p>
      <w:pPr>
        <w:pStyle w:val="BodyText"/>
        <w:rPr>
          <w:sz w:val="22"/>
        </w:rPr>
      </w:pPr>
    </w:p>
    <w:p>
      <w:pPr>
        <w:pStyle w:val="Heading3"/>
        <w:numPr>
          <w:ilvl w:val="1"/>
          <w:numId w:val="12"/>
        </w:numPr>
        <w:tabs>
          <w:tab w:pos="647" w:val="left" w:leader="none"/>
        </w:tabs>
        <w:spacing w:line="240" w:lineRule="auto" w:before="149" w:after="0"/>
        <w:ind w:left="646" w:right="0" w:hanging="530"/>
        <w:jc w:val="both"/>
      </w:pPr>
      <w:r>
        <w:rPr/>
        <w:t>Las remesas familiares en</w:t>
      </w:r>
      <w:r>
        <w:rPr>
          <w:spacing w:val="27"/>
        </w:rPr>
        <w:t> </w:t>
      </w:r>
      <w:r>
        <w:rPr/>
        <w:t>México</w:t>
      </w:r>
    </w:p>
    <w:p>
      <w:pPr>
        <w:pStyle w:val="BodyText"/>
        <w:rPr>
          <w:b/>
          <w:sz w:val="26"/>
        </w:rPr>
      </w:pPr>
    </w:p>
    <w:p>
      <w:pPr>
        <w:pStyle w:val="BodyText"/>
        <w:spacing w:before="6"/>
        <w:rPr>
          <w:b/>
        </w:rPr>
      </w:pPr>
    </w:p>
    <w:p>
      <w:pPr>
        <w:pStyle w:val="BodyText"/>
        <w:spacing w:line="364" w:lineRule="auto"/>
        <w:ind w:left="115" w:right="105"/>
        <w:jc w:val="both"/>
      </w:pPr>
      <w:r>
        <w:rPr/>
        <w:t>Desde hace muchos años, México ha sido el principal país receptor de remesas familiares en América Latina. Desde luego, esto se debe  sin duda alguna a su  gran tradición migratoria hacia Estados Unidos en busca de  mejores  oportunidades de trabajo y de mejores condiciones de vida. En la  actualidad México es junto con India y China, uno de los tres países con mayor flujo de captación de remesas en el contexto mundial. En este sentido, lo más destacable  es el cambio en la tendencia de las remesas en los últimos siete años, debido a que estas pasaron de 6,572.8 millones de dólares a en el 2000 a  25,566.8  millones de dólares en 2006, aunque actualmente ese monto ha sufrido una disminución</w:t>
      </w:r>
      <w:r>
        <w:rPr>
          <w:spacing w:val="25"/>
        </w:rPr>
        <w:t> </w:t>
      </w:r>
      <w:r>
        <w:rPr/>
        <w:t>considerable.</w:t>
      </w:r>
    </w:p>
    <w:p>
      <w:pPr>
        <w:pStyle w:val="BodyText"/>
        <w:rPr>
          <w:sz w:val="22"/>
        </w:rPr>
      </w:pPr>
    </w:p>
    <w:p>
      <w:pPr>
        <w:pStyle w:val="BodyText"/>
        <w:spacing w:line="364" w:lineRule="auto" w:before="155"/>
        <w:ind w:left="115" w:right="105"/>
        <w:jc w:val="both"/>
      </w:pPr>
      <w:r>
        <w:rPr/>
        <w:t>Las remesas familiares ha sido un dilema y un tema de debate con respecto a la validez de las cifras que reporta Banco de México, aunque éste organismo  defiende la información estadística que reporta en su portal de internet manifestando que a partir del año 2000 se llevó a cabo un esfuerzo por mejorar estas cifras y desde luego que reflejen mejor la realidad de las cifras. Por lo que a finales  de  2002,  éste  organismo  formuló  un  conjunto  de  reglas  dirigidas  a</w:t>
      </w:r>
      <w:r>
        <w:rPr>
          <w:spacing w:val="-13"/>
        </w:rPr>
        <w:t> </w:t>
      </w:r>
      <w:r>
        <w:rPr/>
        <w:t>las</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t>empresas captadoras de remesas a quienes les exigía no sólo registrarse ante él, sino además informar cada mes sobre los montos de las remesas transferidas a México, clasificadas por estados receptores (Banxico,</w:t>
      </w:r>
      <w:r>
        <w:rPr>
          <w:spacing w:val="63"/>
        </w:rPr>
        <w:t> </w:t>
      </w:r>
      <w:r>
        <w:rPr/>
        <w:t>2007).</w:t>
      </w:r>
    </w:p>
    <w:p>
      <w:pPr>
        <w:pStyle w:val="BodyText"/>
        <w:rPr>
          <w:sz w:val="22"/>
        </w:rPr>
      </w:pPr>
    </w:p>
    <w:p>
      <w:pPr>
        <w:pStyle w:val="BodyText"/>
        <w:spacing w:line="364" w:lineRule="auto" w:before="153"/>
        <w:ind w:left="115" w:right="105"/>
        <w:jc w:val="both"/>
      </w:pPr>
      <w:r>
        <w:rPr/>
        <w:t>Las mediciones de las remesas que ofrecen los bancos centrales son la base empírica que es comúnmente utilizada para estimar los impactos y beneficios de  las remesas familiares en las economías receptoras, con lo cual sesgos y errores en la estimación del volumen global de las remesas lleva consigo necesariamente  a sesgos y errores en la evaluación de sus impactos y potenciales </w:t>
      </w:r>
      <w:r>
        <w:rPr>
          <w:spacing w:val="29"/>
        </w:rPr>
        <w:t> </w:t>
      </w:r>
      <w:r>
        <w:rPr/>
        <w:t>beneficios.</w:t>
      </w:r>
    </w:p>
    <w:p>
      <w:pPr>
        <w:pStyle w:val="BodyText"/>
        <w:rPr>
          <w:sz w:val="22"/>
        </w:rPr>
      </w:pPr>
    </w:p>
    <w:p>
      <w:pPr>
        <w:pStyle w:val="BodyText"/>
        <w:spacing w:line="364" w:lineRule="auto" w:before="155"/>
        <w:ind w:left="115" w:right="107"/>
        <w:jc w:val="both"/>
      </w:pPr>
      <w:r>
        <w:rPr/>
        <w:t>Si las cifras que presenta el Banco de México son reales, entonces deben ser consistentes con las que se estiman con otras metodologías independientes. Por   lo consiguiente, este cambio en el volumen de remesas reportado por el Banco de México debiera también reflejarse en cambios similares en el comportamiento remesador de los migrantes, ya sea porque se hubiese incrementado el número   de migrantes remesadores, o bien porque se hubiese incrementado el volumen enviado por cada migrante remesador o alguna combinación de ambas (Canales, 2006).</w:t>
      </w:r>
    </w:p>
    <w:p>
      <w:pPr>
        <w:pStyle w:val="BodyText"/>
        <w:rPr>
          <w:sz w:val="22"/>
        </w:rPr>
      </w:pPr>
    </w:p>
    <w:p>
      <w:pPr>
        <w:pStyle w:val="BodyText"/>
        <w:spacing w:line="364" w:lineRule="auto" w:before="153"/>
        <w:ind w:left="115" w:right="105"/>
        <w:jc w:val="both"/>
      </w:pPr>
      <w:r>
        <w:rPr/>
        <w:t>Partiendo de que las remesas familiares son datos fidedignos según  reporta  Banco de México, se puede decir, que en las últimas décadas las remesas se han convertido en un importante flujo de divisas para la mayoría de las naciones que son consideradas en desarrollo. Estos montos  de  recursos  económicos  en muchas economías llegan a representar un porcentaje considerable del rubro de transferencias corrientes de las balanzas de pagos. De acuerdo con información estadística del Fondo Monetario Internacional (FMI), durante 2002, los envíos por concepto de remesas de migrantes superaron los 100,000 millones de dólares. El país donde se genera el mayor flujo de remesas es Estados Unidos, seguido de Arabia</w:t>
      </w:r>
      <w:r>
        <w:rPr>
          <w:spacing w:val="16"/>
        </w:rPr>
        <w:t> </w:t>
      </w:r>
      <w:r>
        <w:rPr/>
        <w:t>Saudita.</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105"/>
        <w:jc w:val="both"/>
      </w:pPr>
      <w:r>
        <w:rPr>
          <w:color w:val="221E1F"/>
        </w:rPr>
        <w:t>México por su ubicación geográfica con relación a la cercanía a economías consolidadas como Estados Unidos y Canadá, no solamente es una nación receptora y expulsora de migrantes, sino que también se enfrenta con un gran desafío que es ser un país de tránsito principalmente hacia Estados Unidos. En este sentido, Verea (2006) menciona que alrededor de 300 mil indocumentados provenientes tanto de Centroamérica como de Europa y Asia cruzan por México para dirigirse a Estados Unidos, lo que constituye un elemento más de la ya conflictiva y compleja relación México y Estados</w:t>
      </w:r>
      <w:r>
        <w:rPr>
          <w:color w:val="221E1F"/>
          <w:spacing w:val="58"/>
        </w:rPr>
        <w:t> </w:t>
      </w:r>
      <w:r>
        <w:rPr>
          <w:color w:val="221E1F"/>
        </w:rPr>
        <w:t>Unidos.</w:t>
      </w:r>
    </w:p>
    <w:p>
      <w:pPr>
        <w:pStyle w:val="BodyText"/>
        <w:rPr>
          <w:sz w:val="22"/>
        </w:rPr>
      </w:pPr>
    </w:p>
    <w:p>
      <w:pPr>
        <w:pStyle w:val="BodyText"/>
        <w:spacing w:line="364" w:lineRule="auto" w:before="153"/>
        <w:ind w:left="115" w:right="105"/>
        <w:jc w:val="both"/>
      </w:pPr>
      <w:r>
        <w:rPr/>
        <w:t>En el país, según información que vierte la Cámara de Diputados (2004), el origen geográfico de los migrantes se ha extendido más allá de las  entidades  tradicionales de emigración. Eso no significa que en dichas áreas la tendencia sea su disminución, sino que se ha incrementado en otras. Del mismo modo, es cada vez más notoria la presencia de migrantes de las zonas urbanas. La zona Metropolitana de la Ciudad de México, zona conurbada del Estado de México y algunas otras ciudades intermedias, además de absorber a  los  migrantes  internos, están sirviendo de plataforma para la migración a los Estados  Unidos.  Sin embargo, al analizar las regiones socioeconómicas de México, se puede decir que los estados de mayor migración son los que se encuentran del centro hacia el norte del país, aunque los datos revelan que la migración se está dando prácticamente de todas las entidades federativas donde no solamente migran personas de las zonas urbanas sino también de las zonas rurales, esto último se debe mucho a la falta de rentabilidad de las actividades  agropecuarias  en  el sector</w:t>
      </w:r>
      <w:r>
        <w:rPr>
          <w:spacing w:val="12"/>
        </w:rPr>
        <w:t> </w:t>
      </w:r>
      <w:r>
        <w:rPr/>
        <w:t>rural.</w:t>
      </w:r>
    </w:p>
    <w:p>
      <w:pPr>
        <w:pStyle w:val="BodyText"/>
        <w:rPr>
          <w:sz w:val="22"/>
        </w:rPr>
      </w:pPr>
    </w:p>
    <w:p>
      <w:pPr>
        <w:pStyle w:val="BodyText"/>
        <w:spacing w:line="364" w:lineRule="auto" w:before="155"/>
        <w:ind w:left="115" w:right="105"/>
        <w:jc w:val="both"/>
      </w:pPr>
      <w:r>
        <w:rPr/>
        <w:t>La migración de los mexicanos principalmente hacia Estados Unidos ha venido jugando un rol fundamental en el nivel de demanda de bienes y servicios </w:t>
      </w:r>
      <w:r>
        <w:rPr>
          <w:spacing w:val="-4"/>
        </w:rPr>
        <w:t>ya </w:t>
      </w:r>
      <w:r>
        <w:rPr/>
        <w:t>que   las remesas familiares son destinadas en alrededor del 80% al consumo, lo cual obliga a los sectores económicos a tener un mejor desempeño en las actividades productivas para poder corresponder a ese nivel de derrama económica que realizan</w:t>
      </w:r>
      <w:r>
        <w:rPr>
          <w:spacing w:val="42"/>
        </w:rPr>
        <w:t> </w:t>
      </w:r>
      <w:r>
        <w:rPr/>
        <w:t>las</w:t>
      </w:r>
      <w:r>
        <w:rPr>
          <w:spacing w:val="39"/>
        </w:rPr>
        <w:t> </w:t>
      </w:r>
      <w:r>
        <w:rPr/>
        <w:t>familias</w:t>
      </w:r>
      <w:r>
        <w:rPr>
          <w:spacing w:val="41"/>
        </w:rPr>
        <w:t> </w:t>
      </w:r>
      <w:r>
        <w:rPr/>
        <w:t>de</w:t>
      </w:r>
      <w:r>
        <w:rPr>
          <w:spacing w:val="40"/>
        </w:rPr>
        <w:t> </w:t>
      </w:r>
      <w:r>
        <w:rPr/>
        <w:t>los</w:t>
      </w:r>
      <w:r>
        <w:rPr>
          <w:spacing w:val="39"/>
        </w:rPr>
        <w:t> </w:t>
      </w:r>
      <w:r>
        <w:rPr/>
        <w:t>migrantes</w:t>
      </w:r>
      <w:r>
        <w:rPr>
          <w:spacing w:val="41"/>
        </w:rPr>
        <w:t> </w:t>
      </w:r>
      <w:r>
        <w:rPr/>
        <w:t>en</w:t>
      </w:r>
      <w:r>
        <w:rPr>
          <w:spacing w:val="40"/>
        </w:rPr>
        <w:t> </w:t>
      </w:r>
      <w:r>
        <w:rPr/>
        <w:t>el</w:t>
      </w:r>
      <w:r>
        <w:rPr>
          <w:spacing w:val="41"/>
        </w:rPr>
        <w:t> </w:t>
      </w:r>
      <w:r>
        <w:rPr/>
        <w:t>país.</w:t>
      </w:r>
      <w:r>
        <w:rPr>
          <w:spacing w:val="39"/>
        </w:rPr>
        <w:t> </w:t>
      </w:r>
      <w:r>
        <w:rPr/>
        <w:t>En</w:t>
      </w:r>
      <w:r>
        <w:rPr>
          <w:spacing w:val="40"/>
        </w:rPr>
        <w:t> </w:t>
      </w:r>
      <w:r>
        <w:rPr/>
        <w:t>términos</w:t>
      </w:r>
      <w:r>
        <w:rPr>
          <w:spacing w:val="43"/>
        </w:rPr>
        <w:t> </w:t>
      </w:r>
      <w:r>
        <w:rPr/>
        <w:t>de</w:t>
      </w:r>
      <w:r>
        <w:rPr>
          <w:spacing w:val="40"/>
        </w:rPr>
        <w:t> </w:t>
      </w:r>
      <w:r>
        <w:rPr/>
        <w:t>la</w:t>
      </w:r>
      <w:r>
        <w:rPr>
          <w:spacing w:val="37"/>
        </w:rPr>
        <w:t> </w:t>
      </w:r>
      <w:r>
        <w:rPr/>
        <w:t>Balanza</w:t>
      </w:r>
      <w:r>
        <w:rPr>
          <w:spacing w:val="40"/>
        </w:rPr>
        <w:t> </w:t>
      </w:r>
      <w:r>
        <w:rPr/>
        <w:t>de</w:t>
      </w:r>
    </w:p>
    <w:p>
      <w:pPr>
        <w:spacing w:after="0" w:line="364" w:lineRule="auto"/>
        <w:jc w:val="both"/>
        <w:sectPr>
          <w:pgSz w:w="11900" w:h="16840"/>
          <w:pgMar w:header="0" w:footer="1679" w:top="1600" w:bottom="1860" w:left="1540" w:right="1580"/>
        </w:sectPr>
      </w:pPr>
    </w:p>
    <w:p>
      <w:pPr>
        <w:pStyle w:val="BodyText"/>
        <w:rPr>
          <w:sz w:val="20"/>
        </w:rPr>
      </w:pPr>
    </w:p>
    <w:p>
      <w:pPr>
        <w:pStyle w:val="BodyText"/>
        <w:spacing w:before="7"/>
        <w:rPr>
          <w:sz w:val="16"/>
        </w:rPr>
      </w:pPr>
    </w:p>
    <w:p>
      <w:pPr>
        <w:pStyle w:val="BodyText"/>
        <w:spacing w:line="364" w:lineRule="auto" w:before="74"/>
        <w:ind w:left="115" w:right="206"/>
        <w:jc w:val="both"/>
      </w:pPr>
      <w:r>
        <w:rPr/>
        <w:t>Pagos de México, según los datos estadísticos reportados por el Centro de Estudios de las Finanzas Públicas de la Cámara de Diputados (Utilizando información estadística del Banco de México) los ingresos por remesas familiares desde 1999 ha ocupado el segundo espacio como generador de ingresos para el país y según estimaciones del Banco de México se está beneficiando al 25% con menores ingresos del</w:t>
      </w:r>
      <w:r>
        <w:rPr>
          <w:spacing w:val="29"/>
        </w:rPr>
        <w:t> </w:t>
      </w:r>
      <w:r>
        <w:rPr/>
        <w:t>país.</w:t>
      </w:r>
    </w:p>
    <w:p>
      <w:pPr>
        <w:pStyle w:val="BodyText"/>
        <w:rPr>
          <w:sz w:val="22"/>
        </w:rPr>
      </w:pPr>
    </w:p>
    <w:p>
      <w:pPr>
        <w:pStyle w:val="Heading4"/>
        <w:spacing w:line="244" w:lineRule="auto" w:before="150"/>
        <w:ind w:left="482" w:right="574"/>
        <w:jc w:val="center"/>
      </w:pPr>
      <w:r>
        <w:rPr>
          <w:color w:val="221E1F"/>
        </w:rPr>
        <w:t>Figura 2. Comportamiento de los ingresos por petróleo crudo, remesas familiares y turismo en México,</w:t>
      </w:r>
      <w:r>
        <w:rPr>
          <w:color w:val="221E1F"/>
          <w:spacing w:val="51"/>
        </w:rPr>
        <w:t> </w:t>
      </w:r>
      <w:r>
        <w:rPr>
          <w:color w:val="221E1F"/>
        </w:rPr>
        <w:t>1995-2009</w:t>
      </w:r>
    </w:p>
    <w:p>
      <w:pPr>
        <w:spacing w:line="264" w:lineRule="exact" w:before="0"/>
        <w:ind w:left="480" w:right="574" w:firstLine="0"/>
        <w:jc w:val="center"/>
        <w:rPr>
          <w:b/>
          <w:sz w:val="23"/>
        </w:rPr>
      </w:pPr>
      <w:r>
        <w:rPr/>
        <w:pict>
          <v:group style="position:absolute;margin-left:83.040001pt;margin-top:19.385431pt;width:432.6pt;height:247.6pt;mso-position-horizontal-relative:page;mso-position-vertical-relative:paragraph;z-index:8608;mso-wrap-distance-left:0;mso-wrap-distance-right:0" coordorigin="1661,388" coordsize="8652,4952">
            <v:line style="position:absolute" from="2669,4129" to="10270,4129" stroked="true" strokeweight=".72pt" strokecolor="#858585"/>
            <v:line style="position:absolute" from="2669,3727" to="3341,3727" stroked="true" strokeweight=".6pt" strokecolor="#858585"/>
            <v:line style="position:absolute" from="2669,3325" to="5369,3325" stroked="true" strokeweight=".72pt" strokecolor="#858585"/>
            <v:line style="position:absolute" from="2669,2925" to="10270,2925" stroked="true" strokeweight=".72pt" strokecolor="#858585"/>
            <v:line style="position:absolute" from="2669,2521" to="9929,2521" stroked="true" strokeweight=".72pt" strokecolor="#858585"/>
            <v:line style="position:absolute" from="2669,2121" to="10270,2121" stroked="true" strokeweight=".72pt" strokecolor="#858585"/>
            <v:line style="position:absolute" from="2669,1721" to="8407,1721" stroked="true" strokeweight=".6pt" strokecolor="#858585"/>
            <v:line style="position:absolute" from="2669,1319" to="10270,1319" stroked="true" strokeweight=".72pt" strokecolor="#858585"/>
            <v:line style="position:absolute" from="2669,918" to="10270,918" stroked="true" strokeweight=".72pt" strokecolor="#858585"/>
            <v:line style="position:absolute" from="2669,515" to="10270,515" stroked="true" strokeweight=".72pt" strokecolor="#858585"/>
            <v:line style="position:absolute" from="2669,515" to="2669,4530" stroked="true" strokeweight=".72pt" strokecolor="#0c0c0c"/>
            <v:line style="position:absolute" from="2604,4530" to="2669,4530" stroked="true" strokeweight=".72pt" strokecolor="#0c0c0c"/>
            <v:line style="position:absolute" from="2604,4129" to="2669,4129" stroked="true" strokeweight=".72pt" strokecolor="#0c0c0c"/>
            <v:line style="position:absolute" from="2604,3727" to="2669,3727" stroked="true" strokeweight=".6pt" strokecolor="#0c0c0c"/>
            <v:line style="position:absolute" from="2604,3325" to="2669,3325" stroked="true" strokeweight=".72pt" strokecolor="#0c0c0c"/>
            <v:line style="position:absolute" from="2604,2925" to="2669,2925" stroked="true" strokeweight=".72pt" strokecolor="#0c0c0c"/>
            <v:line style="position:absolute" from="2604,2521" to="2669,2521" stroked="true" strokeweight=".72pt" strokecolor="#0c0c0c"/>
            <v:line style="position:absolute" from="2604,2121" to="2669,2121" stroked="true" strokeweight=".72pt" strokecolor="#0c0c0c"/>
            <v:line style="position:absolute" from="2604,1721" to="2669,1721" stroked="true" strokeweight=".6pt" strokecolor="#0c0c0c"/>
            <v:line style="position:absolute" from="2604,1319" to="2669,1319" stroked="true" strokeweight=".72pt" strokecolor="#0c0c0c"/>
            <v:line style="position:absolute" from="2604,918" to="2669,918" stroked="true" strokeweight=".72pt" strokecolor="#0c0c0c"/>
            <v:line style="position:absolute" from="2604,515" to="2669,515" stroked="true" strokeweight=".72pt" strokecolor="#0c0c0c"/>
            <v:line style="position:absolute" from="2669,4530" to="10270,4530" stroked="true" strokeweight=".72pt" strokecolor="#858585"/>
            <v:line style="position:absolute" from="2662,4561" to="2676,4561" stroked="true" strokeweight="3.12pt" strokecolor="#858585"/>
            <v:line style="position:absolute" from="3168,4561" to="3182,4561" stroked="true" strokeweight="3.12pt" strokecolor="#858585"/>
            <v:line style="position:absolute" from="3674,4561" to="3689,4561" stroked="true" strokeweight="3.12pt" strokecolor="#858585"/>
            <v:line style="position:absolute" from="4181,4561" to="4195,4561" stroked="true" strokeweight="3.12pt" strokecolor="#858585"/>
            <v:line style="position:absolute" from="4690,4561" to="4702,4561" stroked="true" strokeweight="3.12pt" strokecolor="#858585"/>
            <v:line style="position:absolute" from="5196,4561" to="5210,4561" stroked="true" strokeweight="3.12pt" strokecolor="#858585"/>
            <v:line style="position:absolute" from="5702,4561" to="5717,4561" stroked="true" strokeweight="3.12pt" strokecolor="#858585"/>
            <v:line style="position:absolute" from="6209,4561" to="6223,4561" stroked="true" strokeweight="3.12pt" strokecolor="#858585"/>
            <v:line style="position:absolute" from="6715,4561" to="6730,4561" stroked="true" strokeweight="3.12pt" strokecolor="#858585"/>
            <v:line style="position:absolute" from="7222,4561" to="7236,4561" stroked="true" strokeweight="3.12pt" strokecolor="#858585"/>
            <v:line style="position:absolute" from="7728,4561" to="7742,4561" stroked="true" strokeweight="3.12pt" strokecolor="#858585"/>
            <v:line style="position:absolute" from="8234,4561" to="8249,4561" stroked="true" strokeweight="3.12pt" strokecolor="#858585"/>
            <v:line style="position:absolute" from="8741,4561" to="8755,4561" stroked="true" strokeweight="3.12pt" strokecolor="#858585"/>
            <v:line style="position:absolute" from="9250,4561" to="9262,4561" stroked="true" strokeweight="3.12pt" strokecolor="#858585"/>
            <v:line style="position:absolute" from="9756,4561" to="9770,4561" stroked="true" strokeweight="3.12pt" strokecolor="#858585"/>
            <v:line style="position:absolute" from="10262,4561" to="10277,4561" stroked="true" strokeweight="3.12pt" strokecolor="#858585"/>
            <v:line style="position:absolute" from="4022,3727" to="10270,3727" stroked="true" strokeweight=".6pt" strokecolor="#858585"/>
            <v:line style="position:absolute" from="3516,3727" to="3847,3727" stroked="true" strokeweight=".6pt" strokecolor="#858585"/>
            <v:line style="position:absolute" from="5544,3325" to="10270,3325" stroked="true" strokeweight=".72pt" strokecolor="#858585"/>
            <v:line style="position:absolute" from="10104,2521" to="10270,2521" stroked="true" strokeweight=".72pt" strokecolor="#858585"/>
            <v:line style="position:absolute" from="8582,1721" to="10270,1721" stroked="true" strokeweight=".6pt" strokecolor="#858585"/>
            <v:shape style="position:absolute;left:2892;top:1019;width:7154;height:3027" coordorigin="2892,1019" coordsize="7154,3027" path="m3926,3730l4426,4038,4435,4043,4445,4045,4452,4041,4591,3988,4457,3988,4433,3985,4445,3981,4040,3731,3934,3731,3926,3730xm4445,3981l4433,3985,4457,3988,4445,3981xm4932,3798l4445,3981,4457,3988,4591,3988,4958,3849,4963,3849,4968,3844,5016,3801,4930,3801,4932,3798xm3425,3640l3415,3645,2909,3909,2901,3914,2895,3921,2892,3929,2892,3938,2894,3947,2901,3955,2909,3960,2917,3963,2926,3964,2935,3961,3436,3700,3427,3700,3442,3697,3985,3697,3950,3676,3941,3671,3936,3671,3430,3642,3425,3640xm4939,3796l4932,3798,4930,3801,4939,3796xm5021,3796l4939,3796,4930,3801,5016,3801,5021,3796xm5458,3330l5446,3333,5436,3340,4932,3798,4939,3796,5021,3796,5463,3395,5446,3388,5477,3383,5582,3383,5467,3335,5458,3330xm3919,3726l3926,3730,3934,3731,3919,3726xm4032,3726l3919,3726,3934,3731,4040,3731,4032,3726xm3985,3697l3442,3697,3436,3700,3926,3730,3919,3726,4032,3726,3985,3697xm3442,3697l3427,3700,3436,3700,3442,3697xm5582,3383l5477,3383,5463,3395,5952,3599,5957,3601,5969,3601,6208,3546,5974,3546,5957,3544,5964,3542,5582,3383xm5964,3542l5957,3544,5974,3546,5964,3542xm6458,3427l5964,3542,5974,3546,6208,3546,6478,3484,6480,3484,6482,3481,6584,3429,6456,3429,6458,3427xm6463,3426l6458,3427,6456,3429,6463,3426xm6588,3426l6463,3426,6456,3429,6584,3429,6588,3426xm6960,3165l6458,3427,6463,3426,6588,3426,6989,3217,6991,3215,7057,3167,6958,3167,6960,3165xm5477,3383l5446,3388,5463,3395,5477,3383xm7539,2800l7464,2800,6958,3167,7057,3167,7498,2845,7500,2845,7502,2843,7502,2841,7539,2800xm9078,1458l8988,1458,8482,1717,8479,1717,7966,2236,7459,2802,7464,2800,7539,2800,8011,2274,8508,1770,8508,1770,8515,1763,8522,1763,9014,1509,9017,1509,9019,1506,9022,1506,9078,1458xm9545,1060l9482,1060,9528,1072,9496,1099,9989,2478,9993,2487,9999,2494,10007,2497,10016,2499,10025,2497,10032,2494,10038,2489,10042,2483,10045,2475,10045,2467,10044,2459,9545,1060xm8515,1763l8508,1770,8508,1770,8515,1763xm8508,1770l8508,1770,8508,1770,8508,1770xm8522,1763l8515,1763,8508,1770,8522,1763xm9506,1019l9497,1021,9490,1026,8983,1461,8988,1458,9078,1458,9496,1099,9482,1060,9545,1060,9538,1038,9533,1031,9526,1024,9506,1019xm9482,1060l9496,1099,9528,1072,9482,1060xe" filled="true" fillcolor="#bd4b47" stroked="false">
              <v:path arrowok="t"/>
              <v:fill type="solid"/>
            </v:shape>
            <v:shape style="position:absolute;left:2827;top:3839;width:190;height:190" type="#_x0000_t75" stroked="false">
              <v:imagedata r:id="rId211" o:title=""/>
            </v:shape>
            <v:shape style="position:absolute;left:3334;top:3575;width:190;height:190" type="#_x0000_t75" stroked="false">
              <v:imagedata r:id="rId212" o:title=""/>
            </v:shape>
            <v:shape style="position:absolute;left:3840;top:3606;width:190;height:190" type="#_x0000_t75" stroked="false">
              <v:imagedata r:id="rId211" o:title=""/>
            </v:shape>
            <v:shape style="position:absolute;left:4346;top:3918;width:190;height:190" type="#_x0000_t75" stroked="false">
              <v:imagedata r:id="rId213" o:title=""/>
            </v:shape>
            <v:shape style="position:absolute;left:4855;top:3729;width:190;height:187" type="#_x0000_t75" stroked="false">
              <v:imagedata r:id="rId214" o:title=""/>
            </v:shape>
            <v:shape style="position:absolute;left:5362;top:3268;width:190;height:190" type="#_x0000_t75" stroked="false">
              <v:imagedata r:id="rId211" o:title=""/>
            </v:shape>
            <v:shape style="position:absolute;left:5868;top:3477;width:190;height:190" type="#_x0000_t75" stroked="false">
              <v:imagedata r:id="rId212" o:title=""/>
            </v:shape>
            <v:shape style="position:absolute;left:6374;top:3361;width:190;height:190" type="#_x0000_t75" stroked="false">
              <v:imagedata r:id="rId215" o:title=""/>
            </v:shape>
            <v:shape style="position:absolute;left:6881;top:3097;width:187;height:190" type="#_x0000_t75" stroked="false">
              <v:imagedata r:id="rId216" o:title=""/>
            </v:shape>
            <v:shape style="position:absolute;left:7387;top:2728;width:190;height:190" type="#_x0000_t75" stroked="false">
              <v:imagedata r:id="rId211" o:title=""/>
            </v:shape>
            <v:shape style="position:absolute;left:7894;top:2159;width:190;height:190" type="#_x0000_t75" stroked="false">
              <v:imagedata r:id="rId217" o:title=""/>
            </v:shape>
            <v:shape style="position:absolute;left:8400;top:1648;width:190;height:190" type="#_x0000_t75" stroked="false">
              <v:imagedata r:id="rId211" o:title=""/>
            </v:shape>
            <v:shape style="position:absolute;left:8909;top:1389;width:187;height:190" type="#_x0000_t75" stroked="false">
              <v:imagedata r:id="rId218" o:title=""/>
            </v:shape>
            <v:shape style="position:absolute;left:9415;top:954;width:190;height:190" type="#_x0000_t75" stroked="false">
              <v:imagedata r:id="rId212" o:title=""/>
            </v:shape>
            <v:shape style="position:absolute;left:9922;top:2375;width:190;height:190" type="#_x0000_t75" stroked="false">
              <v:imagedata r:id="rId215" o:title=""/>
            </v:shape>
            <v:shape style="position:absolute;left:2892;top:2409;width:7154;height:1856" coordorigin="2892,2409" coordsize="7154,1856" path="m5452,3973l4949,4026,4438,4050,3931,4110,3425,4163,2918,4206,2909,4209,2901,4214,2895,4221,2892,4229,2892,4237,2895,4247,2900,4255,2907,4260,2915,4263,2923,4264,3430,4221,3938,4168,4445,4108,4951,4084,5460,4031,5465,4031,5467,4029,5610,3976,5446,3976,5452,3973xm5453,3973l5452,3973,5446,3976,5453,3973xm5617,3973l5453,3973,5446,3976,5610,3976,5617,3973xm6459,3715l5959,3786,5954,3786,5952,3789,5452,3973,5453,3973,5617,3973,5967,3844,5966,3844,5974,3841,5983,3841,6475,3772,6480,3772,6485,3769,6490,3765,6541,3721,6451,3721,6459,3715xm5974,3841l5966,3844,5968,3844,5974,3841xm5968,3844l5966,3844,5967,3844,5968,3844xm5983,3841l5974,3841,5968,3844,5983,3841xm6466,3714l6459,3715,6451,3721,6466,3714xm6550,3714l6466,3714,6451,3721,6541,3721,6550,3714xm9007,2409l9000,2409,8494,2447,8489,2447,8479,2452,7975,2764,7469,3033,6960,3297,6958,3299,6955,3299,6459,3715,6466,3714,6550,3714,6991,3347,6989,3347,8002,2817,8507,2505,8498,2505,8510,2502,8530,2502,9000,2466,8998,2466,9399,2466,9007,2409xm6994,3345l6989,3347,6991,3347,6994,3345xm9501,2540l10001,2855,10010,2858,10019,2858,10027,2856,10035,2852,10042,2845,10045,2836,10045,2827,10044,2819,10039,2811,10032,2805,9610,2541,9504,2541,9501,2540xm9494,2536l9501,2540,9504,2541,9494,2536xm9602,2536l9494,2536,9504,2541,9610,2541,9602,2536xm9399,2466l9005,2466,9000,2466,9501,2540,9494,2536,9602,2536,9526,2488,9521,2485,9518,2483,9514,2483,9399,2466xm8510,2502l8498,2505,8508,2504,8510,2502xm8508,2504l8498,2505,8507,2505,8508,2504xm8530,2502l8510,2502,8508,2504,8530,2502xm9005,2466l8998,2466,9000,2466,9005,2466xe" filled="true" fillcolor="#4f6127" stroked="false">
              <v:path arrowok="t"/>
              <v:fill type="solid"/>
            </v:shape>
            <v:shape style="position:absolute;left:2830;top:2344;width:7280;height:1985" coordorigin="2830,2344" coordsize="7280,1985" path="m2912,4236l2830,4319,2839,4329,2922,4246,2912,4236xm2932,4236l2922,4246,3005,4329,3014,4319,2932,4236xm2922,4227l2912,4236,2922,4246,2932,4236,2922,4227xm2839,4144l2830,4153,2912,4236,2922,4227,2839,4144xm3005,4144l2922,4227,2932,4236,3014,4153,3005,4144xm3419,4191l3336,4273,3346,4283,3428,4200,3419,4191xm3438,4191l3428,4200,3511,4283,3521,4273,3438,4191xm3428,4181l3419,4191,3428,4200,3438,4191,3428,4181xm3346,4098l3336,4108,3419,4191,3428,4181,3346,4098xm3511,4098l3428,4181,3438,4191,3521,4108,3511,4098xm3925,4140l3842,4223,3852,4233,3935,4150,3925,4140xm3944,4140l3935,4150,4018,4233,4027,4223,3944,4140xm3935,4131l3925,4140,3935,4150,3944,4140,3935,4131xm3852,4048l3842,4057,3925,4140,3935,4131,3852,4048xm4018,4048l3935,4131,3944,4140,4027,4057,4018,4048xm4431,4080l4349,4163,4358,4173,4441,4090,4431,4080xm4451,4080l4441,4090,4524,4173,4534,4163,4451,4080xm4441,4069l4431,4080,4441,4090,4451,4080,4441,4069xm4358,3985l4349,3997,4431,4080,4441,4069,4358,3985xm4524,3985l4441,4069,4451,4080,4534,3997,4524,3985xm4940,4056l4858,4139,4867,4149,4950,4066,4940,4056xm4960,4056l4950,4066,5033,4149,5042,4139,4960,4056xm4950,4047l4940,4056,4950,4066,4960,4056,4950,4047xm4867,3964l4858,3973,4940,4056,4950,4047,4867,3964xm5033,3964l4950,4047,4960,4056,5042,3973,5033,3964xm5446,4002l5364,4084,5374,4096,5456,4013,5446,4002xm5467,4002l5456,4013,5539,4096,5549,4084,5467,4002xm5456,3991l5446,4002,5456,4013,5467,4002,5456,3991xm5374,3909l5364,3921,5446,4002,5456,3991,5374,3909xm5539,3909l5456,3991,5467,4002,5549,3921,5539,3909xm5953,3816l5870,3899,5880,3909,5963,3826,5953,3816xm5972,3816l5963,3826,6046,3909,6055,3899,5972,3816xm5963,3807l5953,3816,5963,3826,5972,3816,5963,3807xm5880,3724l5870,3733,5953,3816,5963,3807,5880,3724xm6046,3724l5963,3807,5972,3816,6055,3733,6046,3724xm6460,3742l6377,3825,6386,3834,6469,3751,6460,3742xm6479,3742l6469,3751,6552,3834,6562,3825,6479,3742xm6469,3732l6460,3742,6469,3751,6479,3742,6469,3732xm6386,3649l6377,3659,6460,3742,6469,3732,6386,3649xm6552,3649l6469,3732,6479,3742,6562,3659,6552,3649xm6964,3322l6881,3405,6893,3414,6974,3333,6964,3322xm6985,3322l6974,3333,7056,3414,7068,3405,6985,3322xm6974,3311l6964,3322,6974,3333,6985,3322,6974,3311xm6893,3229l6881,3239,6964,3322,6974,3311,6893,3229xm7056,3229l6974,3311,6985,3322,7068,3239,7056,3229xm7472,3058l7390,3141,7399,3150,7482,3067,7472,3058xm7492,3058l7482,3067,7565,3150,7574,3141,7492,3058xm7482,3048l7472,3058,7482,3067,7492,3058,7482,3048xm7399,2965l7390,2975,7472,3058,7482,3048,7399,2965xm7565,2965l7482,3048,7492,3058,7574,2975,7565,2965xm7979,2789l7896,2872,7906,2881,7988,2799,7979,2789xm7998,2789l7988,2799,8071,2881,8081,2872,7998,2789xm7988,2779l7979,2789,7988,2799,7998,2789,7988,2779xm7906,2697l7896,2706,7979,2789,7988,2779,7906,2697xm8071,2697l7988,2779,7998,2789,8081,2706,8071,2697xm8485,2477l8402,2560,8412,2569,8495,2487,8485,2477xm8504,2477l8495,2487,8578,2569,8587,2560,8504,2477xm8495,2467l8485,2477,8495,2487,8504,2477,8495,2467xm8412,2385l8402,2394,8485,2477,8495,2467,8412,2385xm8578,2385l8495,2467,8504,2477,8587,2394,8578,2385xm8992,2436l8909,2519,8918,2529,9002,2446,8992,2436xm9012,2436l9002,2446,9084,2529,9096,2519,9012,2436xm9002,2426l8992,2436,9002,2446,9012,2436,9002,2426xm8918,2344l8909,2353,8992,2436,9002,2426,8918,2344xm9084,2344l9002,2426,9012,2436,9096,2353,9084,2344xm9500,2511l9418,2593,9427,2603,9510,2520,9500,2511xm9520,2511l9510,2520,9593,2603,9602,2593,9520,2511xm9510,2501l9500,2511,9510,2520,9520,2511,9510,2501xm9427,2418l9418,2428,9500,2511,9510,2501,9427,2418xm9593,2418l9510,2501,9520,2511,9602,2428,9593,2418xm10007,2830l9924,2913,9934,2922,10016,2839,10007,2830xm10026,2830l10016,2839,10099,2922,10109,2913,10026,2830xm10016,2820l10007,2830,10016,2839,10026,2830,10016,2820xm9934,2737l9924,2747,10007,2830,10016,2820,9934,2737xm10099,2737l10016,2820,10026,2830,10109,2747,10099,2737xe" filled="true" fillcolor="#7c5f9f" stroked="false">
              <v:path arrowok="t"/>
              <v:fill type="solid"/>
            </v:shape>
            <v:shape style="position:absolute;left:2892;top:3633;width:7154;height:550" coordorigin="2892,3633" coordsize="7154,550" path="m4442,4050l3934,4057,2918,4125,2910,4127,2903,4132,2897,4138,2893,4146,2892,4156,2894,4165,2898,4173,2905,4179,2914,4182,2923,4182,3936,4115,4442,4108,5019,4108,5346,4060,4944,4060,4945,4060,4442,4050xm5019,4108l4442,4108,4949,4117,4954,4117,5019,4108xm4945,4060l4944,4060,4949,4060,4945,4060xm9516,3633l9506,3633,8998,3671,8494,3736,7985,3767,7476,3829,6972,3918,6468,3961,5453,3985,4945,4060,4949,4060,5346,4060,5460,4043,6470,4019,6977,3978,7486,3887,7992,3825,8496,3793,9005,3729,9504,3691,9502,3690,9741,3690,9516,3633xm9741,3690l9511,3690,9504,3691,10008,3817,10016,3819,10024,3818,10031,3815,10037,3810,10042,3803,10044,3796,10045,3787,10043,3778,10039,3771,10032,3765,10022,3762,9741,3690xm9511,3690l9502,3690,9504,3691,9511,3690xe" filled="true" fillcolor="#497eba" stroked="false">
              <v:path arrowok="t"/>
              <v:fill type="solid"/>
            </v:shape>
            <v:shape style="position:absolute;left:2830;top:4060;width:185;height:190" type="#_x0000_t75" stroked="false">
              <v:imagedata r:id="rId161" o:title=""/>
            </v:shape>
            <v:shape style="position:absolute;left:3334;top:4026;width:190;height:190" type="#_x0000_t75" stroked="false">
              <v:imagedata r:id="rId219" o:title=""/>
            </v:shape>
            <v:shape style="position:absolute;left:3842;top:3990;width:185;height:190" type="#_x0000_t75" stroked="false">
              <v:imagedata r:id="rId220" o:title=""/>
            </v:shape>
            <v:shape style="position:absolute;left:4346;top:3983;width:190;height:190" type="#_x0000_t75" stroked="false">
              <v:imagedata r:id="rId221" o:title=""/>
            </v:shape>
            <v:shape style="position:absolute;left:4853;top:3993;width:190;height:190" type="#_x0000_t75" stroked="false">
              <v:imagedata r:id="rId222" o:title=""/>
            </v:shape>
            <v:shape style="position:absolute;left:5362;top:3918;width:187;height:190" type="#_x0000_t75" stroked="false">
              <v:imagedata r:id="rId223" o:title=""/>
            </v:shape>
            <v:shape style="position:absolute;left:5868;top:3911;width:190;height:190" type="#_x0000_t75" stroked="false">
              <v:imagedata r:id="rId224" o:title=""/>
            </v:shape>
            <v:shape style="position:absolute;left:6374;top:3897;width:190;height:187" type="#_x0000_t75" stroked="false">
              <v:imagedata r:id="rId225" o:title=""/>
            </v:shape>
            <v:shape style="position:absolute;left:6883;top:3853;width:185;height:190" type="#_x0000_t75" stroked="false">
              <v:imagedata r:id="rId226" o:title=""/>
            </v:shape>
            <v:shape style="position:absolute;left:7387;top:3762;width:190;height:190" type="#_x0000_t75" stroked="false">
              <v:imagedata r:id="rId227" o:title=""/>
            </v:shape>
            <v:shape style="position:absolute;left:7896;top:3700;width:185;height:190" type="#_x0000_t75" stroked="false">
              <v:imagedata r:id="rId228" o:title=""/>
            </v:shape>
            <v:shape style="position:absolute;left:8402;top:3669;width:187;height:187" type="#_x0000_t75" stroked="false">
              <v:imagedata r:id="rId229" o:title=""/>
            </v:shape>
            <v:shape style="position:absolute;left:8909;top:3604;width:190;height:190" type="#_x0000_t75" stroked="false">
              <v:imagedata r:id="rId167" o:title=""/>
            </v:shape>
            <v:shape style="position:absolute;left:9418;top:3565;width:185;height:190" type="#_x0000_t75" stroked="false">
              <v:imagedata r:id="rId230" o:title=""/>
            </v:shape>
            <v:shape style="position:absolute;left:9922;top:3695;width:190;height:190" type="#_x0000_t75" stroked="false">
              <v:imagedata r:id="rId231" o:title=""/>
            </v:shape>
            <v:shape style="position:absolute;left:2916;top:5149;width:432;height:60" coordorigin="2916,5149" coordsize="432,60" path="m3319,5149l2945,5149,2935,5151,2927,5155,2921,5162,2917,5171,2916,5181,2917,5189,2921,5197,2927,5203,2935,5208,2945,5209,3319,5209,3348,5181,3346,5171,3342,5162,3336,5155,3328,5151,3319,5149xe" filled="true" fillcolor="#bd4b47" stroked="false">
              <v:path arrowok="t"/>
              <v:fill type="solid"/>
            </v:shape>
            <v:shape style="position:absolute;left:3067;top:5113;width:132;height:130" type="#_x0000_t75" stroked="false">
              <v:imagedata r:id="rId232" o:title=""/>
            </v:shape>
            <v:shape style="position:absolute;left:5306;top:5149;width:432;height:60" coordorigin="5306,5149" coordsize="432,60" path="m5707,5149l5335,5149,5326,5151,5318,5155,5312,5162,5308,5171,5306,5181,5308,5189,5312,5197,5318,5203,5326,5208,5335,5209,5707,5209,5738,5181,5737,5172,5707,5149xe" filled="true" fillcolor="#4f6127" stroked="false">
              <v:path arrowok="t"/>
              <v:fill type="solid"/>
            </v:shape>
            <v:shape style="position:absolute;left:5460;top:5116;width:125;height:125" type="#_x0000_t75" stroked="false">
              <v:imagedata r:id="rId233" o:title=""/>
            </v:shape>
            <v:shape style="position:absolute;left:8038;top:5149;width:432;height:60" coordorigin="8038,5149" coordsize="432,60" path="m8441,5149l8069,5149,8061,5150,8038,5181,8039,5189,8044,5197,8051,5203,8059,5208,8069,5209,8441,5209,8470,5181,8468,5171,8464,5162,8458,5155,8450,5151,8441,5149xe" filled="true" fillcolor="#497eba" stroked="false">
              <v:path arrowok="t"/>
              <v:fill type="solid"/>
            </v:shape>
            <v:shape style="position:absolute;left:8189;top:5116;width:130;height:127" type="#_x0000_t75" stroked="false">
              <v:imagedata r:id="rId234" o:title=""/>
            </v:shape>
            <v:shape style="position:absolute;left:1661;top:388;width:8652;height:4952" coordorigin="1661,388" coordsize="8652,4952" path="m10313,388l1661,388,1661,5332,1668,5339,10306,5339,10313,5332,10313,5325,1690,5325,1675,5310,1690,5310,1690,412,1675,412,1690,397,10313,397,10313,388xm1690,5310l1675,5310,1690,5325,1690,5310xm10284,5310l1690,5310,1690,5325,10284,5325,10284,5310xm10284,397l10284,5325,10298,5310,10313,5310,10313,412,10298,412,10284,397xm10313,5310l10298,5310,10284,5325,10313,5325,10313,5310xm1690,397l1675,412,1690,412,1690,397xm10284,397l1690,397,1690,412,10284,412,10284,397xm10313,397l10284,397,10298,412,10313,412,10313,397xe" filled="true" fillcolor="#0c0c0c" stroked="false">
              <v:path arrowok="t"/>
              <v:fill type="solid"/>
            </v:shape>
            <v:shape style="position:absolute;left:1793;top:422;width:692;height:4210" type="#_x0000_t202" filled="false" stroked="false">
              <v:textbox inset="0,0,0,0">
                <w:txbxContent>
                  <w:p>
                    <w:pPr>
                      <w:spacing w:line="196" w:lineRule="exact" w:before="0"/>
                      <w:ind w:left="0" w:right="-6" w:firstLine="0"/>
                      <w:jc w:val="left"/>
                      <w:rPr>
                        <w:rFonts w:ascii="Calibri"/>
                        <w:b/>
                        <w:sz w:val="19"/>
                      </w:rPr>
                    </w:pPr>
                    <w:r>
                      <w:rPr>
                        <w:rFonts w:ascii="Calibri"/>
                        <w:b/>
                        <w:sz w:val="19"/>
                      </w:rPr>
                      <w:t>50,000.0</w:t>
                    </w:r>
                  </w:p>
                  <w:p>
                    <w:pPr>
                      <w:spacing w:line="240" w:lineRule="auto" w:before="10"/>
                      <w:rPr>
                        <w:b/>
                        <w:sz w:val="14"/>
                      </w:rPr>
                    </w:pPr>
                  </w:p>
                  <w:p>
                    <w:pPr>
                      <w:spacing w:before="0"/>
                      <w:ind w:left="0" w:right="-6" w:firstLine="0"/>
                      <w:jc w:val="left"/>
                      <w:rPr>
                        <w:rFonts w:ascii="Calibri"/>
                        <w:b/>
                        <w:sz w:val="19"/>
                      </w:rPr>
                    </w:pPr>
                    <w:r>
                      <w:rPr>
                        <w:rFonts w:ascii="Calibri"/>
                        <w:b/>
                        <w:sz w:val="19"/>
                      </w:rPr>
                      <w:t>45,000.0</w:t>
                    </w:r>
                  </w:p>
                  <w:p>
                    <w:pPr>
                      <w:spacing w:line="240" w:lineRule="auto" w:before="7"/>
                      <w:rPr>
                        <w:b/>
                        <w:sz w:val="14"/>
                      </w:rPr>
                    </w:pPr>
                  </w:p>
                  <w:p>
                    <w:pPr>
                      <w:spacing w:before="1"/>
                      <w:ind w:left="0" w:right="-6" w:firstLine="0"/>
                      <w:jc w:val="left"/>
                      <w:rPr>
                        <w:rFonts w:ascii="Calibri"/>
                        <w:b/>
                        <w:sz w:val="19"/>
                      </w:rPr>
                    </w:pPr>
                    <w:r>
                      <w:rPr>
                        <w:rFonts w:ascii="Calibri"/>
                        <w:b/>
                        <w:sz w:val="19"/>
                      </w:rPr>
                      <w:t>40,000.0</w:t>
                    </w:r>
                  </w:p>
                  <w:p>
                    <w:pPr>
                      <w:spacing w:line="240" w:lineRule="auto" w:before="7"/>
                      <w:rPr>
                        <w:b/>
                        <w:sz w:val="14"/>
                      </w:rPr>
                    </w:pPr>
                  </w:p>
                  <w:p>
                    <w:pPr>
                      <w:spacing w:before="1"/>
                      <w:ind w:left="0" w:right="-6" w:firstLine="0"/>
                      <w:jc w:val="left"/>
                      <w:rPr>
                        <w:rFonts w:ascii="Calibri"/>
                        <w:b/>
                        <w:sz w:val="19"/>
                      </w:rPr>
                    </w:pPr>
                    <w:r>
                      <w:rPr>
                        <w:rFonts w:ascii="Calibri"/>
                        <w:b/>
                        <w:sz w:val="19"/>
                      </w:rPr>
                      <w:t>35,000.0</w:t>
                    </w:r>
                  </w:p>
                  <w:p>
                    <w:pPr>
                      <w:spacing w:line="240" w:lineRule="auto" w:before="10"/>
                      <w:rPr>
                        <w:b/>
                        <w:sz w:val="14"/>
                      </w:rPr>
                    </w:pPr>
                  </w:p>
                  <w:p>
                    <w:pPr>
                      <w:spacing w:before="0"/>
                      <w:ind w:left="0" w:right="-6" w:firstLine="0"/>
                      <w:jc w:val="left"/>
                      <w:rPr>
                        <w:rFonts w:ascii="Calibri"/>
                        <w:b/>
                        <w:sz w:val="19"/>
                      </w:rPr>
                    </w:pPr>
                    <w:r>
                      <w:rPr>
                        <w:rFonts w:ascii="Calibri"/>
                        <w:b/>
                        <w:sz w:val="19"/>
                      </w:rPr>
                      <w:t>30,000.0</w:t>
                    </w:r>
                  </w:p>
                  <w:p>
                    <w:pPr>
                      <w:spacing w:line="240" w:lineRule="auto" w:before="7"/>
                      <w:rPr>
                        <w:b/>
                        <w:sz w:val="14"/>
                      </w:rPr>
                    </w:pPr>
                  </w:p>
                  <w:p>
                    <w:pPr>
                      <w:spacing w:before="1"/>
                      <w:ind w:left="0" w:right="-6" w:firstLine="0"/>
                      <w:jc w:val="left"/>
                      <w:rPr>
                        <w:rFonts w:ascii="Calibri"/>
                        <w:b/>
                        <w:sz w:val="19"/>
                      </w:rPr>
                    </w:pPr>
                    <w:r>
                      <w:rPr>
                        <w:rFonts w:ascii="Calibri"/>
                        <w:b/>
                        <w:sz w:val="19"/>
                      </w:rPr>
                      <w:t>25,000.0</w:t>
                    </w:r>
                  </w:p>
                  <w:p>
                    <w:pPr>
                      <w:spacing w:line="240" w:lineRule="auto" w:before="7"/>
                      <w:rPr>
                        <w:b/>
                        <w:sz w:val="14"/>
                      </w:rPr>
                    </w:pPr>
                  </w:p>
                  <w:p>
                    <w:pPr>
                      <w:spacing w:before="1"/>
                      <w:ind w:left="0" w:right="-6" w:firstLine="0"/>
                      <w:jc w:val="left"/>
                      <w:rPr>
                        <w:rFonts w:ascii="Calibri"/>
                        <w:b/>
                        <w:sz w:val="19"/>
                      </w:rPr>
                    </w:pPr>
                    <w:r>
                      <w:rPr>
                        <w:rFonts w:ascii="Calibri"/>
                        <w:b/>
                        <w:sz w:val="19"/>
                      </w:rPr>
                      <w:t>20,000.0</w:t>
                    </w:r>
                  </w:p>
                  <w:p>
                    <w:pPr>
                      <w:spacing w:line="240" w:lineRule="auto" w:before="10"/>
                      <w:rPr>
                        <w:b/>
                        <w:sz w:val="14"/>
                      </w:rPr>
                    </w:pPr>
                  </w:p>
                  <w:p>
                    <w:pPr>
                      <w:spacing w:before="0"/>
                      <w:ind w:left="0" w:right="-6" w:firstLine="0"/>
                      <w:jc w:val="left"/>
                      <w:rPr>
                        <w:rFonts w:ascii="Calibri"/>
                        <w:b/>
                        <w:sz w:val="19"/>
                      </w:rPr>
                    </w:pPr>
                    <w:r>
                      <w:rPr>
                        <w:rFonts w:ascii="Calibri"/>
                        <w:b/>
                        <w:sz w:val="19"/>
                      </w:rPr>
                      <w:t>15,000.0</w:t>
                    </w:r>
                  </w:p>
                  <w:p>
                    <w:pPr>
                      <w:spacing w:line="240" w:lineRule="auto" w:before="7"/>
                      <w:rPr>
                        <w:b/>
                        <w:sz w:val="14"/>
                      </w:rPr>
                    </w:pPr>
                  </w:p>
                  <w:p>
                    <w:pPr>
                      <w:spacing w:before="1"/>
                      <w:ind w:left="0" w:right="-6" w:firstLine="0"/>
                      <w:jc w:val="left"/>
                      <w:rPr>
                        <w:rFonts w:ascii="Calibri"/>
                        <w:b/>
                        <w:sz w:val="19"/>
                      </w:rPr>
                    </w:pPr>
                    <w:r>
                      <w:rPr>
                        <w:rFonts w:ascii="Calibri"/>
                        <w:b/>
                        <w:sz w:val="19"/>
                      </w:rPr>
                      <w:t>10,000.0</w:t>
                    </w:r>
                  </w:p>
                  <w:p>
                    <w:pPr>
                      <w:spacing w:line="240" w:lineRule="auto" w:before="7"/>
                      <w:rPr>
                        <w:b/>
                        <w:sz w:val="14"/>
                      </w:rPr>
                    </w:pPr>
                  </w:p>
                  <w:p>
                    <w:pPr>
                      <w:spacing w:before="1"/>
                      <w:ind w:left="98" w:right="-8" w:firstLine="0"/>
                      <w:jc w:val="left"/>
                      <w:rPr>
                        <w:rFonts w:ascii="Calibri"/>
                        <w:b/>
                        <w:sz w:val="19"/>
                      </w:rPr>
                    </w:pPr>
                    <w:r>
                      <w:rPr>
                        <w:rFonts w:ascii="Calibri"/>
                        <w:b/>
                        <w:sz w:val="19"/>
                      </w:rPr>
                      <w:t>5,000.0</w:t>
                    </w:r>
                  </w:p>
                  <w:p>
                    <w:pPr>
                      <w:spacing w:line="240" w:lineRule="auto" w:before="7"/>
                      <w:rPr>
                        <w:b/>
                        <w:sz w:val="14"/>
                      </w:rPr>
                    </w:pPr>
                  </w:p>
                  <w:p>
                    <w:pPr>
                      <w:spacing w:line="229" w:lineRule="exact" w:before="1"/>
                      <w:ind w:left="443" w:right="-15" w:firstLine="0"/>
                      <w:jc w:val="left"/>
                      <w:rPr>
                        <w:rFonts w:ascii="Calibri"/>
                        <w:b/>
                        <w:sz w:val="19"/>
                      </w:rPr>
                    </w:pPr>
                    <w:r>
                      <w:rPr>
                        <w:rFonts w:ascii="Calibri"/>
                        <w:b/>
                        <w:sz w:val="19"/>
                      </w:rPr>
                      <w:t>0.0</w:t>
                    </w:r>
                  </w:p>
                </w:txbxContent>
              </v:textbox>
              <w10:wrap type="none"/>
            </v:shape>
            <v:shape style="position:absolute;left:2724;top:4750;width:7489;height:533" type="#_x0000_t202" filled="false" stroked="false">
              <v:textbox inset="0,0,0,0">
                <w:txbxContent>
                  <w:p>
                    <w:pPr>
                      <w:spacing w:line="196" w:lineRule="exact" w:before="0"/>
                      <w:ind w:left="0" w:right="0" w:firstLine="0"/>
                      <w:jc w:val="left"/>
                      <w:rPr>
                        <w:rFonts w:ascii="Calibri"/>
                        <w:b/>
                        <w:sz w:val="19"/>
                      </w:rPr>
                    </w:pPr>
                    <w:r>
                      <w:rPr>
                        <w:rFonts w:ascii="Calibri"/>
                        <w:b/>
                        <w:sz w:val="19"/>
                      </w:rPr>
                      <w:t>1995  1996  1997   1998   1999   2000  2001  2002   2003   2004   2005  2006  2007   2008      2009</w:t>
                    </w:r>
                  </w:p>
                  <w:p>
                    <w:pPr>
                      <w:tabs>
                        <w:tab w:pos="3023" w:val="left" w:leader="none"/>
                        <w:tab w:pos="5755" w:val="left" w:leader="none"/>
                      </w:tabs>
                      <w:spacing w:line="229" w:lineRule="exact" w:before="106"/>
                      <w:ind w:left="633" w:right="0" w:firstLine="0"/>
                      <w:jc w:val="left"/>
                      <w:rPr>
                        <w:rFonts w:ascii="Calibri" w:hAnsi="Calibri"/>
                        <w:sz w:val="19"/>
                      </w:rPr>
                    </w:pPr>
                    <w:r>
                      <w:rPr>
                        <w:rFonts w:ascii="Calibri" w:hAnsi="Calibri"/>
                        <w:sz w:val="19"/>
                      </w:rPr>
                      <w:t>Petróleo</w:t>
                    </w:r>
                    <w:r>
                      <w:rPr>
                        <w:rFonts w:ascii="Calibri" w:hAnsi="Calibri"/>
                        <w:spacing w:val="6"/>
                        <w:sz w:val="19"/>
                      </w:rPr>
                      <w:t> </w:t>
                    </w:r>
                    <w:r>
                      <w:rPr>
                        <w:rFonts w:ascii="Calibri" w:hAnsi="Calibri"/>
                        <w:sz w:val="19"/>
                      </w:rPr>
                      <w:t>crudo</w:t>
                      <w:tab/>
                      <w:t>Remesas</w:t>
                    </w:r>
                    <w:r>
                      <w:rPr>
                        <w:rFonts w:ascii="Calibri" w:hAnsi="Calibri"/>
                        <w:spacing w:val="7"/>
                        <w:sz w:val="19"/>
                      </w:rPr>
                      <w:t> </w:t>
                    </w:r>
                    <w:r>
                      <w:rPr>
                        <w:rFonts w:ascii="Calibri" w:hAnsi="Calibri"/>
                        <w:sz w:val="19"/>
                      </w:rPr>
                      <w:t>familiares</w:t>
                      <w:tab/>
                      <w:t>Turismo</w:t>
                    </w:r>
                  </w:p>
                </w:txbxContent>
              </v:textbox>
              <w10:wrap type="none"/>
            </v:shape>
            <w10:wrap type="topAndBottom"/>
          </v:group>
        </w:pict>
      </w:r>
      <w:r>
        <w:rPr>
          <w:b/>
          <w:color w:val="221E1F"/>
          <w:sz w:val="23"/>
        </w:rPr>
        <w:t>(Millones de dólares)</w:t>
      </w:r>
    </w:p>
    <w:p>
      <w:pPr>
        <w:spacing w:line="244" w:lineRule="auto" w:before="103"/>
        <w:ind w:left="115" w:right="203" w:firstLine="0"/>
        <w:jc w:val="both"/>
        <w:rPr>
          <w:sz w:val="21"/>
        </w:rPr>
      </w:pPr>
      <w:r>
        <w:rPr>
          <w:sz w:val="21"/>
        </w:rPr>
        <w:t>Fuente: Elaboración propia con información estadística del Banco de México presentada por el Centro de Estudios de las Finanzas Públicas de la Cámara de Diputados. 1995- 2009.</w:t>
      </w:r>
    </w:p>
    <w:p>
      <w:pPr>
        <w:pStyle w:val="BodyText"/>
        <w:rPr>
          <w:sz w:val="20"/>
        </w:rPr>
      </w:pPr>
    </w:p>
    <w:p>
      <w:pPr>
        <w:pStyle w:val="BodyText"/>
        <w:spacing w:line="364" w:lineRule="auto" w:before="172"/>
        <w:ind w:left="115" w:right="205"/>
        <w:jc w:val="both"/>
      </w:pPr>
      <w:r>
        <w:rPr>
          <w:color w:val="221E1F"/>
        </w:rPr>
        <w:t>La figura 2, revela que definitivamente que el ingreso que se genera por petróleo crudo, es el concepto de generación más importante de divisas para la economía mexicana, aunque presenta una tasa de crecimiento media anual de 9.3%, por debajo del dinamismo que muestra las remesas familiares que el del 13.3%, resultado de una mayor migración de los paisanos hacia el exterior y, el turismo a pesar de estar insertada dentro de las secretarías que reciben un presupuesto federal y formar parte de los objetivos de apoyo dentro del Programa Nacional de</w:t>
      </w:r>
    </w:p>
    <w:p>
      <w:pPr>
        <w:spacing w:after="0" w:line="364" w:lineRule="auto"/>
        <w:jc w:val="both"/>
        <w:sectPr>
          <w:pgSz w:w="11900" w:h="16840"/>
          <w:pgMar w:header="0" w:footer="1679" w:top="1600" w:bottom="1860" w:left="1540" w:right="1480"/>
        </w:sectPr>
      </w:pPr>
    </w:p>
    <w:p>
      <w:pPr>
        <w:pStyle w:val="BodyText"/>
        <w:rPr>
          <w:sz w:val="20"/>
        </w:rPr>
      </w:pPr>
    </w:p>
    <w:p>
      <w:pPr>
        <w:pStyle w:val="BodyText"/>
        <w:spacing w:before="7"/>
        <w:rPr>
          <w:sz w:val="16"/>
        </w:rPr>
      </w:pPr>
    </w:p>
    <w:p>
      <w:pPr>
        <w:pStyle w:val="BodyText"/>
        <w:spacing w:line="364" w:lineRule="auto" w:before="74"/>
        <w:ind w:left="115" w:right="147"/>
        <w:jc w:val="both"/>
      </w:pPr>
      <w:r>
        <w:rPr>
          <w:color w:val="221E1F"/>
        </w:rPr>
        <w:t>Desarrollo, no ha logrado dar este paso de mayor atracción del turismo nacional e internacional que le permita tener mayor dinamismo que espera el país del de    esta actividad</w:t>
      </w:r>
      <w:r>
        <w:rPr>
          <w:color w:val="221E1F"/>
          <w:spacing w:val="23"/>
        </w:rPr>
        <w:t> </w:t>
      </w:r>
      <w:r>
        <w:rPr>
          <w:color w:val="221E1F"/>
        </w:rPr>
        <w:t>económica.</w:t>
      </w:r>
    </w:p>
    <w:p>
      <w:pPr>
        <w:pStyle w:val="BodyText"/>
        <w:rPr>
          <w:sz w:val="22"/>
        </w:rPr>
      </w:pPr>
    </w:p>
    <w:p>
      <w:pPr>
        <w:pStyle w:val="BodyText"/>
        <w:spacing w:line="364" w:lineRule="auto" w:before="153"/>
        <w:ind w:left="115" w:right="145"/>
        <w:jc w:val="both"/>
      </w:pPr>
      <w:r>
        <w:rPr/>
        <w:t>Entrando materia particularmente de las remesas familiares en la figura  3,  se puede observar el comportamiento de éste rubro que los emigrantes mexicanos envían a sus familias en el territorio nacional. La tendencia que se muestra en el periodo analizado es muy clara, ya que las remesas han pasado de 3,672.7 millones de dólares en 1995 a 26,068.7 millones de dólares en 2007, esto representó una tasa de crecimiento media anual de 17.7% en este periodo,  siendo</w:t>
      </w:r>
    </w:p>
    <w:p>
      <w:pPr>
        <w:pStyle w:val="BodyText"/>
        <w:spacing w:line="364" w:lineRule="auto" w:before="5"/>
        <w:ind w:left="115" w:right="144"/>
        <w:jc w:val="both"/>
      </w:pPr>
      <w:r>
        <w:rPr/>
        <w:t>7.09 veces mayor 2007 con respecto a 1995; de ahí presenta una disminución 4,887.5 millones de 2007 a 2009, en la cual mucho tuvo que ver  la  crisis  financiera de Estados</w:t>
      </w:r>
      <w:r>
        <w:rPr>
          <w:spacing w:val="30"/>
        </w:rPr>
        <w:t> </w:t>
      </w:r>
      <w:r>
        <w:rPr/>
        <w:t>Unidos.</w:t>
      </w:r>
    </w:p>
    <w:p>
      <w:pPr>
        <w:pStyle w:val="BodyText"/>
        <w:rPr>
          <w:sz w:val="22"/>
        </w:rPr>
      </w:pPr>
    </w:p>
    <w:p>
      <w:pPr>
        <w:pStyle w:val="Heading4"/>
        <w:spacing w:line="247" w:lineRule="auto" w:before="148"/>
        <w:ind w:left="315" w:right="347"/>
        <w:jc w:val="center"/>
      </w:pPr>
      <w:r>
        <w:rPr/>
        <w:pict>
          <v:group style="position:absolute;margin-left:83.040001pt;margin-top:41.346310pt;width:429.75pt;height:211.35pt;mso-position-horizontal-relative:page;mso-position-vertical-relative:paragraph;z-index:8728" coordorigin="1661,827" coordsize="8595,4227">
            <v:shape style="position:absolute;left:2765;top:1053;width:7128;height:2403" coordorigin="2765,1053" coordsize="7128,2403" path="m9701,3455l9893,3455m9216,3455l9427,3455m8712,3455l8945,3455m8230,3455l8441,3455m7783,3455l7956,3455m7279,3455l7510,3455m6775,3455l7008,3455m6293,3455l6504,3455m5808,3455l6019,3455m5304,3455l5534,3455m4838,3455l5033,3455m4373,3455l4567,3455m3871,3455l4102,3455m3144,3455l3355,3455m2765,3455l2870,3455m2765,2975l2870,2975m2765,2493l5758,2493m2765,2013l6725,2013m2765,1530l7210,1530m2765,1053l8179,1053e" filled="false" stroked="true" strokeweight=".72pt" strokecolor="#858585">
              <v:path arrowok="t"/>
            </v:shape>
            <v:line style="position:absolute" from="2764,1053" to="2764,4000" stroked="true" strokeweight=".6pt" strokecolor="#858585"/>
            <v:shape style="position:absolute;left:2702;top:1053;width:7325;height:2885" coordorigin="2702,1053" coordsize="7325,2885" path="m2702,3937l2765,3937m2702,3455l2765,3455m2702,2975l2765,2975m2702,2493l2765,2493m2702,2013l2765,2013m2702,1530l2765,1530m2702,1053l2765,1053m3557,3937l10027,3937m3406,3937l3422,3937m3074,3937l3132,3937m2765,3937l2940,3937e" filled="false" stroked="true" strokeweight=".72pt" strokecolor="#858585">
              <v:path arrowok="t"/>
            </v:shape>
            <v:shape style="position:absolute;left:3727;top:3969;width:6308;height:2" coordorigin="3727,3969" coordsize="6308,0" path="m3727,3969l3739,3969m4210,3969l4224,3969m4694,3969l4706,3969m5179,3969l5194,3969m5662,3969l5676,3969m6146,3969l6161,3969m6629,3969l6643,3969m7116,3969l7130,3969m7598,3969l7613,3969m8083,3969l8098,3969m8566,3969l8580,3969m9053,3969l9067,3969m9535,3969l9550,3969m10020,3969l10034,3969e" filled="false" stroked="true" strokeweight="3.12pt" strokecolor="#858585">
              <v:path arrowok="t"/>
            </v:shape>
            <v:shape style="position:absolute;left:3144;top:1530;width:6884;height:1445" coordorigin="3144,1530" coordsize="6884,1445" path="m6029,2975l10027,2975m5563,2975l5758,2975m5062,2975l5292,2975m4577,2975l4788,2975m4092,2975l4306,2975m3626,2975l3821,2975m3144,2975l3355,2975m6478,2493l10027,2493m6029,2493l6204,2493m7483,2013l10027,2013m6998,2013l7210,2013m9475,1530l9686,1530m8974,1530l9204,1530m8450,1530l8700,1530m7966,1530l8179,1530m7483,1530l7694,1530e" filled="false" stroked="true" strokeweight=".72pt" strokecolor="#858585">
              <v:path arrowok="t"/>
            </v:shape>
            <v:shape style="position:absolute;left:2983;top:1408;width:6826;height:2199" coordorigin="2983,1408" coordsize="6826,2199" path="m5421,3285l4942,3349,4457,3376,3972,3450,3487,3510,3005,3563,2993,3565,2983,3575,2988,3599,2998,3606,3010,3606,3977,3491,4462,3419,4944,3390,5429,3328,5431,3328,5434,3325,5436,3325,5519,3287,5417,3287,5421,3285xm5424,3285l5421,3285,5417,3287,5424,3285xm5524,3285l5424,3285,5417,3287,5519,3287,5524,3285xm6387,2974l5906,3061,5904,3061,5902,3064,5421,3285,5424,3285,5524,3285,5918,3102,5914,3102,6401,3013,6406,3013,6410,3009,6438,2980,6382,2980,6387,2974xm6394,2973l6387,2974,6382,2980,6394,2973xm6445,2973l6394,2973,6382,2980,6438,2980,6445,2973xm8820,1408l8815,1408,8330,1456,8328,1456,8323,1458,8321,1461,7838,1833,6869,2473,6866,2473,6866,2476,6864,2476,6387,2974,6394,2973,6445,2973,6891,2509,6890,2509,6895,2505,6898,2505,7860,1869,8339,1499,8335,1499,8345,1494,8381,1494,8815,1449,8813,1449,9037,1449,8820,1408xm6895,2505l6890,2509,6891,2509,6895,2505xm6891,2509l6890,2509,6891,2509,6891,2509xm6898,2505l6895,2505,6891,2509,6898,2505xm9288,1535l9773,1917,9782,1924,9794,1921,9802,1914,9809,1905,9809,1890,9799,1883,9358,1540,9295,1540,9294,1539,9295,1539,9288,1535xm9295,1539l9294,1539,9295,1540,9295,1539xm9352,1535l9288,1535,9295,1540,9358,1540,9352,1535xm9037,1449l8818,1449,8815,1449,9294,1539,9288,1535,9352,1535,9312,1504,9307,1499,9305,1499,9037,1449xm8345,1494l8335,1499,8339,1499,8345,1494xm8339,1499l8335,1499,8339,1499,8339,1499xm8381,1494l8345,1494,8339,1499,8381,1494xm8818,1449l8813,1449,8815,1449,8818,1449xe" filled="true" fillcolor="#497eba" stroked="false">
              <v:path arrowok="t"/>
              <v:fill type="solid"/>
            </v:shape>
            <v:shape style="position:absolute;left:2933;top:3508;width:149;height:151" type="#_x0000_t75" stroked="false">
              <v:imagedata r:id="rId235" o:title=""/>
            </v:shape>
            <v:shape style="position:absolute;left:3418;top:3457;width:149;height:149" type="#_x0000_t75" stroked="false">
              <v:imagedata r:id="rId236" o:title=""/>
            </v:shape>
            <v:shape style="position:absolute;left:3902;top:3395;width:149;height:149" type="#_x0000_t75" stroked="false">
              <v:imagedata r:id="rId237" o:title=""/>
            </v:shape>
            <v:shape style="position:absolute;left:4387;top:3323;width:149;height:149" type="#_x0000_t75" stroked="false">
              <v:imagedata r:id="rId238" o:title=""/>
            </v:shape>
            <v:shape style="position:absolute;left:4870;top:3294;width:146;height:149" type="#_x0000_t75" stroked="false">
              <v:imagedata r:id="rId239" o:title=""/>
            </v:shape>
            <v:shape style="position:absolute;left:5354;top:3229;width:146;height:151" type="#_x0000_t75" stroked="false">
              <v:imagedata r:id="rId240" o:title=""/>
            </v:shape>
            <v:shape style="position:absolute;left:5839;top:3009;width:146;height:146" type="#_x0000_t75" stroked="false">
              <v:imagedata r:id="rId241" o:title=""/>
            </v:shape>
            <v:shape style="position:absolute;left:6324;top:2917;width:146;height:151" type="#_x0000_t75" stroked="false">
              <v:imagedata r:id="rId242" o:title=""/>
            </v:shape>
            <v:shape style="position:absolute;left:6806;top:2416;width:146;height:149" type="#_x0000_t75" stroked="false">
              <v:imagedata r:id="rId243" o:title=""/>
            </v:shape>
            <v:shape style="position:absolute;left:7291;top:2099;width:146;height:149" type="#_x0000_t75" stroked="false">
              <v:imagedata r:id="rId244" o:title=""/>
            </v:shape>
            <v:shape style="position:absolute;left:7776;top:1775;width:146;height:149" type="#_x0000_t75" stroked="false">
              <v:imagedata r:id="rId245" o:title=""/>
            </v:shape>
            <v:shape style="position:absolute;left:8261;top:1401;width:146;height:149" type="#_x0000_t75" stroked="false">
              <v:imagedata r:id="rId246" o:title=""/>
            </v:shape>
            <v:shape style="position:absolute;left:8743;top:1355;width:146;height:149" type="#_x0000_t75" stroked="false">
              <v:imagedata r:id="rId247" o:title=""/>
            </v:shape>
            <v:shape style="position:absolute;left:9228;top:1444;width:146;height:149" type="#_x0000_t75" stroked="false">
              <v:imagedata r:id="rId248" o:title=""/>
            </v:shape>
            <v:shape style="position:absolute;left:9713;top:1825;width:146;height:149" type="#_x0000_t75" stroked="false">
              <v:imagedata r:id="rId249" o:title=""/>
            </v:shape>
            <v:shape style="position:absolute;left:2986;top:3673;width:6824;height:252" coordorigin="2986,3673" coordsize="6824,252" path="m8330,3673l7848,3719,7361,3745,6396,3829,5909,3839,5426,3861,3007,3885,2995,3885,2986,3894,2986,3916,2995,3925,3007,3925,5426,3901,5911,3882,6396,3873,7366,3789,7850,3762,8335,3714,9571,3714,9300,3690,8330,3673xm9571,3714l8335,3714,9300,3731,9785,3777,9797,3777,9806,3769,9806,3757,9809,3745,9799,3736,9787,3733,9571,3714xe" filled="true" fillcolor="#bd4b47" stroked="false">
              <v:path arrowok="t"/>
              <v:fill type="solid"/>
            </v:shape>
            <v:shape style="position:absolute;left:2933;top:3827;width:149;height:151" type="#_x0000_t75" stroked="false">
              <v:imagedata r:id="rId250" o:title=""/>
            </v:shape>
            <v:shape style="position:absolute;left:3415;top:3822;width:149;height:151" type="#_x0000_t75" stroked="false">
              <v:imagedata r:id="rId251" o:title=""/>
            </v:shape>
            <v:shape style="position:absolute;left:3900;top:3815;width:151;height:151" type="#_x0000_t75" stroked="false">
              <v:imagedata r:id="rId252" o:title=""/>
            </v:shape>
            <v:shape style="position:absolute;left:4382;top:3813;width:151;height:151" type="#_x0000_t75" stroked="false">
              <v:imagedata r:id="rId253" o:title=""/>
            </v:shape>
            <v:shape style="position:absolute;left:4870;top:3808;width:149;height:151" type="#_x0000_t75" stroked="false">
              <v:imagedata r:id="rId254" o:title=""/>
            </v:shape>
            <v:shape style="position:absolute;left:5352;top:3805;width:149;height:151" type="#_x0000_t75" stroked="false">
              <v:imagedata r:id="rId255" o:title=""/>
            </v:shape>
            <v:shape style="position:absolute;left:5837;top:3786;width:151;height:151" type="#_x0000_t75" stroked="false">
              <v:imagedata r:id="rId256" o:title=""/>
            </v:shape>
            <v:shape style="position:absolute;left:6322;top:3777;width:149;height:149" type="#_x0000_t75" stroked="false">
              <v:imagedata r:id="rId257" o:title=""/>
            </v:shape>
            <v:shape style="position:absolute;left:6804;top:3733;width:151;height:151" type="#_x0000_t75" stroked="false">
              <v:imagedata r:id="rId258" o:title=""/>
            </v:shape>
            <v:shape style="position:absolute;left:7289;top:3693;width:149;height:151" type="#_x0000_t75" stroked="false">
              <v:imagedata r:id="rId259" o:title=""/>
            </v:shape>
            <v:shape style="position:absolute;left:7771;top:3664;width:154;height:151" type="#_x0000_t75" stroked="false">
              <v:imagedata r:id="rId260" o:title=""/>
            </v:shape>
            <v:shape style="position:absolute;left:8258;top:3621;width:149;height:149" type="#_x0000_t75" stroked="false">
              <v:imagedata r:id="rId261" o:title=""/>
            </v:shape>
            <v:shape style="position:absolute;left:8741;top:3628;width:151;height:151" type="#_x0000_t75" stroked="false">
              <v:imagedata r:id="rId262" o:title=""/>
            </v:shape>
            <v:shape style="position:absolute;left:9226;top:3635;width:151;height:151" type="#_x0000_t75" stroked="false">
              <v:imagedata r:id="rId258" o:title=""/>
            </v:shape>
            <v:shape style="position:absolute;left:9708;top:3681;width:154;height:149" type="#_x0000_t75" stroked="false">
              <v:imagedata r:id="rId263" o:title=""/>
            </v:shape>
            <v:shape style="position:absolute;left:2870;top:1060;width:5096;height:2456" coordorigin="2870,1060" coordsize="5096,2456" path="m3144,2867l2870,2867,2870,3515,3144,3515,3144,2867m3626,2857l3355,2857,3355,3505,3626,3505,3626,2857m4092,2781l3821,2781,3821,3431,4092,3431,4092,2781m4577,2723l4306,2723,4306,3371,4577,3371,4577,2723m5062,2665l4788,2665,4788,3316,5062,3316,5062,2665m5563,2589l5292,2589,5292,3237,5563,3237,5563,2589m6029,2394l5758,2394,5758,3042,6029,3042,6029,2394m6478,2291l6204,2291,6204,2939,6478,2939,6478,2291m6998,1701l6725,1701,6725,2437,6998,2437,6998,1701m7483,1384l7210,1384,7210,2121,7483,2121,7483,1384m7966,1060l7694,1060,7694,1797,7966,1797,7966,1060e" filled="true" fillcolor="#fdeada" stroked="false">
              <v:path arrowok="t"/>
              <v:fill type="solid"/>
            </v:shape>
            <v:line style="position:absolute" from="8450,1053" to="8700,1053" stroked="true" strokeweight=".72pt" strokecolor="#858585"/>
            <v:rect style="position:absolute;left:8179;top:834;width:271;height:737" filled="true" fillcolor="#fdeada" stroked="false">
              <v:fill type="solid"/>
            </v:rect>
            <v:line style="position:absolute" from="8974,1053" to="9204,1053" stroked="true" strokeweight=".72pt" strokecolor="#858585"/>
            <v:rect style="position:absolute;left:8700;top:834;width:274;height:737" filled="true" fillcolor="#fdeada" stroked="false">
              <v:fill type="solid"/>
            </v:rect>
            <v:line style="position:absolute" from="9475,1053" to="10027,1053" stroked="true" strokeweight=".72pt" strokecolor="#858585"/>
            <v:rect style="position:absolute;left:9204;top:834;width:271;height:737" filled="true" fillcolor="#fdeada" stroked="false">
              <v:fill type="solid"/>
            </v:rect>
            <v:line style="position:absolute" from="9960,1530" to="10027,1530" stroked="true" strokeweight=".72pt" strokecolor="#858585"/>
            <v:rect style="position:absolute;left:9686;top:1122;width:274;height:739" filled="true" fillcolor="#fdeada" stroked="false">
              <v:fill type="solid"/>
            </v:rect>
            <v:shape style="position:absolute;left:3132;top:3064;width:7035;height:939" coordorigin="3132,3064" coordsize="7035,939" path="m3406,3486l3132,3486,3132,4002,3406,4002,3406,3486m3871,3421l3598,3421,3598,3937,3871,3937,3871,3421m4373,3400l4102,3400,4102,3916,4373,3916,4373,3400m4838,3412l4567,3412,4567,3928,4838,3928,4838,3412m5304,3393l5033,3393,5033,3909,5304,3909,5304,3393m5808,3405l5534,3405,5534,3921,5808,3921,5808,3405m6293,3357l6019,3357,6019,3873,6293,3873,6293,3357m6775,3316l6504,3316,6504,3832,6775,3832,6775,3316m7279,3136l7008,3136,7008,3784,7279,3784,7279,3136m7783,3109l7510,3109,7510,3757,7783,3757,7783,3109m8230,3081l7956,3081,7956,3729,8230,3729,8230,3081m8712,3064l8441,3064,8441,3712,8712,3712,8712,3064m9216,3073l8945,3073,8945,3721,9216,3721,9216,3073m9701,3124l9427,3124,9427,3772,9701,3772,9701,3124m10166,3109l9893,3109,9893,3760,10166,3760,10166,3109e" filled="true" fillcolor="#ebf1de" stroked="false">
              <v:path arrowok="t"/>
              <v:fill type="solid"/>
            </v:shape>
            <v:line style="position:absolute" from="4954,4745" to="5369,4745" stroked="true" strokeweight="2.04pt" strokecolor="#497eba"/>
            <v:shape style="position:absolute;left:5095;top:4679;width:132;height:132" type="#_x0000_t75" stroked="false">
              <v:imagedata r:id="rId264" o:title=""/>
            </v:shape>
            <v:shape style="position:absolute;left:6127;top:4745;width:416;height:2" coordorigin="6127,4745" coordsize="416,0" path="m6394,4745l6542,4745m6127,4745l6276,4745e" filled="false" stroked="true" strokeweight="2.04pt" strokecolor="#bd4b47">
              <v:path arrowok="t"/>
            </v:shape>
            <v:shape style="position:absolute;left:6271;top:4679;width:130;height:132" type="#_x0000_t75" stroked="false">
              <v:imagedata r:id="rId265" o:title=""/>
            </v:shape>
            <v:shape style="position:absolute;left:1661;top:827;width:8595;height:4227" coordorigin="1661,827" coordsize="8595,4227" path="m10255,827l1661,827,1661,5046,1668,5053,10250,5053,10255,5046,10255,5039,1690,5039,1675,5025,1690,5025,1690,849,1675,849,1690,834,10255,834,10255,827xm1690,5025l1675,5025,1690,5039,1690,5025xm10226,5025l1690,5025,1690,5039,10226,5039,10226,5025xm10226,834l10226,5039,10241,5025,10255,5025,10255,849,10241,849,10226,834xm10255,5025l10241,5025,10226,5039,10255,5039,10255,5025xm1690,834l1675,849,1690,849,1690,834xm10226,834l1690,834,1690,849,10226,849,10226,834xm10255,834l10226,834,10241,849,10255,849,10255,834xe" filled="true" fillcolor="#000000" stroked="false">
              <v:path arrowok="t"/>
              <v:fill type="solid"/>
            </v:shape>
            <v:shape style="position:absolute;left:1891;top:960;width:689;height:3079" type="#_x0000_t202" filled="false" stroked="false">
              <v:textbox inset="0,0,0,0">
                <w:txbxContent>
                  <w:p>
                    <w:pPr>
                      <w:spacing w:line="196" w:lineRule="exact" w:before="0"/>
                      <w:ind w:left="0" w:right="-9" w:firstLine="0"/>
                      <w:jc w:val="left"/>
                      <w:rPr>
                        <w:rFonts w:ascii="Calibri"/>
                        <w:b/>
                        <w:sz w:val="19"/>
                      </w:rPr>
                    </w:pPr>
                    <w:r>
                      <w:rPr>
                        <w:rFonts w:ascii="Calibri"/>
                        <w:b/>
                        <w:sz w:val="19"/>
                      </w:rPr>
                      <w:t>30,000.0</w:t>
                    </w:r>
                  </w:p>
                  <w:p>
                    <w:pPr>
                      <w:spacing w:line="240" w:lineRule="auto" w:before="6"/>
                      <w:rPr>
                        <w:sz w:val="21"/>
                      </w:rPr>
                    </w:pPr>
                  </w:p>
                  <w:p>
                    <w:pPr>
                      <w:spacing w:before="0"/>
                      <w:ind w:left="0" w:right="-9" w:firstLine="0"/>
                      <w:jc w:val="left"/>
                      <w:rPr>
                        <w:rFonts w:ascii="Calibri"/>
                        <w:b/>
                        <w:sz w:val="19"/>
                      </w:rPr>
                    </w:pPr>
                    <w:r>
                      <w:rPr>
                        <w:rFonts w:ascii="Calibri"/>
                        <w:b/>
                        <w:sz w:val="19"/>
                      </w:rPr>
                      <w:t>25,000.0</w:t>
                    </w:r>
                  </w:p>
                  <w:p>
                    <w:pPr>
                      <w:spacing w:line="240" w:lineRule="auto" w:before="6"/>
                      <w:rPr>
                        <w:sz w:val="21"/>
                      </w:rPr>
                    </w:pPr>
                  </w:p>
                  <w:p>
                    <w:pPr>
                      <w:spacing w:before="0"/>
                      <w:ind w:left="0" w:right="-9" w:firstLine="0"/>
                      <w:jc w:val="left"/>
                      <w:rPr>
                        <w:rFonts w:ascii="Calibri"/>
                        <w:b/>
                        <w:sz w:val="19"/>
                      </w:rPr>
                    </w:pPr>
                    <w:r>
                      <w:rPr>
                        <w:rFonts w:ascii="Calibri"/>
                        <w:b/>
                        <w:sz w:val="19"/>
                      </w:rPr>
                      <w:t>20,000.0</w:t>
                    </w:r>
                  </w:p>
                  <w:p>
                    <w:pPr>
                      <w:spacing w:line="240" w:lineRule="auto" w:before="9"/>
                      <w:rPr>
                        <w:sz w:val="21"/>
                      </w:rPr>
                    </w:pPr>
                  </w:p>
                  <w:p>
                    <w:pPr>
                      <w:spacing w:before="0"/>
                      <w:ind w:left="0" w:right="-9" w:firstLine="0"/>
                      <w:jc w:val="left"/>
                      <w:rPr>
                        <w:rFonts w:ascii="Calibri"/>
                        <w:b/>
                        <w:sz w:val="19"/>
                      </w:rPr>
                    </w:pPr>
                    <w:r>
                      <w:rPr>
                        <w:rFonts w:ascii="Calibri"/>
                        <w:b/>
                        <w:sz w:val="19"/>
                      </w:rPr>
                      <w:t>15,000.0</w:t>
                    </w:r>
                  </w:p>
                  <w:p>
                    <w:pPr>
                      <w:spacing w:line="240" w:lineRule="auto" w:before="6"/>
                      <w:rPr>
                        <w:sz w:val="21"/>
                      </w:rPr>
                    </w:pPr>
                  </w:p>
                  <w:p>
                    <w:pPr>
                      <w:spacing w:before="0"/>
                      <w:ind w:left="0" w:right="-9" w:firstLine="0"/>
                      <w:jc w:val="left"/>
                      <w:rPr>
                        <w:rFonts w:ascii="Calibri"/>
                        <w:b/>
                        <w:sz w:val="19"/>
                      </w:rPr>
                    </w:pPr>
                    <w:r>
                      <w:rPr>
                        <w:rFonts w:ascii="Calibri"/>
                        <w:b/>
                        <w:sz w:val="19"/>
                      </w:rPr>
                      <w:t>10,000.0</w:t>
                    </w:r>
                  </w:p>
                  <w:p>
                    <w:pPr>
                      <w:spacing w:line="240" w:lineRule="auto" w:before="9"/>
                      <w:rPr>
                        <w:sz w:val="21"/>
                      </w:rPr>
                    </w:pPr>
                  </w:p>
                  <w:p>
                    <w:pPr>
                      <w:spacing w:before="0"/>
                      <w:ind w:left="98" w:right="-11" w:firstLine="0"/>
                      <w:jc w:val="left"/>
                      <w:rPr>
                        <w:rFonts w:ascii="Calibri"/>
                        <w:b/>
                        <w:sz w:val="19"/>
                      </w:rPr>
                    </w:pPr>
                    <w:r>
                      <w:rPr>
                        <w:rFonts w:ascii="Calibri"/>
                        <w:b/>
                        <w:sz w:val="19"/>
                      </w:rPr>
                      <w:t>5,000.0</w:t>
                    </w:r>
                  </w:p>
                  <w:p>
                    <w:pPr>
                      <w:spacing w:line="240" w:lineRule="auto" w:before="6"/>
                      <w:rPr>
                        <w:sz w:val="21"/>
                      </w:rPr>
                    </w:pPr>
                  </w:p>
                  <w:p>
                    <w:pPr>
                      <w:spacing w:line="229" w:lineRule="exact" w:before="0"/>
                      <w:ind w:left="441" w:right="-16" w:firstLine="0"/>
                      <w:jc w:val="left"/>
                      <w:rPr>
                        <w:rFonts w:ascii="Calibri"/>
                        <w:b/>
                        <w:sz w:val="19"/>
                      </w:rPr>
                    </w:pPr>
                    <w:r>
                      <w:rPr>
                        <w:rFonts w:ascii="Calibri"/>
                        <w:b/>
                        <w:sz w:val="19"/>
                      </w:rPr>
                      <w:t>0.0</w:t>
                    </w:r>
                  </w:p>
                </w:txbxContent>
              </v:textbox>
              <w10:wrap type="none"/>
            </v:shape>
            <v:shape style="position:absolute;left:2808;top:4157;width:7172;height:194" type="#_x0000_t202" filled="false" stroked="false">
              <v:textbox inset="0,0,0,0">
                <w:txbxContent>
                  <w:p>
                    <w:pPr>
                      <w:spacing w:line="194" w:lineRule="exact" w:before="0"/>
                      <w:ind w:left="0" w:right="-1" w:firstLine="0"/>
                      <w:jc w:val="left"/>
                      <w:rPr>
                        <w:rFonts w:ascii="Calibri"/>
                        <w:b/>
                        <w:sz w:val="19"/>
                      </w:rPr>
                    </w:pPr>
                    <w:r>
                      <w:rPr>
                        <w:rFonts w:ascii="Calibri"/>
                        <w:b/>
                        <w:sz w:val="19"/>
                      </w:rPr>
                      <w:t>1995  1996  1997  1998  1999  2000  2001  2002  2003  2004  2005  2006  2007  2008      2009</w:t>
                    </w:r>
                  </w:p>
                </w:txbxContent>
              </v:textbox>
              <w10:wrap type="none"/>
            </v:shape>
            <v:shape style="position:absolute;left:5386;top:4654;width:573;height:194" type="#_x0000_t202" filled="false" stroked="false">
              <v:textbox inset="0,0,0,0">
                <w:txbxContent>
                  <w:p>
                    <w:pPr>
                      <w:spacing w:line="194" w:lineRule="exact" w:before="0"/>
                      <w:ind w:left="0" w:right="-11" w:firstLine="0"/>
                      <w:jc w:val="left"/>
                      <w:rPr>
                        <w:rFonts w:ascii="Calibri" w:hAnsi="Calibri"/>
                        <w:sz w:val="19"/>
                      </w:rPr>
                    </w:pPr>
                    <w:r>
                      <w:rPr>
                        <w:rFonts w:ascii="Calibri" w:hAnsi="Calibri"/>
                        <w:sz w:val="19"/>
                      </w:rPr>
                      <w:t>México</w:t>
                    </w:r>
                  </w:p>
                </w:txbxContent>
              </v:textbox>
              <w10:wrap type="none"/>
            </v:shape>
            <v:shape style="position:absolute;left:6562;top:4654;width:451;height:194" type="#_x0000_t202" filled="false" stroked="false">
              <v:textbox inset="0,0,0,0">
                <w:txbxContent>
                  <w:p>
                    <w:pPr>
                      <w:spacing w:line="194" w:lineRule="exact" w:before="0"/>
                      <w:ind w:left="0" w:right="-9" w:firstLine="0"/>
                      <w:jc w:val="left"/>
                      <w:rPr>
                        <w:rFonts w:ascii="Calibri"/>
                        <w:sz w:val="19"/>
                      </w:rPr>
                    </w:pPr>
                    <w:r>
                      <w:rPr>
                        <w:rFonts w:ascii="Calibri"/>
                        <w:sz w:val="19"/>
                      </w:rPr>
                      <w:t>Mayo</w:t>
                    </w:r>
                  </w:p>
                </w:txbxContent>
              </v:textbox>
              <w10:wrap type="none"/>
            </v:shape>
            <w10:wrap type="none"/>
          </v:group>
        </w:pict>
      </w:r>
      <w:r>
        <w:rPr/>
        <w:pict>
          <v:shape style="position:absolute;margin-left:145.669937pt;margin-top:145.101227pt;width:10.8pt;height:28.65pt;mso-position-horizontal-relative:page;mso-position-vertical-relative:paragraph;z-index:8752" type="#_x0000_t202" filled="false" stroked="false">
            <v:textbox inset="0,0,0,0" style="layout-flow:vertical;mso-layout-flow-alt:bottom-to-top">
              <w:txbxContent>
                <w:p>
                  <w:pPr>
                    <w:spacing w:line="197" w:lineRule="exact" w:before="0"/>
                    <w:ind w:left="20" w:right="-356" w:firstLine="0"/>
                    <w:jc w:val="left"/>
                    <w:rPr>
                      <w:rFonts w:ascii="Calibri"/>
                      <w:sz w:val="17"/>
                    </w:rPr>
                  </w:pPr>
                  <w:r>
                    <w:rPr>
                      <w:rFonts w:ascii="Calibri"/>
                      <w:w w:val="103"/>
                      <w:sz w:val="17"/>
                    </w:rPr>
                    <w:t>3</w:t>
                  </w:r>
                  <w:r>
                    <w:rPr>
                      <w:rFonts w:ascii="Calibri"/>
                      <w:spacing w:val="-1"/>
                      <w:w w:val="103"/>
                      <w:sz w:val="17"/>
                    </w:rPr>
                    <w:t>,</w:t>
                  </w:r>
                  <w:r>
                    <w:rPr>
                      <w:rFonts w:ascii="Calibri"/>
                      <w:w w:val="103"/>
                      <w:sz w:val="17"/>
                    </w:rPr>
                    <w:t>672</w:t>
                  </w:r>
                  <w:r>
                    <w:rPr>
                      <w:rFonts w:ascii="Calibri"/>
                      <w:spacing w:val="1"/>
                      <w:w w:val="103"/>
                      <w:sz w:val="17"/>
                    </w:rPr>
                    <w:t>.</w:t>
                  </w:r>
                  <w:r>
                    <w:rPr>
                      <w:rFonts w:ascii="Calibri"/>
                      <w:w w:val="103"/>
                      <w:sz w:val="17"/>
                    </w:rPr>
                    <w:t>7</w:t>
                  </w:r>
                </w:p>
              </w:txbxContent>
            </v:textbox>
            <w10:wrap type="none"/>
          </v:shape>
        </w:pict>
      </w:r>
      <w:r>
        <w:rPr/>
        <w:pict>
          <v:shape style="position:absolute;margin-left:169.909927pt;margin-top:144.621231pt;width:10.8pt;height:28.65pt;mso-position-horizontal-relative:page;mso-position-vertical-relative:paragraph;z-index:8800" type="#_x0000_t202" filled="false" stroked="false">
            <v:textbox inset="0,0,0,0" style="layout-flow:vertical;mso-layout-flow-alt:bottom-to-top">
              <w:txbxContent>
                <w:p>
                  <w:pPr>
                    <w:spacing w:line="197" w:lineRule="exact" w:before="0"/>
                    <w:ind w:left="20" w:right="-356" w:firstLine="0"/>
                    <w:jc w:val="left"/>
                    <w:rPr>
                      <w:rFonts w:ascii="Calibri"/>
                      <w:sz w:val="17"/>
                    </w:rPr>
                  </w:pPr>
                  <w:r>
                    <w:rPr>
                      <w:rFonts w:ascii="Calibri"/>
                      <w:w w:val="103"/>
                      <w:sz w:val="17"/>
                    </w:rPr>
                    <w:t>4</w:t>
                  </w:r>
                  <w:r>
                    <w:rPr>
                      <w:rFonts w:ascii="Calibri"/>
                      <w:spacing w:val="-1"/>
                      <w:w w:val="103"/>
                      <w:sz w:val="17"/>
                    </w:rPr>
                    <w:t>,</w:t>
                  </w:r>
                  <w:r>
                    <w:rPr>
                      <w:rFonts w:ascii="Calibri"/>
                      <w:w w:val="103"/>
                      <w:sz w:val="17"/>
                    </w:rPr>
                    <w:t>223</w:t>
                  </w:r>
                  <w:r>
                    <w:rPr>
                      <w:rFonts w:ascii="Calibri"/>
                      <w:spacing w:val="1"/>
                      <w:w w:val="103"/>
                      <w:sz w:val="17"/>
                    </w:rPr>
                    <w:t>.</w:t>
                  </w:r>
                  <w:r>
                    <w:rPr>
                      <w:rFonts w:ascii="Calibri"/>
                      <w:w w:val="103"/>
                      <w:sz w:val="17"/>
                    </w:rPr>
                    <w:t>7</w:t>
                  </w:r>
                </w:p>
              </w:txbxContent>
            </v:textbox>
            <w10:wrap type="none"/>
          </v:shape>
        </w:pict>
      </w:r>
      <w:r>
        <w:rPr/>
        <w:pict>
          <v:shape style="position:absolute;margin-left:193.189926pt;margin-top:140.90123pt;width:10.8pt;height:28.65pt;mso-position-horizontal-relative:page;mso-position-vertical-relative:paragraph;z-index:8848" type="#_x0000_t202" filled="false" stroked="false">
            <v:textbox inset="0,0,0,0" style="layout-flow:vertical;mso-layout-flow-alt:bottom-to-top">
              <w:txbxContent>
                <w:p>
                  <w:pPr>
                    <w:spacing w:line="197" w:lineRule="exact" w:before="0"/>
                    <w:ind w:left="20" w:right="-355" w:firstLine="0"/>
                    <w:jc w:val="left"/>
                    <w:rPr>
                      <w:rFonts w:ascii="Calibri"/>
                      <w:sz w:val="17"/>
                    </w:rPr>
                  </w:pPr>
                  <w:r>
                    <w:rPr>
                      <w:rFonts w:ascii="Calibri"/>
                      <w:w w:val="103"/>
                      <w:sz w:val="17"/>
                    </w:rPr>
                    <w:t>4</w:t>
                  </w:r>
                  <w:r>
                    <w:rPr>
                      <w:rFonts w:ascii="Calibri"/>
                      <w:spacing w:val="1"/>
                      <w:w w:val="103"/>
                      <w:sz w:val="17"/>
                    </w:rPr>
                    <w:t>,</w:t>
                  </w:r>
                  <w:r>
                    <w:rPr>
                      <w:rFonts w:ascii="Calibri"/>
                      <w:w w:val="103"/>
                      <w:sz w:val="17"/>
                    </w:rPr>
                    <w:t>864</w:t>
                  </w:r>
                  <w:r>
                    <w:rPr>
                      <w:rFonts w:ascii="Calibri"/>
                      <w:spacing w:val="-2"/>
                      <w:w w:val="103"/>
                      <w:sz w:val="17"/>
                    </w:rPr>
                    <w:t>.</w:t>
                  </w:r>
                  <w:r>
                    <w:rPr>
                      <w:rFonts w:ascii="Calibri"/>
                      <w:w w:val="103"/>
                      <w:sz w:val="17"/>
                    </w:rPr>
                    <w:t>9</w:t>
                  </w:r>
                </w:p>
              </w:txbxContent>
            </v:textbox>
            <w10:wrap type="none"/>
          </v:shape>
        </w:pict>
      </w:r>
      <w:r>
        <w:rPr/>
        <w:pict>
          <v:shape style="position:absolute;margin-left:217.309906pt;margin-top:137.90123pt;width:10.8pt;height:28.65pt;mso-position-horizontal-relative:page;mso-position-vertical-relative:paragraph;z-index:8896" type="#_x0000_t202" filled="false" stroked="false">
            <v:textbox inset="0,0,0,0" style="layout-flow:vertical;mso-layout-flow-alt:bottom-to-top">
              <w:txbxContent>
                <w:p>
                  <w:pPr>
                    <w:spacing w:line="197" w:lineRule="exact" w:before="0"/>
                    <w:ind w:left="20" w:right="-356" w:firstLine="0"/>
                    <w:jc w:val="left"/>
                    <w:rPr>
                      <w:rFonts w:ascii="Calibri"/>
                      <w:sz w:val="17"/>
                    </w:rPr>
                  </w:pPr>
                  <w:r>
                    <w:rPr>
                      <w:rFonts w:ascii="Calibri"/>
                      <w:w w:val="103"/>
                      <w:sz w:val="17"/>
                    </w:rPr>
                    <w:t>5</w:t>
                  </w:r>
                  <w:r>
                    <w:rPr>
                      <w:rFonts w:ascii="Calibri"/>
                      <w:spacing w:val="-1"/>
                      <w:w w:val="103"/>
                      <w:sz w:val="17"/>
                    </w:rPr>
                    <w:t>,</w:t>
                  </w:r>
                  <w:r>
                    <w:rPr>
                      <w:rFonts w:ascii="Calibri"/>
                      <w:w w:val="103"/>
                      <w:sz w:val="17"/>
                    </w:rPr>
                    <w:t>626</w:t>
                  </w:r>
                  <w:r>
                    <w:rPr>
                      <w:rFonts w:ascii="Calibri"/>
                      <w:spacing w:val="1"/>
                      <w:w w:val="103"/>
                      <w:sz w:val="17"/>
                    </w:rPr>
                    <w:t>.</w:t>
                  </w:r>
                  <w:r>
                    <w:rPr>
                      <w:rFonts w:ascii="Calibri"/>
                      <w:w w:val="103"/>
                      <w:sz w:val="17"/>
                    </w:rPr>
                    <w:t>8</w:t>
                  </w:r>
                </w:p>
              </w:txbxContent>
            </v:textbox>
            <w10:wrap type="none"/>
          </v:shape>
        </w:pict>
      </w:r>
      <w:r>
        <w:rPr/>
        <w:pict>
          <v:shape style="position:absolute;margin-left:241.549896pt;margin-top:135.141235pt;width:10.8pt;height:28.65pt;mso-position-horizontal-relative:page;mso-position-vertical-relative:paragraph;z-index:8944" type="#_x0000_t202" filled="false" stroked="false">
            <v:textbox inset="0,0,0,0" style="layout-flow:vertical;mso-layout-flow-alt:bottom-to-top">
              <w:txbxContent>
                <w:p>
                  <w:pPr>
                    <w:spacing w:line="197" w:lineRule="exact" w:before="0"/>
                    <w:ind w:left="20" w:right="-355" w:firstLine="0"/>
                    <w:jc w:val="left"/>
                    <w:rPr>
                      <w:rFonts w:ascii="Calibri"/>
                      <w:sz w:val="17"/>
                    </w:rPr>
                  </w:pPr>
                  <w:r>
                    <w:rPr>
                      <w:rFonts w:ascii="Calibri"/>
                      <w:w w:val="103"/>
                      <w:sz w:val="17"/>
                    </w:rPr>
                    <w:t>5</w:t>
                  </w:r>
                  <w:r>
                    <w:rPr>
                      <w:rFonts w:ascii="Calibri"/>
                      <w:spacing w:val="1"/>
                      <w:w w:val="103"/>
                      <w:sz w:val="17"/>
                    </w:rPr>
                    <w:t>,</w:t>
                  </w:r>
                  <w:r>
                    <w:rPr>
                      <w:rFonts w:ascii="Calibri"/>
                      <w:w w:val="103"/>
                      <w:sz w:val="17"/>
                    </w:rPr>
                    <w:t>909</w:t>
                  </w:r>
                  <w:r>
                    <w:rPr>
                      <w:rFonts w:ascii="Calibri"/>
                      <w:spacing w:val="-2"/>
                      <w:w w:val="103"/>
                      <w:sz w:val="17"/>
                    </w:rPr>
                    <w:t>.</w:t>
                  </w:r>
                  <w:r>
                    <w:rPr>
                      <w:rFonts w:ascii="Calibri"/>
                      <w:w w:val="103"/>
                      <w:sz w:val="17"/>
                    </w:rPr>
                    <w:t>6</w:t>
                  </w:r>
                </w:p>
              </w:txbxContent>
            </v:textbox>
            <w10:wrap type="none"/>
          </v:shape>
        </w:pict>
      </w:r>
      <w:r>
        <w:rPr/>
        <w:pict>
          <v:shape style="position:absolute;margin-left:266.749878pt;margin-top:131.181229pt;width:10.8pt;height:28.65pt;mso-position-horizontal-relative:page;mso-position-vertical-relative:paragraph;z-index:8992" type="#_x0000_t202" filled="false" stroked="false">
            <v:textbox inset="0,0,0,0" style="layout-flow:vertical;mso-layout-flow-alt:bottom-to-top">
              <w:txbxContent>
                <w:p>
                  <w:pPr>
                    <w:spacing w:line="197" w:lineRule="exact" w:before="0"/>
                    <w:ind w:left="20" w:right="-355" w:firstLine="0"/>
                    <w:jc w:val="left"/>
                    <w:rPr>
                      <w:rFonts w:ascii="Calibri"/>
                      <w:sz w:val="17"/>
                    </w:rPr>
                  </w:pPr>
                  <w:r>
                    <w:rPr>
                      <w:rFonts w:ascii="Calibri"/>
                      <w:w w:val="103"/>
                      <w:sz w:val="17"/>
                    </w:rPr>
                    <w:t>6</w:t>
                  </w:r>
                  <w:r>
                    <w:rPr>
                      <w:rFonts w:ascii="Calibri"/>
                      <w:spacing w:val="1"/>
                      <w:w w:val="103"/>
                      <w:sz w:val="17"/>
                    </w:rPr>
                    <w:t>,</w:t>
                  </w:r>
                  <w:r>
                    <w:rPr>
                      <w:rFonts w:ascii="Calibri"/>
                      <w:w w:val="103"/>
                      <w:sz w:val="17"/>
                    </w:rPr>
                    <w:t>572</w:t>
                  </w:r>
                  <w:r>
                    <w:rPr>
                      <w:rFonts w:ascii="Calibri"/>
                      <w:spacing w:val="-2"/>
                      <w:w w:val="103"/>
                      <w:sz w:val="17"/>
                    </w:rPr>
                    <w:t>.</w:t>
                  </w:r>
                  <w:r>
                    <w:rPr>
                      <w:rFonts w:ascii="Calibri"/>
                      <w:w w:val="103"/>
                      <w:sz w:val="17"/>
                    </w:rPr>
                    <w:t>8</w:t>
                  </w:r>
                </w:p>
              </w:txbxContent>
            </v:textbox>
            <w10:wrap type="none"/>
          </v:shape>
        </w:pict>
      </w:r>
      <w:r>
        <w:rPr/>
        <w:pict>
          <v:shape style="position:absolute;margin-left:290.029877pt;margin-top:121.461235pt;width:10.8pt;height:28.65pt;mso-position-horizontal-relative:page;mso-position-vertical-relative:paragraph;z-index:9040" type="#_x0000_t202" filled="false" stroked="false">
            <v:textbox inset="0,0,0,0" style="layout-flow:vertical;mso-layout-flow-alt:bottom-to-top">
              <w:txbxContent>
                <w:p>
                  <w:pPr>
                    <w:spacing w:line="197" w:lineRule="exact" w:before="0"/>
                    <w:ind w:left="20" w:right="-355" w:firstLine="0"/>
                    <w:jc w:val="left"/>
                    <w:rPr>
                      <w:rFonts w:ascii="Calibri"/>
                      <w:sz w:val="17"/>
                    </w:rPr>
                  </w:pPr>
                  <w:r>
                    <w:rPr>
                      <w:rFonts w:ascii="Calibri"/>
                      <w:w w:val="103"/>
                      <w:sz w:val="17"/>
                    </w:rPr>
                    <w:t>8</w:t>
                  </w:r>
                  <w:r>
                    <w:rPr>
                      <w:rFonts w:ascii="Calibri"/>
                      <w:spacing w:val="1"/>
                      <w:w w:val="103"/>
                      <w:sz w:val="17"/>
                    </w:rPr>
                    <w:t>,</w:t>
                  </w:r>
                  <w:r>
                    <w:rPr>
                      <w:rFonts w:ascii="Calibri"/>
                      <w:w w:val="103"/>
                      <w:sz w:val="17"/>
                    </w:rPr>
                    <w:t>895</w:t>
                  </w:r>
                  <w:r>
                    <w:rPr>
                      <w:rFonts w:ascii="Calibri"/>
                      <w:spacing w:val="-2"/>
                      <w:w w:val="103"/>
                      <w:sz w:val="17"/>
                    </w:rPr>
                    <w:t>.</w:t>
                  </w:r>
                  <w:r>
                    <w:rPr>
                      <w:rFonts w:ascii="Calibri"/>
                      <w:w w:val="103"/>
                      <w:sz w:val="17"/>
                    </w:rPr>
                    <w:t>3</w:t>
                  </w:r>
                </w:p>
              </w:txbxContent>
            </v:textbox>
            <w10:wrap type="none"/>
          </v:shape>
        </w:pict>
      </w:r>
      <w:r>
        <w:rPr/>
        <w:pict>
          <v:shape style="position:absolute;margin-left:312.349884pt;margin-top:116.301125pt;width:10.8pt;height:28.65pt;mso-position-horizontal-relative:page;mso-position-vertical-relative:paragraph;z-index:9088" type="#_x0000_t202" filled="false" stroked="false">
            <v:textbox inset="0,0,0,0" style="layout-flow:vertical;mso-layout-flow-alt:bottom-to-top">
              <w:txbxContent>
                <w:p>
                  <w:pPr>
                    <w:spacing w:line="197" w:lineRule="exact" w:before="0"/>
                    <w:ind w:left="20" w:right="-355" w:firstLine="0"/>
                    <w:jc w:val="left"/>
                    <w:rPr>
                      <w:rFonts w:ascii="Calibri"/>
                      <w:sz w:val="17"/>
                    </w:rPr>
                  </w:pPr>
                  <w:r>
                    <w:rPr>
                      <w:rFonts w:ascii="Calibri"/>
                      <w:w w:val="103"/>
                      <w:sz w:val="17"/>
                    </w:rPr>
                    <w:t>9</w:t>
                  </w:r>
                  <w:r>
                    <w:rPr>
                      <w:rFonts w:ascii="Calibri"/>
                      <w:spacing w:val="1"/>
                      <w:w w:val="103"/>
                      <w:sz w:val="17"/>
                    </w:rPr>
                    <w:t>,</w:t>
                  </w:r>
                  <w:r>
                    <w:rPr>
                      <w:rFonts w:ascii="Calibri"/>
                      <w:spacing w:val="-3"/>
                      <w:w w:val="103"/>
                      <w:sz w:val="17"/>
                    </w:rPr>
                    <w:t>8</w:t>
                  </w:r>
                  <w:r>
                    <w:rPr>
                      <w:rFonts w:ascii="Calibri"/>
                      <w:w w:val="103"/>
                      <w:sz w:val="17"/>
                    </w:rPr>
                    <w:t>14</w:t>
                  </w:r>
                  <w:r>
                    <w:rPr>
                      <w:rFonts w:ascii="Calibri"/>
                      <w:spacing w:val="1"/>
                      <w:w w:val="103"/>
                      <w:sz w:val="17"/>
                    </w:rPr>
                    <w:t>.</w:t>
                  </w:r>
                  <w:r>
                    <w:rPr>
                      <w:rFonts w:ascii="Calibri"/>
                      <w:w w:val="103"/>
                      <w:sz w:val="17"/>
                    </w:rPr>
                    <w:t>4</w:t>
                  </w:r>
                </w:p>
              </w:txbxContent>
            </v:textbox>
            <w10:wrap type="none"/>
          </v:shape>
        </w:pict>
      </w:r>
      <w:r>
        <w:rPr/>
        <w:pict>
          <v:shape style="position:absolute;margin-left:338.389862pt;margin-top:86.77993pt;width:10.8pt;height:33.1pt;mso-position-horizontal-relative:page;mso-position-vertical-relative:paragraph;z-index:9136" type="#_x0000_t202" filled="false" stroked="false">
            <v:textbox inset="0,0,0,0" style="layout-flow:vertical;mso-layout-flow-alt:bottom-to-top">
              <w:txbxContent>
                <w:p>
                  <w:pPr>
                    <w:spacing w:line="197" w:lineRule="exact" w:before="0"/>
                    <w:ind w:left="20" w:right="-444" w:firstLine="0"/>
                    <w:jc w:val="left"/>
                    <w:rPr>
                      <w:rFonts w:ascii="Calibri"/>
                      <w:sz w:val="17"/>
                    </w:rPr>
                  </w:pPr>
                  <w:r>
                    <w:rPr>
                      <w:rFonts w:ascii="Calibri"/>
                      <w:w w:val="103"/>
                      <w:sz w:val="17"/>
                    </w:rPr>
                    <w:t>15</w:t>
                  </w:r>
                  <w:r>
                    <w:rPr>
                      <w:rFonts w:ascii="Calibri"/>
                      <w:spacing w:val="1"/>
                      <w:w w:val="103"/>
                      <w:sz w:val="17"/>
                    </w:rPr>
                    <w:t>,</w:t>
                  </w:r>
                  <w:r>
                    <w:rPr>
                      <w:rFonts w:ascii="Calibri"/>
                      <w:w w:val="103"/>
                      <w:sz w:val="17"/>
                    </w:rPr>
                    <w:t>040</w:t>
                  </w:r>
                  <w:r>
                    <w:rPr>
                      <w:rFonts w:ascii="Calibri"/>
                      <w:spacing w:val="-2"/>
                      <w:w w:val="103"/>
                      <w:sz w:val="17"/>
                    </w:rPr>
                    <w:t>.</w:t>
                  </w:r>
                  <w:r>
                    <w:rPr>
                      <w:rFonts w:ascii="Calibri"/>
                      <w:w w:val="103"/>
                      <w:sz w:val="17"/>
                    </w:rPr>
                    <w:t>7</w:t>
                  </w:r>
                </w:p>
              </w:txbxContent>
            </v:textbox>
            <w10:wrap type="none"/>
          </v:shape>
        </w:pict>
      </w:r>
      <w:r>
        <w:rPr/>
        <w:pict>
          <v:shape style="position:absolute;margin-left:362.629852pt;margin-top:70.939934pt;width:10.8pt;height:33.1pt;mso-position-horizontal-relative:page;mso-position-vertical-relative:paragraph;z-index:9184" type="#_x0000_t202" filled="false" stroked="false">
            <v:textbox inset="0,0,0,0" style="layout-flow:vertical;mso-layout-flow-alt:bottom-to-top">
              <w:txbxContent>
                <w:p>
                  <w:pPr>
                    <w:spacing w:line="197" w:lineRule="exact" w:before="0"/>
                    <w:ind w:left="20" w:right="-444" w:firstLine="0"/>
                    <w:jc w:val="left"/>
                    <w:rPr>
                      <w:rFonts w:ascii="Calibri"/>
                      <w:sz w:val="17"/>
                    </w:rPr>
                  </w:pPr>
                  <w:r>
                    <w:rPr>
                      <w:rFonts w:ascii="Calibri"/>
                      <w:w w:val="103"/>
                      <w:sz w:val="17"/>
                    </w:rPr>
                    <w:t>18</w:t>
                  </w:r>
                  <w:r>
                    <w:rPr>
                      <w:rFonts w:ascii="Calibri"/>
                      <w:spacing w:val="1"/>
                      <w:w w:val="103"/>
                      <w:sz w:val="17"/>
                    </w:rPr>
                    <w:t>,</w:t>
                  </w:r>
                  <w:r>
                    <w:rPr>
                      <w:rFonts w:ascii="Calibri"/>
                      <w:w w:val="103"/>
                      <w:sz w:val="17"/>
                    </w:rPr>
                    <w:t>331</w:t>
                  </w:r>
                  <w:r>
                    <w:rPr>
                      <w:rFonts w:ascii="Calibri"/>
                      <w:spacing w:val="-2"/>
                      <w:w w:val="103"/>
                      <w:sz w:val="17"/>
                    </w:rPr>
                    <w:t>.</w:t>
                  </w:r>
                  <w:r>
                    <w:rPr>
                      <w:rFonts w:ascii="Calibri"/>
                      <w:w w:val="103"/>
                      <w:sz w:val="17"/>
                    </w:rPr>
                    <w:t>3</w:t>
                  </w:r>
                </w:p>
              </w:txbxContent>
            </v:textbox>
            <w10:wrap type="none"/>
          </v:shape>
        </w:pict>
      </w:r>
      <w:r>
        <w:rPr/>
        <w:pict>
          <v:shape style="position:absolute;margin-left:386.869843pt;margin-top:54.739944pt;width:10.8pt;height:33.1pt;mso-position-horizontal-relative:page;mso-position-vertical-relative:paragraph;z-index:9232" type="#_x0000_t202" filled="false" stroked="false">
            <v:textbox inset="0,0,0,0" style="layout-flow:vertical;mso-layout-flow-alt:bottom-to-top">
              <w:txbxContent>
                <w:p>
                  <w:pPr>
                    <w:spacing w:line="197" w:lineRule="exact" w:before="0"/>
                    <w:ind w:left="20" w:right="-445" w:firstLine="0"/>
                    <w:jc w:val="left"/>
                    <w:rPr>
                      <w:rFonts w:ascii="Calibri"/>
                      <w:sz w:val="17"/>
                    </w:rPr>
                  </w:pPr>
                  <w:r>
                    <w:rPr>
                      <w:rFonts w:ascii="Calibri"/>
                      <w:w w:val="103"/>
                      <w:sz w:val="17"/>
                    </w:rPr>
                    <w:t>21</w:t>
                  </w:r>
                  <w:r>
                    <w:rPr>
                      <w:rFonts w:ascii="Calibri"/>
                      <w:spacing w:val="-1"/>
                      <w:w w:val="103"/>
                      <w:sz w:val="17"/>
                    </w:rPr>
                    <w:t>,</w:t>
                  </w:r>
                  <w:r>
                    <w:rPr>
                      <w:rFonts w:ascii="Calibri"/>
                      <w:w w:val="103"/>
                      <w:sz w:val="17"/>
                    </w:rPr>
                    <w:t>688</w:t>
                  </w:r>
                  <w:r>
                    <w:rPr>
                      <w:rFonts w:ascii="Calibri"/>
                      <w:spacing w:val="1"/>
                      <w:w w:val="103"/>
                      <w:sz w:val="17"/>
                    </w:rPr>
                    <w:t>.</w:t>
                  </w:r>
                  <w:r>
                    <w:rPr>
                      <w:rFonts w:ascii="Calibri"/>
                      <w:w w:val="103"/>
                      <w:sz w:val="17"/>
                    </w:rPr>
                    <w:t>7</w:t>
                  </w:r>
                </w:p>
              </w:txbxContent>
            </v:textbox>
            <w10:wrap type="none"/>
          </v:shape>
        </w:pict>
      </w:r>
      <w:r>
        <w:rPr/>
        <w:pict>
          <v:shape style="position:absolute;margin-left:410.989838pt;margin-top:43.459946pt;width:10.8pt;height:33.1pt;mso-position-horizontal-relative:page;mso-position-vertical-relative:paragraph;z-index:9280" type="#_x0000_t202" filled="false" stroked="false">
            <v:textbox inset="0,0,0,0" style="layout-flow:vertical;mso-layout-flow-alt:bottom-to-top">
              <w:txbxContent>
                <w:p>
                  <w:pPr>
                    <w:spacing w:line="197" w:lineRule="exact" w:before="0"/>
                    <w:ind w:left="20" w:right="-445" w:firstLine="0"/>
                    <w:jc w:val="left"/>
                    <w:rPr>
                      <w:rFonts w:ascii="Calibri"/>
                      <w:sz w:val="17"/>
                    </w:rPr>
                  </w:pPr>
                  <w:r>
                    <w:rPr>
                      <w:rFonts w:ascii="Calibri"/>
                      <w:w w:val="103"/>
                      <w:sz w:val="17"/>
                    </w:rPr>
                    <w:t>25</w:t>
                  </w:r>
                  <w:r>
                    <w:rPr>
                      <w:rFonts w:ascii="Calibri"/>
                      <w:spacing w:val="-1"/>
                      <w:w w:val="103"/>
                      <w:sz w:val="17"/>
                    </w:rPr>
                    <w:t>,</w:t>
                  </w:r>
                  <w:r>
                    <w:rPr>
                      <w:rFonts w:ascii="Calibri"/>
                      <w:w w:val="103"/>
                      <w:sz w:val="17"/>
                    </w:rPr>
                    <w:t>566</w:t>
                  </w:r>
                  <w:r>
                    <w:rPr>
                      <w:rFonts w:ascii="Calibri"/>
                      <w:spacing w:val="1"/>
                      <w:w w:val="103"/>
                      <w:sz w:val="17"/>
                    </w:rPr>
                    <w:t>.</w:t>
                  </w:r>
                  <w:r>
                    <w:rPr>
                      <w:rFonts w:ascii="Calibri"/>
                      <w:w w:val="103"/>
                      <w:sz w:val="17"/>
                    </w:rPr>
                    <w:t>8</w:t>
                  </w:r>
                </w:p>
              </w:txbxContent>
            </v:textbox>
            <w10:wrap type="none"/>
          </v:shape>
        </w:pict>
      </w:r>
      <w:r>
        <w:rPr/>
        <w:pict>
          <v:shape style="position:absolute;margin-left:437.149811pt;margin-top:43.459946pt;width:10.8pt;height:33.1pt;mso-position-horizontal-relative:page;mso-position-vertical-relative:paragraph;z-index:9328" type="#_x0000_t202" filled="false" stroked="false">
            <v:textbox inset="0,0,0,0" style="layout-flow:vertical;mso-layout-flow-alt:bottom-to-top">
              <w:txbxContent>
                <w:p>
                  <w:pPr>
                    <w:spacing w:line="197" w:lineRule="exact" w:before="0"/>
                    <w:ind w:left="20" w:right="-445" w:firstLine="0"/>
                    <w:jc w:val="left"/>
                    <w:rPr>
                      <w:rFonts w:ascii="Calibri"/>
                      <w:sz w:val="17"/>
                    </w:rPr>
                  </w:pPr>
                  <w:r>
                    <w:rPr>
                      <w:rFonts w:ascii="Calibri"/>
                      <w:w w:val="103"/>
                      <w:sz w:val="17"/>
                    </w:rPr>
                    <w:t>26</w:t>
                  </w:r>
                  <w:r>
                    <w:rPr>
                      <w:rFonts w:ascii="Calibri"/>
                      <w:spacing w:val="-1"/>
                      <w:w w:val="103"/>
                      <w:sz w:val="17"/>
                    </w:rPr>
                    <w:t>,</w:t>
                  </w:r>
                  <w:r>
                    <w:rPr>
                      <w:rFonts w:ascii="Calibri"/>
                      <w:w w:val="103"/>
                      <w:sz w:val="17"/>
                    </w:rPr>
                    <w:t>068</w:t>
                  </w:r>
                  <w:r>
                    <w:rPr>
                      <w:rFonts w:ascii="Calibri"/>
                      <w:spacing w:val="1"/>
                      <w:w w:val="103"/>
                      <w:sz w:val="17"/>
                    </w:rPr>
                    <w:t>.</w:t>
                  </w:r>
                  <w:r>
                    <w:rPr>
                      <w:rFonts w:ascii="Calibri"/>
                      <w:w w:val="103"/>
                      <w:sz w:val="17"/>
                    </w:rPr>
                    <w:t>7</w:t>
                  </w:r>
                </w:p>
              </w:txbxContent>
            </v:textbox>
            <w10:wrap type="none"/>
          </v:shape>
        </w:pict>
      </w:r>
      <w:r>
        <w:rPr/>
        <w:pict>
          <v:shape style="position:absolute;margin-left:462.229828pt;margin-top:43.459946pt;width:10.8pt;height:33.1pt;mso-position-horizontal-relative:page;mso-position-vertical-relative:paragraph;z-index:9376" type="#_x0000_t202" filled="false" stroked="false">
            <v:textbox inset="0,0,0,0" style="layout-flow:vertical;mso-layout-flow-alt:bottom-to-top">
              <w:txbxContent>
                <w:p>
                  <w:pPr>
                    <w:spacing w:line="197" w:lineRule="exact" w:before="0"/>
                    <w:ind w:left="20" w:right="-445" w:firstLine="0"/>
                    <w:jc w:val="left"/>
                    <w:rPr>
                      <w:rFonts w:ascii="Calibri"/>
                      <w:sz w:val="17"/>
                    </w:rPr>
                  </w:pPr>
                  <w:r>
                    <w:rPr>
                      <w:rFonts w:ascii="Calibri"/>
                      <w:w w:val="103"/>
                      <w:sz w:val="17"/>
                    </w:rPr>
                    <w:t>25</w:t>
                  </w:r>
                  <w:r>
                    <w:rPr>
                      <w:rFonts w:ascii="Calibri"/>
                      <w:spacing w:val="-1"/>
                      <w:w w:val="103"/>
                      <w:sz w:val="17"/>
                    </w:rPr>
                    <w:t>,</w:t>
                  </w:r>
                  <w:r>
                    <w:rPr>
                      <w:rFonts w:ascii="Calibri"/>
                      <w:w w:val="103"/>
                      <w:sz w:val="17"/>
                    </w:rPr>
                    <w:t>137</w:t>
                  </w:r>
                  <w:r>
                    <w:rPr>
                      <w:rFonts w:ascii="Calibri"/>
                      <w:spacing w:val="1"/>
                      <w:w w:val="103"/>
                      <w:sz w:val="17"/>
                    </w:rPr>
                    <w:t>.</w:t>
                  </w:r>
                  <w:r>
                    <w:rPr>
                      <w:rFonts w:ascii="Calibri"/>
                      <w:w w:val="103"/>
                      <w:sz w:val="17"/>
                    </w:rPr>
                    <w:t>4</w:t>
                  </w:r>
                </w:p>
              </w:txbxContent>
            </v:textbox>
            <w10:wrap type="none"/>
          </v:shape>
        </w:pict>
      </w:r>
      <w:r>
        <w:rPr/>
        <w:pict>
          <v:shape style="position:absolute;margin-left:486.469818pt;margin-top:57.979942pt;width:10.8pt;height:33.1pt;mso-position-horizontal-relative:page;mso-position-vertical-relative:paragraph;z-index:9424" type="#_x0000_t202" filled="false" stroked="false">
            <v:textbox inset="0,0,0,0" style="layout-flow:vertical;mso-layout-flow-alt:bottom-to-top">
              <w:txbxContent>
                <w:p>
                  <w:pPr>
                    <w:spacing w:line="197" w:lineRule="exact" w:before="0"/>
                    <w:ind w:left="20" w:right="-444" w:firstLine="0"/>
                    <w:jc w:val="left"/>
                    <w:rPr>
                      <w:rFonts w:ascii="Calibri"/>
                      <w:sz w:val="17"/>
                    </w:rPr>
                  </w:pPr>
                  <w:r>
                    <w:rPr>
                      <w:rFonts w:ascii="Calibri"/>
                      <w:w w:val="103"/>
                      <w:sz w:val="17"/>
                    </w:rPr>
                    <w:t>21</w:t>
                  </w:r>
                  <w:r>
                    <w:rPr>
                      <w:rFonts w:ascii="Calibri"/>
                      <w:spacing w:val="1"/>
                      <w:w w:val="103"/>
                      <w:sz w:val="17"/>
                    </w:rPr>
                    <w:t>,</w:t>
                  </w:r>
                  <w:r>
                    <w:rPr>
                      <w:rFonts w:ascii="Calibri"/>
                      <w:w w:val="103"/>
                      <w:sz w:val="17"/>
                    </w:rPr>
                    <w:t>181</w:t>
                  </w:r>
                  <w:r>
                    <w:rPr>
                      <w:rFonts w:ascii="Calibri"/>
                      <w:spacing w:val="-2"/>
                      <w:w w:val="103"/>
                      <w:sz w:val="17"/>
                    </w:rPr>
                    <w:t>.</w:t>
                  </w:r>
                  <w:r>
                    <w:rPr>
                      <w:rFonts w:ascii="Calibri"/>
                      <w:w w:val="103"/>
                      <w:sz w:val="17"/>
                    </w:rPr>
                    <w:t>1</w:t>
                  </w:r>
                </w:p>
              </w:txbxContent>
            </v:textbox>
            <w10:wrap type="none"/>
          </v:shape>
        </w:pict>
      </w:r>
      <w:r>
        <w:rPr/>
        <w:t>Figura 3. Comportamiento de las remesas familiares en México, 1995-2009 (Millones de dólares)</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spacing w:before="186"/>
        <w:ind w:left="115" w:right="0" w:firstLine="0"/>
        <w:jc w:val="both"/>
        <w:rPr>
          <w:sz w:val="21"/>
        </w:rPr>
      </w:pPr>
      <w:r>
        <w:rPr/>
        <w:pict>
          <v:shape style="position:absolute;margin-left:158.749939pt;margin-top:-73.411064pt;width:10.8pt;height:21.95pt;mso-position-horizontal-relative:page;mso-position-vertical-relative:paragraph;z-index:8776" type="#_x0000_t202" filled="false" stroked="false">
            <v:textbox inset="0,0,0,0" style="layout-flow:vertical;mso-layout-flow-alt:bottom-to-top">
              <w:txbxContent>
                <w:p>
                  <w:pPr>
                    <w:spacing w:line="197" w:lineRule="exact" w:before="0"/>
                    <w:ind w:left="20" w:right="-222" w:firstLine="0"/>
                    <w:jc w:val="left"/>
                    <w:rPr>
                      <w:rFonts w:ascii="Calibri"/>
                      <w:sz w:val="17"/>
                    </w:rPr>
                  </w:pPr>
                  <w:r>
                    <w:rPr>
                      <w:rFonts w:ascii="Calibri"/>
                      <w:w w:val="103"/>
                      <w:sz w:val="17"/>
                    </w:rPr>
                    <w:t>357</w:t>
                  </w:r>
                  <w:r>
                    <w:rPr>
                      <w:rFonts w:ascii="Calibri"/>
                      <w:spacing w:val="-2"/>
                      <w:w w:val="103"/>
                      <w:sz w:val="17"/>
                    </w:rPr>
                    <w:t>.</w:t>
                  </w:r>
                  <w:r>
                    <w:rPr>
                      <w:rFonts w:ascii="Calibri"/>
                      <w:w w:val="103"/>
                      <w:sz w:val="17"/>
                    </w:rPr>
                    <w:t>7</w:t>
                  </w:r>
                </w:p>
              </w:txbxContent>
            </v:textbox>
            <w10:wrap type="none"/>
          </v:shape>
        </w:pict>
      </w:r>
      <w:r>
        <w:rPr/>
        <w:pict>
          <v:shape style="position:absolute;margin-left:182.029922pt;margin-top:-76.651184pt;width:10.8pt;height:21.95pt;mso-position-horizontal-relative:page;mso-position-vertical-relative:paragraph;z-index:8824" type="#_x0000_t202" filled="false" stroked="false">
            <v:textbox inset="0,0,0,0" style="layout-flow:vertical;mso-layout-flow-alt:bottom-to-top">
              <w:txbxContent>
                <w:p>
                  <w:pPr>
                    <w:spacing w:line="197" w:lineRule="exact" w:before="0"/>
                    <w:ind w:left="20" w:right="-222" w:firstLine="0"/>
                    <w:jc w:val="left"/>
                    <w:rPr>
                      <w:rFonts w:ascii="Calibri"/>
                      <w:sz w:val="17"/>
                    </w:rPr>
                  </w:pPr>
                  <w:r>
                    <w:rPr>
                      <w:rFonts w:ascii="Calibri"/>
                      <w:w w:val="103"/>
                      <w:sz w:val="17"/>
                    </w:rPr>
                    <w:t>41</w:t>
                  </w:r>
                  <w:r>
                    <w:rPr>
                      <w:rFonts w:ascii="Calibri"/>
                      <w:spacing w:val="-3"/>
                      <w:w w:val="103"/>
                      <w:sz w:val="17"/>
                    </w:rPr>
                    <w:t>3</w:t>
                  </w:r>
                  <w:r>
                    <w:rPr>
                      <w:rFonts w:ascii="Calibri"/>
                      <w:spacing w:val="1"/>
                      <w:w w:val="103"/>
                      <w:sz w:val="17"/>
                    </w:rPr>
                    <w:t>.</w:t>
                  </w:r>
                  <w:r>
                    <w:rPr>
                      <w:rFonts w:ascii="Calibri"/>
                      <w:w w:val="103"/>
                      <w:sz w:val="17"/>
                    </w:rPr>
                    <w:t>5</w:t>
                  </w:r>
                </w:p>
              </w:txbxContent>
            </v:textbox>
            <w10:wrap type="none"/>
          </v:shape>
        </w:pict>
      </w:r>
      <w:r>
        <w:rPr/>
        <w:pict>
          <v:shape style="position:absolute;margin-left:207.229919pt;margin-top:-77.731186pt;width:10.8pt;height:21.95pt;mso-position-horizontal-relative:page;mso-position-vertical-relative:paragraph;z-index:8872" type="#_x0000_t202" filled="false" stroked="false">
            <v:textbox inset="0,0,0,0" style="layout-flow:vertical;mso-layout-flow-alt:bottom-to-top">
              <w:txbxContent>
                <w:p>
                  <w:pPr>
                    <w:spacing w:line="197" w:lineRule="exact" w:before="0"/>
                    <w:ind w:left="20" w:right="-222" w:firstLine="0"/>
                    <w:jc w:val="left"/>
                    <w:rPr>
                      <w:rFonts w:ascii="Calibri"/>
                      <w:sz w:val="17"/>
                    </w:rPr>
                  </w:pPr>
                  <w:r>
                    <w:rPr>
                      <w:rFonts w:ascii="Calibri"/>
                      <w:w w:val="103"/>
                      <w:sz w:val="17"/>
                    </w:rPr>
                    <w:t>48</w:t>
                  </w:r>
                  <w:r>
                    <w:rPr>
                      <w:rFonts w:ascii="Calibri"/>
                      <w:spacing w:val="-3"/>
                      <w:w w:val="103"/>
                      <w:sz w:val="17"/>
                    </w:rPr>
                    <w:t>6</w:t>
                  </w:r>
                  <w:r>
                    <w:rPr>
                      <w:rFonts w:ascii="Calibri"/>
                      <w:spacing w:val="1"/>
                      <w:w w:val="103"/>
                      <w:sz w:val="17"/>
                    </w:rPr>
                    <w:t>.</w:t>
                  </w:r>
                  <w:r>
                    <w:rPr>
                      <w:rFonts w:ascii="Calibri"/>
                      <w:w w:val="103"/>
                      <w:sz w:val="17"/>
                    </w:rPr>
                    <w:t>7</w:t>
                  </w:r>
                </w:p>
              </w:txbxContent>
            </v:textbox>
            <w10:wrap type="none"/>
          </v:shape>
        </w:pict>
      </w:r>
      <w:r>
        <w:rPr/>
        <w:pict>
          <v:shape style="position:absolute;margin-left:230.509903pt;margin-top:-77.131065pt;width:10.8pt;height:21.95pt;mso-position-horizontal-relative:page;mso-position-vertical-relative:paragraph;z-index:8920" type="#_x0000_t202" filled="false" stroked="false">
            <v:textbox inset="0,0,0,0" style="layout-flow:vertical;mso-layout-flow-alt:bottom-to-top">
              <w:txbxContent>
                <w:p>
                  <w:pPr>
                    <w:spacing w:line="197" w:lineRule="exact" w:before="0"/>
                    <w:ind w:left="20" w:right="-222" w:firstLine="0"/>
                    <w:jc w:val="left"/>
                    <w:rPr>
                      <w:rFonts w:ascii="Calibri"/>
                      <w:sz w:val="17"/>
                    </w:rPr>
                  </w:pPr>
                  <w:r>
                    <w:rPr>
                      <w:rFonts w:ascii="Calibri"/>
                      <w:w w:val="103"/>
                      <w:sz w:val="17"/>
                    </w:rPr>
                    <w:t>520</w:t>
                  </w:r>
                  <w:r>
                    <w:rPr>
                      <w:rFonts w:ascii="Calibri"/>
                      <w:spacing w:val="-2"/>
                      <w:w w:val="103"/>
                      <w:sz w:val="17"/>
                    </w:rPr>
                    <w:t>.</w:t>
                  </w:r>
                  <w:r>
                    <w:rPr>
                      <w:rFonts w:ascii="Calibri"/>
                      <w:w w:val="103"/>
                      <w:sz w:val="17"/>
                    </w:rPr>
                    <w:t>4</w:t>
                  </w:r>
                </w:p>
              </w:txbxContent>
            </v:textbox>
            <w10:wrap type="none"/>
          </v:shape>
        </w:pict>
      </w:r>
      <w:r>
        <w:rPr/>
        <w:pict>
          <v:shape style="position:absolute;margin-left:253.789902pt;margin-top:-78.091064pt;width:10.8pt;height:21.95pt;mso-position-horizontal-relative:page;mso-position-vertical-relative:paragraph;z-index:8968" type="#_x0000_t202" filled="false" stroked="false">
            <v:textbox inset="0,0,0,0" style="layout-flow:vertical;mso-layout-flow-alt:bottom-to-top">
              <w:txbxContent>
                <w:p>
                  <w:pPr>
                    <w:spacing w:line="197" w:lineRule="exact" w:before="0"/>
                    <w:ind w:left="20" w:right="-222" w:firstLine="0"/>
                    <w:jc w:val="left"/>
                    <w:rPr>
                      <w:rFonts w:ascii="Calibri"/>
                      <w:sz w:val="17"/>
                    </w:rPr>
                  </w:pPr>
                  <w:r>
                    <w:rPr>
                      <w:rFonts w:ascii="Calibri"/>
                      <w:w w:val="103"/>
                      <w:sz w:val="17"/>
                    </w:rPr>
                    <w:t>571</w:t>
                  </w:r>
                  <w:r>
                    <w:rPr>
                      <w:rFonts w:ascii="Calibri"/>
                      <w:spacing w:val="-2"/>
                      <w:w w:val="103"/>
                      <w:sz w:val="17"/>
                    </w:rPr>
                    <w:t>.</w:t>
                  </w:r>
                  <w:r>
                    <w:rPr>
                      <w:rFonts w:ascii="Calibri"/>
                      <w:w w:val="103"/>
                      <w:sz w:val="17"/>
                    </w:rPr>
                    <w:t>6</w:t>
                  </w:r>
                </w:p>
              </w:txbxContent>
            </v:textbox>
            <w10:wrap type="none"/>
          </v:shape>
        </w:pict>
      </w:r>
      <w:r>
        <w:rPr/>
        <w:pict>
          <v:shape style="position:absolute;margin-left:278.869873pt;margin-top:-77.491066pt;width:10.8pt;height:21.95pt;mso-position-horizontal-relative:page;mso-position-vertical-relative:paragraph;z-index:9016" type="#_x0000_t202" filled="false" stroked="false">
            <v:textbox inset="0,0,0,0" style="layout-flow:vertical;mso-layout-flow-alt:bottom-to-top">
              <w:txbxContent>
                <w:p>
                  <w:pPr>
                    <w:spacing w:line="197" w:lineRule="exact" w:before="0"/>
                    <w:ind w:left="20" w:right="-222" w:firstLine="0"/>
                    <w:jc w:val="left"/>
                    <w:rPr>
                      <w:rFonts w:ascii="Calibri"/>
                      <w:sz w:val="17"/>
                    </w:rPr>
                  </w:pPr>
                  <w:r>
                    <w:rPr>
                      <w:rFonts w:ascii="Calibri"/>
                      <w:w w:val="103"/>
                      <w:sz w:val="17"/>
                    </w:rPr>
                    <w:t>590</w:t>
                  </w:r>
                  <w:r>
                    <w:rPr>
                      <w:rFonts w:ascii="Calibri"/>
                      <w:spacing w:val="-2"/>
                      <w:w w:val="103"/>
                      <w:sz w:val="17"/>
                    </w:rPr>
                    <w:t>.</w:t>
                  </w:r>
                  <w:r>
                    <w:rPr>
                      <w:rFonts w:ascii="Calibri"/>
                      <w:w w:val="103"/>
                      <w:sz w:val="17"/>
                    </w:rPr>
                    <w:t>8</w:t>
                  </w:r>
                </w:p>
              </w:txbxContent>
            </v:textbox>
            <w10:wrap type="none"/>
          </v:shape>
        </w:pict>
      </w:r>
      <w:r>
        <w:rPr/>
        <w:pict>
          <v:shape style="position:absolute;margin-left:303.109863pt;margin-top:-80.011063pt;width:10.8pt;height:22.05pt;mso-position-horizontal-relative:page;mso-position-vertical-relative:paragraph;z-index:9064" type="#_x0000_t202" filled="false" stroked="false">
            <v:textbox inset="0,0,0,0" style="layout-flow:vertical;mso-layout-flow-alt:bottom-to-top">
              <w:txbxContent>
                <w:p>
                  <w:pPr>
                    <w:spacing w:line="197" w:lineRule="exact" w:before="0"/>
                    <w:ind w:left="20" w:right="-225" w:firstLine="0"/>
                    <w:jc w:val="left"/>
                    <w:rPr>
                      <w:rFonts w:ascii="Calibri"/>
                      <w:sz w:val="17"/>
                    </w:rPr>
                  </w:pPr>
                  <w:r>
                    <w:rPr>
                      <w:rFonts w:ascii="Calibri"/>
                      <w:w w:val="103"/>
                      <w:sz w:val="17"/>
                    </w:rPr>
                    <w:t>798</w:t>
                  </w:r>
                  <w:r>
                    <w:rPr>
                      <w:rFonts w:ascii="Calibri"/>
                      <w:spacing w:val="1"/>
                      <w:w w:val="103"/>
                      <w:sz w:val="17"/>
                    </w:rPr>
                    <w:t>.</w:t>
                  </w:r>
                  <w:r>
                    <w:rPr>
                      <w:rFonts w:ascii="Calibri"/>
                      <w:w w:val="103"/>
                      <w:sz w:val="17"/>
                    </w:rPr>
                    <w:t>2</w:t>
                  </w:r>
                </w:p>
              </w:txbxContent>
            </v:textbox>
            <w10:wrap type="none"/>
          </v:shape>
        </w:pict>
      </w:r>
      <w:r>
        <w:rPr/>
        <w:pict>
          <v:shape style="position:absolute;margin-left:327.349854pt;margin-top:-81.931061pt;width:10.8pt;height:21.95pt;mso-position-horizontal-relative:page;mso-position-vertical-relative:paragraph;z-index:9112" type="#_x0000_t202" filled="false" stroked="false">
            <v:textbox inset="0,0,0,0" style="layout-flow:vertical;mso-layout-flow-alt:bottom-to-top">
              <w:txbxContent>
                <w:p>
                  <w:pPr>
                    <w:spacing w:line="197" w:lineRule="exact" w:before="0"/>
                    <w:ind w:left="20" w:right="-222" w:firstLine="0"/>
                    <w:jc w:val="left"/>
                    <w:rPr>
                      <w:rFonts w:ascii="Calibri"/>
                      <w:sz w:val="17"/>
                    </w:rPr>
                  </w:pPr>
                  <w:r>
                    <w:rPr>
                      <w:rFonts w:ascii="Calibri"/>
                      <w:w w:val="103"/>
                      <w:sz w:val="17"/>
                    </w:rPr>
                    <w:t>912</w:t>
                  </w:r>
                  <w:r>
                    <w:rPr>
                      <w:rFonts w:ascii="Calibri"/>
                      <w:spacing w:val="-2"/>
                      <w:w w:val="103"/>
                      <w:sz w:val="17"/>
                    </w:rPr>
                    <w:t>.</w:t>
                  </w:r>
                  <w:r>
                    <w:rPr>
                      <w:rFonts w:ascii="Calibri"/>
                      <w:w w:val="103"/>
                      <w:sz w:val="17"/>
                    </w:rPr>
                    <w:t>2</w:t>
                  </w:r>
                </w:p>
              </w:txbxContent>
            </v:textbox>
            <w10:wrap type="none"/>
          </v:shape>
        </w:pict>
      </w:r>
      <w:r>
        <w:rPr/>
        <w:pict>
          <v:shape style="position:absolute;margin-left:352.429871pt;margin-top:-91.056656pt;width:10.8pt;height:28.65pt;mso-position-horizontal-relative:page;mso-position-vertical-relative:paragraph;z-index:9160" type="#_x0000_t202" filled="false" stroked="false">
            <v:textbox inset="0,0,0,0" style="layout-flow:vertical;mso-layout-flow-alt:bottom-to-top">
              <w:txbxContent>
                <w:p>
                  <w:pPr>
                    <w:spacing w:line="197" w:lineRule="exact" w:before="0"/>
                    <w:ind w:left="20" w:right="-355" w:firstLine="0"/>
                    <w:jc w:val="left"/>
                    <w:rPr>
                      <w:rFonts w:ascii="Calibri"/>
                      <w:sz w:val="17"/>
                    </w:rPr>
                  </w:pPr>
                  <w:r>
                    <w:rPr>
                      <w:rFonts w:ascii="Calibri"/>
                      <w:w w:val="103"/>
                      <w:sz w:val="17"/>
                    </w:rPr>
                    <w:t>1</w:t>
                  </w:r>
                  <w:r>
                    <w:rPr>
                      <w:rFonts w:ascii="Calibri"/>
                      <w:spacing w:val="1"/>
                      <w:w w:val="103"/>
                      <w:sz w:val="17"/>
                    </w:rPr>
                    <w:t>,</w:t>
                  </w:r>
                  <w:r>
                    <w:rPr>
                      <w:rFonts w:ascii="Calibri"/>
                      <w:w w:val="103"/>
                      <w:sz w:val="17"/>
                    </w:rPr>
                    <w:t>343</w:t>
                  </w:r>
                  <w:r>
                    <w:rPr>
                      <w:rFonts w:ascii="Calibri"/>
                      <w:spacing w:val="-2"/>
                      <w:w w:val="103"/>
                      <w:sz w:val="17"/>
                    </w:rPr>
                    <w:t>.</w:t>
                  </w:r>
                  <w:r>
                    <w:rPr>
                      <w:rFonts w:ascii="Calibri"/>
                      <w:w w:val="103"/>
                      <w:sz w:val="17"/>
                    </w:rPr>
                    <w:t>8</w:t>
                  </w:r>
                </w:p>
              </w:txbxContent>
            </v:textbox>
            <w10:wrap type="none"/>
          </v:shape>
        </w:pict>
      </w:r>
      <w:r>
        <w:rPr/>
        <w:pict>
          <v:shape style="position:absolute;margin-left:377.629852pt;margin-top:-92.376656pt;width:10.8pt;height:28.65pt;mso-position-horizontal-relative:page;mso-position-vertical-relative:paragraph;z-index:9208" type="#_x0000_t202" filled="false" stroked="false">
            <v:textbox inset="0,0,0,0" style="layout-flow:vertical;mso-layout-flow-alt:bottom-to-top">
              <w:txbxContent>
                <w:p>
                  <w:pPr>
                    <w:spacing w:line="197" w:lineRule="exact" w:before="0"/>
                    <w:ind w:left="20" w:right="-355" w:firstLine="0"/>
                    <w:jc w:val="left"/>
                    <w:rPr>
                      <w:rFonts w:ascii="Calibri"/>
                      <w:sz w:val="17"/>
                    </w:rPr>
                  </w:pPr>
                  <w:r>
                    <w:rPr>
                      <w:rFonts w:ascii="Calibri"/>
                      <w:w w:val="103"/>
                      <w:sz w:val="17"/>
                    </w:rPr>
                    <w:t>1</w:t>
                  </w:r>
                  <w:r>
                    <w:rPr>
                      <w:rFonts w:ascii="Calibri"/>
                      <w:spacing w:val="1"/>
                      <w:w w:val="103"/>
                      <w:sz w:val="17"/>
                    </w:rPr>
                    <w:t>,</w:t>
                  </w:r>
                  <w:r>
                    <w:rPr>
                      <w:rFonts w:ascii="Calibri"/>
                      <w:w w:val="103"/>
                      <w:sz w:val="17"/>
                    </w:rPr>
                    <w:t>770</w:t>
                  </w:r>
                  <w:r>
                    <w:rPr>
                      <w:rFonts w:ascii="Calibri"/>
                      <w:spacing w:val="-2"/>
                      <w:w w:val="103"/>
                      <w:sz w:val="17"/>
                    </w:rPr>
                    <w:t>.</w:t>
                  </w:r>
                  <w:r>
                    <w:rPr>
                      <w:rFonts w:ascii="Calibri"/>
                      <w:w w:val="103"/>
                      <w:sz w:val="17"/>
                    </w:rPr>
                    <w:t>4</w:t>
                  </w:r>
                </w:p>
              </w:txbxContent>
            </v:textbox>
            <w10:wrap type="none"/>
          </v:shape>
        </w:pict>
      </w:r>
      <w:r>
        <w:rPr/>
        <w:pict>
          <v:shape style="position:absolute;margin-left:399.949829pt;margin-top:-93.816658pt;width:10.8pt;height:28.65pt;mso-position-horizontal-relative:page;mso-position-vertical-relative:paragraph;z-index:9256" type="#_x0000_t202" filled="false" stroked="false">
            <v:textbox inset="0,0,0,0" style="layout-flow:vertical;mso-layout-flow-alt:bottom-to-top">
              <w:txbxContent>
                <w:p>
                  <w:pPr>
                    <w:spacing w:line="197" w:lineRule="exact" w:before="0"/>
                    <w:ind w:left="20" w:right="-356" w:firstLine="0"/>
                    <w:jc w:val="left"/>
                    <w:rPr>
                      <w:rFonts w:ascii="Calibri"/>
                      <w:sz w:val="17"/>
                    </w:rPr>
                  </w:pPr>
                  <w:r>
                    <w:rPr>
                      <w:rFonts w:ascii="Calibri"/>
                      <w:w w:val="103"/>
                      <w:sz w:val="17"/>
                    </w:rPr>
                    <w:t>2</w:t>
                  </w:r>
                  <w:r>
                    <w:rPr>
                      <w:rFonts w:ascii="Calibri"/>
                      <w:spacing w:val="-1"/>
                      <w:w w:val="103"/>
                      <w:sz w:val="17"/>
                    </w:rPr>
                    <w:t>,</w:t>
                  </w:r>
                  <w:r>
                    <w:rPr>
                      <w:rFonts w:ascii="Calibri"/>
                      <w:w w:val="103"/>
                      <w:sz w:val="17"/>
                    </w:rPr>
                    <w:t>057</w:t>
                  </w:r>
                  <w:r>
                    <w:rPr>
                      <w:rFonts w:ascii="Calibri"/>
                      <w:spacing w:val="1"/>
                      <w:w w:val="103"/>
                      <w:sz w:val="17"/>
                    </w:rPr>
                    <w:t>.</w:t>
                  </w:r>
                  <w:r>
                    <w:rPr>
                      <w:rFonts w:ascii="Calibri"/>
                      <w:w w:val="103"/>
                      <w:sz w:val="17"/>
                    </w:rPr>
                    <w:t>3</w:t>
                  </w:r>
                </w:p>
              </w:txbxContent>
            </v:textbox>
            <w10:wrap type="none"/>
          </v:shape>
        </w:pict>
      </w:r>
      <w:r>
        <w:rPr/>
        <w:pict>
          <v:shape style="position:absolute;margin-left:424.189819pt;margin-top:-94.656654pt;width:10.8pt;height:28.65pt;mso-position-horizontal-relative:page;mso-position-vertical-relative:paragraph;z-index:9304" type="#_x0000_t202" filled="false" stroked="false">
            <v:textbox inset="0,0,0,0" style="layout-flow:vertical;mso-layout-flow-alt:bottom-to-top">
              <w:txbxContent>
                <w:p>
                  <w:pPr>
                    <w:spacing w:line="197" w:lineRule="exact" w:before="0"/>
                    <w:ind w:left="20" w:right="-356" w:firstLine="0"/>
                    <w:jc w:val="left"/>
                    <w:rPr>
                      <w:rFonts w:ascii="Calibri"/>
                      <w:sz w:val="17"/>
                    </w:rPr>
                  </w:pPr>
                  <w:r>
                    <w:rPr>
                      <w:rFonts w:ascii="Calibri"/>
                      <w:w w:val="103"/>
                      <w:sz w:val="17"/>
                    </w:rPr>
                    <w:t>2</w:t>
                  </w:r>
                  <w:r>
                    <w:rPr>
                      <w:rFonts w:ascii="Calibri"/>
                      <w:spacing w:val="-1"/>
                      <w:w w:val="103"/>
                      <w:sz w:val="17"/>
                    </w:rPr>
                    <w:t>,</w:t>
                  </w:r>
                  <w:r>
                    <w:rPr>
                      <w:rFonts w:ascii="Calibri"/>
                      <w:w w:val="103"/>
                      <w:sz w:val="17"/>
                    </w:rPr>
                    <w:t>534</w:t>
                  </w:r>
                  <w:r>
                    <w:rPr>
                      <w:rFonts w:ascii="Calibri"/>
                      <w:spacing w:val="1"/>
                      <w:w w:val="103"/>
                      <w:sz w:val="17"/>
                    </w:rPr>
                    <w:t>.</w:t>
                  </w:r>
                  <w:r>
                    <w:rPr>
                      <w:rFonts w:ascii="Calibri"/>
                      <w:w w:val="103"/>
                      <w:sz w:val="17"/>
                    </w:rPr>
                    <w:t>6</w:t>
                  </w:r>
                </w:p>
              </w:txbxContent>
            </v:textbox>
            <w10:wrap type="none"/>
          </v:shape>
        </w:pict>
      </w:r>
      <w:r>
        <w:rPr/>
        <w:pict>
          <v:shape style="position:absolute;margin-left:449.269806pt;margin-top:-94.176659pt;width:10.8pt;height:28.65pt;mso-position-horizontal-relative:page;mso-position-vertical-relative:paragraph;z-index:9352" type="#_x0000_t202" filled="false" stroked="false">
            <v:textbox inset="0,0,0,0" style="layout-flow:vertical;mso-layout-flow-alt:bottom-to-top">
              <w:txbxContent>
                <w:p>
                  <w:pPr>
                    <w:spacing w:line="197" w:lineRule="exact" w:before="0"/>
                    <w:ind w:left="20" w:right="-356" w:firstLine="0"/>
                    <w:jc w:val="left"/>
                    <w:rPr>
                      <w:rFonts w:ascii="Calibri"/>
                      <w:sz w:val="17"/>
                    </w:rPr>
                  </w:pPr>
                  <w:r>
                    <w:rPr>
                      <w:rFonts w:ascii="Calibri"/>
                      <w:w w:val="103"/>
                      <w:sz w:val="17"/>
                    </w:rPr>
                    <w:t>2</w:t>
                  </w:r>
                  <w:r>
                    <w:rPr>
                      <w:rFonts w:ascii="Calibri"/>
                      <w:spacing w:val="-1"/>
                      <w:w w:val="103"/>
                      <w:sz w:val="17"/>
                    </w:rPr>
                    <w:t>,</w:t>
                  </w:r>
                  <w:r>
                    <w:rPr>
                      <w:rFonts w:ascii="Calibri"/>
                      <w:w w:val="103"/>
                      <w:sz w:val="17"/>
                    </w:rPr>
                    <w:t>431</w:t>
                  </w:r>
                  <w:r>
                    <w:rPr>
                      <w:rFonts w:ascii="Calibri"/>
                      <w:spacing w:val="1"/>
                      <w:w w:val="103"/>
                      <w:sz w:val="17"/>
                    </w:rPr>
                    <w:t>.</w:t>
                  </w:r>
                  <w:r>
                    <w:rPr>
                      <w:rFonts w:ascii="Calibri"/>
                      <w:w w:val="103"/>
                      <w:sz w:val="17"/>
                    </w:rPr>
                    <w:t>9</w:t>
                  </w:r>
                </w:p>
              </w:txbxContent>
            </v:textbox>
            <w10:wrap type="none"/>
          </v:shape>
        </w:pict>
      </w:r>
      <w:r>
        <w:rPr/>
        <w:pict>
          <v:shape style="position:absolute;margin-left:473.509796pt;margin-top:-91.656776pt;width:10.8pt;height:28.65pt;mso-position-horizontal-relative:page;mso-position-vertical-relative:paragraph;z-index:9400" type="#_x0000_t202" filled="false" stroked="false">
            <v:textbox inset="0,0,0,0" style="layout-flow:vertical;mso-layout-flow-alt:bottom-to-top">
              <w:txbxContent>
                <w:p>
                  <w:pPr>
                    <w:spacing w:line="197" w:lineRule="exact" w:before="0"/>
                    <w:ind w:left="20" w:right="-355" w:firstLine="0"/>
                    <w:jc w:val="left"/>
                    <w:rPr>
                      <w:rFonts w:ascii="Calibri"/>
                      <w:sz w:val="17"/>
                    </w:rPr>
                  </w:pPr>
                  <w:r>
                    <w:rPr>
                      <w:rFonts w:ascii="Calibri"/>
                      <w:w w:val="103"/>
                      <w:sz w:val="17"/>
                    </w:rPr>
                    <w:t>2</w:t>
                  </w:r>
                  <w:r>
                    <w:rPr>
                      <w:rFonts w:ascii="Calibri"/>
                      <w:spacing w:val="1"/>
                      <w:w w:val="103"/>
                      <w:sz w:val="17"/>
                    </w:rPr>
                    <w:t>,</w:t>
                  </w:r>
                  <w:r>
                    <w:rPr>
                      <w:rFonts w:ascii="Calibri"/>
                      <w:spacing w:val="-3"/>
                      <w:w w:val="103"/>
                      <w:sz w:val="17"/>
                    </w:rPr>
                    <w:t>3</w:t>
                  </w:r>
                  <w:r>
                    <w:rPr>
                      <w:rFonts w:ascii="Calibri"/>
                      <w:w w:val="103"/>
                      <w:sz w:val="17"/>
                    </w:rPr>
                    <w:t>71</w:t>
                  </w:r>
                  <w:r>
                    <w:rPr>
                      <w:rFonts w:ascii="Calibri"/>
                      <w:spacing w:val="1"/>
                      <w:w w:val="103"/>
                      <w:sz w:val="17"/>
                    </w:rPr>
                    <w:t>.</w:t>
                  </w:r>
                  <w:r>
                    <w:rPr>
                      <w:rFonts w:ascii="Calibri"/>
                      <w:w w:val="103"/>
                      <w:sz w:val="17"/>
                    </w:rPr>
                    <w:t>2</w:t>
                  </w:r>
                </w:p>
              </w:txbxContent>
            </v:textbox>
            <w10:wrap type="none"/>
          </v:shape>
        </w:pict>
      </w:r>
      <w:r>
        <w:rPr/>
        <w:pict>
          <v:shape style="position:absolute;margin-left:496.789795pt;margin-top:-92.25666pt;width:10.8pt;height:28.65pt;mso-position-horizontal-relative:page;mso-position-vertical-relative:paragraph;z-index:9448" type="#_x0000_t202" filled="false" stroked="false">
            <v:textbox inset="0,0,0,0" style="layout-flow:vertical;mso-layout-flow-alt:bottom-to-top">
              <w:txbxContent>
                <w:p>
                  <w:pPr>
                    <w:spacing w:line="197" w:lineRule="exact" w:before="0"/>
                    <w:ind w:left="20" w:right="-355" w:firstLine="0"/>
                    <w:jc w:val="left"/>
                    <w:rPr>
                      <w:rFonts w:ascii="Calibri"/>
                      <w:sz w:val="17"/>
                    </w:rPr>
                  </w:pPr>
                  <w:r>
                    <w:rPr>
                      <w:rFonts w:ascii="Calibri"/>
                      <w:w w:val="103"/>
                      <w:sz w:val="17"/>
                    </w:rPr>
                    <w:t>1</w:t>
                  </w:r>
                  <w:r>
                    <w:rPr>
                      <w:rFonts w:ascii="Calibri"/>
                      <w:spacing w:val="1"/>
                      <w:w w:val="103"/>
                      <w:sz w:val="17"/>
                    </w:rPr>
                    <w:t>,</w:t>
                  </w:r>
                  <w:r>
                    <w:rPr>
                      <w:rFonts w:ascii="Calibri"/>
                      <w:w w:val="103"/>
                      <w:sz w:val="17"/>
                    </w:rPr>
                    <w:t>900</w:t>
                  </w:r>
                  <w:r>
                    <w:rPr>
                      <w:rFonts w:ascii="Calibri"/>
                      <w:spacing w:val="-2"/>
                      <w:w w:val="103"/>
                      <w:sz w:val="17"/>
                    </w:rPr>
                    <w:t>.</w:t>
                  </w:r>
                  <w:r>
                    <w:rPr>
                      <w:rFonts w:ascii="Calibri"/>
                      <w:w w:val="103"/>
                      <w:sz w:val="17"/>
                    </w:rPr>
                    <w:t>1</w:t>
                  </w:r>
                </w:p>
              </w:txbxContent>
            </v:textbox>
            <w10:wrap type="none"/>
          </v:shape>
        </w:pict>
      </w:r>
      <w:r>
        <w:rPr>
          <w:sz w:val="21"/>
        </w:rPr>
        <w:t>Fuente: Elaboración propia con información estadística del Banco de México.   1995-2009.</w:t>
      </w:r>
    </w:p>
    <w:p>
      <w:pPr>
        <w:pStyle w:val="BodyText"/>
        <w:rPr>
          <w:sz w:val="20"/>
        </w:rPr>
      </w:pPr>
    </w:p>
    <w:p>
      <w:pPr>
        <w:pStyle w:val="BodyText"/>
        <w:spacing w:before="2"/>
        <w:rPr>
          <w:sz w:val="26"/>
        </w:rPr>
      </w:pPr>
    </w:p>
    <w:p>
      <w:pPr>
        <w:pStyle w:val="BodyText"/>
        <w:spacing w:line="364" w:lineRule="auto" w:before="1"/>
        <w:ind w:left="115" w:right="145"/>
        <w:jc w:val="both"/>
      </w:pPr>
      <w:r>
        <w:rPr/>
        <w:t>De los meses del año, el más importante en el envío de remesas a nuestro país   es el mes de mayo en donde se manda 1,225.7 millones de dólares en promedio para este periodo de análisis, y desde luego que en este mes se envío el 9.5%  </w:t>
      </w:r>
      <w:r>
        <w:rPr>
          <w:spacing w:val="42"/>
        </w:rPr>
        <w:t> </w:t>
      </w:r>
      <w:r>
        <w:rPr/>
        <w:t>de</w:t>
      </w:r>
    </w:p>
    <w:p>
      <w:pPr>
        <w:spacing w:after="0" w:line="364" w:lineRule="auto"/>
        <w:jc w:val="both"/>
        <w:sectPr>
          <w:pgSz w:w="11900" w:h="16840"/>
          <w:pgMar w:header="0" w:footer="1679" w:top="1600" w:bottom="1860" w:left="1540" w:right="1540"/>
        </w:sectPr>
      </w:pPr>
    </w:p>
    <w:p>
      <w:pPr>
        <w:pStyle w:val="BodyText"/>
        <w:rPr>
          <w:sz w:val="20"/>
        </w:rPr>
      </w:pPr>
    </w:p>
    <w:p>
      <w:pPr>
        <w:pStyle w:val="BodyText"/>
        <w:spacing w:before="10"/>
        <w:rPr>
          <w:sz w:val="16"/>
        </w:rPr>
      </w:pPr>
    </w:p>
    <w:p>
      <w:pPr>
        <w:pStyle w:val="BodyText"/>
        <w:spacing w:line="364" w:lineRule="auto" w:before="74"/>
        <w:ind w:left="118" w:right="285"/>
        <w:jc w:val="both"/>
      </w:pPr>
      <w:r>
        <w:rPr/>
        <w:t>las remesas que se mandan a México, exhibió una tasa de crecimiento de 12.7%. Los meses de agosto y octubre son los que le siguen en orden de importancia en  el flujo de este rubro que significan 9.1 y 9.0% de las remesas </w:t>
      </w:r>
      <w:r>
        <w:rPr>
          <w:spacing w:val="17"/>
        </w:rPr>
        <w:t> </w:t>
      </w:r>
      <w:r>
        <w:rPr/>
        <w:t>nacionales.</w:t>
      </w:r>
    </w:p>
    <w:p>
      <w:pPr>
        <w:pStyle w:val="BodyText"/>
        <w:spacing w:before="1"/>
        <w:rPr>
          <w:sz w:val="29"/>
        </w:rPr>
      </w:pPr>
    </w:p>
    <w:p>
      <w:pPr>
        <w:pStyle w:val="BodyText"/>
        <w:spacing w:line="364" w:lineRule="auto" w:before="74"/>
        <w:ind w:left="118" w:right="286"/>
        <w:jc w:val="both"/>
      </w:pPr>
      <w:r>
        <w:rPr/>
        <w:t>La Figura 4, revela el comportamiento de las tasas de crecimiento de cada mes y de todos los meses del año en el periodo de 1995-2009. A pesar de que el mes    de mayo es el más importante en el envío de remesas presenta un incremento del 12.7%, Menor al crecimiento nacional que fue de</w:t>
      </w:r>
      <w:r>
        <w:rPr>
          <w:spacing w:val="62"/>
        </w:rPr>
        <w:t> </w:t>
      </w:r>
      <w:r>
        <w:rPr/>
        <w:t>13.3%.</w:t>
      </w:r>
    </w:p>
    <w:p>
      <w:pPr>
        <w:pStyle w:val="BodyText"/>
        <w:spacing w:before="7"/>
        <w:rPr>
          <w:sz w:val="28"/>
        </w:rPr>
      </w:pPr>
    </w:p>
    <w:p>
      <w:pPr>
        <w:pStyle w:val="Heading4"/>
        <w:spacing w:line="244" w:lineRule="auto" w:before="74"/>
        <w:ind w:left="4212" w:right="799" w:hanging="3356"/>
      </w:pPr>
      <w:r>
        <w:rPr/>
        <w:pict>
          <v:group style="position:absolute;margin-left:83.040001pt;margin-top:36.556301pt;width:423pt;height:235.25pt;mso-position-horizontal-relative:page;mso-position-vertical-relative:paragraph;z-index:9520" coordorigin="1661,731" coordsize="8460,4705">
            <v:line style="position:absolute" from="2743,1004" to="4193,1004" stroked="true" strokeweight=".12pt" strokecolor="#c1c1c1"/>
            <v:shape style="position:absolute;left:2532;top:1003;width:1658;height:3761" type="#_x0000_t75" stroked="false">
              <v:imagedata r:id="rId267" o:title=""/>
            </v:shape>
            <v:shape style="position:absolute;left:2484;top:2061;width:60;height:2691" coordorigin="2484,2061" coordsize="60,2691" path="m2484,4751l2544,4751m2484,4303l2544,4303m2484,3856l2544,3856m2484,3407l2544,3407m2484,2959l2544,2959m2484,2510l2544,2510m2484,2061l2544,2061e" filled="false" stroked="true" strokeweight=".72pt" strokecolor="#858585">
              <v:path arrowok="t"/>
            </v:shape>
            <v:line style="position:absolute" from="2484,1613" to="2544,1613" stroked="true" strokeweight=".84pt" strokecolor="#858585"/>
            <v:line style="position:absolute" from="2484,1166" to="2544,1166" stroked="true" strokeweight=".72pt" strokecolor="#858585"/>
            <v:shape style="position:absolute;left:2537;top:4784;width:1181;height:2" coordorigin="2537,4784" coordsize="1181,0" path="m2537,4784l2551,4784m3120,4784l3137,4784m3703,4784l3718,4784e" filled="false" stroked="true" strokeweight="3.0pt" strokecolor="#858585">
              <v:path arrowok="t"/>
            </v:shape>
            <v:shape style="position:absolute;left:2748;top:1346;width:1443;height:603" coordorigin="2748,1346" coordsize="1443,603" path="m3043,1346l2748,1346,2748,1809,3043,1809,3043,1346m3626,1485l3331,1485,3331,1948,3626,1948,3626,1485m4190,1382l3914,1382,3914,1843,4190,1843,4190,1382e" filled="true" fillcolor="#d7e4bc" stroked="false">
              <v:path arrowok="t"/>
              <v:fill type="solid"/>
            </v:shape>
            <v:shape style="position:absolute;left:1661;top:731;width:2530;height:4704" coordorigin="1661,731" coordsize="2530,4704" path="m4190,731l1661,731,1661,5428,1668,5435,4190,5435,4190,5421,1690,5421,1675,5407,1690,5407,1690,753,1675,753,1690,739,4190,739,4190,731xm1690,5407l1675,5407,1690,5421,1690,5407xm4190,5407l1690,5407,1690,5421,4190,5421,4190,5407xm1690,739l1675,753,1690,753,1690,739xm4190,739l1690,739,1690,753,4190,753,4190,739xe" filled="true" fillcolor="#0c0c0c" stroked="false">
              <v:path arrowok="t"/>
              <v:fill type="solid"/>
            </v:shape>
            <v:shape style="position:absolute;left:4190;top:1003;width:4188;height:22" type="#_x0000_t75" stroked="false">
              <v:imagedata r:id="rId268" o:title=""/>
            </v:shape>
            <v:shape style="position:absolute;left:4190;top:1219;width:4188;height:3545" type="#_x0000_t75" stroked="false">
              <v:imagedata r:id="rId269" o:title=""/>
            </v:shape>
            <v:shape style="position:absolute;left:4286;top:4784;width:4092;height:2" coordorigin="4286,4784" coordsize="4092,0" path="m4286,4784l4301,4784m4870,4784l4884,4784m5453,4784l5467,4784m6034,4784l6048,4784m6617,4784l6631,4784m7200,4784l7214,4784m7781,4784l7795,4784m8366,4784l8378,4784e" filled="false" stroked="true" strokeweight="3.0pt" strokecolor="#858585">
              <v:path arrowok="t"/>
            </v:shape>
            <v:line style="position:absolute" from="4200,1382" to="4200,1843" stroked="true" strokeweight=".960013pt" strokecolor="#d7e4bc"/>
            <v:shape style="position:absolute;left:4498;top:760;width:3792;height:1037" coordorigin="4498,760" coordsize="3792,1037" path="m4793,1298l4498,1298,4498,1761,4793,1761,4793,1298m5376,1334l5078,1334,5078,1797,5376,1797,5376,1334m5957,1269l5662,1269,5662,1730,5957,1730,5957,1269m6540,1223l6245,1223,6245,1684,6540,1684,6540,1223m7123,1139l6828,1139,6828,1603,7123,1603,7123,1139m7706,760l7411,760,7411,1223,7706,1223,7706,760m8290,1173l7992,1173,7992,1634,8290,1634,8290,1173e" filled="true" fillcolor="#d7e4bc" stroked="false">
              <v:path arrowok="t"/>
              <v:fill type="solid"/>
            </v:shape>
            <v:line style="position:absolute" from="4190,5421" to="8378,5421" stroked="true" strokeweight="1.44pt" strokecolor="#0c0c0c"/>
            <v:line style="position:absolute" from="4190,742" to="8378,742" stroked="true" strokeweight="1.079968pt" strokecolor="#0c0c0c"/>
            <v:shape style="position:absolute;left:8378;top:1003;width:1366;height:22" type="#_x0000_t75" stroked="false">
              <v:imagedata r:id="rId270" o:title=""/>
            </v:shape>
            <v:shape style="position:absolute;left:8378;top:1233;width:1368;height:3530" type="#_x0000_t75" stroked="false">
              <v:imagedata r:id="rId271" o:title=""/>
            </v:shape>
            <v:shape style="position:absolute;left:8378;top:4784;width:1167;height:2" coordorigin="8378,4784" coordsize="1167,0" path="m8378,4784l8381,4784m8947,4784l8962,4784m9530,4784l9545,4784e" filled="false" stroked="true" strokeweight="3.0pt" strokecolor="#858585">
              <v:path arrowok="t"/>
            </v:shape>
            <v:shape style="position:absolute;left:8575;top:775;width:879;height:766" coordorigin="8575,775" coordsize="879,766" path="m8870,775l8575,775,8575,1235,8870,1235,8870,775m9454,1077l9158,1077,9158,1540,9454,1540,9454,1077e" filled="true" fillcolor="#d7e4bc" stroked="false">
              <v:path arrowok="t"/>
              <v:fill type="solid"/>
            </v:shape>
            <v:shape style="position:absolute;left:8378;top:731;width:1743;height:4704" coordorigin="8378,731" coordsize="1743,4704" path="m10092,5407l8378,5407,8378,5435,10116,5435,10121,5428,10121,5421,10092,5421,10092,5407xm10092,739l10092,5421,10106,5407,10121,5407,10121,753,10106,753,10092,739xm10121,5407l10106,5407,10092,5421,10121,5421,10121,5407xm10121,731l8378,731,8378,753,10092,753,10092,739,10121,739,10121,731xm10121,739l10092,739,10106,753,10121,753,10121,739xe" filled="true" fillcolor="#0c0c0c" stroked="false">
              <v:path arrowok="t"/>
              <v:fill type="solid"/>
            </v:shape>
            <v:shape style="position:absolute;left:2018;top:1088;width:346;height:3780" type="#_x0000_t202" filled="false" stroked="false">
              <v:textbox inset="0,0,0,0">
                <w:txbxContent>
                  <w:p>
                    <w:pPr>
                      <w:spacing w:line="196" w:lineRule="exact" w:before="0"/>
                      <w:ind w:left="0" w:right="-14" w:firstLine="0"/>
                      <w:jc w:val="left"/>
                      <w:rPr>
                        <w:rFonts w:ascii="Calibri"/>
                        <w:b/>
                        <w:sz w:val="19"/>
                      </w:rPr>
                    </w:pPr>
                    <w:r>
                      <w:rPr>
                        <w:rFonts w:ascii="Calibri"/>
                        <w:b/>
                        <w:sz w:val="19"/>
                      </w:rPr>
                      <w:t>16.0</w:t>
                    </w:r>
                  </w:p>
                  <w:p>
                    <w:pPr>
                      <w:spacing w:line="240" w:lineRule="auto" w:before="7"/>
                      <w:rPr>
                        <w:sz w:val="18"/>
                      </w:rPr>
                    </w:pPr>
                  </w:p>
                  <w:p>
                    <w:pPr>
                      <w:spacing w:before="0"/>
                      <w:ind w:left="0" w:right="-14" w:firstLine="0"/>
                      <w:jc w:val="left"/>
                      <w:rPr>
                        <w:rFonts w:ascii="Calibri"/>
                        <w:b/>
                        <w:sz w:val="19"/>
                      </w:rPr>
                    </w:pPr>
                    <w:r>
                      <w:rPr>
                        <w:rFonts w:ascii="Calibri"/>
                        <w:b/>
                        <w:sz w:val="19"/>
                      </w:rPr>
                      <w:t>14.0</w:t>
                    </w:r>
                  </w:p>
                  <w:p>
                    <w:pPr>
                      <w:spacing w:line="240" w:lineRule="auto" w:before="9"/>
                      <w:rPr>
                        <w:sz w:val="18"/>
                      </w:rPr>
                    </w:pPr>
                  </w:p>
                  <w:p>
                    <w:pPr>
                      <w:spacing w:before="1"/>
                      <w:ind w:left="0" w:right="-14" w:firstLine="0"/>
                      <w:jc w:val="left"/>
                      <w:rPr>
                        <w:rFonts w:ascii="Calibri"/>
                        <w:b/>
                        <w:sz w:val="19"/>
                      </w:rPr>
                    </w:pPr>
                    <w:r>
                      <w:rPr>
                        <w:rFonts w:ascii="Calibri"/>
                        <w:b/>
                        <w:sz w:val="19"/>
                      </w:rPr>
                      <w:t>12.0</w:t>
                    </w:r>
                  </w:p>
                  <w:p>
                    <w:pPr>
                      <w:spacing w:line="240" w:lineRule="auto" w:before="9"/>
                      <w:rPr>
                        <w:sz w:val="18"/>
                      </w:rPr>
                    </w:pPr>
                  </w:p>
                  <w:p>
                    <w:pPr>
                      <w:spacing w:before="1"/>
                      <w:ind w:left="0" w:right="-14" w:firstLine="0"/>
                      <w:jc w:val="left"/>
                      <w:rPr>
                        <w:rFonts w:ascii="Calibri"/>
                        <w:b/>
                        <w:sz w:val="19"/>
                      </w:rPr>
                    </w:pPr>
                    <w:r>
                      <w:rPr>
                        <w:rFonts w:ascii="Calibri"/>
                        <w:b/>
                        <w:sz w:val="19"/>
                      </w:rPr>
                      <w:t>10.0</w:t>
                    </w:r>
                  </w:p>
                  <w:p>
                    <w:pPr>
                      <w:spacing w:line="240" w:lineRule="auto" w:before="9"/>
                      <w:rPr>
                        <w:sz w:val="18"/>
                      </w:rPr>
                    </w:pPr>
                  </w:p>
                  <w:p>
                    <w:pPr>
                      <w:spacing w:before="1"/>
                      <w:ind w:left="98" w:right="-16" w:firstLine="0"/>
                      <w:jc w:val="left"/>
                      <w:rPr>
                        <w:rFonts w:ascii="Calibri"/>
                        <w:b/>
                        <w:sz w:val="19"/>
                      </w:rPr>
                    </w:pPr>
                    <w:r>
                      <w:rPr>
                        <w:rFonts w:ascii="Calibri"/>
                        <w:b/>
                        <w:sz w:val="19"/>
                      </w:rPr>
                      <w:t>8.0</w:t>
                    </w:r>
                  </w:p>
                  <w:p>
                    <w:pPr>
                      <w:spacing w:line="240" w:lineRule="auto" w:before="7"/>
                      <w:rPr>
                        <w:sz w:val="18"/>
                      </w:rPr>
                    </w:pPr>
                  </w:p>
                  <w:p>
                    <w:pPr>
                      <w:spacing w:before="0"/>
                      <w:ind w:left="98" w:right="-16" w:firstLine="0"/>
                      <w:jc w:val="left"/>
                      <w:rPr>
                        <w:rFonts w:ascii="Calibri"/>
                        <w:b/>
                        <w:sz w:val="19"/>
                      </w:rPr>
                    </w:pPr>
                    <w:r>
                      <w:rPr>
                        <w:rFonts w:ascii="Calibri"/>
                        <w:b/>
                        <w:sz w:val="19"/>
                      </w:rPr>
                      <w:t>6.0</w:t>
                    </w:r>
                  </w:p>
                  <w:p>
                    <w:pPr>
                      <w:spacing w:line="240" w:lineRule="auto" w:before="9"/>
                      <w:rPr>
                        <w:sz w:val="18"/>
                      </w:rPr>
                    </w:pPr>
                  </w:p>
                  <w:p>
                    <w:pPr>
                      <w:spacing w:before="1"/>
                      <w:ind w:left="98" w:right="-16" w:firstLine="0"/>
                      <w:jc w:val="left"/>
                      <w:rPr>
                        <w:rFonts w:ascii="Calibri"/>
                        <w:b/>
                        <w:sz w:val="19"/>
                      </w:rPr>
                    </w:pPr>
                    <w:r>
                      <w:rPr>
                        <w:rFonts w:ascii="Calibri"/>
                        <w:b/>
                        <w:sz w:val="19"/>
                      </w:rPr>
                      <w:t>4.0</w:t>
                    </w:r>
                  </w:p>
                  <w:p>
                    <w:pPr>
                      <w:spacing w:line="240" w:lineRule="auto" w:before="9"/>
                      <w:rPr>
                        <w:sz w:val="18"/>
                      </w:rPr>
                    </w:pPr>
                  </w:p>
                  <w:p>
                    <w:pPr>
                      <w:spacing w:before="1"/>
                      <w:ind w:left="98" w:right="-16" w:firstLine="0"/>
                      <w:jc w:val="left"/>
                      <w:rPr>
                        <w:rFonts w:ascii="Calibri"/>
                        <w:b/>
                        <w:sz w:val="19"/>
                      </w:rPr>
                    </w:pPr>
                    <w:r>
                      <w:rPr>
                        <w:rFonts w:ascii="Calibri"/>
                        <w:b/>
                        <w:sz w:val="19"/>
                      </w:rPr>
                      <w:t>2.0</w:t>
                    </w:r>
                  </w:p>
                  <w:p>
                    <w:pPr>
                      <w:spacing w:line="240" w:lineRule="auto" w:before="9"/>
                      <w:rPr>
                        <w:sz w:val="18"/>
                      </w:rPr>
                    </w:pPr>
                  </w:p>
                  <w:p>
                    <w:pPr>
                      <w:spacing w:line="229" w:lineRule="exact" w:before="1"/>
                      <w:ind w:left="98" w:right="-16" w:firstLine="0"/>
                      <w:jc w:val="left"/>
                      <w:rPr>
                        <w:rFonts w:ascii="Calibri"/>
                        <w:b/>
                        <w:sz w:val="19"/>
                      </w:rPr>
                    </w:pPr>
                    <w:r>
                      <w:rPr>
                        <w:rFonts w:ascii="Calibri"/>
                        <w:b/>
                        <w:sz w:val="19"/>
                      </w:rPr>
                      <w:t>0.0</w:t>
                    </w:r>
                  </w:p>
                </w:txbxContent>
              </v:textbox>
              <w10:wrap type="none"/>
            </v:shape>
            <v:shape style="position:absolute;left:2657;top:4973;width:6737;height:194" type="#_x0000_t202" filled="false" stroked="false">
              <v:textbox inset="0,0,0,0">
                <w:txbxContent>
                  <w:p>
                    <w:pPr>
                      <w:tabs>
                        <w:tab w:pos="607" w:val="left" w:leader="none"/>
                        <w:tab w:pos="1207" w:val="left" w:leader="none"/>
                        <w:tab w:pos="1790" w:val="left" w:leader="none"/>
                        <w:tab w:pos="2404" w:val="left" w:leader="none"/>
                        <w:tab w:pos="2947" w:val="left" w:leader="none"/>
                        <w:tab w:pos="3549" w:val="left" w:leader="none"/>
                        <w:tab w:pos="4111" w:val="left" w:leader="none"/>
                        <w:tab w:pos="4672" w:val="left" w:leader="none"/>
                        <w:tab w:pos="5260" w:val="left" w:leader="none"/>
                        <w:tab w:pos="5858" w:val="left" w:leader="none"/>
                        <w:tab w:pos="6439" w:val="left" w:leader="none"/>
                      </w:tabs>
                      <w:spacing w:line="194" w:lineRule="exact" w:before="0"/>
                      <w:ind w:left="0" w:right="0" w:firstLine="0"/>
                      <w:jc w:val="left"/>
                      <w:rPr>
                        <w:rFonts w:ascii="Calibri"/>
                        <w:b/>
                        <w:sz w:val="19"/>
                      </w:rPr>
                    </w:pPr>
                    <w:r>
                      <w:rPr>
                        <w:rFonts w:ascii="Calibri"/>
                        <w:b/>
                        <w:sz w:val="19"/>
                      </w:rPr>
                      <w:t>May</w:t>
                      <w:tab/>
                      <w:t>Ago</w:t>
                      <w:tab/>
                      <w:t>Oct</w:t>
                      <w:tab/>
                      <w:t>Jun</w:t>
                      <w:tab/>
                      <w:t>Jul</w:t>
                      <w:tab/>
                      <w:t>Sep</w:t>
                      <w:tab/>
                      <w:t>Dic</w:t>
                      <w:tab/>
                      <w:t>Abr</w:t>
                      <w:tab/>
                      <w:t>Mar</w:t>
                      <w:tab/>
                      <w:t>Nov</w:t>
                      <w:tab/>
                      <w:t>Feb</w:t>
                      <w:tab/>
                      <w:t>Ene</w:t>
                    </w:r>
                  </w:p>
                </w:txbxContent>
              </v:textbox>
              <w10:wrap type="none"/>
            </v:shape>
            <w10:wrap type="none"/>
          </v:group>
        </w:pict>
      </w:r>
      <w:r>
        <w:rPr/>
        <w:pict>
          <v:shape style="position:absolute;margin-left:139.929291pt;margin-top:69.414352pt;width:11.7pt;height:19.2pt;mso-position-horizontal-relative:page;mso-position-vertical-relative:paragraph;z-index:9544" type="#_x0000_t202" filled="false" stroked="false">
            <v:textbox inset="0,0,0,0" style="layout-flow:vertical;mso-layout-flow-alt:bottom-to-top">
              <w:txbxContent>
                <w:p>
                  <w:pPr>
                    <w:spacing w:line="216" w:lineRule="exact" w:before="0"/>
                    <w:ind w:left="20" w:right="-148" w:firstLine="0"/>
                    <w:jc w:val="left"/>
                    <w:rPr>
                      <w:rFonts w:ascii="Calibri"/>
                      <w:sz w:val="19"/>
                    </w:rPr>
                  </w:pPr>
                  <w:r>
                    <w:rPr>
                      <w:rFonts w:ascii="Calibri"/>
                      <w:w w:val="102"/>
                      <w:sz w:val="19"/>
                    </w:rPr>
                    <w:t>12</w:t>
                  </w:r>
                  <w:r>
                    <w:rPr>
                      <w:rFonts w:ascii="Calibri"/>
                      <w:spacing w:val="-2"/>
                      <w:w w:val="102"/>
                      <w:sz w:val="19"/>
                    </w:rPr>
                    <w:t>.</w:t>
                  </w:r>
                  <w:r>
                    <w:rPr>
                      <w:rFonts w:ascii="Calibri"/>
                      <w:w w:val="102"/>
                      <w:sz w:val="19"/>
                    </w:rPr>
                    <w:t>7</w:t>
                  </w:r>
                </w:p>
              </w:txbxContent>
            </v:textbox>
            <w10:wrap type="none"/>
          </v:shape>
        </w:pict>
      </w:r>
      <w:r>
        <w:rPr/>
        <w:pict>
          <v:shape style="position:absolute;margin-left:168.969284pt;margin-top:76.374352pt;width:11.7pt;height:19.2pt;mso-position-horizontal-relative:page;mso-position-vertical-relative:paragraph;z-index:9568" type="#_x0000_t202" filled="false" stroked="false">
            <v:textbox inset="0,0,0,0" style="layout-flow:vertical;mso-layout-flow-alt:bottom-to-top">
              <w:txbxContent>
                <w:p>
                  <w:pPr>
                    <w:spacing w:line="216" w:lineRule="exact" w:before="0"/>
                    <w:ind w:left="20" w:right="-148" w:firstLine="0"/>
                    <w:jc w:val="left"/>
                    <w:rPr>
                      <w:rFonts w:ascii="Calibri"/>
                      <w:sz w:val="19"/>
                    </w:rPr>
                  </w:pPr>
                  <w:r>
                    <w:rPr>
                      <w:rFonts w:ascii="Calibri"/>
                      <w:w w:val="102"/>
                      <w:sz w:val="19"/>
                    </w:rPr>
                    <w:t>12</w:t>
                  </w:r>
                  <w:r>
                    <w:rPr>
                      <w:rFonts w:ascii="Calibri"/>
                      <w:spacing w:val="-2"/>
                      <w:w w:val="102"/>
                      <w:sz w:val="19"/>
                    </w:rPr>
                    <w:t>.</w:t>
                  </w:r>
                  <w:r>
                    <w:rPr>
                      <w:rFonts w:ascii="Calibri"/>
                      <w:w w:val="102"/>
                      <w:sz w:val="19"/>
                    </w:rPr>
                    <w:t>0</w:t>
                  </w:r>
                </w:p>
              </w:txbxContent>
            </v:textbox>
            <w10:wrap type="none"/>
          </v:shape>
        </w:pict>
      </w:r>
      <w:r>
        <w:rPr/>
        <w:pict>
          <v:shape style="position:absolute;margin-left:198.129272pt;margin-top:71.094353pt;width:11.7pt;height:19.2pt;mso-position-horizontal-relative:page;mso-position-vertical-relative:paragraph;z-index:9592" type="#_x0000_t202" filled="false" stroked="false">
            <v:textbox inset="0,0,0,0" style="layout-flow:vertical;mso-layout-flow-alt:bottom-to-top">
              <w:txbxContent>
                <w:p>
                  <w:pPr>
                    <w:spacing w:line="216" w:lineRule="exact" w:before="0"/>
                    <w:ind w:left="20" w:right="-148" w:firstLine="0"/>
                    <w:jc w:val="left"/>
                    <w:rPr>
                      <w:rFonts w:ascii="Calibri"/>
                      <w:sz w:val="19"/>
                    </w:rPr>
                  </w:pPr>
                  <w:r>
                    <w:rPr>
                      <w:rFonts w:ascii="Calibri"/>
                      <w:w w:val="102"/>
                      <w:sz w:val="19"/>
                    </w:rPr>
                    <w:t>12</w:t>
                  </w:r>
                  <w:r>
                    <w:rPr>
                      <w:rFonts w:ascii="Calibri"/>
                      <w:spacing w:val="-2"/>
                      <w:w w:val="102"/>
                      <w:sz w:val="19"/>
                    </w:rPr>
                    <w:t>.</w:t>
                  </w:r>
                  <w:r>
                    <w:rPr>
                      <w:rFonts w:ascii="Calibri"/>
                      <w:w w:val="102"/>
                      <w:sz w:val="19"/>
                    </w:rPr>
                    <w:t>5</w:t>
                  </w:r>
                </w:p>
              </w:txbxContent>
            </v:textbox>
            <w10:wrap type="none"/>
          </v:shape>
        </w:pict>
      </w:r>
      <w:r>
        <w:rPr/>
        <w:pict>
          <v:shape style="position:absolute;margin-left:227.289261pt;margin-top:66.894356pt;width:11.7pt;height:19.2pt;mso-position-horizontal-relative:page;mso-position-vertical-relative:paragraph;z-index:9616" type="#_x0000_t202" filled="false" stroked="false">
            <v:textbox inset="0,0,0,0" style="layout-flow:vertical;mso-layout-flow-alt:bottom-to-top">
              <w:txbxContent>
                <w:p>
                  <w:pPr>
                    <w:spacing w:line="216" w:lineRule="exact" w:before="0"/>
                    <w:ind w:left="20" w:right="-148" w:firstLine="0"/>
                    <w:jc w:val="left"/>
                    <w:rPr>
                      <w:rFonts w:ascii="Calibri"/>
                      <w:sz w:val="19"/>
                    </w:rPr>
                  </w:pPr>
                  <w:r>
                    <w:rPr>
                      <w:rFonts w:ascii="Calibri"/>
                      <w:spacing w:val="-3"/>
                      <w:w w:val="102"/>
                      <w:sz w:val="19"/>
                    </w:rPr>
                    <w:t>1</w:t>
                  </w:r>
                  <w:r>
                    <w:rPr>
                      <w:rFonts w:ascii="Calibri"/>
                      <w:w w:val="102"/>
                      <w:sz w:val="19"/>
                    </w:rPr>
                    <w:t>2</w:t>
                  </w:r>
                  <w:r>
                    <w:rPr>
                      <w:rFonts w:ascii="Calibri"/>
                      <w:spacing w:val="1"/>
                      <w:w w:val="102"/>
                      <w:sz w:val="19"/>
                    </w:rPr>
                    <w:t>.</w:t>
                  </w:r>
                  <w:r>
                    <w:rPr>
                      <w:rFonts w:ascii="Calibri"/>
                      <w:w w:val="102"/>
                      <w:sz w:val="19"/>
                    </w:rPr>
                    <w:t>9</w:t>
                  </w:r>
                </w:p>
              </w:txbxContent>
            </v:textbox>
            <w10:wrap type="none"/>
          </v:shape>
        </w:pict>
      </w:r>
      <w:r>
        <w:rPr/>
        <w:pict>
          <v:shape style="position:absolute;margin-left:256.449249pt;margin-top:68.814354pt;width:11.7pt;height:19.2pt;mso-position-horizontal-relative:page;mso-position-vertical-relative:paragraph;z-index:9640" type="#_x0000_t202" filled="false" stroked="false">
            <v:textbox inset="0,0,0,0" style="layout-flow:vertical;mso-layout-flow-alt:bottom-to-top">
              <w:txbxContent>
                <w:p>
                  <w:pPr>
                    <w:spacing w:line="216" w:lineRule="exact" w:before="0"/>
                    <w:ind w:left="20" w:right="-148" w:firstLine="0"/>
                    <w:jc w:val="left"/>
                    <w:rPr>
                      <w:rFonts w:ascii="Calibri"/>
                      <w:sz w:val="19"/>
                    </w:rPr>
                  </w:pPr>
                  <w:r>
                    <w:rPr>
                      <w:rFonts w:ascii="Calibri"/>
                      <w:w w:val="102"/>
                      <w:sz w:val="19"/>
                    </w:rPr>
                    <w:t>12</w:t>
                  </w:r>
                  <w:r>
                    <w:rPr>
                      <w:rFonts w:ascii="Calibri"/>
                      <w:spacing w:val="-2"/>
                      <w:w w:val="102"/>
                      <w:sz w:val="19"/>
                    </w:rPr>
                    <w:t>.</w:t>
                  </w:r>
                  <w:r>
                    <w:rPr>
                      <w:rFonts w:ascii="Calibri"/>
                      <w:w w:val="102"/>
                      <w:sz w:val="19"/>
                    </w:rPr>
                    <w:t>7</w:t>
                  </w:r>
                </w:p>
              </w:txbxContent>
            </v:textbox>
            <w10:wrap type="none"/>
          </v:shape>
        </w:pict>
      </w:r>
      <w:r>
        <w:rPr/>
        <w:pict>
          <v:shape style="position:absolute;margin-left:285.489227pt;margin-top:65.454353pt;width:11.7pt;height:19.2pt;mso-position-horizontal-relative:page;mso-position-vertical-relative:paragraph;z-index:9664" type="#_x0000_t202" filled="false" stroked="false">
            <v:textbox inset="0,0,0,0" style="layout-flow:vertical;mso-layout-flow-alt:bottom-to-top">
              <w:txbxContent>
                <w:p>
                  <w:pPr>
                    <w:spacing w:line="216" w:lineRule="exact" w:before="0"/>
                    <w:ind w:left="20" w:right="-148" w:firstLine="0"/>
                    <w:jc w:val="left"/>
                    <w:rPr>
                      <w:rFonts w:ascii="Calibri"/>
                      <w:sz w:val="19"/>
                    </w:rPr>
                  </w:pPr>
                  <w:r>
                    <w:rPr>
                      <w:rFonts w:ascii="Calibri"/>
                      <w:w w:val="102"/>
                      <w:sz w:val="19"/>
                    </w:rPr>
                    <w:t>1</w:t>
                  </w:r>
                  <w:r>
                    <w:rPr>
                      <w:rFonts w:ascii="Calibri"/>
                      <w:spacing w:val="-3"/>
                      <w:w w:val="102"/>
                      <w:sz w:val="19"/>
                    </w:rPr>
                    <w:t>3</w:t>
                  </w:r>
                  <w:r>
                    <w:rPr>
                      <w:rFonts w:ascii="Calibri"/>
                      <w:spacing w:val="1"/>
                      <w:w w:val="102"/>
                      <w:sz w:val="19"/>
                    </w:rPr>
                    <w:t>.</w:t>
                  </w:r>
                  <w:r>
                    <w:rPr>
                      <w:rFonts w:ascii="Calibri"/>
                      <w:w w:val="102"/>
                      <w:sz w:val="19"/>
                    </w:rPr>
                    <w:t>0</w:t>
                  </w:r>
                </w:p>
              </w:txbxContent>
            </v:textbox>
            <w10:wrap type="none"/>
          </v:shape>
        </w:pict>
      </w:r>
      <w:r>
        <w:rPr/>
        <w:pict>
          <v:shape style="position:absolute;margin-left:314.649231pt;margin-top:63.174355pt;width:11.7pt;height:19.2pt;mso-position-horizontal-relative:page;mso-position-vertical-relative:paragraph;z-index:9688" type="#_x0000_t202" filled="false" stroked="false">
            <v:textbox inset="0,0,0,0" style="layout-flow:vertical;mso-layout-flow-alt:bottom-to-top">
              <w:txbxContent>
                <w:p>
                  <w:pPr>
                    <w:spacing w:line="216" w:lineRule="exact" w:before="0"/>
                    <w:ind w:left="20" w:right="-148" w:firstLine="0"/>
                    <w:jc w:val="left"/>
                    <w:rPr>
                      <w:rFonts w:ascii="Calibri"/>
                      <w:sz w:val="19"/>
                    </w:rPr>
                  </w:pPr>
                  <w:r>
                    <w:rPr>
                      <w:rFonts w:ascii="Calibri"/>
                      <w:w w:val="102"/>
                      <w:sz w:val="19"/>
                    </w:rPr>
                    <w:t>13</w:t>
                  </w:r>
                  <w:r>
                    <w:rPr>
                      <w:rFonts w:ascii="Calibri"/>
                      <w:spacing w:val="-2"/>
                      <w:w w:val="102"/>
                      <w:sz w:val="19"/>
                    </w:rPr>
                    <w:t>.</w:t>
                  </w:r>
                  <w:r>
                    <w:rPr>
                      <w:rFonts w:ascii="Calibri"/>
                      <w:w w:val="102"/>
                      <w:sz w:val="19"/>
                    </w:rPr>
                    <w:t>2</w:t>
                  </w:r>
                </w:p>
              </w:txbxContent>
            </v:textbox>
            <w10:wrap type="none"/>
          </v:shape>
        </w:pict>
      </w:r>
      <w:r>
        <w:rPr/>
        <w:pict>
          <v:shape style="position:absolute;margin-left:343.809204pt;margin-top:58.974358pt;width:11.7pt;height:19.3pt;mso-position-horizontal-relative:page;mso-position-vertical-relative:paragraph;z-index:9712" type="#_x0000_t202" filled="false" stroked="false">
            <v:textbox inset="0,0,0,0" style="layout-flow:vertical;mso-layout-flow-alt:bottom-to-top">
              <w:txbxContent>
                <w:p>
                  <w:pPr>
                    <w:spacing w:line="216" w:lineRule="exact" w:before="0"/>
                    <w:ind w:left="20" w:right="-151" w:firstLine="0"/>
                    <w:jc w:val="left"/>
                    <w:rPr>
                      <w:rFonts w:ascii="Calibri"/>
                      <w:sz w:val="19"/>
                    </w:rPr>
                  </w:pPr>
                  <w:r>
                    <w:rPr>
                      <w:rFonts w:ascii="Calibri"/>
                      <w:w w:val="102"/>
                      <w:sz w:val="19"/>
                    </w:rPr>
                    <w:t>13</w:t>
                  </w:r>
                  <w:r>
                    <w:rPr>
                      <w:rFonts w:ascii="Calibri"/>
                      <w:spacing w:val="1"/>
                      <w:w w:val="102"/>
                      <w:sz w:val="19"/>
                    </w:rPr>
                    <w:t>.</w:t>
                  </w:r>
                  <w:r>
                    <w:rPr>
                      <w:rFonts w:ascii="Calibri"/>
                      <w:w w:val="102"/>
                      <w:sz w:val="19"/>
                    </w:rPr>
                    <w:t>6</w:t>
                  </w:r>
                </w:p>
              </w:txbxContent>
            </v:textbox>
            <w10:wrap type="none"/>
          </v:shape>
        </w:pict>
      </w:r>
      <w:r>
        <w:rPr/>
        <w:pict>
          <v:shape style="position:absolute;margin-left:372.969208pt;margin-top:40.014362pt;width:11.7pt;height:19.3pt;mso-position-horizontal-relative:page;mso-position-vertical-relative:paragraph;z-index:9736" type="#_x0000_t202" filled="false" stroked="false">
            <v:textbox inset="0,0,0,0" style="layout-flow:vertical;mso-layout-flow-alt:bottom-to-top">
              <w:txbxContent>
                <w:p>
                  <w:pPr>
                    <w:spacing w:line="216" w:lineRule="exact" w:before="0"/>
                    <w:ind w:left="20" w:right="-151" w:firstLine="0"/>
                    <w:jc w:val="left"/>
                    <w:rPr>
                      <w:rFonts w:ascii="Calibri"/>
                      <w:sz w:val="19"/>
                    </w:rPr>
                  </w:pPr>
                  <w:r>
                    <w:rPr>
                      <w:rFonts w:ascii="Calibri"/>
                      <w:w w:val="102"/>
                      <w:sz w:val="19"/>
                    </w:rPr>
                    <w:t>15</w:t>
                  </w:r>
                  <w:r>
                    <w:rPr>
                      <w:rFonts w:ascii="Calibri"/>
                      <w:spacing w:val="1"/>
                      <w:w w:val="102"/>
                      <w:sz w:val="19"/>
                    </w:rPr>
                    <w:t>.</w:t>
                  </w:r>
                  <w:r>
                    <w:rPr>
                      <w:rFonts w:ascii="Calibri"/>
                      <w:w w:val="102"/>
                      <w:sz w:val="19"/>
                    </w:rPr>
                    <w:t>3</w:t>
                  </w:r>
                </w:p>
              </w:txbxContent>
            </v:textbox>
            <w10:wrap type="none"/>
          </v:shape>
        </w:pict>
      </w:r>
      <w:r>
        <w:rPr/>
        <w:pict>
          <v:shape style="position:absolute;margin-left:402.129181pt;margin-top:60.654354pt;width:11.7pt;height:19.2pt;mso-position-horizontal-relative:page;mso-position-vertical-relative:paragraph;z-index:9760" type="#_x0000_t202" filled="false" stroked="false">
            <v:textbox inset="0,0,0,0" style="layout-flow:vertical;mso-layout-flow-alt:bottom-to-top">
              <w:txbxContent>
                <w:p>
                  <w:pPr>
                    <w:spacing w:line="216" w:lineRule="exact" w:before="0"/>
                    <w:ind w:left="20" w:right="-148" w:firstLine="0"/>
                    <w:jc w:val="left"/>
                    <w:rPr>
                      <w:rFonts w:ascii="Calibri"/>
                      <w:sz w:val="19"/>
                    </w:rPr>
                  </w:pPr>
                  <w:r>
                    <w:rPr>
                      <w:rFonts w:ascii="Calibri"/>
                      <w:w w:val="102"/>
                      <w:sz w:val="19"/>
                    </w:rPr>
                    <w:t>13</w:t>
                  </w:r>
                  <w:r>
                    <w:rPr>
                      <w:rFonts w:ascii="Calibri"/>
                      <w:spacing w:val="-2"/>
                      <w:w w:val="102"/>
                      <w:sz w:val="19"/>
                    </w:rPr>
                    <w:t>.</w:t>
                  </w:r>
                  <w:r>
                    <w:rPr>
                      <w:rFonts w:ascii="Calibri"/>
                      <w:w w:val="102"/>
                      <w:sz w:val="19"/>
                    </w:rPr>
                    <w:t>4</w:t>
                  </w:r>
                </w:p>
              </w:txbxContent>
            </v:textbox>
            <w10:wrap type="none"/>
          </v:shape>
        </w:pict>
      </w:r>
      <w:r>
        <w:rPr/>
        <w:pict>
          <v:shape style="position:absolute;margin-left:431.170532pt;margin-top:40.734291pt;width:11.7pt;height:19.2pt;mso-position-horizontal-relative:page;mso-position-vertical-relative:paragraph;z-index:9784" type="#_x0000_t202" filled="false" stroked="false">
            <v:textbox inset="0,0,0,0" style="layout-flow:vertical;mso-layout-flow-alt:bottom-to-top">
              <w:txbxContent>
                <w:p>
                  <w:pPr>
                    <w:spacing w:line="216" w:lineRule="exact" w:before="0"/>
                    <w:ind w:left="20" w:right="-148" w:firstLine="0"/>
                    <w:jc w:val="left"/>
                    <w:rPr>
                      <w:rFonts w:ascii="Calibri"/>
                      <w:sz w:val="19"/>
                    </w:rPr>
                  </w:pPr>
                  <w:r>
                    <w:rPr>
                      <w:rFonts w:ascii="Calibri"/>
                      <w:w w:val="102"/>
                      <w:sz w:val="19"/>
                    </w:rPr>
                    <w:t>1</w:t>
                  </w:r>
                  <w:r>
                    <w:rPr>
                      <w:rFonts w:ascii="Calibri"/>
                      <w:spacing w:val="-3"/>
                      <w:w w:val="102"/>
                      <w:sz w:val="19"/>
                    </w:rPr>
                    <w:t>5</w:t>
                  </w:r>
                  <w:r>
                    <w:rPr>
                      <w:rFonts w:ascii="Calibri"/>
                      <w:spacing w:val="1"/>
                      <w:w w:val="102"/>
                      <w:sz w:val="19"/>
                    </w:rPr>
                    <w:t>.</w:t>
                  </w:r>
                  <w:r>
                    <w:rPr>
                      <w:rFonts w:ascii="Calibri"/>
                      <w:w w:val="102"/>
                      <w:sz w:val="19"/>
                    </w:rPr>
                    <w:t>2</w:t>
                  </w:r>
                </w:p>
              </w:txbxContent>
            </v:textbox>
            <w10:wrap type="none"/>
          </v:shape>
        </w:pict>
      </w:r>
      <w:r>
        <w:rPr/>
        <w:pict>
          <v:shape style="position:absolute;margin-left:460.330505pt;margin-top:55.974285pt;width:11.7pt;height:19.2pt;mso-position-horizontal-relative:page;mso-position-vertical-relative:paragraph;z-index:9808" type="#_x0000_t202" filled="false" stroked="false">
            <v:textbox inset="0,0,0,0" style="layout-flow:vertical;mso-layout-flow-alt:bottom-to-top">
              <w:txbxContent>
                <w:p>
                  <w:pPr>
                    <w:spacing w:line="216" w:lineRule="exact" w:before="0"/>
                    <w:ind w:left="20" w:right="-148" w:firstLine="0"/>
                    <w:jc w:val="left"/>
                    <w:rPr>
                      <w:rFonts w:ascii="Calibri"/>
                      <w:sz w:val="19"/>
                    </w:rPr>
                  </w:pPr>
                  <w:r>
                    <w:rPr>
                      <w:rFonts w:ascii="Calibri"/>
                      <w:w w:val="102"/>
                      <w:sz w:val="19"/>
                    </w:rPr>
                    <w:t>13</w:t>
                  </w:r>
                  <w:r>
                    <w:rPr>
                      <w:rFonts w:ascii="Calibri"/>
                      <w:spacing w:val="-2"/>
                      <w:w w:val="102"/>
                      <w:sz w:val="19"/>
                    </w:rPr>
                    <w:t>.</w:t>
                  </w:r>
                  <w:r>
                    <w:rPr>
                      <w:rFonts w:ascii="Calibri"/>
                      <w:w w:val="102"/>
                      <w:sz w:val="19"/>
                    </w:rPr>
                    <w:t>9</w:t>
                  </w:r>
                </w:p>
              </w:txbxContent>
            </v:textbox>
            <w10:wrap type="none"/>
          </v:shape>
        </w:pict>
      </w:r>
      <w:r>
        <w:rPr/>
        <w:t>Figura 4. Tasas de crecimiento de los meses del año, 1995-2009 (%)</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4"/>
        </w:rPr>
      </w:pPr>
    </w:p>
    <w:p>
      <w:pPr>
        <w:spacing w:before="77"/>
        <w:ind w:left="118" w:right="245" w:firstLine="0"/>
        <w:jc w:val="left"/>
        <w:rPr>
          <w:sz w:val="21"/>
        </w:rPr>
      </w:pPr>
      <w:r>
        <w:rPr>
          <w:sz w:val="21"/>
        </w:rPr>
        <w:t>Fuente: Elaboración propia con información estadística del Banco de México.   1995-2009.</w:t>
      </w:r>
    </w:p>
    <w:p>
      <w:pPr>
        <w:pStyle w:val="BodyText"/>
        <w:rPr>
          <w:sz w:val="20"/>
        </w:rPr>
      </w:pPr>
    </w:p>
    <w:p>
      <w:pPr>
        <w:pStyle w:val="BodyText"/>
        <w:spacing w:before="7"/>
        <w:rPr>
          <w:sz w:val="19"/>
        </w:rPr>
      </w:pPr>
    </w:p>
    <w:p>
      <w:pPr>
        <w:spacing w:after="0"/>
        <w:rPr>
          <w:sz w:val="19"/>
        </w:rPr>
        <w:sectPr>
          <w:footerReference w:type="default" r:id="rId266"/>
          <w:pgSz w:w="11900" w:h="16840"/>
          <w:pgMar w:footer="1676" w:header="0" w:top="1600" w:bottom="1860" w:left="1540" w:right="1400"/>
          <w:pgNumType w:start="180"/>
        </w:sectPr>
      </w:pPr>
    </w:p>
    <w:p>
      <w:pPr>
        <w:pStyle w:val="BodyText"/>
        <w:spacing w:line="364" w:lineRule="auto" w:before="74"/>
        <w:ind w:left="118" w:right="-10"/>
      </w:pPr>
      <w:r>
        <w:rPr/>
        <w:t>Se ilustra claramente incremento  del  15.3</w:t>
      </w:r>
      <w:r>
        <w:rPr>
          <w:spacing w:val="56"/>
        </w:rPr>
        <w:t> </w:t>
      </w:r>
      <w:r>
        <w:rPr/>
        <w:t>y</w:t>
      </w:r>
    </w:p>
    <w:p>
      <w:pPr>
        <w:pStyle w:val="BodyText"/>
        <w:spacing w:line="364" w:lineRule="auto" w:before="74"/>
        <w:ind w:left="76" w:right="-2" w:hanging="12"/>
      </w:pPr>
      <w:r>
        <w:rPr/>
        <w:br w:type="column"/>
      </w:r>
      <w:r>
        <w:rPr/>
        <w:t>que los meses de octubre y febrero 15.2%  respectivamente,  lo  cual  quiere</w:t>
      </w:r>
    </w:p>
    <w:p>
      <w:pPr>
        <w:pStyle w:val="BodyText"/>
        <w:spacing w:line="364" w:lineRule="auto" w:before="74"/>
        <w:ind w:left="77" w:right="275" w:hanging="27"/>
      </w:pPr>
      <w:r>
        <w:rPr/>
        <w:br w:type="column"/>
      </w:r>
      <w:r>
        <w:rPr/>
        <w:t>presentaron una decir,  que</w:t>
      </w:r>
      <w:r>
        <w:rPr>
          <w:spacing w:val="59"/>
        </w:rPr>
        <w:t> </w:t>
      </w:r>
      <w:r>
        <w:rPr/>
        <w:t>estos</w:t>
      </w:r>
    </w:p>
    <w:p>
      <w:pPr>
        <w:spacing w:after="0" w:line="364" w:lineRule="auto"/>
        <w:sectPr>
          <w:type w:val="continuous"/>
          <w:pgSz w:w="11900" w:h="16840"/>
          <w:pgMar w:top="1600" w:bottom="280" w:left="1540" w:right="1400"/>
          <w:cols w:num="3" w:equalWidth="0">
            <w:col w:w="2511" w:space="40"/>
            <w:col w:w="4250" w:space="40"/>
            <w:col w:w="2119"/>
          </w:cols>
        </w:sectPr>
      </w:pPr>
    </w:p>
    <w:p>
      <w:pPr>
        <w:pStyle w:val="BodyText"/>
        <w:spacing w:before="5"/>
        <w:ind w:left="118" w:right="245"/>
      </w:pPr>
      <w:r>
        <w:rPr/>
        <w:t>meses están siendo preferido por los paisanos que radican en el extranjero para</w:t>
      </w:r>
    </w:p>
    <w:p>
      <w:pPr>
        <w:pStyle w:val="BodyText"/>
        <w:spacing w:before="138"/>
        <w:ind w:left="118" w:right="245"/>
      </w:pPr>
      <w:r>
        <w:rPr/>
        <w:t>enviar  dinero  a  sus  familias  en  el  territorio  nacional.  Aunque  como  se  puede</w:t>
      </w:r>
    </w:p>
    <w:p>
      <w:pPr>
        <w:pStyle w:val="BodyText"/>
        <w:spacing w:line="364" w:lineRule="auto" w:before="138"/>
        <w:ind w:left="118" w:right="288"/>
      </w:pPr>
      <w:r>
        <w:rPr/>
        <w:t>apreciar no hay diferencias significativas en el crecimiento del envío de remesas  en cada uno de los  meses  del  año  a las  familias  de los  migrantes   </w:t>
      </w:r>
      <w:r>
        <w:rPr>
          <w:spacing w:val="6"/>
        </w:rPr>
        <w:t> </w:t>
      </w:r>
      <w:r>
        <w:rPr/>
        <w:t>mexicanos.</w:t>
      </w:r>
    </w:p>
    <w:p>
      <w:pPr>
        <w:spacing w:after="0" w:line="364" w:lineRule="auto"/>
        <w:sectPr>
          <w:type w:val="continuous"/>
          <w:pgSz w:w="11900" w:h="16840"/>
          <w:pgMar w:top="1600" w:bottom="280" w:left="1540" w:right="1400"/>
        </w:sectPr>
      </w:pPr>
    </w:p>
    <w:p>
      <w:pPr>
        <w:pStyle w:val="BodyText"/>
        <w:rPr>
          <w:sz w:val="20"/>
        </w:rPr>
      </w:pPr>
    </w:p>
    <w:p>
      <w:pPr>
        <w:pStyle w:val="BodyText"/>
        <w:spacing w:before="2"/>
        <w:rPr>
          <w:sz w:val="22"/>
        </w:rPr>
      </w:pPr>
    </w:p>
    <w:p>
      <w:pPr>
        <w:pStyle w:val="BodyText"/>
        <w:spacing w:line="364" w:lineRule="auto" w:before="73"/>
        <w:ind w:left="195" w:right="184"/>
        <w:jc w:val="both"/>
      </w:pPr>
      <w:r>
        <w:rPr/>
        <w:t>El cuadro 2, revela el comportamiento de las remesas familiares totales de manera mensual a lo largo del periodo de análisis, muestra la tendencia del envío de remesas de forma anual así como el número totales  de  operaciones  efectuadas para mandar esos recursos a la economía nacional. Se muestra también el peso que tiene cada uno de los meses a lo largo de los años y sus tasas de crecimiento media anual tanto de las remesas familiares así como del     número de operaciones totales que realizan los migrantes en el envío de éstas </w:t>
      </w:r>
      <w:r>
        <w:rPr>
          <w:spacing w:val="39"/>
        </w:rPr>
        <w:t> </w:t>
      </w:r>
      <w:r>
        <w:rPr/>
        <w:t>divisas.</w:t>
      </w:r>
    </w:p>
    <w:p>
      <w:pPr>
        <w:pStyle w:val="BodyText"/>
        <w:rPr>
          <w:sz w:val="22"/>
        </w:rPr>
      </w:pPr>
    </w:p>
    <w:p>
      <w:pPr>
        <w:pStyle w:val="Heading4"/>
        <w:spacing w:line="244" w:lineRule="auto" w:before="150"/>
        <w:ind w:left="4042" w:hanging="3332"/>
      </w:pPr>
      <w:r>
        <w:rPr/>
        <w:t>Cuadro 2. Comportamiento mensual y miles de operaciones totales de las remesas familiares, 1995-2009 (Millones de dólares y miles de</w:t>
      </w:r>
      <w:r>
        <w:rPr>
          <w:spacing w:val="58"/>
        </w:rPr>
        <w:t> </w:t>
      </w:r>
      <w:r>
        <w:rPr/>
        <w:t>operaciones)</w:t>
      </w:r>
    </w:p>
    <w:p>
      <w:pPr>
        <w:pStyle w:val="BodyText"/>
        <w:spacing w:before="3" w:after="1"/>
        <w:rPr>
          <w:b/>
          <w:sz w:val="10"/>
        </w:rPr>
      </w:pPr>
    </w:p>
    <w:tbl>
      <w:tblPr>
        <w:tblW w:w="0" w:type="auto"/>
        <w:jc w:val="left"/>
        <w:tblInd w:w="1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70"/>
        <w:gridCol w:w="605"/>
        <w:gridCol w:w="604"/>
        <w:gridCol w:w="605"/>
        <w:gridCol w:w="606"/>
        <w:gridCol w:w="605"/>
        <w:gridCol w:w="602"/>
        <w:gridCol w:w="605"/>
        <w:gridCol w:w="602"/>
        <w:gridCol w:w="602"/>
        <w:gridCol w:w="605"/>
        <w:gridCol w:w="602"/>
        <w:gridCol w:w="604"/>
        <w:gridCol w:w="606"/>
        <w:gridCol w:w="602"/>
        <w:gridCol w:w="602"/>
        <w:gridCol w:w="605"/>
        <w:gridCol w:w="674"/>
        <w:gridCol w:w="554"/>
        <w:gridCol w:w="684"/>
        <w:gridCol w:w="444"/>
      </w:tblGrid>
      <w:tr>
        <w:trPr>
          <w:trHeight w:val="151" w:hRule="exact"/>
        </w:trPr>
        <w:tc>
          <w:tcPr>
            <w:tcW w:w="11662" w:type="dxa"/>
            <w:gridSpan w:val="19"/>
          </w:tcPr>
          <w:p>
            <w:pPr>
              <w:pStyle w:val="TableParagraph"/>
              <w:ind w:left="5218" w:right="5216"/>
              <w:jc w:val="center"/>
              <w:rPr>
                <w:b/>
                <w:sz w:val="11"/>
              </w:rPr>
            </w:pPr>
            <w:r>
              <w:rPr>
                <w:b/>
                <w:w w:val="105"/>
                <w:sz w:val="11"/>
              </w:rPr>
              <w:t>Millones de dólares</w:t>
            </w:r>
          </w:p>
        </w:tc>
        <w:tc>
          <w:tcPr>
            <w:tcW w:w="1128" w:type="dxa"/>
            <w:gridSpan w:val="2"/>
          </w:tcPr>
          <w:p>
            <w:pPr/>
          </w:p>
        </w:tc>
      </w:tr>
      <w:tr>
        <w:trPr>
          <w:trHeight w:val="155" w:hRule="exact"/>
        </w:trPr>
        <w:tc>
          <w:tcPr>
            <w:tcW w:w="770" w:type="dxa"/>
            <w:tcBorders>
              <w:bottom w:val="single" w:sz="7" w:space="0" w:color="000000"/>
            </w:tcBorders>
          </w:tcPr>
          <w:p>
            <w:pPr>
              <w:pStyle w:val="TableParagraph"/>
              <w:spacing w:before="5"/>
              <w:ind w:left="57"/>
              <w:jc w:val="left"/>
              <w:rPr>
                <w:b/>
                <w:sz w:val="11"/>
              </w:rPr>
            </w:pPr>
            <w:r>
              <w:rPr>
                <w:b/>
                <w:w w:val="105"/>
                <w:sz w:val="11"/>
              </w:rPr>
              <w:t>MES/AÑO</w:t>
            </w:r>
          </w:p>
        </w:tc>
        <w:tc>
          <w:tcPr>
            <w:tcW w:w="605" w:type="dxa"/>
            <w:tcBorders>
              <w:bottom w:val="single" w:sz="7" w:space="0" w:color="000000"/>
            </w:tcBorders>
          </w:tcPr>
          <w:p>
            <w:pPr>
              <w:pStyle w:val="TableParagraph"/>
              <w:spacing w:before="5"/>
              <w:ind w:right="55"/>
              <w:rPr>
                <w:b/>
                <w:sz w:val="11"/>
              </w:rPr>
            </w:pPr>
            <w:r>
              <w:rPr>
                <w:b/>
                <w:w w:val="105"/>
                <w:sz w:val="11"/>
              </w:rPr>
              <w:t>1995</w:t>
            </w:r>
          </w:p>
        </w:tc>
        <w:tc>
          <w:tcPr>
            <w:tcW w:w="604" w:type="dxa"/>
            <w:tcBorders>
              <w:bottom w:val="single" w:sz="7" w:space="0" w:color="000000"/>
              <w:right w:val="single" w:sz="7" w:space="0" w:color="000000"/>
            </w:tcBorders>
          </w:tcPr>
          <w:p>
            <w:pPr>
              <w:pStyle w:val="TableParagraph"/>
              <w:spacing w:before="5"/>
              <w:ind w:right="55"/>
              <w:rPr>
                <w:b/>
                <w:sz w:val="11"/>
              </w:rPr>
            </w:pPr>
            <w:r>
              <w:rPr>
                <w:b/>
                <w:w w:val="105"/>
                <w:sz w:val="11"/>
              </w:rPr>
              <w:t>1996</w:t>
            </w:r>
          </w:p>
        </w:tc>
        <w:tc>
          <w:tcPr>
            <w:tcW w:w="605" w:type="dxa"/>
            <w:tcBorders>
              <w:left w:val="single" w:sz="7" w:space="0" w:color="000000"/>
              <w:bottom w:val="single" w:sz="7" w:space="0" w:color="000000"/>
              <w:right w:val="single" w:sz="7" w:space="0" w:color="000000"/>
            </w:tcBorders>
          </w:tcPr>
          <w:p>
            <w:pPr>
              <w:pStyle w:val="TableParagraph"/>
              <w:spacing w:before="5"/>
              <w:ind w:right="57"/>
              <w:rPr>
                <w:b/>
                <w:sz w:val="11"/>
              </w:rPr>
            </w:pPr>
            <w:r>
              <w:rPr>
                <w:b/>
                <w:w w:val="105"/>
                <w:sz w:val="11"/>
              </w:rPr>
              <w:t>1997</w:t>
            </w:r>
          </w:p>
        </w:tc>
        <w:tc>
          <w:tcPr>
            <w:tcW w:w="606" w:type="dxa"/>
            <w:tcBorders>
              <w:left w:val="single" w:sz="7" w:space="0" w:color="000000"/>
              <w:bottom w:val="single" w:sz="7" w:space="0" w:color="000000"/>
            </w:tcBorders>
          </w:tcPr>
          <w:p>
            <w:pPr>
              <w:pStyle w:val="TableParagraph"/>
              <w:spacing w:before="5"/>
              <w:ind w:right="57"/>
              <w:rPr>
                <w:b/>
                <w:sz w:val="11"/>
              </w:rPr>
            </w:pPr>
            <w:r>
              <w:rPr>
                <w:b/>
                <w:w w:val="105"/>
                <w:sz w:val="11"/>
              </w:rPr>
              <w:t>1998</w:t>
            </w:r>
          </w:p>
        </w:tc>
        <w:tc>
          <w:tcPr>
            <w:tcW w:w="605" w:type="dxa"/>
            <w:tcBorders>
              <w:bottom w:val="single" w:sz="7" w:space="0" w:color="000000"/>
            </w:tcBorders>
          </w:tcPr>
          <w:p>
            <w:pPr>
              <w:pStyle w:val="TableParagraph"/>
              <w:spacing w:before="5"/>
              <w:ind w:right="57"/>
              <w:rPr>
                <w:b/>
                <w:sz w:val="11"/>
              </w:rPr>
            </w:pPr>
            <w:r>
              <w:rPr>
                <w:b/>
                <w:w w:val="105"/>
                <w:sz w:val="11"/>
              </w:rPr>
              <w:t>1999</w:t>
            </w:r>
          </w:p>
        </w:tc>
        <w:tc>
          <w:tcPr>
            <w:tcW w:w="602" w:type="dxa"/>
            <w:tcBorders>
              <w:bottom w:val="single" w:sz="7" w:space="0" w:color="000000"/>
            </w:tcBorders>
          </w:tcPr>
          <w:p>
            <w:pPr>
              <w:pStyle w:val="TableParagraph"/>
              <w:spacing w:before="5"/>
              <w:ind w:left="247" w:right="38"/>
              <w:jc w:val="center"/>
              <w:rPr>
                <w:b/>
                <w:sz w:val="11"/>
              </w:rPr>
            </w:pPr>
            <w:r>
              <w:rPr>
                <w:b/>
                <w:w w:val="105"/>
                <w:sz w:val="11"/>
              </w:rPr>
              <w:t>2000</w:t>
            </w:r>
          </w:p>
        </w:tc>
        <w:tc>
          <w:tcPr>
            <w:tcW w:w="605" w:type="dxa"/>
            <w:tcBorders>
              <w:bottom w:val="single" w:sz="7" w:space="0" w:color="000000"/>
            </w:tcBorders>
          </w:tcPr>
          <w:p>
            <w:pPr>
              <w:pStyle w:val="TableParagraph"/>
              <w:spacing w:before="5"/>
              <w:ind w:right="57"/>
              <w:rPr>
                <w:b/>
                <w:sz w:val="11"/>
              </w:rPr>
            </w:pPr>
            <w:r>
              <w:rPr>
                <w:b/>
                <w:w w:val="105"/>
                <w:sz w:val="11"/>
              </w:rPr>
              <w:t>2001</w:t>
            </w:r>
          </w:p>
        </w:tc>
        <w:tc>
          <w:tcPr>
            <w:tcW w:w="602" w:type="dxa"/>
            <w:tcBorders>
              <w:bottom w:val="single" w:sz="7" w:space="0" w:color="000000"/>
            </w:tcBorders>
          </w:tcPr>
          <w:p>
            <w:pPr>
              <w:pStyle w:val="TableParagraph"/>
              <w:spacing w:before="5"/>
              <w:ind w:right="52"/>
              <w:rPr>
                <w:b/>
                <w:sz w:val="11"/>
              </w:rPr>
            </w:pPr>
            <w:r>
              <w:rPr>
                <w:b/>
                <w:w w:val="105"/>
                <w:sz w:val="11"/>
              </w:rPr>
              <w:t>2002</w:t>
            </w:r>
          </w:p>
        </w:tc>
        <w:tc>
          <w:tcPr>
            <w:tcW w:w="602" w:type="dxa"/>
            <w:tcBorders>
              <w:bottom w:val="single" w:sz="7" w:space="0" w:color="000000"/>
            </w:tcBorders>
          </w:tcPr>
          <w:p>
            <w:pPr>
              <w:pStyle w:val="TableParagraph"/>
              <w:spacing w:before="5"/>
              <w:ind w:right="52"/>
              <w:rPr>
                <w:b/>
                <w:sz w:val="11"/>
              </w:rPr>
            </w:pPr>
            <w:r>
              <w:rPr>
                <w:b/>
                <w:w w:val="105"/>
                <w:sz w:val="11"/>
              </w:rPr>
              <w:t>2003</w:t>
            </w:r>
          </w:p>
        </w:tc>
        <w:tc>
          <w:tcPr>
            <w:tcW w:w="605" w:type="dxa"/>
            <w:tcBorders>
              <w:bottom w:val="single" w:sz="7" w:space="0" w:color="000000"/>
            </w:tcBorders>
          </w:tcPr>
          <w:p>
            <w:pPr>
              <w:pStyle w:val="TableParagraph"/>
              <w:spacing w:before="5"/>
              <w:ind w:right="55"/>
              <w:rPr>
                <w:b/>
                <w:sz w:val="11"/>
              </w:rPr>
            </w:pPr>
            <w:r>
              <w:rPr>
                <w:b/>
                <w:w w:val="105"/>
                <w:sz w:val="11"/>
              </w:rPr>
              <w:t>2004</w:t>
            </w:r>
          </w:p>
        </w:tc>
        <w:tc>
          <w:tcPr>
            <w:tcW w:w="602" w:type="dxa"/>
            <w:tcBorders>
              <w:bottom w:val="single" w:sz="7" w:space="0" w:color="000000"/>
              <w:right w:val="single" w:sz="7" w:space="0" w:color="000000"/>
            </w:tcBorders>
          </w:tcPr>
          <w:p>
            <w:pPr>
              <w:pStyle w:val="TableParagraph"/>
              <w:spacing w:before="5"/>
              <w:ind w:right="54"/>
              <w:rPr>
                <w:b/>
                <w:sz w:val="11"/>
              </w:rPr>
            </w:pPr>
            <w:r>
              <w:rPr>
                <w:b/>
                <w:w w:val="105"/>
                <w:sz w:val="11"/>
              </w:rPr>
              <w:t>2005</w:t>
            </w:r>
          </w:p>
        </w:tc>
        <w:tc>
          <w:tcPr>
            <w:tcW w:w="604" w:type="dxa"/>
            <w:tcBorders>
              <w:left w:val="single" w:sz="7" w:space="0" w:color="000000"/>
              <w:bottom w:val="single" w:sz="7" w:space="0" w:color="000000"/>
              <w:right w:val="single" w:sz="7" w:space="0" w:color="000000"/>
            </w:tcBorders>
          </w:tcPr>
          <w:p>
            <w:pPr>
              <w:pStyle w:val="TableParagraph"/>
              <w:spacing w:before="5"/>
              <w:ind w:right="55"/>
              <w:rPr>
                <w:b/>
                <w:sz w:val="11"/>
              </w:rPr>
            </w:pPr>
            <w:r>
              <w:rPr>
                <w:b/>
                <w:w w:val="105"/>
                <w:sz w:val="11"/>
              </w:rPr>
              <w:t>2006</w:t>
            </w:r>
          </w:p>
        </w:tc>
        <w:tc>
          <w:tcPr>
            <w:tcW w:w="606" w:type="dxa"/>
            <w:tcBorders>
              <w:left w:val="single" w:sz="7" w:space="0" w:color="000000"/>
              <w:bottom w:val="single" w:sz="7" w:space="0" w:color="000000"/>
            </w:tcBorders>
          </w:tcPr>
          <w:p>
            <w:pPr>
              <w:pStyle w:val="TableParagraph"/>
              <w:spacing w:before="5"/>
              <w:ind w:right="57"/>
              <w:rPr>
                <w:b/>
                <w:sz w:val="11"/>
              </w:rPr>
            </w:pPr>
            <w:r>
              <w:rPr>
                <w:b/>
                <w:w w:val="105"/>
                <w:sz w:val="11"/>
              </w:rPr>
              <w:t>2007</w:t>
            </w:r>
          </w:p>
        </w:tc>
        <w:tc>
          <w:tcPr>
            <w:tcW w:w="602" w:type="dxa"/>
            <w:tcBorders>
              <w:bottom w:val="single" w:sz="7" w:space="0" w:color="000000"/>
            </w:tcBorders>
          </w:tcPr>
          <w:p>
            <w:pPr>
              <w:pStyle w:val="TableParagraph"/>
              <w:spacing w:before="5"/>
              <w:ind w:right="55"/>
              <w:rPr>
                <w:b/>
                <w:sz w:val="11"/>
              </w:rPr>
            </w:pPr>
            <w:r>
              <w:rPr>
                <w:b/>
                <w:w w:val="105"/>
                <w:sz w:val="11"/>
              </w:rPr>
              <w:t>2008</w:t>
            </w:r>
          </w:p>
        </w:tc>
        <w:tc>
          <w:tcPr>
            <w:tcW w:w="602" w:type="dxa"/>
            <w:tcBorders>
              <w:bottom w:val="single" w:sz="7" w:space="0" w:color="000000"/>
            </w:tcBorders>
          </w:tcPr>
          <w:p>
            <w:pPr>
              <w:pStyle w:val="TableParagraph"/>
              <w:spacing w:before="5"/>
              <w:ind w:right="55"/>
              <w:rPr>
                <w:b/>
                <w:sz w:val="11"/>
              </w:rPr>
            </w:pPr>
            <w:r>
              <w:rPr>
                <w:b/>
                <w:w w:val="105"/>
                <w:sz w:val="11"/>
              </w:rPr>
              <w:t>2009</w:t>
            </w:r>
          </w:p>
        </w:tc>
        <w:tc>
          <w:tcPr>
            <w:tcW w:w="605" w:type="dxa"/>
            <w:tcBorders>
              <w:bottom w:val="single" w:sz="7" w:space="0" w:color="000000"/>
            </w:tcBorders>
          </w:tcPr>
          <w:p>
            <w:pPr>
              <w:pStyle w:val="TableParagraph"/>
              <w:spacing w:before="5"/>
              <w:ind w:right="97"/>
              <w:rPr>
                <w:b/>
                <w:sz w:val="11"/>
              </w:rPr>
            </w:pPr>
            <w:r>
              <w:rPr>
                <w:b/>
                <w:w w:val="105"/>
                <w:sz w:val="11"/>
              </w:rPr>
              <w:t>PROM.</w:t>
            </w:r>
          </w:p>
        </w:tc>
        <w:tc>
          <w:tcPr>
            <w:tcW w:w="674" w:type="dxa"/>
            <w:tcBorders>
              <w:bottom w:val="single" w:sz="7" w:space="0" w:color="000000"/>
            </w:tcBorders>
          </w:tcPr>
          <w:p>
            <w:pPr>
              <w:pStyle w:val="TableParagraph"/>
              <w:spacing w:before="5"/>
              <w:ind w:right="78"/>
              <w:rPr>
                <w:b/>
                <w:sz w:val="11"/>
              </w:rPr>
            </w:pPr>
            <w:r>
              <w:rPr>
                <w:b/>
                <w:w w:val="105"/>
                <w:sz w:val="11"/>
              </w:rPr>
              <w:t>PART. %</w:t>
            </w:r>
          </w:p>
        </w:tc>
        <w:tc>
          <w:tcPr>
            <w:tcW w:w="554" w:type="dxa"/>
            <w:tcBorders>
              <w:bottom w:val="single" w:sz="7" w:space="0" w:color="000000"/>
            </w:tcBorders>
          </w:tcPr>
          <w:p>
            <w:pPr>
              <w:pStyle w:val="TableParagraph"/>
              <w:spacing w:before="5"/>
              <w:ind w:right="96"/>
              <w:rPr>
                <w:b/>
                <w:sz w:val="11"/>
              </w:rPr>
            </w:pPr>
            <w:r>
              <w:rPr>
                <w:b/>
                <w:w w:val="105"/>
                <w:sz w:val="11"/>
              </w:rPr>
              <w:t>TCMA</w:t>
            </w:r>
          </w:p>
        </w:tc>
        <w:tc>
          <w:tcPr>
            <w:tcW w:w="684" w:type="dxa"/>
            <w:tcBorders>
              <w:bottom w:val="single" w:sz="7" w:space="0" w:color="000000"/>
            </w:tcBorders>
          </w:tcPr>
          <w:p>
            <w:pPr>
              <w:pStyle w:val="TableParagraph"/>
              <w:spacing w:before="5"/>
              <w:ind w:left="208"/>
              <w:jc w:val="left"/>
              <w:rPr>
                <w:b/>
                <w:sz w:val="11"/>
              </w:rPr>
            </w:pPr>
            <w:r>
              <w:rPr>
                <w:b/>
                <w:w w:val="105"/>
                <w:sz w:val="11"/>
              </w:rPr>
              <w:t>FAA</w:t>
            </w:r>
          </w:p>
        </w:tc>
        <w:tc>
          <w:tcPr>
            <w:tcW w:w="444" w:type="dxa"/>
            <w:tcBorders>
              <w:bottom w:val="single" w:sz="7" w:space="0" w:color="000000"/>
            </w:tcBorders>
          </w:tcPr>
          <w:p>
            <w:pPr>
              <w:pStyle w:val="TableParagraph"/>
              <w:spacing w:before="5"/>
              <w:ind w:right="93"/>
              <w:rPr>
                <w:b/>
                <w:sz w:val="11"/>
              </w:rPr>
            </w:pPr>
            <w:r>
              <w:rPr>
                <w:b/>
                <w:w w:val="105"/>
                <w:sz w:val="11"/>
              </w:rPr>
              <w:t>FRA</w:t>
            </w:r>
          </w:p>
        </w:tc>
      </w:tr>
      <w:tr>
        <w:trPr>
          <w:trHeight w:val="155" w:hRule="exact"/>
        </w:trPr>
        <w:tc>
          <w:tcPr>
            <w:tcW w:w="770" w:type="dxa"/>
            <w:tcBorders>
              <w:top w:val="single" w:sz="7" w:space="0" w:color="000000"/>
            </w:tcBorders>
          </w:tcPr>
          <w:p>
            <w:pPr>
              <w:pStyle w:val="TableParagraph"/>
              <w:spacing w:before="5"/>
              <w:ind w:left="57"/>
              <w:jc w:val="left"/>
              <w:rPr>
                <w:b/>
                <w:sz w:val="11"/>
              </w:rPr>
            </w:pPr>
            <w:r>
              <w:rPr>
                <w:b/>
                <w:w w:val="105"/>
                <w:sz w:val="11"/>
              </w:rPr>
              <w:t>NACIONAL</w:t>
            </w:r>
          </w:p>
        </w:tc>
        <w:tc>
          <w:tcPr>
            <w:tcW w:w="605" w:type="dxa"/>
            <w:tcBorders>
              <w:top w:val="single" w:sz="7" w:space="0" w:color="000000"/>
            </w:tcBorders>
          </w:tcPr>
          <w:p>
            <w:pPr>
              <w:pStyle w:val="TableParagraph"/>
              <w:spacing w:before="5"/>
              <w:ind w:right="55"/>
              <w:rPr>
                <w:b/>
                <w:sz w:val="11"/>
              </w:rPr>
            </w:pPr>
            <w:r>
              <w:rPr>
                <w:b/>
                <w:w w:val="105"/>
                <w:sz w:val="11"/>
              </w:rPr>
              <w:t>3,672.7</w:t>
            </w:r>
          </w:p>
        </w:tc>
        <w:tc>
          <w:tcPr>
            <w:tcW w:w="604" w:type="dxa"/>
            <w:tcBorders>
              <w:top w:val="single" w:sz="7" w:space="0" w:color="000000"/>
              <w:right w:val="single" w:sz="7" w:space="0" w:color="000000"/>
            </w:tcBorders>
          </w:tcPr>
          <w:p>
            <w:pPr>
              <w:pStyle w:val="TableParagraph"/>
              <w:spacing w:before="5"/>
              <w:ind w:right="55"/>
              <w:rPr>
                <w:b/>
                <w:sz w:val="11"/>
              </w:rPr>
            </w:pPr>
            <w:r>
              <w:rPr>
                <w:b/>
                <w:w w:val="105"/>
                <w:sz w:val="11"/>
              </w:rPr>
              <w:t>4,223.7</w:t>
            </w:r>
          </w:p>
        </w:tc>
        <w:tc>
          <w:tcPr>
            <w:tcW w:w="605" w:type="dxa"/>
            <w:tcBorders>
              <w:top w:val="single" w:sz="7" w:space="0" w:color="000000"/>
              <w:left w:val="single" w:sz="7" w:space="0" w:color="000000"/>
              <w:right w:val="single" w:sz="7" w:space="0" w:color="000000"/>
            </w:tcBorders>
          </w:tcPr>
          <w:p>
            <w:pPr>
              <w:pStyle w:val="TableParagraph"/>
              <w:spacing w:before="5"/>
              <w:ind w:right="57"/>
              <w:rPr>
                <w:b/>
                <w:sz w:val="11"/>
              </w:rPr>
            </w:pPr>
            <w:r>
              <w:rPr>
                <w:b/>
                <w:w w:val="105"/>
                <w:sz w:val="11"/>
              </w:rPr>
              <w:t>4,864.9</w:t>
            </w:r>
          </w:p>
        </w:tc>
        <w:tc>
          <w:tcPr>
            <w:tcW w:w="606" w:type="dxa"/>
            <w:tcBorders>
              <w:top w:val="single" w:sz="7" w:space="0" w:color="000000"/>
              <w:left w:val="single" w:sz="7" w:space="0" w:color="000000"/>
            </w:tcBorders>
          </w:tcPr>
          <w:p>
            <w:pPr>
              <w:pStyle w:val="TableParagraph"/>
              <w:spacing w:before="5"/>
              <w:ind w:right="57"/>
              <w:rPr>
                <w:b/>
                <w:sz w:val="11"/>
              </w:rPr>
            </w:pPr>
            <w:r>
              <w:rPr>
                <w:b/>
                <w:w w:val="105"/>
                <w:sz w:val="11"/>
              </w:rPr>
              <w:t>5,626.8</w:t>
            </w:r>
          </w:p>
        </w:tc>
        <w:tc>
          <w:tcPr>
            <w:tcW w:w="605" w:type="dxa"/>
            <w:tcBorders>
              <w:top w:val="single" w:sz="7" w:space="0" w:color="000000"/>
            </w:tcBorders>
          </w:tcPr>
          <w:p>
            <w:pPr>
              <w:pStyle w:val="TableParagraph"/>
              <w:spacing w:before="5"/>
              <w:ind w:right="57"/>
              <w:rPr>
                <w:b/>
                <w:sz w:val="11"/>
              </w:rPr>
            </w:pPr>
            <w:r>
              <w:rPr>
                <w:b/>
                <w:w w:val="105"/>
                <w:sz w:val="11"/>
              </w:rPr>
              <w:t>5,909.6</w:t>
            </w:r>
          </w:p>
        </w:tc>
        <w:tc>
          <w:tcPr>
            <w:tcW w:w="602" w:type="dxa"/>
            <w:tcBorders>
              <w:top w:val="single" w:sz="7" w:space="0" w:color="000000"/>
            </w:tcBorders>
          </w:tcPr>
          <w:p>
            <w:pPr>
              <w:pStyle w:val="TableParagraph"/>
              <w:spacing w:before="5"/>
              <w:ind w:left="115" w:right="38"/>
              <w:jc w:val="center"/>
              <w:rPr>
                <w:b/>
                <w:sz w:val="11"/>
              </w:rPr>
            </w:pPr>
            <w:r>
              <w:rPr>
                <w:b/>
                <w:w w:val="105"/>
                <w:sz w:val="11"/>
              </w:rPr>
              <w:t>6,572.8</w:t>
            </w:r>
          </w:p>
        </w:tc>
        <w:tc>
          <w:tcPr>
            <w:tcW w:w="605" w:type="dxa"/>
            <w:tcBorders>
              <w:top w:val="single" w:sz="7" w:space="0" w:color="000000"/>
            </w:tcBorders>
          </w:tcPr>
          <w:p>
            <w:pPr>
              <w:pStyle w:val="TableParagraph"/>
              <w:spacing w:before="5"/>
              <w:ind w:right="57"/>
              <w:rPr>
                <w:b/>
                <w:sz w:val="11"/>
              </w:rPr>
            </w:pPr>
            <w:r>
              <w:rPr>
                <w:b/>
                <w:w w:val="105"/>
                <w:sz w:val="11"/>
              </w:rPr>
              <w:t>8,895.3</w:t>
            </w:r>
          </w:p>
        </w:tc>
        <w:tc>
          <w:tcPr>
            <w:tcW w:w="602" w:type="dxa"/>
            <w:tcBorders>
              <w:top w:val="single" w:sz="7" w:space="0" w:color="000000"/>
            </w:tcBorders>
          </w:tcPr>
          <w:p>
            <w:pPr>
              <w:pStyle w:val="TableParagraph"/>
              <w:spacing w:before="5"/>
              <w:ind w:right="52"/>
              <w:rPr>
                <w:b/>
                <w:sz w:val="11"/>
              </w:rPr>
            </w:pPr>
            <w:r>
              <w:rPr>
                <w:b/>
                <w:w w:val="105"/>
                <w:sz w:val="11"/>
              </w:rPr>
              <w:t>9,814.5</w:t>
            </w:r>
          </w:p>
        </w:tc>
        <w:tc>
          <w:tcPr>
            <w:tcW w:w="602" w:type="dxa"/>
            <w:tcBorders>
              <w:top w:val="single" w:sz="7" w:space="0" w:color="000000"/>
            </w:tcBorders>
          </w:tcPr>
          <w:p>
            <w:pPr>
              <w:pStyle w:val="TableParagraph"/>
              <w:spacing w:before="5"/>
              <w:ind w:right="52"/>
              <w:rPr>
                <w:b/>
                <w:sz w:val="11"/>
              </w:rPr>
            </w:pPr>
            <w:r>
              <w:rPr>
                <w:b/>
                <w:w w:val="105"/>
                <w:sz w:val="11"/>
              </w:rPr>
              <w:t>15,040.7</w:t>
            </w:r>
          </w:p>
        </w:tc>
        <w:tc>
          <w:tcPr>
            <w:tcW w:w="605" w:type="dxa"/>
            <w:tcBorders>
              <w:top w:val="single" w:sz="7" w:space="0" w:color="000000"/>
            </w:tcBorders>
          </w:tcPr>
          <w:p>
            <w:pPr>
              <w:pStyle w:val="TableParagraph"/>
              <w:spacing w:before="5"/>
              <w:ind w:right="55"/>
              <w:rPr>
                <w:b/>
                <w:sz w:val="11"/>
              </w:rPr>
            </w:pPr>
            <w:r>
              <w:rPr>
                <w:b/>
                <w:w w:val="105"/>
                <w:sz w:val="11"/>
              </w:rPr>
              <w:t>18,331.3</w:t>
            </w:r>
          </w:p>
        </w:tc>
        <w:tc>
          <w:tcPr>
            <w:tcW w:w="602" w:type="dxa"/>
            <w:tcBorders>
              <w:top w:val="single" w:sz="7" w:space="0" w:color="000000"/>
              <w:right w:val="single" w:sz="7" w:space="0" w:color="000000"/>
            </w:tcBorders>
          </w:tcPr>
          <w:p>
            <w:pPr>
              <w:pStyle w:val="TableParagraph"/>
              <w:spacing w:before="5"/>
              <w:ind w:right="54"/>
              <w:rPr>
                <w:b/>
                <w:sz w:val="11"/>
              </w:rPr>
            </w:pPr>
            <w:r>
              <w:rPr>
                <w:b/>
                <w:w w:val="105"/>
                <w:sz w:val="11"/>
              </w:rPr>
              <w:t>21,688.7</w:t>
            </w:r>
          </w:p>
        </w:tc>
        <w:tc>
          <w:tcPr>
            <w:tcW w:w="604" w:type="dxa"/>
            <w:tcBorders>
              <w:top w:val="single" w:sz="7" w:space="0" w:color="000000"/>
              <w:left w:val="single" w:sz="7" w:space="0" w:color="000000"/>
              <w:right w:val="single" w:sz="7" w:space="0" w:color="000000"/>
            </w:tcBorders>
          </w:tcPr>
          <w:p>
            <w:pPr>
              <w:pStyle w:val="TableParagraph"/>
              <w:spacing w:before="5"/>
              <w:ind w:right="55"/>
              <w:rPr>
                <w:b/>
                <w:sz w:val="11"/>
              </w:rPr>
            </w:pPr>
            <w:r>
              <w:rPr>
                <w:b/>
                <w:w w:val="105"/>
                <w:sz w:val="11"/>
              </w:rPr>
              <w:t>25,566.8</w:t>
            </w:r>
          </w:p>
        </w:tc>
        <w:tc>
          <w:tcPr>
            <w:tcW w:w="606" w:type="dxa"/>
            <w:tcBorders>
              <w:top w:val="single" w:sz="7" w:space="0" w:color="000000"/>
              <w:left w:val="single" w:sz="7" w:space="0" w:color="000000"/>
            </w:tcBorders>
          </w:tcPr>
          <w:p>
            <w:pPr>
              <w:pStyle w:val="TableParagraph"/>
              <w:spacing w:before="5"/>
              <w:ind w:right="57"/>
              <w:rPr>
                <w:b/>
                <w:sz w:val="11"/>
              </w:rPr>
            </w:pPr>
            <w:r>
              <w:rPr>
                <w:b/>
                <w:w w:val="105"/>
                <w:sz w:val="11"/>
              </w:rPr>
              <w:t>26,068.7</w:t>
            </w:r>
          </w:p>
        </w:tc>
        <w:tc>
          <w:tcPr>
            <w:tcW w:w="602" w:type="dxa"/>
            <w:tcBorders>
              <w:top w:val="single" w:sz="7" w:space="0" w:color="000000"/>
            </w:tcBorders>
          </w:tcPr>
          <w:p>
            <w:pPr>
              <w:pStyle w:val="TableParagraph"/>
              <w:spacing w:before="5"/>
              <w:ind w:right="55"/>
              <w:rPr>
                <w:b/>
                <w:sz w:val="11"/>
              </w:rPr>
            </w:pPr>
            <w:r>
              <w:rPr>
                <w:b/>
                <w:w w:val="105"/>
                <w:sz w:val="11"/>
              </w:rPr>
              <w:t>25,137.4</w:t>
            </w:r>
          </w:p>
        </w:tc>
        <w:tc>
          <w:tcPr>
            <w:tcW w:w="602" w:type="dxa"/>
            <w:tcBorders>
              <w:top w:val="single" w:sz="7" w:space="0" w:color="000000"/>
            </w:tcBorders>
          </w:tcPr>
          <w:p>
            <w:pPr>
              <w:pStyle w:val="TableParagraph"/>
              <w:spacing w:before="5"/>
              <w:ind w:right="55"/>
              <w:rPr>
                <w:b/>
                <w:sz w:val="11"/>
              </w:rPr>
            </w:pPr>
            <w:r>
              <w:rPr>
                <w:b/>
                <w:w w:val="105"/>
                <w:sz w:val="11"/>
              </w:rPr>
              <w:t>21,181.1</w:t>
            </w:r>
          </w:p>
        </w:tc>
        <w:tc>
          <w:tcPr>
            <w:tcW w:w="605" w:type="dxa"/>
            <w:tcBorders>
              <w:top w:val="single" w:sz="7" w:space="0" w:color="000000"/>
            </w:tcBorders>
          </w:tcPr>
          <w:p>
            <w:pPr>
              <w:pStyle w:val="TableParagraph"/>
              <w:spacing w:before="5"/>
              <w:ind w:right="57"/>
              <w:rPr>
                <w:b/>
                <w:sz w:val="11"/>
              </w:rPr>
            </w:pPr>
            <w:r>
              <w:rPr>
                <w:b/>
                <w:w w:val="105"/>
                <w:sz w:val="11"/>
              </w:rPr>
              <w:t>12,958.1</w:t>
            </w:r>
          </w:p>
        </w:tc>
        <w:tc>
          <w:tcPr>
            <w:tcW w:w="674" w:type="dxa"/>
            <w:tcBorders>
              <w:top w:val="single" w:sz="7" w:space="0" w:color="000000"/>
            </w:tcBorders>
          </w:tcPr>
          <w:p>
            <w:pPr>
              <w:pStyle w:val="TableParagraph"/>
              <w:spacing w:before="5"/>
              <w:ind w:right="52"/>
              <w:rPr>
                <w:b/>
                <w:sz w:val="11"/>
              </w:rPr>
            </w:pPr>
            <w:r>
              <w:rPr>
                <w:b/>
                <w:w w:val="105"/>
                <w:sz w:val="11"/>
              </w:rPr>
              <w:t>100</w:t>
            </w:r>
          </w:p>
        </w:tc>
        <w:tc>
          <w:tcPr>
            <w:tcW w:w="554" w:type="dxa"/>
            <w:tcBorders>
              <w:top w:val="single" w:sz="7" w:space="0" w:color="000000"/>
            </w:tcBorders>
          </w:tcPr>
          <w:p>
            <w:pPr>
              <w:pStyle w:val="TableParagraph"/>
              <w:spacing w:before="5"/>
              <w:ind w:right="55"/>
              <w:rPr>
                <w:b/>
                <w:sz w:val="11"/>
              </w:rPr>
            </w:pPr>
            <w:r>
              <w:rPr>
                <w:b/>
                <w:w w:val="105"/>
                <w:sz w:val="11"/>
              </w:rPr>
              <w:t>13.3</w:t>
            </w:r>
          </w:p>
        </w:tc>
        <w:tc>
          <w:tcPr>
            <w:tcW w:w="684" w:type="dxa"/>
            <w:tcBorders>
              <w:top w:val="single" w:sz="7" w:space="0" w:color="000000"/>
            </w:tcBorders>
          </w:tcPr>
          <w:p>
            <w:pPr/>
          </w:p>
        </w:tc>
        <w:tc>
          <w:tcPr>
            <w:tcW w:w="444" w:type="dxa"/>
            <w:tcBorders>
              <w:top w:val="single" w:sz="7" w:space="0" w:color="000000"/>
            </w:tcBorders>
          </w:tcPr>
          <w:p>
            <w:pPr/>
          </w:p>
        </w:tc>
      </w:tr>
      <w:tr>
        <w:trPr>
          <w:trHeight w:val="149" w:hRule="exact"/>
        </w:trPr>
        <w:tc>
          <w:tcPr>
            <w:tcW w:w="770" w:type="dxa"/>
            <w:tcBorders>
              <w:bottom w:val="single" w:sz="4" w:space="0" w:color="000000"/>
            </w:tcBorders>
          </w:tcPr>
          <w:p>
            <w:pPr>
              <w:pStyle w:val="TableParagraph"/>
              <w:spacing w:before="0"/>
              <w:ind w:left="57"/>
              <w:jc w:val="left"/>
              <w:rPr>
                <w:b/>
                <w:sz w:val="11"/>
              </w:rPr>
            </w:pPr>
            <w:r>
              <w:rPr>
                <w:b/>
                <w:w w:val="105"/>
                <w:sz w:val="11"/>
              </w:rPr>
              <w:t>Ene</w:t>
            </w:r>
          </w:p>
        </w:tc>
        <w:tc>
          <w:tcPr>
            <w:tcW w:w="605" w:type="dxa"/>
            <w:tcBorders>
              <w:bottom w:val="single" w:sz="4" w:space="0" w:color="000000"/>
              <w:right w:val="single" w:sz="4" w:space="0" w:color="000000"/>
            </w:tcBorders>
          </w:tcPr>
          <w:p>
            <w:pPr>
              <w:pStyle w:val="TableParagraph"/>
              <w:spacing w:before="0"/>
              <w:ind w:right="60"/>
              <w:rPr>
                <w:sz w:val="11"/>
              </w:rPr>
            </w:pPr>
            <w:r>
              <w:rPr>
                <w:w w:val="105"/>
                <w:sz w:val="11"/>
              </w:rPr>
              <w:t>254.6</w:t>
            </w:r>
          </w:p>
        </w:tc>
        <w:tc>
          <w:tcPr>
            <w:tcW w:w="604" w:type="dxa"/>
            <w:tcBorders>
              <w:left w:val="single" w:sz="4" w:space="0" w:color="000000"/>
              <w:bottom w:val="single" w:sz="4" w:space="0" w:color="000000"/>
              <w:right w:val="single" w:sz="3" w:space="0" w:color="000000"/>
            </w:tcBorders>
          </w:tcPr>
          <w:p>
            <w:pPr>
              <w:pStyle w:val="TableParagraph"/>
              <w:spacing w:before="0"/>
              <w:ind w:right="60"/>
              <w:rPr>
                <w:sz w:val="11"/>
              </w:rPr>
            </w:pPr>
            <w:r>
              <w:rPr>
                <w:w w:val="105"/>
                <w:sz w:val="11"/>
              </w:rPr>
              <w:t>313.5</w:t>
            </w:r>
          </w:p>
        </w:tc>
        <w:tc>
          <w:tcPr>
            <w:tcW w:w="605" w:type="dxa"/>
            <w:tcBorders>
              <w:left w:val="single" w:sz="3" w:space="0" w:color="000000"/>
              <w:bottom w:val="single" w:sz="4" w:space="0" w:color="000000"/>
              <w:right w:val="single" w:sz="3" w:space="0" w:color="000000"/>
            </w:tcBorders>
          </w:tcPr>
          <w:p>
            <w:pPr>
              <w:pStyle w:val="TableParagraph"/>
              <w:spacing w:before="0"/>
              <w:ind w:right="62"/>
              <w:rPr>
                <w:sz w:val="11"/>
              </w:rPr>
            </w:pPr>
            <w:r>
              <w:rPr>
                <w:w w:val="105"/>
                <w:sz w:val="11"/>
              </w:rPr>
              <w:t>338.7</w:t>
            </w:r>
          </w:p>
        </w:tc>
        <w:tc>
          <w:tcPr>
            <w:tcW w:w="606" w:type="dxa"/>
            <w:tcBorders>
              <w:left w:val="single" w:sz="3" w:space="0" w:color="000000"/>
              <w:bottom w:val="single" w:sz="4" w:space="0" w:color="000000"/>
              <w:right w:val="single" w:sz="4" w:space="0" w:color="000000"/>
            </w:tcBorders>
          </w:tcPr>
          <w:p>
            <w:pPr>
              <w:pStyle w:val="TableParagraph"/>
              <w:spacing w:before="0"/>
              <w:ind w:right="62"/>
              <w:rPr>
                <w:sz w:val="11"/>
              </w:rPr>
            </w:pPr>
            <w:r>
              <w:rPr>
                <w:w w:val="105"/>
                <w:sz w:val="11"/>
              </w:rPr>
              <w:t>382.5</w:t>
            </w:r>
          </w:p>
        </w:tc>
        <w:tc>
          <w:tcPr>
            <w:tcW w:w="605" w:type="dxa"/>
            <w:tcBorders>
              <w:left w:val="single" w:sz="4" w:space="0" w:color="000000"/>
              <w:bottom w:val="single" w:sz="4" w:space="0" w:color="000000"/>
              <w:right w:val="single" w:sz="4" w:space="0" w:color="000000"/>
            </w:tcBorders>
          </w:tcPr>
          <w:p>
            <w:pPr>
              <w:pStyle w:val="TableParagraph"/>
              <w:spacing w:before="0"/>
              <w:ind w:right="62"/>
              <w:rPr>
                <w:sz w:val="11"/>
              </w:rPr>
            </w:pPr>
            <w:r>
              <w:rPr>
                <w:w w:val="105"/>
                <w:sz w:val="11"/>
              </w:rPr>
              <w:t>399.6</w:t>
            </w:r>
          </w:p>
        </w:tc>
        <w:tc>
          <w:tcPr>
            <w:tcW w:w="602" w:type="dxa"/>
            <w:tcBorders>
              <w:left w:val="single" w:sz="4" w:space="0" w:color="000000"/>
              <w:bottom w:val="single" w:sz="4" w:space="0" w:color="000000"/>
              <w:right w:val="single" w:sz="4" w:space="0" w:color="000000"/>
            </w:tcBorders>
          </w:tcPr>
          <w:p>
            <w:pPr>
              <w:pStyle w:val="TableParagraph"/>
              <w:spacing w:before="0"/>
              <w:ind w:left="219" w:right="44"/>
              <w:jc w:val="center"/>
              <w:rPr>
                <w:sz w:val="11"/>
              </w:rPr>
            </w:pPr>
            <w:r>
              <w:rPr>
                <w:w w:val="105"/>
                <w:sz w:val="11"/>
              </w:rPr>
              <w:t>456.3</w:t>
            </w:r>
          </w:p>
        </w:tc>
        <w:tc>
          <w:tcPr>
            <w:tcW w:w="605" w:type="dxa"/>
            <w:tcBorders>
              <w:left w:val="single" w:sz="4" w:space="0" w:color="000000"/>
              <w:bottom w:val="single" w:sz="4" w:space="0" w:color="000000"/>
              <w:right w:val="single" w:sz="4" w:space="0" w:color="000000"/>
            </w:tcBorders>
          </w:tcPr>
          <w:p>
            <w:pPr>
              <w:pStyle w:val="TableParagraph"/>
              <w:spacing w:before="0"/>
              <w:ind w:right="62"/>
              <w:rPr>
                <w:sz w:val="11"/>
              </w:rPr>
            </w:pPr>
            <w:r>
              <w:rPr>
                <w:w w:val="105"/>
                <w:sz w:val="11"/>
              </w:rPr>
              <w:t>655.0</w:t>
            </w:r>
          </w:p>
        </w:tc>
        <w:tc>
          <w:tcPr>
            <w:tcW w:w="602" w:type="dxa"/>
            <w:tcBorders>
              <w:left w:val="single" w:sz="4" w:space="0" w:color="000000"/>
              <w:bottom w:val="single" w:sz="4" w:space="0" w:color="000000"/>
              <w:right w:val="single" w:sz="4" w:space="0" w:color="000000"/>
            </w:tcBorders>
          </w:tcPr>
          <w:p>
            <w:pPr>
              <w:pStyle w:val="TableParagraph"/>
              <w:spacing w:before="0"/>
              <w:ind w:right="57"/>
              <w:rPr>
                <w:sz w:val="11"/>
              </w:rPr>
            </w:pPr>
            <w:r>
              <w:rPr>
                <w:w w:val="105"/>
                <w:sz w:val="11"/>
              </w:rPr>
              <w:t>711.0</w:t>
            </w:r>
          </w:p>
        </w:tc>
        <w:tc>
          <w:tcPr>
            <w:tcW w:w="602" w:type="dxa"/>
            <w:tcBorders>
              <w:left w:val="single" w:sz="4" w:space="0" w:color="000000"/>
              <w:bottom w:val="single" w:sz="4" w:space="0" w:color="000000"/>
              <w:right w:val="single" w:sz="4" w:space="0" w:color="000000"/>
            </w:tcBorders>
          </w:tcPr>
          <w:p>
            <w:pPr>
              <w:pStyle w:val="TableParagraph"/>
              <w:spacing w:before="0"/>
              <w:ind w:right="57"/>
              <w:rPr>
                <w:sz w:val="11"/>
              </w:rPr>
            </w:pPr>
            <w:r>
              <w:rPr>
                <w:w w:val="105"/>
                <w:sz w:val="11"/>
              </w:rPr>
              <w:t>1,017.3</w:t>
            </w:r>
          </w:p>
        </w:tc>
        <w:tc>
          <w:tcPr>
            <w:tcW w:w="605" w:type="dxa"/>
            <w:tcBorders>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1,081.9</w:t>
            </w:r>
          </w:p>
        </w:tc>
        <w:tc>
          <w:tcPr>
            <w:tcW w:w="602" w:type="dxa"/>
            <w:tcBorders>
              <w:left w:val="single" w:sz="4" w:space="0" w:color="000000"/>
              <w:bottom w:val="single" w:sz="4" w:space="0" w:color="000000"/>
              <w:right w:val="single" w:sz="4" w:space="0" w:color="000000"/>
            </w:tcBorders>
          </w:tcPr>
          <w:p>
            <w:pPr>
              <w:pStyle w:val="TableParagraph"/>
              <w:spacing w:before="0"/>
              <w:ind w:right="57"/>
              <w:rPr>
                <w:sz w:val="11"/>
              </w:rPr>
            </w:pPr>
            <w:r>
              <w:rPr>
                <w:w w:val="105"/>
                <w:sz w:val="11"/>
              </w:rPr>
              <w:t>1,367.6</w:t>
            </w:r>
          </w:p>
        </w:tc>
        <w:tc>
          <w:tcPr>
            <w:tcW w:w="604" w:type="dxa"/>
            <w:tcBorders>
              <w:left w:val="single" w:sz="4" w:space="0" w:color="000000"/>
              <w:bottom w:val="single" w:sz="4" w:space="0" w:color="000000"/>
              <w:right w:val="single" w:sz="3" w:space="0" w:color="000000"/>
            </w:tcBorders>
          </w:tcPr>
          <w:p>
            <w:pPr>
              <w:pStyle w:val="TableParagraph"/>
              <w:spacing w:before="0"/>
              <w:ind w:right="60"/>
              <w:rPr>
                <w:sz w:val="11"/>
              </w:rPr>
            </w:pPr>
            <w:r>
              <w:rPr>
                <w:w w:val="105"/>
                <w:sz w:val="11"/>
              </w:rPr>
              <w:t>1,758.3</w:t>
            </w:r>
          </w:p>
        </w:tc>
        <w:tc>
          <w:tcPr>
            <w:tcW w:w="606" w:type="dxa"/>
            <w:tcBorders>
              <w:left w:val="single" w:sz="3" w:space="0" w:color="000000"/>
              <w:bottom w:val="single" w:sz="4" w:space="0" w:color="000000"/>
              <w:right w:val="single" w:sz="4" w:space="0" w:color="000000"/>
            </w:tcBorders>
          </w:tcPr>
          <w:p>
            <w:pPr>
              <w:pStyle w:val="TableParagraph"/>
              <w:spacing w:before="0"/>
              <w:ind w:right="62"/>
              <w:rPr>
                <w:sz w:val="11"/>
              </w:rPr>
            </w:pPr>
            <w:r>
              <w:rPr>
                <w:w w:val="105"/>
                <w:sz w:val="11"/>
              </w:rPr>
              <w:t>1,872.9</w:t>
            </w:r>
          </w:p>
        </w:tc>
        <w:tc>
          <w:tcPr>
            <w:tcW w:w="602" w:type="dxa"/>
            <w:tcBorders>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1,781.1</w:t>
            </w:r>
          </w:p>
        </w:tc>
        <w:tc>
          <w:tcPr>
            <w:tcW w:w="602" w:type="dxa"/>
            <w:tcBorders>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1,568.2</w:t>
            </w:r>
          </w:p>
        </w:tc>
        <w:tc>
          <w:tcPr>
            <w:tcW w:w="605" w:type="dxa"/>
            <w:tcBorders>
              <w:left w:val="single" w:sz="4" w:space="0" w:color="000000"/>
              <w:bottom w:val="single" w:sz="4" w:space="0" w:color="000000"/>
              <w:right w:val="single" w:sz="4" w:space="0" w:color="000000"/>
            </w:tcBorders>
          </w:tcPr>
          <w:p>
            <w:pPr>
              <w:pStyle w:val="TableParagraph"/>
              <w:spacing w:before="0"/>
              <w:ind w:right="62"/>
              <w:rPr>
                <w:sz w:val="11"/>
              </w:rPr>
            </w:pPr>
            <w:r>
              <w:rPr>
                <w:w w:val="105"/>
                <w:sz w:val="11"/>
              </w:rPr>
              <w:t>885.0</w:t>
            </w:r>
          </w:p>
        </w:tc>
        <w:tc>
          <w:tcPr>
            <w:tcW w:w="674" w:type="dxa"/>
            <w:tcBorders>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6.8</w:t>
            </w:r>
          </w:p>
        </w:tc>
        <w:tc>
          <w:tcPr>
            <w:tcW w:w="554" w:type="dxa"/>
            <w:tcBorders>
              <w:left w:val="single" w:sz="4" w:space="0" w:color="000000"/>
              <w:bottom w:val="single" w:sz="4" w:space="0" w:color="000000"/>
            </w:tcBorders>
          </w:tcPr>
          <w:p>
            <w:pPr>
              <w:pStyle w:val="TableParagraph"/>
              <w:spacing w:before="0"/>
              <w:ind w:right="55"/>
              <w:rPr>
                <w:sz w:val="11"/>
              </w:rPr>
            </w:pPr>
            <w:r>
              <w:rPr>
                <w:w w:val="105"/>
                <w:sz w:val="11"/>
              </w:rPr>
              <w:t>16.1</w:t>
            </w:r>
          </w:p>
        </w:tc>
        <w:tc>
          <w:tcPr>
            <w:tcW w:w="684" w:type="dxa"/>
            <w:tcBorders>
              <w:bottom w:val="single" w:sz="4" w:space="0" w:color="000000"/>
              <w:right w:val="single" w:sz="4" w:space="0" w:color="000000"/>
            </w:tcBorders>
          </w:tcPr>
          <w:p>
            <w:pPr>
              <w:pStyle w:val="TableParagraph"/>
              <w:spacing w:before="0"/>
              <w:ind w:right="60"/>
              <w:rPr>
                <w:sz w:val="11"/>
              </w:rPr>
            </w:pPr>
            <w:r>
              <w:rPr>
                <w:w w:val="105"/>
                <w:sz w:val="11"/>
              </w:rPr>
              <w:t>885.0</w:t>
            </w:r>
          </w:p>
        </w:tc>
        <w:tc>
          <w:tcPr>
            <w:tcW w:w="444" w:type="dxa"/>
            <w:tcBorders>
              <w:left w:val="single" w:sz="4" w:space="0" w:color="000000"/>
              <w:bottom w:val="single" w:sz="4" w:space="0" w:color="000000"/>
            </w:tcBorders>
          </w:tcPr>
          <w:p>
            <w:pPr>
              <w:pStyle w:val="TableParagraph"/>
              <w:spacing w:before="0"/>
              <w:ind w:right="60"/>
              <w:rPr>
                <w:sz w:val="11"/>
              </w:rPr>
            </w:pPr>
            <w:r>
              <w:rPr>
                <w:w w:val="105"/>
                <w:sz w:val="11"/>
              </w:rPr>
              <w:t>6.8</w:t>
            </w:r>
          </w:p>
        </w:tc>
      </w:tr>
      <w:tr>
        <w:trPr>
          <w:trHeight w:val="144" w:hRule="exact"/>
        </w:trPr>
        <w:tc>
          <w:tcPr>
            <w:tcW w:w="770" w:type="dxa"/>
            <w:tcBorders>
              <w:top w:val="single" w:sz="4" w:space="0" w:color="000000"/>
              <w:bottom w:val="single" w:sz="4" w:space="0" w:color="000000"/>
            </w:tcBorders>
          </w:tcPr>
          <w:p>
            <w:pPr>
              <w:pStyle w:val="TableParagraph"/>
              <w:ind w:left="57"/>
              <w:jc w:val="left"/>
              <w:rPr>
                <w:b/>
                <w:sz w:val="11"/>
              </w:rPr>
            </w:pPr>
            <w:r>
              <w:rPr>
                <w:b/>
                <w:w w:val="105"/>
                <w:sz w:val="11"/>
              </w:rPr>
              <w:t>Feb</w:t>
            </w:r>
          </w:p>
        </w:tc>
        <w:tc>
          <w:tcPr>
            <w:tcW w:w="605"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248.1</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281.9</w:t>
            </w:r>
          </w:p>
        </w:tc>
        <w:tc>
          <w:tcPr>
            <w:tcW w:w="605" w:type="dxa"/>
            <w:tcBorders>
              <w:top w:val="single" w:sz="4" w:space="0" w:color="000000"/>
              <w:left w:val="single" w:sz="3" w:space="0" w:color="000000"/>
              <w:bottom w:val="single" w:sz="4" w:space="0" w:color="000000"/>
              <w:right w:val="single" w:sz="3" w:space="0" w:color="000000"/>
            </w:tcBorders>
          </w:tcPr>
          <w:p>
            <w:pPr>
              <w:pStyle w:val="TableParagraph"/>
              <w:ind w:right="62"/>
              <w:rPr>
                <w:sz w:val="11"/>
              </w:rPr>
            </w:pPr>
            <w:r>
              <w:rPr>
                <w:w w:val="105"/>
                <w:sz w:val="11"/>
              </w:rPr>
              <w:t>331.6</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366.4</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388.9</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left="219" w:right="44"/>
              <w:jc w:val="center"/>
              <w:rPr>
                <w:sz w:val="11"/>
              </w:rPr>
            </w:pPr>
            <w:r>
              <w:rPr>
                <w:w w:val="105"/>
                <w:sz w:val="11"/>
              </w:rPr>
              <w:t>447.2</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637.7</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718.9</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962.9</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1,171.8</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1,428.4</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1,823.2</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1,856.7</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1,859.4</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1,803.4</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894.5</w:t>
            </w:r>
          </w:p>
        </w:tc>
        <w:tc>
          <w:tcPr>
            <w:tcW w:w="67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6.9</w:t>
            </w:r>
          </w:p>
        </w:tc>
        <w:tc>
          <w:tcPr>
            <w:tcW w:w="554" w:type="dxa"/>
            <w:tcBorders>
              <w:top w:val="single" w:sz="4" w:space="0" w:color="000000"/>
              <w:left w:val="single" w:sz="4" w:space="0" w:color="000000"/>
              <w:bottom w:val="single" w:sz="4" w:space="0" w:color="000000"/>
            </w:tcBorders>
          </w:tcPr>
          <w:p>
            <w:pPr>
              <w:pStyle w:val="TableParagraph"/>
              <w:ind w:right="55"/>
              <w:rPr>
                <w:sz w:val="11"/>
              </w:rPr>
            </w:pPr>
            <w:r>
              <w:rPr>
                <w:w w:val="105"/>
                <w:sz w:val="11"/>
              </w:rPr>
              <w:t>16.8</w:t>
            </w:r>
          </w:p>
        </w:tc>
        <w:tc>
          <w:tcPr>
            <w:tcW w:w="684"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1,779.5</w:t>
            </w:r>
          </w:p>
        </w:tc>
        <w:tc>
          <w:tcPr>
            <w:tcW w:w="444" w:type="dxa"/>
            <w:tcBorders>
              <w:top w:val="single" w:sz="4" w:space="0" w:color="000000"/>
              <w:left w:val="single" w:sz="4" w:space="0" w:color="000000"/>
              <w:bottom w:val="single" w:sz="4" w:space="0" w:color="000000"/>
            </w:tcBorders>
          </w:tcPr>
          <w:p>
            <w:pPr>
              <w:pStyle w:val="TableParagraph"/>
              <w:ind w:right="57"/>
              <w:rPr>
                <w:sz w:val="11"/>
              </w:rPr>
            </w:pPr>
            <w:r>
              <w:rPr>
                <w:w w:val="105"/>
                <w:sz w:val="11"/>
              </w:rPr>
              <w:t>13.7</w:t>
            </w:r>
          </w:p>
        </w:tc>
      </w:tr>
      <w:tr>
        <w:trPr>
          <w:trHeight w:val="144" w:hRule="exact"/>
        </w:trPr>
        <w:tc>
          <w:tcPr>
            <w:tcW w:w="770" w:type="dxa"/>
            <w:tcBorders>
              <w:top w:val="single" w:sz="4" w:space="0" w:color="000000"/>
              <w:bottom w:val="single" w:sz="4" w:space="0" w:color="000000"/>
            </w:tcBorders>
          </w:tcPr>
          <w:p>
            <w:pPr>
              <w:pStyle w:val="TableParagraph"/>
              <w:ind w:left="57"/>
              <w:jc w:val="left"/>
              <w:rPr>
                <w:b/>
                <w:sz w:val="11"/>
              </w:rPr>
            </w:pPr>
            <w:r>
              <w:rPr>
                <w:b/>
                <w:w w:val="105"/>
                <w:sz w:val="11"/>
              </w:rPr>
              <w:t>Mar</w:t>
            </w:r>
          </w:p>
        </w:tc>
        <w:tc>
          <w:tcPr>
            <w:tcW w:w="605"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287.4</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337.3</w:t>
            </w:r>
          </w:p>
        </w:tc>
        <w:tc>
          <w:tcPr>
            <w:tcW w:w="605" w:type="dxa"/>
            <w:tcBorders>
              <w:top w:val="single" w:sz="4" w:space="0" w:color="000000"/>
              <w:left w:val="single" w:sz="3" w:space="0" w:color="000000"/>
              <w:bottom w:val="single" w:sz="4" w:space="0" w:color="000000"/>
              <w:right w:val="single" w:sz="3" w:space="0" w:color="000000"/>
            </w:tcBorders>
          </w:tcPr>
          <w:p>
            <w:pPr>
              <w:pStyle w:val="TableParagraph"/>
              <w:ind w:right="62"/>
              <w:rPr>
                <w:sz w:val="11"/>
              </w:rPr>
            </w:pPr>
            <w:r>
              <w:rPr>
                <w:w w:val="105"/>
                <w:sz w:val="11"/>
              </w:rPr>
              <w:t>381.9</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427.2</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464.9</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left="219" w:right="44"/>
              <w:jc w:val="center"/>
              <w:rPr>
                <w:sz w:val="11"/>
              </w:rPr>
            </w:pPr>
            <w:r>
              <w:rPr>
                <w:w w:val="105"/>
                <w:sz w:val="11"/>
              </w:rPr>
              <w:t>494.5</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718.1</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744.5</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1,099.1</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1,480.2</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1,691.6</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2,152.8</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2,186.3</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2,115.9</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2,104.3</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1,041.5</w:t>
            </w:r>
          </w:p>
        </w:tc>
        <w:tc>
          <w:tcPr>
            <w:tcW w:w="67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8.0</w:t>
            </w:r>
          </w:p>
        </w:tc>
        <w:tc>
          <w:tcPr>
            <w:tcW w:w="554" w:type="dxa"/>
            <w:tcBorders>
              <w:top w:val="single" w:sz="4" w:space="0" w:color="000000"/>
              <w:left w:val="single" w:sz="4" w:space="0" w:color="000000"/>
              <w:bottom w:val="single" w:sz="4" w:space="0" w:color="000000"/>
            </w:tcBorders>
          </w:tcPr>
          <w:p>
            <w:pPr>
              <w:pStyle w:val="TableParagraph"/>
              <w:ind w:right="55"/>
              <w:rPr>
                <w:sz w:val="11"/>
              </w:rPr>
            </w:pPr>
            <w:r>
              <w:rPr>
                <w:w w:val="105"/>
                <w:sz w:val="11"/>
              </w:rPr>
              <w:t>16.6</w:t>
            </w:r>
          </w:p>
        </w:tc>
        <w:tc>
          <w:tcPr>
            <w:tcW w:w="684"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2,821.1</w:t>
            </w:r>
          </w:p>
        </w:tc>
        <w:tc>
          <w:tcPr>
            <w:tcW w:w="444" w:type="dxa"/>
            <w:tcBorders>
              <w:top w:val="single" w:sz="4" w:space="0" w:color="000000"/>
              <w:left w:val="single" w:sz="4" w:space="0" w:color="000000"/>
              <w:bottom w:val="single" w:sz="4" w:space="0" w:color="000000"/>
            </w:tcBorders>
          </w:tcPr>
          <w:p>
            <w:pPr>
              <w:pStyle w:val="TableParagraph"/>
              <w:ind w:right="57"/>
              <w:rPr>
                <w:sz w:val="11"/>
              </w:rPr>
            </w:pPr>
            <w:r>
              <w:rPr>
                <w:w w:val="105"/>
                <w:sz w:val="11"/>
              </w:rPr>
              <w:t>21.8</w:t>
            </w:r>
          </w:p>
        </w:tc>
      </w:tr>
      <w:tr>
        <w:trPr>
          <w:trHeight w:val="144" w:hRule="exact"/>
        </w:trPr>
        <w:tc>
          <w:tcPr>
            <w:tcW w:w="770" w:type="dxa"/>
            <w:tcBorders>
              <w:top w:val="single" w:sz="4" w:space="0" w:color="000000"/>
              <w:bottom w:val="single" w:sz="4" w:space="0" w:color="000000"/>
            </w:tcBorders>
          </w:tcPr>
          <w:p>
            <w:pPr>
              <w:pStyle w:val="TableParagraph"/>
              <w:spacing w:before="0"/>
              <w:ind w:left="57"/>
              <w:jc w:val="left"/>
              <w:rPr>
                <w:b/>
                <w:sz w:val="11"/>
              </w:rPr>
            </w:pPr>
            <w:r>
              <w:rPr>
                <w:b/>
                <w:w w:val="105"/>
                <w:sz w:val="11"/>
              </w:rPr>
              <w:t>Abr</w:t>
            </w:r>
          </w:p>
        </w:tc>
        <w:tc>
          <w:tcPr>
            <w:tcW w:w="605" w:type="dxa"/>
            <w:tcBorders>
              <w:top w:val="single" w:sz="4" w:space="0" w:color="000000"/>
              <w:bottom w:val="single" w:sz="4" w:space="0" w:color="000000"/>
              <w:right w:val="single" w:sz="4" w:space="0" w:color="000000"/>
            </w:tcBorders>
          </w:tcPr>
          <w:p>
            <w:pPr>
              <w:pStyle w:val="TableParagraph"/>
              <w:spacing w:before="0"/>
              <w:ind w:right="60"/>
              <w:rPr>
                <w:sz w:val="11"/>
              </w:rPr>
            </w:pPr>
            <w:r>
              <w:rPr>
                <w:w w:val="105"/>
                <w:sz w:val="11"/>
              </w:rPr>
              <w:t>298.9</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spacing w:before="0"/>
              <w:ind w:right="60"/>
              <w:rPr>
                <w:sz w:val="11"/>
              </w:rPr>
            </w:pPr>
            <w:r>
              <w:rPr>
                <w:w w:val="105"/>
                <w:sz w:val="11"/>
              </w:rPr>
              <w:t>393.4</w:t>
            </w:r>
          </w:p>
        </w:tc>
        <w:tc>
          <w:tcPr>
            <w:tcW w:w="605" w:type="dxa"/>
            <w:tcBorders>
              <w:top w:val="single" w:sz="4" w:space="0" w:color="000000"/>
              <w:left w:val="single" w:sz="3" w:space="0" w:color="000000"/>
              <w:bottom w:val="single" w:sz="4" w:space="0" w:color="000000"/>
              <w:right w:val="single" w:sz="3" w:space="0" w:color="000000"/>
            </w:tcBorders>
          </w:tcPr>
          <w:p>
            <w:pPr>
              <w:pStyle w:val="TableParagraph"/>
              <w:spacing w:before="0"/>
              <w:ind w:right="62"/>
              <w:rPr>
                <w:sz w:val="11"/>
              </w:rPr>
            </w:pPr>
            <w:r>
              <w:rPr>
                <w:w w:val="105"/>
                <w:sz w:val="11"/>
              </w:rPr>
              <w:t>425.5</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spacing w:before="0"/>
              <w:ind w:right="62"/>
              <w:rPr>
                <w:sz w:val="11"/>
              </w:rPr>
            </w:pPr>
            <w:r>
              <w:rPr>
                <w:w w:val="105"/>
                <w:sz w:val="11"/>
              </w:rPr>
              <w:t>440.0</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1"/>
              </w:rPr>
            </w:pPr>
            <w:r>
              <w:rPr>
                <w:w w:val="105"/>
                <w:sz w:val="11"/>
              </w:rPr>
              <w:t>469.2</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left="219" w:right="44"/>
              <w:jc w:val="center"/>
              <w:rPr>
                <w:sz w:val="11"/>
              </w:rPr>
            </w:pPr>
            <w:r>
              <w:rPr>
                <w:w w:val="105"/>
                <w:sz w:val="11"/>
              </w:rPr>
              <w:t>498.8</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1"/>
              </w:rPr>
            </w:pPr>
            <w:r>
              <w:rPr>
                <w:w w:val="105"/>
                <w:sz w:val="11"/>
              </w:rPr>
              <w:t>734.8</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right="57"/>
              <w:rPr>
                <w:sz w:val="11"/>
              </w:rPr>
            </w:pPr>
            <w:r>
              <w:rPr>
                <w:w w:val="105"/>
                <w:sz w:val="11"/>
              </w:rPr>
              <w:t>805.9</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right="57"/>
              <w:rPr>
                <w:sz w:val="11"/>
              </w:rPr>
            </w:pPr>
            <w:r>
              <w:rPr>
                <w:w w:val="105"/>
                <w:sz w:val="11"/>
              </w:rPr>
              <w:t>1,202.5</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1,513.5</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right="57"/>
              <w:rPr>
                <w:sz w:val="11"/>
              </w:rPr>
            </w:pPr>
            <w:r>
              <w:rPr>
                <w:w w:val="105"/>
                <w:sz w:val="11"/>
              </w:rPr>
              <w:t>1,753.3</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spacing w:before="0"/>
              <w:ind w:right="60"/>
              <w:rPr>
                <w:sz w:val="11"/>
              </w:rPr>
            </w:pPr>
            <w:r>
              <w:rPr>
                <w:w w:val="105"/>
                <w:sz w:val="11"/>
              </w:rPr>
              <w:t>2,072.7</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spacing w:before="0"/>
              <w:ind w:right="62"/>
              <w:rPr>
                <w:sz w:val="11"/>
              </w:rPr>
            </w:pPr>
            <w:r>
              <w:rPr>
                <w:w w:val="105"/>
                <w:sz w:val="11"/>
              </w:rPr>
              <w:t>2,166.1</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2,188.4</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1,779.8</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1"/>
              </w:rPr>
            </w:pPr>
            <w:r>
              <w:rPr>
                <w:w w:val="105"/>
                <w:sz w:val="11"/>
              </w:rPr>
              <w:t>1,068.8</w:t>
            </w:r>
          </w:p>
        </w:tc>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8.2</w:t>
            </w:r>
          </w:p>
        </w:tc>
        <w:tc>
          <w:tcPr>
            <w:tcW w:w="554" w:type="dxa"/>
            <w:tcBorders>
              <w:top w:val="single" w:sz="4" w:space="0" w:color="000000"/>
              <w:left w:val="single" w:sz="4" w:space="0" w:color="000000"/>
              <w:bottom w:val="single" w:sz="4" w:space="0" w:color="000000"/>
            </w:tcBorders>
          </w:tcPr>
          <w:p>
            <w:pPr>
              <w:pStyle w:val="TableParagraph"/>
              <w:spacing w:before="0"/>
              <w:ind w:right="55"/>
              <w:rPr>
                <w:sz w:val="11"/>
              </w:rPr>
            </w:pPr>
            <w:r>
              <w:rPr>
                <w:w w:val="105"/>
                <w:sz w:val="11"/>
              </w:rPr>
              <w:t>16.5</w:t>
            </w:r>
          </w:p>
        </w:tc>
        <w:tc>
          <w:tcPr>
            <w:tcW w:w="684" w:type="dxa"/>
            <w:tcBorders>
              <w:top w:val="single" w:sz="4" w:space="0" w:color="000000"/>
              <w:bottom w:val="single" w:sz="4" w:space="0" w:color="000000"/>
              <w:right w:val="single" w:sz="4" w:space="0" w:color="000000"/>
            </w:tcBorders>
          </w:tcPr>
          <w:p>
            <w:pPr>
              <w:pStyle w:val="TableParagraph"/>
              <w:spacing w:before="0"/>
              <w:ind w:right="60"/>
              <w:rPr>
                <w:sz w:val="11"/>
              </w:rPr>
            </w:pPr>
            <w:r>
              <w:rPr>
                <w:w w:val="105"/>
                <w:sz w:val="11"/>
              </w:rPr>
              <w:t>3,889.8</w:t>
            </w:r>
          </w:p>
        </w:tc>
        <w:tc>
          <w:tcPr>
            <w:tcW w:w="444" w:type="dxa"/>
            <w:tcBorders>
              <w:top w:val="single" w:sz="4" w:space="0" w:color="000000"/>
              <w:left w:val="single" w:sz="4" w:space="0" w:color="000000"/>
              <w:bottom w:val="single" w:sz="4" w:space="0" w:color="000000"/>
            </w:tcBorders>
          </w:tcPr>
          <w:p>
            <w:pPr>
              <w:pStyle w:val="TableParagraph"/>
              <w:spacing w:before="0"/>
              <w:ind w:right="57"/>
              <w:rPr>
                <w:sz w:val="11"/>
              </w:rPr>
            </w:pPr>
            <w:r>
              <w:rPr>
                <w:w w:val="105"/>
                <w:sz w:val="11"/>
              </w:rPr>
              <w:t>30.0</w:t>
            </w:r>
          </w:p>
        </w:tc>
      </w:tr>
      <w:tr>
        <w:trPr>
          <w:trHeight w:val="144" w:hRule="exact"/>
        </w:trPr>
        <w:tc>
          <w:tcPr>
            <w:tcW w:w="770" w:type="dxa"/>
            <w:tcBorders>
              <w:top w:val="single" w:sz="4" w:space="0" w:color="000000"/>
              <w:bottom w:val="single" w:sz="4" w:space="0" w:color="000000"/>
            </w:tcBorders>
          </w:tcPr>
          <w:p>
            <w:pPr>
              <w:pStyle w:val="TableParagraph"/>
              <w:ind w:left="57"/>
              <w:jc w:val="left"/>
              <w:rPr>
                <w:b/>
                <w:sz w:val="11"/>
              </w:rPr>
            </w:pPr>
            <w:r>
              <w:rPr>
                <w:b/>
                <w:w w:val="105"/>
                <w:sz w:val="11"/>
              </w:rPr>
              <w:t>May</w:t>
            </w:r>
          </w:p>
        </w:tc>
        <w:tc>
          <w:tcPr>
            <w:tcW w:w="605"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357.7</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413.5</w:t>
            </w:r>
          </w:p>
        </w:tc>
        <w:tc>
          <w:tcPr>
            <w:tcW w:w="605" w:type="dxa"/>
            <w:tcBorders>
              <w:top w:val="single" w:sz="4" w:space="0" w:color="000000"/>
              <w:left w:val="single" w:sz="3" w:space="0" w:color="000000"/>
              <w:bottom w:val="single" w:sz="4" w:space="0" w:color="000000"/>
              <w:right w:val="single" w:sz="3" w:space="0" w:color="000000"/>
            </w:tcBorders>
          </w:tcPr>
          <w:p>
            <w:pPr>
              <w:pStyle w:val="TableParagraph"/>
              <w:ind w:right="62"/>
              <w:rPr>
                <w:sz w:val="11"/>
              </w:rPr>
            </w:pPr>
            <w:r>
              <w:rPr>
                <w:w w:val="105"/>
                <w:sz w:val="11"/>
              </w:rPr>
              <w:t>486.7</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520.4</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571.6</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left="219" w:right="44"/>
              <w:jc w:val="center"/>
              <w:rPr>
                <w:sz w:val="11"/>
              </w:rPr>
            </w:pPr>
            <w:r>
              <w:rPr>
                <w:w w:val="105"/>
                <w:sz w:val="11"/>
              </w:rPr>
              <w:t>590.8</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798.2</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912.2</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1,343.8</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1,770.4</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2,057.3</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2,534.6</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2,431.9</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2,371.2</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1,900.1</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1,225.7</w:t>
            </w:r>
          </w:p>
        </w:tc>
        <w:tc>
          <w:tcPr>
            <w:tcW w:w="67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9.5</w:t>
            </w:r>
          </w:p>
        </w:tc>
        <w:tc>
          <w:tcPr>
            <w:tcW w:w="554" w:type="dxa"/>
            <w:tcBorders>
              <w:top w:val="single" w:sz="4" w:space="0" w:color="000000"/>
              <w:left w:val="single" w:sz="4" w:space="0" w:color="000000"/>
              <w:bottom w:val="single" w:sz="4" w:space="0" w:color="000000"/>
            </w:tcBorders>
          </w:tcPr>
          <w:p>
            <w:pPr>
              <w:pStyle w:val="TableParagraph"/>
              <w:ind w:right="55"/>
              <w:rPr>
                <w:sz w:val="11"/>
              </w:rPr>
            </w:pPr>
            <w:r>
              <w:rPr>
                <w:w w:val="105"/>
                <w:sz w:val="11"/>
              </w:rPr>
              <w:t>15.7</w:t>
            </w:r>
          </w:p>
        </w:tc>
        <w:tc>
          <w:tcPr>
            <w:tcW w:w="684"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5,115.6</w:t>
            </w:r>
          </w:p>
        </w:tc>
        <w:tc>
          <w:tcPr>
            <w:tcW w:w="444" w:type="dxa"/>
            <w:tcBorders>
              <w:top w:val="single" w:sz="4" w:space="0" w:color="000000"/>
              <w:left w:val="single" w:sz="4" w:space="0" w:color="000000"/>
              <w:bottom w:val="single" w:sz="4" w:space="0" w:color="000000"/>
            </w:tcBorders>
          </w:tcPr>
          <w:p>
            <w:pPr>
              <w:pStyle w:val="TableParagraph"/>
              <w:ind w:right="57"/>
              <w:rPr>
                <w:sz w:val="11"/>
              </w:rPr>
            </w:pPr>
            <w:r>
              <w:rPr>
                <w:w w:val="105"/>
                <w:sz w:val="11"/>
              </w:rPr>
              <w:t>39.5</w:t>
            </w:r>
          </w:p>
        </w:tc>
      </w:tr>
      <w:tr>
        <w:trPr>
          <w:trHeight w:val="144" w:hRule="exact"/>
        </w:trPr>
        <w:tc>
          <w:tcPr>
            <w:tcW w:w="770" w:type="dxa"/>
            <w:tcBorders>
              <w:top w:val="single" w:sz="4" w:space="0" w:color="000000"/>
              <w:bottom w:val="single" w:sz="4" w:space="0" w:color="000000"/>
            </w:tcBorders>
          </w:tcPr>
          <w:p>
            <w:pPr>
              <w:pStyle w:val="TableParagraph"/>
              <w:ind w:left="57"/>
              <w:jc w:val="left"/>
              <w:rPr>
                <w:b/>
                <w:sz w:val="11"/>
              </w:rPr>
            </w:pPr>
            <w:r>
              <w:rPr>
                <w:b/>
                <w:w w:val="105"/>
                <w:sz w:val="11"/>
              </w:rPr>
              <w:t>Jun</w:t>
            </w:r>
          </w:p>
        </w:tc>
        <w:tc>
          <w:tcPr>
            <w:tcW w:w="605"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352.4</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365.3</w:t>
            </w:r>
          </w:p>
        </w:tc>
        <w:tc>
          <w:tcPr>
            <w:tcW w:w="605" w:type="dxa"/>
            <w:tcBorders>
              <w:top w:val="single" w:sz="4" w:space="0" w:color="000000"/>
              <w:left w:val="single" w:sz="3" w:space="0" w:color="000000"/>
              <w:bottom w:val="single" w:sz="4" w:space="0" w:color="000000"/>
              <w:right w:val="single" w:sz="3" w:space="0" w:color="000000"/>
            </w:tcBorders>
          </w:tcPr>
          <w:p>
            <w:pPr>
              <w:pStyle w:val="TableParagraph"/>
              <w:ind w:right="62"/>
              <w:rPr>
                <w:sz w:val="11"/>
              </w:rPr>
            </w:pPr>
            <w:r>
              <w:rPr>
                <w:w w:val="105"/>
                <w:sz w:val="11"/>
              </w:rPr>
              <w:t>453.6</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503.5</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521.9</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left="219" w:right="44"/>
              <w:jc w:val="center"/>
              <w:rPr>
                <w:sz w:val="11"/>
              </w:rPr>
            </w:pPr>
            <w:r>
              <w:rPr>
                <w:w w:val="105"/>
                <w:sz w:val="11"/>
              </w:rPr>
              <w:t>541.6</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747.8</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860.0</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1,351.2</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1,684.3</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1,923.3</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2,340.3</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2,300.4</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2,264.1</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1,922.8</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1,157.8</w:t>
            </w:r>
          </w:p>
        </w:tc>
        <w:tc>
          <w:tcPr>
            <w:tcW w:w="67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8.9</w:t>
            </w:r>
          </w:p>
        </w:tc>
        <w:tc>
          <w:tcPr>
            <w:tcW w:w="554" w:type="dxa"/>
            <w:tcBorders>
              <w:top w:val="single" w:sz="4" w:space="0" w:color="000000"/>
              <w:left w:val="single" w:sz="4" w:space="0" w:color="000000"/>
              <w:bottom w:val="single" w:sz="4" w:space="0" w:color="000000"/>
            </w:tcBorders>
          </w:tcPr>
          <w:p>
            <w:pPr>
              <w:pStyle w:val="TableParagraph"/>
              <w:ind w:right="55"/>
              <w:rPr>
                <w:sz w:val="11"/>
              </w:rPr>
            </w:pPr>
            <w:r>
              <w:rPr>
                <w:w w:val="105"/>
                <w:sz w:val="11"/>
              </w:rPr>
              <w:t>15.4</w:t>
            </w:r>
          </w:p>
        </w:tc>
        <w:tc>
          <w:tcPr>
            <w:tcW w:w="684"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6,273.4</w:t>
            </w:r>
          </w:p>
        </w:tc>
        <w:tc>
          <w:tcPr>
            <w:tcW w:w="444" w:type="dxa"/>
            <w:tcBorders>
              <w:top w:val="single" w:sz="4" w:space="0" w:color="000000"/>
              <w:left w:val="single" w:sz="4" w:space="0" w:color="000000"/>
              <w:bottom w:val="single" w:sz="4" w:space="0" w:color="000000"/>
            </w:tcBorders>
          </w:tcPr>
          <w:p>
            <w:pPr>
              <w:pStyle w:val="TableParagraph"/>
              <w:ind w:right="57"/>
              <w:rPr>
                <w:sz w:val="11"/>
              </w:rPr>
            </w:pPr>
            <w:r>
              <w:rPr>
                <w:w w:val="105"/>
                <w:sz w:val="11"/>
              </w:rPr>
              <w:t>48.4</w:t>
            </w:r>
          </w:p>
        </w:tc>
      </w:tr>
      <w:tr>
        <w:trPr>
          <w:trHeight w:val="144" w:hRule="exact"/>
        </w:trPr>
        <w:tc>
          <w:tcPr>
            <w:tcW w:w="770" w:type="dxa"/>
            <w:tcBorders>
              <w:top w:val="single" w:sz="4" w:space="0" w:color="000000"/>
              <w:bottom w:val="single" w:sz="4" w:space="0" w:color="000000"/>
            </w:tcBorders>
          </w:tcPr>
          <w:p>
            <w:pPr>
              <w:pStyle w:val="TableParagraph"/>
              <w:ind w:left="57"/>
              <w:jc w:val="left"/>
              <w:rPr>
                <w:b/>
                <w:sz w:val="11"/>
              </w:rPr>
            </w:pPr>
            <w:r>
              <w:rPr>
                <w:b/>
                <w:w w:val="105"/>
                <w:sz w:val="11"/>
              </w:rPr>
              <w:t>Jul</w:t>
            </w:r>
          </w:p>
        </w:tc>
        <w:tc>
          <w:tcPr>
            <w:tcW w:w="605"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342.9</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373.7</w:t>
            </w:r>
          </w:p>
        </w:tc>
        <w:tc>
          <w:tcPr>
            <w:tcW w:w="605" w:type="dxa"/>
            <w:tcBorders>
              <w:top w:val="single" w:sz="4" w:space="0" w:color="000000"/>
              <w:left w:val="single" w:sz="3" w:space="0" w:color="000000"/>
              <w:bottom w:val="single" w:sz="4" w:space="0" w:color="000000"/>
              <w:right w:val="single" w:sz="3" w:space="0" w:color="000000"/>
            </w:tcBorders>
          </w:tcPr>
          <w:p>
            <w:pPr>
              <w:pStyle w:val="TableParagraph"/>
              <w:ind w:right="62"/>
              <w:rPr>
                <w:sz w:val="11"/>
              </w:rPr>
            </w:pPr>
            <w:r>
              <w:rPr>
                <w:w w:val="105"/>
                <w:sz w:val="11"/>
              </w:rPr>
              <w:t>441.7</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494.3</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506.7</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left="219" w:right="44"/>
              <w:jc w:val="center"/>
              <w:rPr>
                <w:sz w:val="11"/>
              </w:rPr>
            </w:pPr>
            <w:r>
              <w:rPr>
                <w:w w:val="105"/>
                <w:sz w:val="11"/>
              </w:rPr>
              <w:t>557.6</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796.6</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843.1</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1,361.4</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1,654.4</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1,840.3</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2,191.7</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2,369.2</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2,186.7</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1,833.4</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1,140.0</w:t>
            </w:r>
          </w:p>
        </w:tc>
        <w:tc>
          <w:tcPr>
            <w:tcW w:w="67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8.8</w:t>
            </w:r>
          </w:p>
        </w:tc>
        <w:tc>
          <w:tcPr>
            <w:tcW w:w="554" w:type="dxa"/>
            <w:tcBorders>
              <w:top w:val="single" w:sz="4" w:space="0" w:color="000000"/>
              <w:left w:val="single" w:sz="4" w:space="0" w:color="000000"/>
              <w:bottom w:val="single" w:sz="4" w:space="0" w:color="000000"/>
            </w:tcBorders>
          </w:tcPr>
          <w:p>
            <w:pPr>
              <w:pStyle w:val="TableParagraph"/>
              <w:ind w:right="55"/>
              <w:rPr>
                <w:sz w:val="11"/>
              </w:rPr>
            </w:pPr>
            <w:r>
              <w:rPr>
                <w:w w:val="105"/>
                <w:sz w:val="11"/>
              </w:rPr>
              <w:t>15.3</w:t>
            </w:r>
          </w:p>
        </w:tc>
        <w:tc>
          <w:tcPr>
            <w:tcW w:w="684"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7,413.4</w:t>
            </w:r>
          </w:p>
        </w:tc>
        <w:tc>
          <w:tcPr>
            <w:tcW w:w="444" w:type="dxa"/>
            <w:tcBorders>
              <w:top w:val="single" w:sz="4" w:space="0" w:color="000000"/>
              <w:left w:val="single" w:sz="4" w:space="0" w:color="000000"/>
              <w:bottom w:val="single" w:sz="4" w:space="0" w:color="000000"/>
            </w:tcBorders>
          </w:tcPr>
          <w:p>
            <w:pPr>
              <w:pStyle w:val="TableParagraph"/>
              <w:ind w:right="57"/>
              <w:rPr>
                <w:sz w:val="11"/>
              </w:rPr>
            </w:pPr>
            <w:r>
              <w:rPr>
                <w:w w:val="105"/>
                <w:sz w:val="11"/>
              </w:rPr>
              <w:t>57.2</w:t>
            </w:r>
          </w:p>
        </w:tc>
      </w:tr>
      <w:tr>
        <w:trPr>
          <w:trHeight w:val="144" w:hRule="exact"/>
        </w:trPr>
        <w:tc>
          <w:tcPr>
            <w:tcW w:w="770" w:type="dxa"/>
            <w:tcBorders>
              <w:top w:val="single" w:sz="4" w:space="0" w:color="000000"/>
              <w:bottom w:val="single" w:sz="4" w:space="0" w:color="000000"/>
            </w:tcBorders>
          </w:tcPr>
          <w:p>
            <w:pPr>
              <w:pStyle w:val="TableParagraph"/>
              <w:ind w:left="57"/>
              <w:jc w:val="left"/>
              <w:rPr>
                <w:b/>
                <w:sz w:val="11"/>
              </w:rPr>
            </w:pPr>
            <w:r>
              <w:rPr>
                <w:b/>
                <w:w w:val="105"/>
                <w:sz w:val="11"/>
              </w:rPr>
              <w:t>Ago</w:t>
            </w:r>
          </w:p>
        </w:tc>
        <w:tc>
          <w:tcPr>
            <w:tcW w:w="605"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362.3</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386.1</w:t>
            </w:r>
          </w:p>
        </w:tc>
        <w:tc>
          <w:tcPr>
            <w:tcW w:w="605" w:type="dxa"/>
            <w:tcBorders>
              <w:top w:val="single" w:sz="4" w:space="0" w:color="000000"/>
              <w:left w:val="single" w:sz="3" w:space="0" w:color="000000"/>
              <w:bottom w:val="single" w:sz="4" w:space="0" w:color="000000"/>
              <w:right w:val="single" w:sz="3" w:space="0" w:color="000000"/>
            </w:tcBorders>
          </w:tcPr>
          <w:p>
            <w:pPr>
              <w:pStyle w:val="TableParagraph"/>
              <w:ind w:right="62"/>
              <w:rPr>
                <w:sz w:val="11"/>
              </w:rPr>
            </w:pPr>
            <w:r>
              <w:rPr>
                <w:w w:val="105"/>
                <w:sz w:val="11"/>
              </w:rPr>
              <w:t>428.9</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486.6</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532.1</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left="219" w:right="44"/>
              <w:jc w:val="center"/>
              <w:rPr>
                <w:sz w:val="11"/>
              </w:rPr>
            </w:pPr>
            <w:r>
              <w:rPr>
                <w:w w:val="105"/>
                <w:sz w:val="11"/>
              </w:rPr>
              <w:t>608.1</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789.3</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849.1</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1,401.3</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1,786.8</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2,059.2</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2,334.3</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2,411.9</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2,097.5</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1,780.7</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1,181.0</w:t>
            </w:r>
          </w:p>
        </w:tc>
        <w:tc>
          <w:tcPr>
            <w:tcW w:w="67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9.1</w:t>
            </w:r>
          </w:p>
        </w:tc>
        <w:tc>
          <w:tcPr>
            <w:tcW w:w="554" w:type="dxa"/>
            <w:tcBorders>
              <w:top w:val="single" w:sz="4" w:space="0" w:color="000000"/>
              <w:left w:val="single" w:sz="4" w:space="0" w:color="000000"/>
              <w:bottom w:val="single" w:sz="4" w:space="0" w:color="000000"/>
            </w:tcBorders>
          </w:tcPr>
          <w:p>
            <w:pPr>
              <w:pStyle w:val="TableParagraph"/>
              <w:ind w:right="55"/>
              <w:rPr>
                <w:sz w:val="11"/>
              </w:rPr>
            </w:pPr>
            <w:r>
              <w:rPr>
                <w:w w:val="105"/>
                <w:sz w:val="11"/>
              </w:rPr>
              <w:t>14.5</w:t>
            </w:r>
          </w:p>
        </w:tc>
        <w:tc>
          <w:tcPr>
            <w:tcW w:w="684"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8,594.4</w:t>
            </w:r>
          </w:p>
        </w:tc>
        <w:tc>
          <w:tcPr>
            <w:tcW w:w="444" w:type="dxa"/>
            <w:tcBorders>
              <w:top w:val="single" w:sz="4" w:space="0" w:color="000000"/>
              <w:left w:val="single" w:sz="4" w:space="0" w:color="000000"/>
              <w:bottom w:val="single" w:sz="4" w:space="0" w:color="000000"/>
            </w:tcBorders>
          </w:tcPr>
          <w:p>
            <w:pPr>
              <w:pStyle w:val="TableParagraph"/>
              <w:ind w:right="57"/>
              <w:rPr>
                <w:sz w:val="11"/>
              </w:rPr>
            </w:pPr>
            <w:r>
              <w:rPr>
                <w:w w:val="105"/>
                <w:sz w:val="11"/>
              </w:rPr>
              <w:t>66.3</w:t>
            </w:r>
          </w:p>
        </w:tc>
      </w:tr>
      <w:tr>
        <w:trPr>
          <w:trHeight w:val="144" w:hRule="exact"/>
        </w:trPr>
        <w:tc>
          <w:tcPr>
            <w:tcW w:w="770" w:type="dxa"/>
            <w:tcBorders>
              <w:top w:val="single" w:sz="4" w:space="0" w:color="000000"/>
              <w:bottom w:val="single" w:sz="4" w:space="0" w:color="000000"/>
            </w:tcBorders>
          </w:tcPr>
          <w:p>
            <w:pPr>
              <w:pStyle w:val="TableParagraph"/>
              <w:ind w:left="57"/>
              <w:jc w:val="left"/>
              <w:rPr>
                <w:b/>
                <w:sz w:val="11"/>
              </w:rPr>
            </w:pPr>
            <w:r>
              <w:rPr>
                <w:b/>
                <w:w w:val="105"/>
                <w:sz w:val="11"/>
              </w:rPr>
              <w:t>Sep</w:t>
            </w:r>
          </w:p>
        </w:tc>
        <w:tc>
          <w:tcPr>
            <w:tcW w:w="605"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314.2</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339.3</w:t>
            </w:r>
          </w:p>
        </w:tc>
        <w:tc>
          <w:tcPr>
            <w:tcW w:w="605" w:type="dxa"/>
            <w:tcBorders>
              <w:top w:val="single" w:sz="4" w:space="0" w:color="000000"/>
              <w:left w:val="single" w:sz="3" w:space="0" w:color="000000"/>
              <w:bottom w:val="single" w:sz="4" w:space="0" w:color="000000"/>
              <w:right w:val="single" w:sz="3" w:space="0" w:color="000000"/>
            </w:tcBorders>
          </w:tcPr>
          <w:p>
            <w:pPr>
              <w:pStyle w:val="TableParagraph"/>
              <w:ind w:right="62"/>
              <w:rPr>
                <w:sz w:val="11"/>
              </w:rPr>
            </w:pPr>
            <w:r>
              <w:rPr>
                <w:w w:val="105"/>
                <w:sz w:val="11"/>
              </w:rPr>
              <w:t>431.5</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476.3</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490.5</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left="219" w:right="44"/>
              <w:jc w:val="center"/>
              <w:rPr>
                <w:sz w:val="11"/>
              </w:rPr>
            </w:pPr>
            <w:r>
              <w:rPr>
                <w:w w:val="105"/>
                <w:sz w:val="11"/>
              </w:rPr>
              <w:t>568.6</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772.1</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860.6</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1,365.5</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1,586.8</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1,886.4</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2,141.0</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2,186.0</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2,113.4</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1,742.1</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1,109.4</w:t>
            </w:r>
          </w:p>
        </w:tc>
        <w:tc>
          <w:tcPr>
            <w:tcW w:w="67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8.6</w:t>
            </w:r>
          </w:p>
        </w:tc>
        <w:tc>
          <w:tcPr>
            <w:tcW w:w="554" w:type="dxa"/>
            <w:tcBorders>
              <w:top w:val="single" w:sz="4" w:space="0" w:color="000000"/>
              <w:left w:val="single" w:sz="4" w:space="0" w:color="000000"/>
              <w:bottom w:val="single" w:sz="4" w:space="0" w:color="000000"/>
            </w:tcBorders>
          </w:tcPr>
          <w:p>
            <w:pPr>
              <w:pStyle w:val="TableParagraph"/>
              <w:ind w:right="55"/>
              <w:rPr>
                <w:sz w:val="11"/>
              </w:rPr>
            </w:pPr>
            <w:r>
              <w:rPr>
                <w:w w:val="105"/>
                <w:sz w:val="11"/>
              </w:rPr>
              <w:t>15.8</w:t>
            </w:r>
          </w:p>
        </w:tc>
        <w:tc>
          <w:tcPr>
            <w:tcW w:w="684"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9,703.8</w:t>
            </w:r>
          </w:p>
        </w:tc>
        <w:tc>
          <w:tcPr>
            <w:tcW w:w="444" w:type="dxa"/>
            <w:tcBorders>
              <w:top w:val="single" w:sz="4" w:space="0" w:color="000000"/>
              <w:left w:val="single" w:sz="4" w:space="0" w:color="000000"/>
              <w:bottom w:val="single" w:sz="4" w:space="0" w:color="000000"/>
            </w:tcBorders>
          </w:tcPr>
          <w:p>
            <w:pPr>
              <w:pStyle w:val="TableParagraph"/>
              <w:ind w:right="57"/>
              <w:rPr>
                <w:sz w:val="11"/>
              </w:rPr>
            </w:pPr>
            <w:r>
              <w:rPr>
                <w:w w:val="105"/>
                <w:sz w:val="11"/>
              </w:rPr>
              <w:t>74.9</w:t>
            </w:r>
          </w:p>
        </w:tc>
      </w:tr>
      <w:tr>
        <w:trPr>
          <w:trHeight w:val="144" w:hRule="exact"/>
        </w:trPr>
        <w:tc>
          <w:tcPr>
            <w:tcW w:w="770" w:type="dxa"/>
            <w:tcBorders>
              <w:top w:val="single" w:sz="4" w:space="0" w:color="000000"/>
              <w:bottom w:val="single" w:sz="4" w:space="0" w:color="000000"/>
            </w:tcBorders>
          </w:tcPr>
          <w:p>
            <w:pPr>
              <w:pStyle w:val="TableParagraph"/>
              <w:ind w:left="57"/>
              <w:jc w:val="left"/>
              <w:rPr>
                <w:b/>
                <w:sz w:val="11"/>
              </w:rPr>
            </w:pPr>
            <w:r>
              <w:rPr>
                <w:b/>
                <w:w w:val="105"/>
                <w:sz w:val="11"/>
              </w:rPr>
              <w:t>Oct</w:t>
            </w:r>
          </w:p>
        </w:tc>
        <w:tc>
          <w:tcPr>
            <w:tcW w:w="605"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324.5</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348.9</w:t>
            </w:r>
          </w:p>
        </w:tc>
        <w:tc>
          <w:tcPr>
            <w:tcW w:w="605" w:type="dxa"/>
            <w:tcBorders>
              <w:top w:val="single" w:sz="4" w:space="0" w:color="000000"/>
              <w:left w:val="single" w:sz="3" w:space="0" w:color="000000"/>
              <w:bottom w:val="single" w:sz="4" w:space="0" w:color="000000"/>
              <w:right w:val="single" w:sz="3" w:space="0" w:color="000000"/>
            </w:tcBorders>
          </w:tcPr>
          <w:p>
            <w:pPr>
              <w:pStyle w:val="TableParagraph"/>
              <w:ind w:right="62"/>
              <w:rPr>
                <w:sz w:val="11"/>
              </w:rPr>
            </w:pPr>
            <w:r>
              <w:rPr>
                <w:w w:val="105"/>
                <w:sz w:val="11"/>
              </w:rPr>
              <w:t>421.7</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454.7</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474.5</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left="219" w:right="44"/>
              <w:jc w:val="center"/>
              <w:rPr>
                <w:sz w:val="11"/>
              </w:rPr>
            </w:pPr>
            <w:r>
              <w:rPr>
                <w:w w:val="105"/>
                <w:sz w:val="11"/>
              </w:rPr>
              <w:t>559.5</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792.8</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848.3</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1,391.0</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1,530.0</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1,862.3</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2,316.5</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2,367.4</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2,636.6</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1,691.2</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1,166.3</w:t>
            </w:r>
          </w:p>
        </w:tc>
        <w:tc>
          <w:tcPr>
            <w:tcW w:w="67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9.0</w:t>
            </w:r>
          </w:p>
        </w:tc>
        <w:tc>
          <w:tcPr>
            <w:tcW w:w="554" w:type="dxa"/>
            <w:tcBorders>
              <w:top w:val="single" w:sz="4" w:space="0" w:color="000000"/>
              <w:left w:val="single" w:sz="4" w:space="0" w:color="000000"/>
              <w:bottom w:val="single" w:sz="4" w:space="0" w:color="000000"/>
            </w:tcBorders>
          </w:tcPr>
          <w:p>
            <w:pPr>
              <w:pStyle w:val="TableParagraph"/>
              <w:ind w:right="55"/>
              <w:rPr>
                <w:sz w:val="11"/>
              </w:rPr>
            </w:pPr>
            <w:r>
              <w:rPr>
                <w:w w:val="105"/>
                <w:sz w:val="11"/>
              </w:rPr>
              <w:t>17.5</w:t>
            </w:r>
          </w:p>
        </w:tc>
        <w:tc>
          <w:tcPr>
            <w:tcW w:w="684"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10,870.1</w:t>
            </w:r>
          </w:p>
        </w:tc>
        <w:tc>
          <w:tcPr>
            <w:tcW w:w="444" w:type="dxa"/>
            <w:tcBorders>
              <w:top w:val="single" w:sz="4" w:space="0" w:color="000000"/>
              <w:left w:val="single" w:sz="4" w:space="0" w:color="000000"/>
              <w:bottom w:val="single" w:sz="4" w:space="0" w:color="000000"/>
            </w:tcBorders>
          </w:tcPr>
          <w:p>
            <w:pPr>
              <w:pStyle w:val="TableParagraph"/>
              <w:ind w:right="57"/>
              <w:rPr>
                <w:sz w:val="11"/>
              </w:rPr>
            </w:pPr>
            <w:r>
              <w:rPr>
                <w:w w:val="105"/>
                <w:sz w:val="11"/>
              </w:rPr>
              <w:t>83.9</w:t>
            </w:r>
          </w:p>
        </w:tc>
      </w:tr>
      <w:tr>
        <w:trPr>
          <w:trHeight w:val="145" w:hRule="exact"/>
        </w:trPr>
        <w:tc>
          <w:tcPr>
            <w:tcW w:w="770" w:type="dxa"/>
            <w:tcBorders>
              <w:top w:val="single" w:sz="4" w:space="0" w:color="000000"/>
              <w:bottom w:val="single" w:sz="3" w:space="0" w:color="000000"/>
            </w:tcBorders>
          </w:tcPr>
          <w:p>
            <w:pPr>
              <w:pStyle w:val="TableParagraph"/>
              <w:ind w:left="57"/>
              <w:jc w:val="left"/>
              <w:rPr>
                <w:b/>
                <w:sz w:val="11"/>
              </w:rPr>
            </w:pPr>
            <w:r>
              <w:rPr>
                <w:b/>
                <w:w w:val="105"/>
                <w:sz w:val="11"/>
              </w:rPr>
              <w:t>Nov</w:t>
            </w:r>
          </w:p>
        </w:tc>
        <w:tc>
          <w:tcPr>
            <w:tcW w:w="605" w:type="dxa"/>
            <w:tcBorders>
              <w:top w:val="single" w:sz="4" w:space="0" w:color="000000"/>
              <w:bottom w:val="single" w:sz="3" w:space="0" w:color="000000"/>
              <w:right w:val="single" w:sz="4" w:space="0" w:color="000000"/>
            </w:tcBorders>
          </w:tcPr>
          <w:p>
            <w:pPr>
              <w:pStyle w:val="TableParagraph"/>
              <w:ind w:right="60"/>
              <w:rPr>
                <w:sz w:val="11"/>
              </w:rPr>
            </w:pPr>
            <w:r>
              <w:rPr>
                <w:w w:val="105"/>
                <w:sz w:val="11"/>
              </w:rPr>
              <w:t>255.6</w:t>
            </w:r>
          </w:p>
        </w:tc>
        <w:tc>
          <w:tcPr>
            <w:tcW w:w="604" w:type="dxa"/>
            <w:tcBorders>
              <w:top w:val="single" w:sz="4" w:space="0" w:color="000000"/>
              <w:left w:val="single" w:sz="4" w:space="0" w:color="000000"/>
              <w:bottom w:val="single" w:sz="3" w:space="0" w:color="000000"/>
              <w:right w:val="single" w:sz="3" w:space="0" w:color="000000"/>
            </w:tcBorders>
          </w:tcPr>
          <w:p>
            <w:pPr>
              <w:pStyle w:val="TableParagraph"/>
              <w:ind w:right="60"/>
              <w:rPr>
                <w:sz w:val="11"/>
              </w:rPr>
            </w:pPr>
            <w:r>
              <w:rPr>
                <w:w w:val="105"/>
                <w:sz w:val="11"/>
              </w:rPr>
              <w:t>315.6</w:t>
            </w:r>
          </w:p>
        </w:tc>
        <w:tc>
          <w:tcPr>
            <w:tcW w:w="605" w:type="dxa"/>
            <w:tcBorders>
              <w:top w:val="single" w:sz="4" w:space="0" w:color="000000"/>
              <w:left w:val="single" w:sz="3" w:space="0" w:color="000000"/>
              <w:bottom w:val="single" w:sz="3" w:space="0" w:color="000000"/>
              <w:right w:val="single" w:sz="3" w:space="0" w:color="000000"/>
            </w:tcBorders>
          </w:tcPr>
          <w:p>
            <w:pPr>
              <w:pStyle w:val="TableParagraph"/>
              <w:ind w:right="62"/>
              <w:rPr>
                <w:sz w:val="11"/>
              </w:rPr>
            </w:pPr>
            <w:r>
              <w:rPr>
                <w:w w:val="105"/>
                <w:sz w:val="11"/>
              </w:rPr>
              <w:t>343.4</w:t>
            </w:r>
          </w:p>
        </w:tc>
        <w:tc>
          <w:tcPr>
            <w:tcW w:w="606" w:type="dxa"/>
            <w:tcBorders>
              <w:top w:val="single" w:sz="4" w:space="0" w:color="000000"/>
              <w:left w:val="single" w:sz="3" w:space="0" w:color="000000"/>
              <w:bottom w:val="single" w:sz="3" w:space="0" w:color="000000"/>
              <w:right w:val="single" w:sz="4" w:space="0" w:color="000000"/>
            </w:tcBorders>
          </w:tcPr>
          <w:p>
            <w:pPr>
              <w:pStyle w:val="TableParagraph"/>
              <w:ind w:right="62"/>
              <w:rPr>
                <w:sz w:val="11"/>
              </w:rPr>
            </w:pPr>
            <w:r>
              <w:rPr>
                <w:w w:val="105"/>
                <w:sz w:val="11"/>
              </w:rPr>
              <w:t>460.7</w:t>
            </w:r>
          </w:p>
        </w:tc>
        <w:tc>
          <w:tcPr>
            <w:tcW w:w="605" w:type="dxa"/>
            <w:tcBorders>
              <w:top w:val="single" w:sz="4" w:space="0" w:color="000000"/>
              <w:left w:val="single" w:sz="4" w:space="0" w:color="000000"/>
              <w:bottom w:val="single" w:sz="3" w:space="0" w:color="000000"/>
              <w:right w:val="single" w:sz="4" w:space="0" w:color="000000"/>
            </w:tcBorders>
          </w:tcPr>
          <w:p>
            <w:pPr>
              <w:pStyle w:val="TableParagraph"/>
              <w:ind w:right="62"/>
              <w:rPr>
                <w:sz w:val="11"/>
              </w:rPr>
            </w:pPr>
            <w:r>
              <w:rPr>
                <w:w w:val="105"/>
                <w:sz w:val="11"/>
              </w:rPr>
              <w:t>502.0</w:t>
            </w:r>
          </w:p>
        </w:tc>
        <w:tc>
          <w:tcPr>
            <w:tcW w:w="602" w:type="dxa"/>
            <w:tcBorders>
              <w:top w:val="single" w:sz="4" w:space="0" w:color="000000"/>
              <w:left w:val="single" w:sz="4" w:space="0" w:color="000000"/>
              <w:bottom w:val="single" w:sz="3" w:space="0" w:color="000000"/>
              <w:right w:val="single" w:sz="4" w:space="0" w:color="000000"/>
            </w:tcBorders>
          </w:tcPr>
          <w:p>
            <w:pPr>
              <w:pStyle w:val="TableParagraph"/>
              <w:ind w:left="219" w:right="44"/>
              <w:jc w:val="center"/>
              <w:rPr>
                <w:sz w:val="11"/>
              </w:rPr>
            </w:pPr>
            <w:r>
              <w:rPr>
                <w:w w:val="105"/>
                <w:sz w:val="11"/>
              </w:rPr>
              <w:t>583.1</w:t>
            </w:r>
          </w:p>
        </w:tc>
        <w:tc>
          <w:tcPr>
            <w:tcW w:w="605" w:type="dxa"/>
            <w:tcBorders>
              <w:top w:val="single" w:sz="4" w:space="0" w:color="000000"/>
              <w:left w:val="single" w:sz="4" w:space="0" w:color="000000"/>
              <w:bottom w:val="single" w:sz="3" w:space="0" w:color="000000"/>
              <w:right w:val="single" w:sz="4" w:space="0" w:color="000000"/>
            </w:tcBorders>
          </w:tcPr>
          <w:p>
            <w:pPr>
              <w:pStyle w:val="TableParagraph"/>
              <w:ind w:right="62"/>
              <w:rPr>
                <w:sz w:val="11"/>
              </w:rPr>
            </w:pPr>
            <w:r>
              <w:rPr>
                <w:w w:val="105"/>
                <w:sz w:val="11"/>
              </w:rPr>
              <w:t>693.8</w:t>
            </w:r>
          </w:p>
        </w:tc>
        <w:tc>
          <w:tcPr>
            <w:tcW w:w="602" w:type="dxa"/>
            <w:tcBorders>
              <w:top w:val="single" w:sz="4" w:space="0" w:color="000000"/>
              <w:left w:val="single" w:sz="4" w:space="0" w:color="000000"/>
              <w:bottom w:val="single" w:sz="3" w:space="0" w:color="000000"/>
              <w:right w:val="single" w:sz="4" w:space="0" w:color="000000"/>
            </w:tcBorders>
          </w:tcPr>
          <w:p>
            <w:pPr>
              <w:pStyle w:val="TableParagraph"/>
              <w:ind w:right="57"/>
              <w:rPr>
                <w:sz w:val="11"/>
              </w:rPr>
            </w:pPr>
            <w:r>
              <w:rPr>
                <w:w w:val="105"/>
                <w:sz w:val="11"/>
              </w:rPr>
              <w:t>741.4</w:t>
            </w:r>
          </w:p>
        </w:tc>
        <w:tc>
          <w:tcPr>
            <w:tcW w:w="602" w:type="dxa"/>
            <w:tcBorders>
              <w:top w:val="single" w:sz="4" w:space="0" w:color="000000"/>
              <w:left w:val="single" w:sz="4" w:space="0" w:color="000000"/>
              <w:bottom w:val="single" w:sz="3" w:space="0" w:color="000000"/>
              <w:right w:val="single" w:sz="4" w:space="0" w:color="000000"/>
            </w:tcBorders>
          </w:tcPr>
          <w:p>
            <w:pPr>
              <w:pStyle w:val="TableParagraph"/>
              <w:ind w:right="57"/>
              <w:rPr>
                <w:sz w:val="11"/>
              </w:rPr>
            </w:pPr>
            <w:r>
              <w:rPr>
                <w:w w:val="105"/>
                <w:sz w:val="11"/>
              </w:rPr>
              <w:t>1,203.7</w:t>
            </w:r>
          </w:p>
        </w:tc>
        <w:tc>
          <w:tcPr>
            <w:tcW w:w="605" w:type="dxa"/>
            <w:tcBorders>
              <w:top w:val="single" w:sz="4" w:space="0" w:color="000000"/>
              <w:left w:val="single" w:sz="4" w:space="0" w:color="000000"/>
              <w:bottom w:val="single" w:sz="3" w:space="0" w:color="000000"/>
              <w:right w:val="single" w:sz="4" w:space="0" w:color="000000"/>
            </w:tcBorders>
          </w:tcPr>
          <w:p>
            <w:pPr>
              <w:pStyle w:val="TableParagraph"/>
              <w:ind w:right="60"/>
              <w:rPr>
                <w:sz w:val="11"/>
              </w:rPr>
            </w:pPr>
            <w:r>
              <w:rPr>
                <w:w w:val="105"/>
                <w:sz w:val="11"/>
              </w:rPr>
              <w:t>1,506.2</w:t>
            </w:r>
          </w:p>
        </w:tc>
        <w:tc>
          <w:tcPr>
            <w:tcW w:w="602" w:type="dxa"/>
            <w:tcBorders>
              <w:top w:val="single" w:sz="4" w:space="0" w:color="000000"/>
              <w:left w:val="single" w:sz="4" w:space="0" w:color="000000"/>
              <w:bottom w:val="single" w:sz="3" w:space="0" w:color="000000"/>
              <w:right w:val="single" w:sz="4" w:space="0" w:color="000000"/>
            </w:tcBorders>
          </w:tcPr>
          <w:p>
            <w:pPr>
              <w:pStyle w:val="TableParagraph"/>
              <w:ind w:right="57"/>
              <w:rPr>
                <w:sz w:val="11"/>
              </w:rPr>
            </w:pPr>
            <w:r>
              <w:rPr>
                <w:w w:val="105"/>
                <w:sz w:val="11"/>
              </w:rPr>
              <w:t>1,887.0</w:t>
            </w:r>
          </w:p>
        </w:tc>
        <w:tc>
          <w:tcPr>
            <w:tcW w:w="604" w:type="dxa"/>
            <w:tcBorders>
              <w:top w:val="single" w:sz="4" w:space="0" w:color="000000"/>
              <w:left w:val="single" w:sz="4" w:space="0" w:color="000000"/>
              <w:bottom w:val="single" w:sz="3" w:space="0" w:color="000000"/>
              <w:right w:val="single" w:sz="3" w:space="0" w:color="000000"/>
            </w:tcBorders>
          </w:tcPr>
          <w:p>
            <w:pPr>
              <w:pStyle w:val="TableParagraph"/>
              <w:ind w:right="60"/>
              <w:rPr>
                <w:sz w:val="11"/>
              </w:rPr>
            </w:pPr>
            <w:r>
              <w:rPr>
                <w:w w:val="105"/>
                <w:sz w:val="11"/>
              </w:rPr>
              <w:t>1,962.8</w:t>
            </w:r>
          </w:p>
        </w:tc>
        <w:tc>
          <w:tcPr>
            <w:tcW w:w="606" w:type="dxa"/>
            <w:tcBorders>
              <w:top w:val="single" w:sz="4" w:space="0" w:color="000000"/>
              <w:left w:val="single" w:sz="3" w:space="0" w:color="000000"/>
              <w:bottom w:val="single" w:sz="3" w:space="0" w:color="000000"/>
              <w:right w:val="single" w:sz="4" w:space="0" w:color="000000"/>
            </w:tcBorders>
          </w:tcPr>
          <w:p>
            <w:pPr>
              <w:pStyle w:val="TableParagraph"/>
              <w:ind w:right="62"/>
              <w:rPr>
                <w:sz w:val="11"/>
              </w:rPr>
            </w:pPr>
            <w:r>
              <w:rPr>
                <w:w w:val="105"/>
                <w:sz w:val="11"/>
              </w:rPr>
              <w:t>1,957.8</w:t>
            </w:r>
          </w:p>
        </w:tc>
        <w:tc>
          <w:tcPr>
            <w:tcW w:w="602" w:type="dxa"/>
            <w:tcBorders>
              <w:top w:val="single" w:sz="4" w:space="0" w:color="000000"/>
              <w:left w:val="single" w:sz="4" w:space="0" w:color="000000"/>
              <w:bottom w:val="single" w:sz="3" w:space="0" w:color="000000"/>
              <w:right w:val="single" w:sz="4" w:space="0" w:color="000000"/>
            </w:tcBorders>
          </w:tcPr>
          <w:p>
            <w:pPr>
              <w:pStyle w:val="TableParagraph"/>
              <w:ind w:right="60"/>
              <w:rPr>
                <w:sz w:val="11"/>
              </w:rPr>
            </w:pPr>
            <w:r>
              <w:rPr>
                <w:w w:val="105"/>
                <w:sz w:val="11"/>
              </w:rPr>
              <w:t>1,747.3</w:t>
            </w:r>
          </w:p>
        </w:tc>
        <w:tc>
          <w:tcPr>
            <w:tcW w:w="602" w:type="dxa"/>
            <w:tcBorders>
              <w:top w:val="single" w:sz="4" w:space="0" w:color="000000"/>
              <w:left w:val="single" w:sz="4" w:space="0" w:color="000000"/>
              <w:bottom w:val="single" w:sz="3" w:space="0" w:color="000000"/>
              <w:right w:val="single" w:sz="4" w:space="0" w:color="000000"/>
            </w:tcBorders>
          </w:tcPr>
          <w:p>
            <w:pPr>
              <w:pStyle w:val="TableParagraph"/>
              <w:ind w:right="60"/>
              <w:rPr>
                <w:sz w:val="11"/>
              </w:rPr>
            </w:pPr>
            <w:r>
              <w:rPr>
                <w:w w:val="105"/>
                <w:sz w:val="11"/>
              </w:rPr>
              <w:t>1,495.1</w:t>
            </w:r>
          </w:p>
        </w:tc>
        <w:tc>
          <w:tcPr>
            <w:tcW w:w="605" w:type="dxa"/>
            <w:tcBorders>
              <w:top w:val="single" w:sz="4" w:space="0" w:color="000000"/>
              <w:left w:val="single" w:sz="4" w:space="0" w:color="000000"/>
              <w:bottom w:val="single" w:sz="3" w:space="0" w:color="000000"/>
              <w:right w:val="single" w:sz="4" w:space="0" w:color="000000"/>
            </w:tcBorders>
          </w:tcPr>
          <w:p>
            <w:pPr>
              <w:pStyle w:val="TableParagraph"/>
              <w:ind w:right="62"/>
              <w:rPr>
                <w:sz w:val="11"/>
              </w:rPr>
            </w:pPr>
            <w:r>
              <w:rPr>
                <w:w w:val="105"/>
                <w:sz w:val="11"/>
              </w:rPr>
              <w:t>1,011.5</w:t>
            </w:r>
          </w:p>
        </w:tc>
        <w:tc>
          <w:tcPr>
            <w:tcW w:w="674" w:type="dxa"/>
            <w:tcBorders>
              <w:top w:val="single" w:sz="4" w:space="0" w:color="000000"/>
              <w:left w:val="single" w:sz="4" w:space="0" w:color="000000"/>
              <w:bottom w:val="single" w:sz="3" w:space="0" w:color="000000"/>
              <w:right w:val="single" w:sz="4" w:space="0" w:color="000000"/>
            </w:tcBorders>
          </w:tcPr>
          <w:p>
            <w:pPr>
              <w:pStyle w:val="TableParagraph"/>
              <w:ind w:right="60"/>
              <w:rPr>
                <w:sz w:val="11"/>
              </w:rPr>
            </w:pPr>
            <w:r>
              <w:rPr>
                <w:w w:val="105"/>
                <w:sz w:val="11"/>
              </w:rPr>
              <w:t>7.8</w:t>
            </w:r>
          </w:p>
        </w:tc>
        <w:tc>
          <w:tcPr>
            <w:tcW w:w="554" w:type="dxa"/>
            <w:tcBorders>
              <w:top w:val="single" w:sz="4" w:space="0" w:color="000000"/>
              <w:left w:val="single" w:sz="4" w:space="0" w:color="000000"/>
              <w:bottom w:val="single" w:sz="3" w:space="0" w:color="000000"/>
            </w:tcBorders>
          </w:tcPr>
          <w:p>
            <w:pPr>
              <w:pStyle w:val="TableParagraph"/>
              <w:ind w:right="55"/>
              <w:rPr>
                <w:sz w:val="11"/>
              </w:rPr>
            </w:pPr>
            <w:r>
              <w:rPr>
                <w:w w:val="105"/>
                <w:sz w:val="11"/>
              </w:rPr>
              <w:t>15.9</w:t>
            </w:r>
          </w:p>
        </w:tc>
        <w:tc>
          <w:tcPr>
            <w:tcW w:w="684" w:type="dxa"/>
            <w:tcBorders>
              <w:top w:val="single" w:sz="4" w:space="0" w:color="000000"/>
              <w:bottom w:val="single" w:sz="3" w:space="0" w:color="000000"/>
              <w:right w:val="single" w:sz="4" w:space="0" w:color="000000"/>
            </w:tcBorders>
          </w:tcPr>
          <w:p>
            <w:pPr>
              <w:pStyle w:val="TableParagraph"/>
              <w:ind w:right="60"/>
              <w:rPr>
                <w:sz w:val="11"/>
              </w:rPr>
            </w:pPr>
            <w:r>
              <w:rPr>
                <w:w w:val="105"/>
                <w:sz w:val="11"/>
              </w:rPr>
              <w:t>11,881.6</w:t>
            </w:r>
          </w:p>
        </w:tc>
        <w:tc>
          <w:tcPr>
            <w:tcW w:w="444" w:type="dxa"/>
            <w:tcBorders>
              <w:top w:val="single" w:sz="4" w:space="0" w:color="000000"/>
              <w:left w:val="single" w:sz="4" w:space="0" w:color="000000"/>
              <w:bottom w:val="single" w:sz="3" w:space="0" w:color="000000"/>
            </w:tcBorders>
          </w:tcPr>
          <w:p>
            <w:pPr>
              <w:pStyle w:val="TableParagraph"/>
              <w:ind w:right="57"/>
              <w:rPr>
                <w:sz w:val="11"/>
              </w:rPr>
            </w:pPr>
            <w:r>
              <w:rPr>
                <w:w w:val="105"/>
                <w:sz w:val="11"/>
              </w:rPr>
              <w:t>91.7</w:t>
            </w:r>
          </w:p>
        </w:tc>
      </w:tr>
      <w:tr>
        <w:trPr>
          <w:trHeight w:val="148" w:hRule="exact"/>
        </w:trPr>
        <w:tc>
          <w:tcPr>
            <w:tcW w:w="770" w:type="dxa"/>
            <w:tcBorders>
              <w:top w:val="single" w:sz="3" w:space="0" w:color="000000"/>
            </w:tcBorders>
          </w:tcPr>
          <w:p>
            <w:pPr>
              <w:pStyle w:val="TableParagraph"/>
              <w:ind w:left="57"/>
              <w:jc w:val="left"/>
              <w:rPr>
                <w:b/>
                <w:sz w:val="11"/>
              </w:rPr>
            </w:pPr>
            <w:r>
              <w:rPr>
                <w:b/>
                <w:w w:val="105"/>
                <w:sz w:val="11"/>
              </w:rPr>
              <w:t>Dic</w:t>
            </w:r>
          </w:p>
        </w:tc>
        <w:tc>
          <w:tcPr>
            <w:tcW w:w="605" w:type="dxa"/>
            <w:tcBorders>
              <w:top w:val="single" w:sz="3" w:space="0" w:color="000000"/>
              <w:right w:val="single" w:sz="4" w:space="0" w:color="000000"/>
            </w:tcBorders>
          </w:tcPr>
          <w:p>
            <w:pPr>
              <w:pStyle w:val="TableParagraph"/>
              <w:ind w:right="60"/>
              <w:rPr>
                <w:sz w:val="11"/>
              </w:rPr>
            </w:pPr>
            <w:r>
              <w:rPr>
                <w:w w:val="105"/>
                <w:sz w:val="11"/>
              </w:rPr>
              <w:t>274.3</w:t>
            </w:r>
          </w:p>
        </w:tc>
        <w:tc>
          <w:tcPr>
            <w:tcW w:w="604" w:type="dxa"/>
            <w:tcBorders>
              <w:top w:val="single" w:sz="3" w:space="0" w:color="000000"/>
              <w:left w:val="single" w:sz="4" w:space="0" w:color="000000"/>
              <w:right w:val="single" w:sz="3" w:space="0" w:color="000000"/>
            </w:tcBorders>
          </w:tcPr>
          <w:p>
            <w:pPr>
              <w:pStyle w:val="TableParagraph"/>
              <w:ind w:right="60"/>
              <w:rPr>
                <w:sz w:val="11"/>
              </w:rPr>
            </w:pPr>
            <w:r>
              <w:rPr>
                <w:w w:val="105"/>
                <w:sz w:val="11"/>
              </w:rPr>
              <w:t>355.3</w:t>
            </w:r>
          </w:p>
        </w:tc>
        <w:tc>
          <w:tcPr>
            <w:tcW w:w="605" w:type="dxa"/>
            <w:tcBorders>
              <w:top w:val="single" w:sz="3" w:space="0" w:color="000000"/>
              <w:left w:val="single" w:sz="3" w:space="0" w:color="000000"/>
              <w:right w:val="single" w:sz="3" w:space="0" w:color="000000"/>
            </w:tcBorders>
          </w:tcPr>
          <w:p>
            <w:pPr>
              <w:pStyle w:val="TableParagraph"/>
              <w:ind w:right="62"/>
              <w:rPr>
                <w:sz w:val="11"/>
              </w:rPr>
            </w:pPr>
            <w:r>
              <w:rPr>
                <w:w w:val="105"/>
                <w:sz w:val="11"/>
              </w:rPr>
              <w:t>379.8</w:t>
            </w:r>
          </w:p>
        </w:tc>
        <w:tc>
          <w:tcPr>
            <w:tcW w:w="606" w:type="dxa"/>
            <w:tcBorders>
              <w:top w:val="single" w:sz="3" w:space="0" w:color="000000"/>
              <w:left w:val="single" w:sz="3" w:space="0" w:color="000000"/>
              <w:right w:val="single" w:sz="4" w:space="0" w:color="000000"/>
            </w:tcBorders>
          </w:tcPr>
          <w:p>
            <w:pPr>
              <w:pStyle w:val="TableParagraph"/>
              <w:ind w:right="62"/>
              <w:rPr>
                <w:sz w:val="11"/>
              </w:rPr>
            </w:pPr>
            <w:r>
              <w:rPr>
                <w:w w:val="105"/>
                <w:sz w:val="11"/>
              </w:rPr>
              <w:t>614.3</w:t>
            </w:r>
          </w:p>
        </w:tc>
        <w:tc>
          <w:tcPr>
            <w:tcW w:w="605" w:type="dxa"/>
            <w:tcBorders>
              <w:top w:val="single" w:sz="3" w:space="0" w:color="000000"/>
              <w:left w:val="single" w:sz="4" w:space="0" w:color="000000"/>
              <w:right w:val="single" w:sz="4" w:space="0" w:color="000000"/>
            </w:tcBorders>
          </w:tcPr>
          <w:p>
            <w:pPr>
              <w:pStyle w:val="TableParagraph"/>
              <w:ind w:right="62"/>
              <w:rPr>
                <w:sz w:val="11"/>
              </w:rPr>
            </w:pPr>
            <w:r>
              <w:rPr>
                <w:w w:val="105"/>
                <w:sz w:val="11"/>
              </w:rPr>
              <w:t>587.7</w:t>
            </w:r>
          </w:p>
        </w:tc>
        <w:tc>
          <w:tcPr>
            <w:tcW w:w="602" w:type="dxa"/>
            <w:tcBorders>
              <w:top w:val="single" w:sz="3" w:space="0" w:color="000000"/>
              <w:left w:val="single" w:sz="4" w:space="0" w:color="000000"/>
              <w:right w:val="single" w:sz="4" w:space="0" w:color="000000"/>
            </w:tcBorders>
          </w:tcPr>
          <w:p>
            <w:pPr>
              <w:pStyle w:val="TableParagraph"/>
              <w:ind w:left="219" w:right="44"/>
              <w:jc w:val="center"/>
              <w:rPr>
                <w:sz w:val="11"/>
              </w:rPr>
            </w:pPr>
            <w:r>
              <w:rPr>
                <w:w w:val="105"/>
                <w:sz w:val="11"/>
              </w:rPr>
              <w:t>666.9</w:t>
            </w:r>
          </w:p>
        </w:tc>
        <w:tc>
          <w:tcPr>
            <w:tcW w:w="605" w:type="dxa"/>
            <w:tcBorders>
              <w:top w:val="single" w:sz="3" w:space="0" w:color="000000"/>
              <w:left w:val="single" w:sz="4" w:space="0" w:color="000000"/>
              <w:right w:val="single" w:sz="4" w:space="0" w:color="000000"/>
            </w:tcBorders>
          </w:tcPr>
          <w:p>
            <w:pPr>
              <w:pStyle w:val="TableParagraph"/>
              <w:ind w:right="62"/>
              <w:rPr>
                <w:sz w:val="11"/>
              </w:rPr>
            </w:pPr>
            <w:r>
              <w:rPr>
                <w:w w:val="105"/>
                <w:sz w:val="11"/>
              </w:rPr>
              <w:t>759.0</w:t>
            </w:r>
          </w:p>
        </w:tc>
        <w:tc>
          <w:tcPr>
            <w:tcW w:w="602" w:type="dxa"/>
            <w:tcBorders>
              <w:top w:val="single" w:sz="3" w:space="0" w:color="000000"/>
              <w:left w:val="single" w:sz="4" w:space="0" w:color="000000"/>
              <w:right w:val="single" w:sz="4" w:space="0" w:color="000000"/>
            </w:tcBorders>
          </w:tcPr>
          <w:p>
            <w:pPr>
              <w:pStyle w:val="TableParagraph"/>
              <w:ind w:right="57"/>
              <w:rPr>
                <w:sz w:val="11"/>
              </w:rPr>
            </w:pPr>
            <w:r>
              <w:rPr>
                <w:w w:val="105"/>
                <w:sz w:val="11"/>
              </w:rPr>
              <w:t>919.4</w:t>
            </w:r>
          </w:p>
        </w:tc>
        <w:tc>
          <w:tcPr>
            <w:tcW w:w="602" w:type="dxa"/>
            <w:tcBorders>
              <w:top w:val="single" w:sz="3" w:space="0" w:color="000000"/>
              <w:left w:val="single" w:sz="4" w:space="0" w:color="000000"/>
              <w:right w:val="single" w:sz="4" w:space="0" w:color="000000"/>
            </w:tcBorders>
          </w:tcPr>
          <w:p>
            <w:pPr>
              <w:pStyle w:val="TableParagraph"/>
              <w:ind w:right="57"/>
              <w:rPr>
                <w:sz w:val="11"/>
              </w:rPr>
            </w:pPr>
            <w:r>
              <w:rPr>
                <w:w w:val="105"/>
                <w:sz w:val="11"/>
              </w:rPr>
              <w:t>1,341.1</w:t>
            </w:r>
          </w:p>
        </w:tc>
        <w:tc>
          <w:tcPr>
            <w:tcW w:w="605" w:type="dxa"/>
            <w:tcBorders>
              <w:top w:val="single" w:sz="3" w:space="0" w:color="000000"/>
              <w:left w:val="single" w:sz="4" w:space="0" w:color="000000"/>
              <w:right w:val="single" w:sz="4" w:space="0" w:color="000000"/>
            </w:tcBorders>
          </w:tcPr>
          <w:p>
            <w:pPr>
              <w:pStyle w:val="TableParagraph"/>
              <w:ind w:right="60"/>
              <w:rPr>
                <w:sz w:val="11"/>
              </w:rPr>
            </w:pPr>
            <w:r>
              <w:rPr>
                <w:w w:val="105"/>
                <w:sz w:val="11"/>
              </w:rPr>
              <w:t>1,565.1</w:t>
            </w:r>
          </w:p>
        </w:tc>
        <w:tc>
          <w:tcPr>
            <w:tcW w:w="602" w:type="dxa"/>
            <w:tcBorders>
              <w:top w:val="single" w:sz="3" w:space="0" w:color="000000"/>
              <w:left w:val="single" w:sz="4" w:space="0" w:color="000000"/>
              <w:right w:val="single" w:sz="4" w:space="0" w:color="000000"/>
            </w:tcBorders>
          </w:tcPr>
          <w:p>
            <w:pPr>
              <w:pStyle w:val="TableParagraph"/>
              <w:ind w:right="57"/>
              <w:rPr>
                <w:sz w:val="11"/>
              </w:rPr>
            </w:pPr>
            <w:r>
              <w:rPr>
                <w:w w:val="105"/>
                <w:sz w:val="11"/>
              </w:rPr>
              <w:t>1,932.1</w:t>
            </w:r>
          </w:p>
        </w:tc>
        <w:tc>
          <w:tcPr>
            <w:tcW w:w="604" w:type="dxa"/>
            <w:tcBorders>
              <w:top w:val="single" w:sz="3" w:space="0" w:color="000000"/>
              <w:left w:val="single" w:sz="4" w:space="0" w:color="000000"/>
              <w:right w:val="single" w:sz="3" w:space="0" w:color="000000"/>
            </w:tcBorders>
          </w:tcPr>
          <w:p>
            <w:pPr>
              <w:pStyle w:val="TableParagraph"/>
              <w:ind w:right="60"/>
              <w:rPr>
                <w:sz w:val="11"/>
              </w:rPr>
            </w:pPr>
            <w:r>
              <w:rPr>
                <w:w w:val="105"/>
                <w:sz w:val="11"/>
              </w:rPr>
              <w:t>1,938.7</w:t>
            </w:r>
          </w:p>
        </w:tc>
        <w:tc>
          <w:tcPr>
            <w:tcW w:w="606" w:type="dxa"/>
            <w:tcBorders>
              <w:top w:val="single" w:sz="3" w:space="0" w:color="000000"/>
              <w:left w:val="single" w:sz="3" w:space="0" w:color="000000"/>
              <w:right w:val="single" w:sz="4" w:space="0" w:color="000000"/>
            </w:tcBorders>
          </w:tcPr>
          <w:p>
            <w:pPr>
              <w:pStyle w:val="TableParagraph"/>
              <w:ind w:right="62"/>
              <w:rPr>
                <w:sz w:val="11"/>
              </w:rPr>
            </w:pPr>
            <w:r>
              <w:rPr>
                <w:w w:val="105"/>
                <w:sz w:val="11"/>
              </w:rPr>
              <w:t>1,962.2</w:t>
            </w:r>
          </w:p>
        </w:tc>
        <w:tc>
          <w:tcPr>
            <w:tcW w:w="602" w:type="dxa"/>
            <w:tcBorders>
              <w:top w:val="single" w:sz="3" w:space="0" w:color="000000"/>
              <w:left w:val="single" w:sz="4" w:space="0" w:color="000000"/>
              <w:right w:val="single" w:sz="4" w:space="0" w:color="000000"/>
            </w:tcBorders>
          </w:tcPr>
          <w:p>
            <w:pPr>
              <w:pStyle w:val="TableParagraph"/>
              <w:ind w:right="60"/>
              <w:rPr>
                <w:sz w:val="11"/>
              </w:rPr>
            </w:pPr>
            <w:r>
              <w:rPr>
                <w:w w:val="105"/>
                <w:sz w:val="11"/>
              </w:rPr>
              <w:t>1,775.8</w:t>
            </w:r>
          </w:p>
        </w:tc>
        <w:tc>
          <w:tcPr>
            <w:tcW w:w="602" w:type="dxa"/>
            <w:tcBorders>
              <w:top w:val="single" w:sz="3" w:space="0" w:color="000000"/>
              <w:left w:val="single" w:sz="4" w:space="0" w:color="000000"/>
              <w:right w:val="single" w:sz="4" w:space="0" w:color="000000"/>
            </w:tcBorders>
          </w:tcPr>
          <w:p>
            <w:pPr>
              <w:pStyle w:val="TableParagraph"/>
              <w:ind w:right="60"/>
              <w:rPr>
                <w:sz w:val="11"/>
              </w:rPr>
            </w:pPr>
            <w:r>
              <w:rPr>
                <w:w w:val="105"/>
                <w:sz w:val="11"/>
              </w:rPr>
              <w:t>1,560.1</w:t>
            </w:r>
          </w:p>
        </w:tc>
        <w:tc>
          <w:tcPr>
            <w:tcW w:w="605" w:type="dxa"/>
            <w:tcBorders>
              <w:top w:val="single" w:sz="3" w:space="0" w:color="000000"/>
              <w:left w:val="single" w:sz="4" w:space="0" w:color="000000"/>
              <w:right w:val="single" w:sz="4" w:space="0" w:color="000000"/>
            </w:tcBorders>
          </w:tcPr>
          <w:p>
            <w:pPr>
              <w:pStyle w:val="TableParagraph"/>
              <w:ind w:right="62"/>
              <w:rPr>
                <w:sz w:val="11"/>
              </w:rPr>
            </w:pPr>
            <w:r>
              <w:rPr>
                <w:w w:val="105"/>
                <w:sz w:val="11"/>
              </w:rPr>
              <w:t>1,076.5</w:t>
            </w:r>
          </w:p>
        </w:tc>
        <w:tc>
          <w:tcPr>
            <w:tcW w:w="674" w:type="dxa"/>
            <w:tcBorders>
              <w:top w:val="single" w:sz="3" w:space="0" w:color="000000"/>
              <w:left w:val="single" w:sz="4" w:space="0" w:color="000000"/>
              <w:right w:val="single" w:sz="4" w:space="0" w:color="000000"/>
            </w:tcBorders>
          </w:tcPr>
          <w:p>
            <w:pPr>
              <w:pStyle w:val="TableParagraph"/>
              <w:ind w:right="60"/>
              <w:rPr>
                <w:sz w:val="11"/>
              </w:rPr>
            </w:pPr>
            <w:r>
              <w:rPr>
                <w:w w:val="105"/>
                <w:sz w:val="11"/>
              </w:rPr>
              <w:t>8.3</w:t>
            </w:r>
          </w:p>
        </w:tc>
        <w:tc>
          <w:tcPr>
            <w:tcW w:w="554" w:type="dxa"/>
            <w:tcBorders>
              <w:top w:val="single" w:sz="3" w:space="0" w:color="000000"/>
              <w:left w:val="single" w:sz="4" w:space="0" w:color="000000"/>
            </w:tcBorders>
          </w:tcPr>
          <w:p>
            <w:pPr>
              <w:pStyle w:val="TableParagraph"/>
              <w:ind w:right="55"/>
              <w:rPr>
                <w:sz w:val="11"/>
              </w:rPr>
            </w:pPr>
            <w:r>
              <w:rPr>
                <w:w w:val="105"/>
                <w:sz w:val="11"/>
              </w:rPr>
              <w:t>15.5</w:t>
            </w:r>
          </w:p>
        </w:tc>
        <w:tc>
          <w:tcPr>
            <w:tcW w:w="684" w:type="dxa"/>
            <w:tcBorders>
              <w:top w:val="single" w:sz="3" w:space="0" w:color="000000"/>
              <w:right w:val="single" w:sz="4" w:space="0" w:color="000000"/>
            </w:tcBorders>
          </w:tcPr>
          <w:p>
            <w:pPr>
              <w:pStyle w:val="TableParagraph"/>
              <w:ind w:right="60"/>
              <w:rPr>
                <w:b/>
                <w:sz w:val="11"/>
              </w:rPr>
            </w:pPr>
            <w:r>
              <w:rPr>
                <w:b/>
                <w:w w:val="105"/>
                <w:sz w:val="11"/>
              </w:rPr>
              <w:t>12,958.1</w:t>
            </w:r>
          </w:p>
        </w:tc>
        <w:tc>
          <w:tcPr>
            <w:tcW w:w="444" w:type="dxa"/>
            <w:tcBorders>
              <w:top w:val="single" w:sz="3" w:space="0" w:color="000000"/>
              <w:left w:val="single" w:sz="4" w:space="0" w:color="000000"/>
            </w:tcBorders>
          </w:tcPr>
          <w:p>
            <w:pPr>
              <w:pStyle w:val="TableParagraph"/>
              <w:ind w:right="57"/>
              <w:rPr>
                <w:b/>
                <w:sz w:val="11"/>
              </w:rPr>
            </w:pPr>
            <w:r>
              <w:rPr>
                <w:b/>
                <w:w w:val="105"/>
                <w:sz w:val="11"/>
              </w:rPr>
              <w:t>100</w:t>
            </w:r>
          </w:p>
        </w:tc>
      </w:tr>
      <w:tr>
        <w:trPr>
          <w:trHeight w:val="154" w:hRule="exact"/>
        </w:trPr>
        <w:tc>
          <w:tcPr>
            <w:tcW w:w="11662" w:type="dxa"/>
            <w:gridSpan w:val="19"/>
          </w:tcPr>
          <w:p>
            <w:pPr>
              <w:pStyle w:val="TableParagraph"/>
              <w:spacing w:before="5"/>
              <w:ind w:left="5218" w:right="5216"/>
              <w:jc w:val="center"/>
              <w:rPr>
                <w:b/>
                <w:sz w:val="11"/>
              </w:rPr>
            </w:pPr>
            <w:r>
              <w:rPr>
                <w:b/>
                <w:w w:val="105"/>
                <w:sz w:val="11"/>
              </w:rPr>
              <w:t>Miles de operaciones</w:t>
            </w:r>
          </w:p>
        </w:tc>
        <w:tc>
          <w:tcPr>
            <w:tcW w:w="1128" w:type="dxa"/>
            <w:gridSpan w:val="2"/>
          </w:tcPr>
          <w:p>
            <w:pPr/>
          </w:p>
        </w:tc>
      </w:tr>
      <w:tr>
        <w:trPr>
          <w:trHeight w:val="154" w:hRule="exact"/>
        </w:trPr>
        <w:tc>
          <w:tcPr>
            <w:tcW w:w="770" w:type="dxa"/>
          </w:tcPr>
          <w:p>
            <w:pPr>
              <w:pStyle w:val="TableParagraph"/>
              <w:ind w:left="57"/>
              <w:jc w:val="left"/>
              <w:rPr>
                <w:b/>
                <w:sz w:val="11"/>
              </w:rPr>
            </w:pPr>
            <w:r>
              <w:rPr>
                <w:b/>
                <w:w w:val="105"/>
                <w:sz w:val="11"/>
              </w:rPr>
              <w:t>MES/AÑO</w:t>
            </w:r>
          </w:p>
        </w:tc>
        <w:tc>
          <w:tcPr>
            <w:tcW w:w="605" w:type="dxa"/>
          </w:tcPr>
          <w:p>
            <w:pPr>
              <w:pStyle w:val="TableParagraph"/>
              <w:ind w:right="55"/>
              <w:rPr>
                <w:b/>
                <w:sz w:val="11"/>
              </w:rPr>
            </w:pPr>
            <w:r>
              <w:rPr>
                <w:b/>
                <w:w w:val="105"/>
                <w:sz w:val="11"/>
              </w:rPr>
              <w:t>1995</w:t>
            </w:r>
          </w:p>
        </w:tc>
        <w:tc>
          <w:tcPr>
            <w:tcW w:w="604" w:type="dxa"/>
            <w:tcBorders>
              <w:right w:val="single" w:sz="7" w:space="0" w:color="000000"/>
            </w:tcBorders>
          </w:tcPr>
          <w:p>
            <w:pPr>
              <w:pStyle w:val="TableParagraph"/>
              <w:ind w:right="55"/>
              <w:rPr>
                <w:b/>
                <w:sz w:val="11"/>
              </w:rPr>
            </w:pPr>
            <w:r>
              <w:rPr>
                <w:b/>
                <w:w w:val="105"/>
                <w:sz w:val="11"/>
              </w:rPr>
              <w:t>1996</w:t>
            </w:r>
          </w:p>
        </w:tc>
        <w:tc>
          <w:tcPr>
            <w:tcW w:w="605" w:type="dxa"/>
            <w:tcBorders>
              <w:left w:val="single" w:sz="7" w:space="0" w:color="000000"/>
              <w:right w:val="single" w:sz="7" w:space="0" w:color="000000"/>
            </w:tcBorders>
          </w:tcPr>
          <w:p>
            <w:pPr>
              <w:pStyle w:val="TableParagraph"/>
              <w:ind w:right="57"/>
              <w:rPr>
                <w:b/>
                <w:sz w:val="11"/>
              </w:rPr>
            </w:pPr>
            <w:r>
              <w:rPr>
                <w:b/>
                <w:w w:val="105"/>
                <w:sz w:val="11"/>
              </w:rPr>
              <w:t>1997</w:t>
            </w:r>
          </w:p>
        </w:tc>
        <w:tc>
          <w:tcPr>
            <w:tcW w:w="606" w:type="dxa"/>
            <w:tcBorders>
              <w:left w:val="single" w:sz="7" w:space="0" w:color="000000"/>
            </w:tcBorders>
          </w:tcPr>
          <w:p>
            <w:pPr>
              <w:pStyle w:val="TableParagraph"/>
              <w:ind w:right="57"/>
              <w:rPr>
                <w:b/>
                <w:sz w:val="11"/>
              </w:rPr>
            </w:pPr>
            <w:r>
              <w:rPr>
                <w:b/>
                <w:w w:val="105"/>
                <w:sz w:val="11"/>
              </w:rPr>
              <w:t>1998</w:t>
            </w:r>
          </w:p>
        </w:tc>
        <w:tc>
          <w:tcPr>
            <w:tcW w:w="605" w:type="dxa"/>
          </w:tcPr>
          <w:p>
            <w:pPr>
              <w:pStyle w:val="TableParagraph"/>
              <w:ind w:right="57"/>
              <w:rPr>
                <w:b/>
                <w:sz w:val="11"/>
              </w:rPr>
            </w:pPr>
            <w:r>
              <w:rPr>
                <w:b/>
                <w:w w:val="105"/>
                <w:sz w:val="11"/>
              </w:rPr>
              <w:t>1999</w:t>
            </w:r>
          </w:p>
        </w:tc>
        <w:tc>
          <w:tcPr>
            <w:tcW w:w="602" w:type="dxa"/>
          </w:tcPr>
          <w:p>
            <w:pPr>
              <w:pStyle w:val="TableParagraph"/>
              <w:ind w:left="247" w:right="38"/>
              <w:jc w:val="center"/>
              <w:rPr>
                <w:b/>
                <w:sz w:val="11"/>
              </w:rPr>
            </w:pPr>
            <w:r>
              <w:rPr>
                <w:b/>
                <w:w w:val="105"/>
                <w:sz w:val="11"/>
              </w:rPr>
              <w:t>2000</w:t>
            </w:r>
          </w:p>
        </w:tc>
        <w:tc>
          <w:tcPr>
            <w:tcW w:w="605" w:type="dxa"/>
          </w:tcPr>
          <w:p>
            <w:pPr>
              <w:pStyle w:val="TableParagraph"/>
              <w:ind w:right="57"/>
              <w:rPr>
                <w:b/>
                <w:sz w:val="11"/>
              </w:rPr>
            </w:pPr>
            <w:r>
              <w:rPr>
                <w:b/>
                <w:w w:val="105"/>
                <w:sz w:val="11"/>
              </w:rPr>
              <w:t>2001</w:t>
            </w:r>
          </w:p>
        </w:tc>
        <w:tc>
          <w:tcPr>
            <w:tcW w:w="602" w:type="dxa"/>
          </w:tcPr>
          <w:p>
            <w:pPr>
              <w:pStyle w:val="TableParagraph"/>
              <w:ind w:right="52"/>
              <w:rPr>
                <w:b/>
                <w:sz w:val="11"/>
              </w:rPr>
            </w:pPr>
            <w:r>
              <w:rPr>
                <w:b/>
                <w:w w:val="105"/>
                <w:sz w:val="11"/>
              </w:rPr>
              <w:t>2002</w:t>
            </w:r>
          </w:p>
        </w:tc>
        <w:tc>
          <w:tcPr>
            <w:tcW w:w="602" w:type="dxa"/>
          </w:tcPr>
          <w:p>
            <w:pPr>
              <w:pStyle w:val="TableParagraph"/>
              <w:ind w:right="52"/>
              <w:rPr>
                <w:b/>
                <w:sz w:val="11"/>
              </w:rPr>
            </w:pPr>
            <w:r>
              <w:rPr>
                <w:b/>
                <w:w w:val="105"/>
                <w:sz w:val="11"/>
              </w:rPr>
              <w:t>2003</w:t>
            </w:r>
          </w:p>
        </w:tc>
        <w:tc>
          <w:tcPr>
            <w:tcW w:w="605" w:type="dxa"/>
          </w:tcPr>
          <w:p>
            <w:pPr>
              <w:pStyle w:val="TableParagraph"/>
              <w:ind w:right="55"/>
              <w:rPr>
                <w:b/>
                <w:sz w:val="11"/>
              </w:rPr>
            </w:pPr>
            <w:r>
              <w:rPr>
                <w:b/>
                <w:w w:val="105"/>
                <w:sz w:val="11"/>
              </w:rPr>
              <w:t>2004</w:t>
            </w:r>
          </w:p>
        </w:tc>
        <w:tc>
          <w:tcPr>
            <w:tcW w:w="602" w:type="dxa"/>
            <w:tcBorders>
              <w:right w:val="single" w:sz="7" w:space="0" w:color="000000"/>
            </w:tcBorders>
          </w:tcPr>
          <w:p>
            <w:pPr>
              <w:pStyle w:val="TableParagraph"/>
              <w:ind w:right="54"/>
              <w:rPr>
                <w:b/>
                <w:sz w:val="11"/>
              </w:rPr>
            </w:pPr>
            <w:r>
              <w:rPr>
                <w:b/>
                <w:w w:val="105"/>
                <w:sz w:val="11"/>
              </w:rPr>
              <w:t>2005</w:t>
            </w:r>
          </w:p>
        </w:tc>
        <w:tc>
          <w:tcPr>
            <w:tcW w:w="604" w:type="dxa"/>
            <w:tcBorders>
              <w:left w:val="single" w:sz="7" w:space="0" w:color="000000"/>
              <w:right w:val="single" w:sz="7" w:space="0" w:color="000000"/>
            </w:tcBorders>
          </w:tcPr>
          <w:p>
            <w:pPr>
              <w:pStyle w:val="TableParagraph"/>
              <w:ind w:right="55"/>
              <w:rPr>
                <w:b/>
                <w:sz w:val="11"/>
              </w:rPr>
            </w:pPr>
            <w:r>
              <w:rPr>
                <w:b/>
                <w:w w:val="105"/>
                <w:sz w:val="11"/>
              </w:rPr>
              <w:t>2006</w:t>
            </w:r>
          </w:p>
        </w:tc>
        <w:tc>
          <w:tcPr>
            <w:tcW w:w="606" w:type="dxa"/>
            <w:tcBorders>
              <w:left w:val="single" w:sz="7" w:space="0" w:color="000000"/>
            </w:tcBorders>
          </w:tcPr>
          <w:p>
            <w:pPr>
              <w:pStyle w:val="TableParagraph"/>
              <w:ind w:right="57"/>
              <w:rPr>
                <w:b/>
                <w:sz w:val="11"/>
              </w:rPr>
            </w:pPr>
            <w:r>
              <w:rPr>
                <w:b/>
                <w:w w:val="105"/>
                <w:sz w:val="11"/>
              </w:rPr>
              <w:t>2007</w:t>
            </w:r>
          </w:p>
        </w:tc>
        <w:tc>
          <w:tcPr>
            <w:tcW w:w="602" w:type="dxa"/>
          </w:tcPr>
          <w:p>
            <w:pPr>
              <w:pStyle w:val="TableParagraph"/>
              <w:ind w:right="55"/>
              <w:rPr>
                <w:b/>
                <w:sz w:val="11"/>
              </w:rPr>
            </w:pPr>
            <w:r>
              <w:rPr>
                <w:b/>
                <w:w w:val="105"/>
                <w:sz w:val="11"/>
              </w:rPr>
              <w:t>2008</w:t>
            </w:r>
          </w:p>
        </w:tc>
        <w:tc>
          <w:tcPr>
            <w:tcW w:w="602" w:type="dxa"/>
          </w:tcPr>
          <w:p>
            <w:pPr>
              <w:pStyle w:val="TableParagraph"/>
              <w:ind w:right="55"/>
              <w:rPr>
                <w:b/>
                <w:sz w:val="11"/>
              </w:rPr>
            </w:pPr>
            <w:r>
              <w:rPr>
                <w:b/>
                <w:w w:val="105"/>
                <w:sz w:val="11"/>
              </w:rPr>
              <w:t>2009</w:t>
            </w:r>
          </w:p>
        </w:tc>
        <w:tc>
          <w:tcPr>
            <w:tcW w:w="605" w:type="dxa"/>
          </w:tcPr>
          <w:p>
            <w:pPr>
              <w:pStyle w:val="TableParagraph"/>
              <w:ind w:right="97"/>
              <w:rPr>
                <w:b/>
                <w:sz w:val="11"/>
              </w:rPr>
            </w:pPr>
            <w:r>
              <w:rPr>
                <w:b/>
                <w:w w:val="105"/>
                <w:sz w:val="11"/>
              </w:rPr>
              <w:t>PROM.</w:t>
            </w:r>
          </w:p>
        </w:tc>
        <w:tc>
          <w:tcPr>
            <w:tcW w:w="674" w:type="dxa"/>
          </w:tcPr>
          <w:p>
            <w:pPr>
              <w:pStyle w:val="TableParagraph"/>
              <w:ind w:right="78"/>
              <w:rPr>
                <w:b/>
                <w:sz w:val="11"/>
              </w:rPr>
            </w:pPr>
            <w:r>
              <w:rPr>
                <w:b/>
                <w:w w:val="105"/>
                <w:sz w:val="11"/>
              </w:rPr>
              <w:t>PART. %</w:t>
            </w:r>
          </w:p>
        </w:tc>
        <w:tc>
          <w:tcPr>
            <w:tcW w:w="554" w:type="dxa"/>
          </w:tcPr>
          <w:p>
            <w:pPr>
              <w:pStyle w:val="TableParagraph"/>
              <w:ind w:right="96"/>
              <w:rPr>
                <w:b/>
                <w:sz w:val="11"/>
              </w:rPr>
            </w:pPr>
            <w:r>
              <w:rPr>
                <w:b/>
                <w:w w:val="105"/>
                <w:sz w:val="11"/>
              </w:rPr>
              <w:t>TCMA</w:t>
            </w:r>
          </w:p>
        </w:tc>
        <w:tc>
          <w:tcPr>
            <w:tcW w:w="684" w:type="dxa"/>
          </w:tcPr>
          <w:p>
            <w:pPr>
              <w:pStyle w:val="TableParagraph"/>
              <w:ind w:left="208"/>
              <w:jc w:val="left"/>
              <w:rPr>
                <w:b/>
                <w:sz w:val="11"/>
              </w:rPr>
            </w:pPr>
            <w:r>
              <w:rPr>
                <w:b/>
                <w:w w:val="105"/>
                <w:sz w:val="11"/>
              </w:rPr>
              <w:t>FAA</w:t>
            </w:r>
          </w:p>
        </w:tc>
        <w:tc>
          <w:tcPr>
            <w:tcW w:w="444" w:type="dxa"/>
          </w:tcPr>
          <w:p>
            <w:pPr>
              <w:pStyle w:val="TableParagraph"/>
              <w:ind w:right="88"/>
              <w:rPr>
                <w:b/>
                <w:sz w:val="11"/>
              </w:rPr>
            </w:pPr>
            <w:r>
              <w:rPr>
                <w:b/>
                <w:w w:val="105"/>
                <w:sz w:val="11"/>
              </w:rPr>
              <w:t>FRA</w:t>
            </w:r>
          </w:p>
        </w:tc>
      </w:tr>
      <w:tr>
        <w:trPr>
          <w:trHeight w:val="155" w:hRule="exact"/>
        </w:trPr>
        <w:tc>
          <w:tcPr>
            <w:tcW w:w="770" w:type="dxa"/>
            <w:tcBorders>
              <w:bottom w:val="single" w:sz="7" w:space="0" w:color="000000"/>
            </w:tcBorders>
          </w:tcPr>
          <w:p>
            <w:pPr>
              <w:pStyle w:val="TableParagraph"/>
              <w:ind w:left="57"/>
              <w:jc w:val="left"/>
              <w:rPr>
                <w:b/>
                <w:sz w:val="11"/>
              </w:rPr>
            </w:pPr>
            <w:r>
              <w:rPr>
                <w:b/>
                <w:w w:val="105"/>
                <w:sz w:val="11"/>
              </w:rPr>
              <w:t>NACIONAL</w:t>
            </w:r>
          </w:p>
        </w:tc>
        <w:tc>
          <w:tcPr>
            <w:tcW w:w="605" w:type="dxa"/>
            <w:tcBorders>
              <w:bottom w:val="single" w:sz="7" w:space="0" w:color="000000"/>
            </w:tcBorders>
          </w:tcPr>
          <w:p>
            <w:pPr>
              <w:pStyle w:val="TableParagraph"/>
              <w:ind w:right="55"/>
              <w:rPr>
                <w:b/>
                <w:sz w:val="11"/>
              </w:rPr>
            </w:pPr>
            <w:r>
              <w:rPr>
                <w:b/>
                <w:w w:val="105"/>
                <w:sz w:val="11"/>
              </w:rPr>
              <w:t>11,263.2</w:t>
            </w:r>
          </w:p>
        </w:tc>
        <w:tc>
          <w:tcPr>
            <w:tcW w:w="604" w:type="dxa"/>
            <w:tcBorders>
              <w:bottom w:val="single" w:sz="7" w:space="0" w:color="000000"/>
              <w:right w:val="single" w:sz="7" w:space="0" w:color="000000"/>
            </w:tcBorders>
          </w:tcPr>
          <w:p>
            <w:pPr>
              <w:pStyle w:val="TableParagraph"/>
              <w:ind w:right="55"/>
              <w:rPr>
                <w:b/>
                <w:sz w:val="11"/>
              </w:rPr>
            </w:pPr>
            <w:r>
              <w:rPr>
                <w:b/>
                <w:w w:val="105"/>
                <w:sz w:val="11"/>
              </w:rPr>
              <w:t>13,208.1</w:t>
            </w:r>
          </w:p>
        </w:tc>
        <w:tc>
          <w:tcPr>
            <w:tcW w:w="605" w:type="dxa"/>
            <w:tcBorders>
              <w:left w:val="single" w:sz="7" w:space="0" w:color="000000"/>
              <w:bottom w:val="single" w:sz="7" w:space="0" w:color="000000"/>
              <w:right w:val="single" w:sz="7" w:space="0" w:color="000000"/>
            </w:tcBorders>
          </w:tcPr>
          <w:p>
            <w:pPr>
              <w:pStyle w:val="TableParagraph"/>
              <w:ind w:right="57"/>
              <w:rPr>
                <w:b/>
                <w:sz w:val="11"/>
              </w:rPr>
            </w:pPr>
            <w:r>
              <w:rPr>
                <w:b/>
                <w:w w:val="105"/>
                <w:sz w:val="11"/>
              </w:rPr>
              <w:t>15,368.6</w:t>
            </w:r>
          </w:p>
        </w:tc>
        <w:tc>
          <w:tcPr>
            <w:tcW w:w="606" w:type="dxa"/>
            <w:tcBorders>
              <w:left w:val="single" w:sz="7" w:space="0" w:color="000000"/>
              <w:bottom w:val="single" w:sz="7" w:space="0" w:color="000000"/>
            </w:tcBorders>
          </w:tcPr>
          <w:p>
            <w:pPr>
              <w:pStyle w:val="TableParagraph"/>
              <w:ind w:right="57"/>
              <w:rPr>
                <w:b/>
                <w:sz w:val="11"/>
              </w:rPr>
            </w:pPr>
            <w:r>
              <w:rPr>
                <w:b/>
                <w:w w:val="105"/>
                <w:sz w:val="11"/>
              </w:rPr>
              <w:t>19,419.5</w:t>
            </w:r>
          </w:p>
        </w:tc>
        <w:tc>
          <w:tcPr>
            <w:tcW w:w="605" w:type="dxa"/>
            <w:tcBorders>
              <w:bottom w:val="single" w:sz="7" w:space="0" w:color="000000"/>
            </w:tcBorders>
          </w:tcPr>
          <w:p>
            <w:pPr>
              <w:pStyle w:val="TableParagraph"/>
              <w:ind w:right="57"/>
              <w:rPr>
                <w:b/>
                <w:sz w:val="11"/>
              </w:rPr>
            </w:pPr>
            <w:r>
              <w:rPr>
                <w:b/>
                <w:w w:val="105"/>
                <w:sz w:val="11"/>
              </w:rPr>
              <w:t>20,937.3</w:t>
            </w:r>
          </w:p>
        </w:tc>
        <w:tc>
          <w:tcPr>
            <w:tcW w:w="602" w:type="dxa"/>
            <w:tcBorders>
              <w:bottom w:val="single" w:sz="7" w:space="0" w:color="000000"/>
            </w:tcBorders>
          </w:tcPr>
          <w:p>
            <w:pPr>
              <w:pStyle w:val="TableParagraph"/>
              <w:ind w:left="50" w:right="38"/>
              <w:jc w:val="center"/>
              <w:rPr>
                <w:b/>
                <w:sz w:val="11"/>
              </w:rPr>
            </w:pPr>
            <w:r>
              <w:rPr>
                <w:b/>
                <w:w w:val="105"/>
                <w:sz w:val="11"/>
              </w:rPr>
              <w:t>17,999.1</w:t>
            </w:r>
          </w:p>
        </w:tc>
        <w:tc>
          <w:tcPr>
            <w:tcW w:w="605" w:type="dxa"/>
            <w:tcBorders>
              <w:bottom w:val="single" w:sz="7" w:space="0" w:color="000000"/>
            </w:tcBorders>
          </w:tcPr>
          <w:p>
            <w:pPr>
              <w:pStyle w:val="TableParagraph"/>
              <w:ind w:right="57"/>
              <w:rPr>
                <w:b/>
                <w:sz w:val="11"/>
              </w:rPr>
            </w:pPr>
            <w:r>
              <w:rPr>
                <w:b/>
                <w:w w:val="105"/>
                <w:sz w:val="11"/>
              </w:rPr>
              <w:t>27,744.3</w:t>
            </w:r>
          </w:p>
        </w:tc>
        <w:tc>
          <w:tcPr>
            <w:tcW w:w="602" w:type="dxa"/>
            <w:tcBorders>
              <w:bottom w:val="single" w:sz="7" w:space="0" w:color="000000"/>
            </w:tcBorders>
          </w:tcPr>
          <w:p>
            <w:pPr>
              <w:pStyle w:val="TableParagraph"/>
              <w:ind w:right="52"/>
              <w:rPr>
                <w:b/>
                <w:sz w:val="11"/>
              </w:rPr>
            </w:pPr>
            <w:r>
              <w:rPr>
                <w:b/>
                <w:w w:val="105"/>
                <w:sz w:val="11"/>
              </w:rPr>
              <w:t>29,953.8</w:t>
            </w:r>
          </w:p>
        </w:tc>
        <w:tc>
          <w:tcPr>
            <w:tcW w:w="602" w:type="dxa"/>
            <w:tcBorders>
              <w:bottom w:val="single" w:sz="7" w:space="0" w:color="000000"/>
            </w:tcBorders>
          </w:tcPr>
          <w:p>
            <w:pPr>
              <w:pStyle w:val="TableParagraph"/>
              <w:ind w:right="52"/>
              <w:rPr>
                <w:b/>
                <w:sz w:val="11"/>
              </w:rPr>
            </w:pPr>
            <w:r>
              <w:rPr>
                <w:b/>
                <w:w w:val="105"/>
                <w:sz w:val="11"/>
              </w:rPr>
              <w:t>47,651.3</w:t>
            </w:r>
          </w:p>
        </w:tc>
        <w:tc>
          <w:tcPr>
            <w:tcW w:w="605" w:type="dxa"/>
            <w:tcBorders>
              <w:bottom w:val="single" w:sz="7" w:space="0" w:color="000000"/>
            </w:tcBorders>
          </w:tcPr>
          <w:p>
            <w:pPr>
              <w:pStyle w:val="TableParagraph"/>
              <w:ind w:right="55"/>
              <w:rPr>
                <w:b/>
                <w:sz w:val="11"/>
              </w:rPr>
            </w:pPr>
            <w:r>
              <w:rPr>
                <w:b/>
                <w:w w:val="105"/>
                <w:sz w:val="11"/>
              </w:rPr>
              <w:t>57,011.3</w:t>
            </w:r>
          </w:p>
        </w:tc>
        <w:tc>
          <w:tcPr>
            <w:tcW w:w="602" w:type="dxa"/>
            <w:tcBorders>
              <w:bottom w:val="single" w:sz="7" w:space="0" w:color="000000"/>
              <w:right w:val="single" w:sz="7" w:space="0" w:color="000000"/>
            </w:tcBorders>
          </w:tcPr>
          <w:p>
            <w:pPr>
              <w:pStyle w:val="TableParagraph"/>
              <w:ind w:right="54"/>
              <w:rPr>
                <w:b/>
                <w:sz w:val="11"/>
              </w:rPr>
            </w:pPr>
            <w:r>
              <w:rPr>
                <w:b/>
                <w:w w:val="105"/>
                <w:sz w:val="11"/>
              </w:rPr>
              <w:t>64,923.3</w:t>
            </w:r>
          </w:p>
        </w:tc>
        <w:tc>
          <w:tcPr>
            <w:tcW w:w="604" w:type="dxa"/>
            <w:tcBorders>
              <w:left w:val="single" w:sz="7" w:space="0" w:color="000000"/>
              <w:bottom w:val="single" w:sz="7" w:space="0" w:color="000000"/>
              <w:right w:val="single" w:sz="7" w:space="0" w:color="000000"/>
            </w:tcBorders>
          </w:tcPr>
          <w:p>
            <w:pPr>
              <w:pStyle w:val="TableParagraph"/>
              <w:ind w:right="55"/>
              <w:rPr>
                <w:b/>
                <w:sz w:val="11"/>
              </w:rPr>
            </w:pPr>
            <w:r>
              <w:rPr>
                <w:b/>
                <w:w w:val="105"/>
                <w:sz w:val="11"/>
              </w:rPr>
              <w:t>74,183.6</w:t>
            </w:r>
          </w:p>
        </w:tc>
        <w:tc>
          <w:tcPr>
            <w:tcW w:w="606" w:type="dxa"/>
            <w:tcBorders>
              <w:left w:val="single" w:sz="7" w:space="0" w:color="000000"/>
              <w:bottom w:val="single" w:sz="7" w:space="0" w:color="000000"/>
            </w:tcBorders>
          </w:tcPr>
          <w:p>
            <w:pPr>
              <w:pStyle w:val="TableParagraph"/>
              <w:ind w:right="57"/>
              <w:rPr>
                <w:b/>
                <w:sz w:val="11"/>
              </w:rPr>
            </w:pPr>
            <w:r>
              <w:rPr>
                <w:b/>
                <w:w w:val="105"/>
                <w:sz w:val="11"/>
              </w:rPr>
              <w:t>75,700.8</w:t>
            </w:r>
          </w:p>
        </w:tc>
        <w:tc>
          <w:tcPr>
            <w:tcW w:w="602" w:type="dxa"/>
            <w:tcBorders>
              <w:bottom w:val="single" w:sz="7" w:space="0" w:color="000000"/>
            </w:tcBorders>
          </w:tcPr>
          <w:p>
            <w:pPr>
              <w:pStyle w:val="TableParagraph"/>
              <w:ind w:right="55"/>
              <w:rPr>
                <w:b/>
                <w:sz w:val="11"/>
              </w:rPr>
            </w:pPr>
            <w:r>
              <w:rPr>
                <w:b/>
                <w:w w:val="105"/>
                <w:sz w:val="11"/>
              </w:rPr>
              <w:t>72,627.3</w:t>
            </w:r>
          </w:p>
        </w:tc>
        <w:tc>
          <w:tcPr>
            <w:tcW w:w="602" w:type="dxa"/>
            <w:tcBorders>
              <w:bottom w:val="single" w:sz="7" w:space="0" w:color="000000"/>
            </w:tcBorders>
          </w:tcPr>
          <w:p>
            <w:pPr>
              <w:pStyle w:val="TableParagraph"/>
              <w:ind w:right="55"/>
              <w:rPr>
                <w:b/>
                <w:sz w:val="11"/>
              </w:rPr>
            </w:pPr>
            <w:r>
              <w:rPr>
                <w:b/>
                <w:w w:val="105"/>
                <w:sz w:val="11"/>
              </w:rPr>
              <w:t>66,797.0</w:t>
            </w:r>
          </w:p>
        </w:tc>
        <w:tc>
          <w:tcPr>
            <w:tcW w:w="605" w:type="dxa"/>
            <w:tcBorders>
              <w:bottom w:val="single" w:sz="7" w:space="0" w:color="000000"/>
            </w:tcBorders>
          </w:tcPr>
          <w:p>
            <w:pPr>
              <w:pStyle w:val="TableParagraph"/>
              <w:ind w:right="57"/>
              <w:rPr>
                <w:b/>
                <w:sz w:val="11"/>
              </w:rPr>
            </w:pPr>
            <w:r>
              <w:rPr>
                <w:b/>
                <w:w w:val="105"/>
                <w:sz w:val="11"/>
              </w:rPr>
              <w:t>40,985.9</w:t>
            </w:r>
          </w:p>
        </w:tc>
        <w:tc>
          <w:tcPr>
            <w:tcW w:w="674" w:type="dxa"/>
            <w:tcBorders>
              <w:bottom w:val="single" w:sz="7" w:space="0" w:color="000000"/>
            </w:tcBorders>
          </w:tcPr>
          <w:p>
            <w:pPr>
              <w:pStyle w:val="TableParagraph"/>
              <w:ind w:right="52"/>
              <w:rPr>
                <w:b/>
                <w:sz w:val="11"/>
              </w:rPr>
            </w:pPr>
            <w:r>
              <w:rPr>
                <w:b/>
                <w:w w:val="105"/>
                <w:sz w:val="11"/>
              </w:rPr>
              <w:t>100</w:t>
            </w:r>
          </w:p>
        </w:tc>
        <w:tc>
          <w:tcPr>
            <w:tcW w:w="554" w:type="dxa"/>
            <w:tcBorders>
              <w:bottom w:val="single" w:sz="7" w:space="0" w:color="000000"/>
            </w:tcBorders>
          </w:tcPr>
          <w:p>
            <w:pPr>
              <w:pStyle w:val="TableParagraph"/>
              <w:ind w:right="55"/>
              <w:rPr>
                <w:b/>
                <w:sz w:val="11"/>
              </w:rPr>
            </w:pPr>
            <w:r>
              <w:rPr>
                <w:b/>
                <w:w w:val="105"/>
                <w:sz w:val="11"/>
              </w:rPr>
              <w:t>13.6</w:t>
            </w:r>
          </w:p>
        </w:tc>
        <w:tc>
          <w:tcPr>
            <w:tcW w:w="684" w:type="dxa"/>
            <w:tcBorders>
              <w:bottom w:val="single" w:sz="7" w:space="0" w:color="000000"/>
            </w:tcBorders>
          </w:tcPr>
          <w:p>
            <w:pPr/>
          </w:p>
        </w:tc>
        <w:tc>
          <w:tcPr>
            <w:tcW w:w="444" w:type="dxa"/>
            <w:tcBorders>
              <w:bottom w:val="single" w:sz="7" w:space="0" w:color="000000"/>
            </w:tcBorders>
          </w:tcPr>
          <w:p>
            <w:pPr/>
          </w:p>
        </w:tc>
      </w:tr>
      <w:tr>
        <w:trPr>
          <w:trHeight w:val="150" w:hRule="exact"/>
        </w:trPr>
        <w:tc>
          <w:tcPr>
            <w:tcW w:w="770" w:type="dxa"/>
            <w:tcBorders>
              <w:top w:val="single" w:sz="7" w:space="0" w:color="000000"/>
              <w:bottom w:val="single" w:sz="4" w:space="0" w:color="000000"/>
            </w:tcBorders>
          </w:tcPr>
          <w:p>
            <w:pPr>
              <w:pStyle w:val="TableParagraph"/>
              <w:ind w:left="57"/>
              <w:jc w:val="left"/>
              <w:rPr>
                <w:b/>
                <w:sz w:val="11"/>
              </w:rPr>
            </w:pPr>
            <w:r>
              <w:rPr>
                <w:b/>
                <w:w w:val="105"/>
                <w:sz w:val="11"/>
              </w:rPr>
              <w:t>Ene</w:t>
            </w:r>
          </w:p>
        </w:tc>
        <w:tc>
          <w:tcPr>
            <w:tcW w:w="605" w:type="dxa"/>
            <w:tcBorders>
              <w:top w:val="single" w:sz="7" w:space="0" w:color="000000"/>
              <w:bottom w:val="single" w:sz="4" w:space="0" w:color="000000"/>
              <w:right w:val="single" w:sz="4" w:space="0" w:color="000000"/>
            </w:tcBorders>
          </w:tcPr>
          <w:p>
            <w:pPr>
              <w:pStyle w:val="TableParagraph"/>
              <w:ind w:right="60"/>
              <w:rPr>
                <w:sz w:val="11"/>
              </w:rPr>
            </w:pPr>
            <w:r>
              <w:rPr>
                <w:w w:val="105"/>
                <w:sz w:val="11"/>
              </w:rPr>
              <w:t>767.9</w:t>
            </w:r>
          </w:p>
        </w:tc>
        <w:tc>
          <w:tcPr>
            <w:tcW w:w="604" w:type="dxa"/>
            <w:tcBorders>
              <w:top w:val="single" w:sz="7"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960.9</w:t>
            </w:r>
          </w:p>
        </w:tc>
        <w:tc>
          <w:tcPr>
            <w:tcW w:w="605" w:type="dxa"/>
            <w:tcBorders>
              <w:top w:val="single" w:sz="7" w:space="0" w:color="000000"/>
              <w:left w:val="single" w:sz="3" w:space="0" w:color="000000"/>
              <w:bottom w:val="single" w:sz="4" w:space="0" w:color="000000"/>
              <w:right w:val="single" w:sz="3" w:space="0" w:color="000000"/>
            </w:tcBorders>
          </w:tcPr>
          <w:p>
            <w:pPr>
              <w:pStyle w:val="TableParagraph"/>
              <w:ind w:right="62"/>
              <w:rPr>
                <w:sz w:val="11"/>
              </w:rPr>
            </w:pPr>
            <w:r>
              <w:rPr>
                <w:w w:val="105"/>
                <w:sz w:val="11"/>
              </w:rPr>
              <w:t>1,105.5</w:t>
            </w:r>
          </w:p>
        </w:tc>
        <w:tc>
          <w:tcPr>
            <w:tcW w:w="606" w:type="dxa"/>
            <w:tcBorders>
              <w:top w:val="single" w:sz="7"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1,274.6</w:t>
            </w:r>
          </w:p>
        </w:tc>
        <w:tc>
          <w:tcPr>
            <w:tcW w:w="605" w:type="dxa"/>
            <w:tcBorders>
              <w:top w:val="single" w:sz="7"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1,356.8</w:t>
            </w:r>
          </w:p>
        </w:tc>
        <w:tc>
          <w:tcPr>
            <w:tcW w:w="602" w:type="dxa"/>
            <w:tcBorders>
              <w:top w:val="single" w:sz="7" w:space="0" w:color="000000"/>
              <w:left w:val="single" w:sz="4" w:space="0" w:color="000000"/>
              <w:bottom w:val="single" w:sz="4" w:space="0" w:color="000000"/>
              <w:right w:val="single" w:sz="4" w:space="0" w:color="000000"/>
            </w:tcBorders>
          </w:tcPr>
          <w:p>
            <w:pPr>
              <w:pStyle w:val="TableParagraph"/>
              <w:ind w:left="121" w:right="44"/>
              <w:jc w:val="center"/>
              <w:rPr>
                <w:sz w:val="11"/>
              </w:rPr>
            </w:pPr>
            <w:r>
              <w:rPr>
                <w:w w:val="105"/>
                <w:sz w:val="11"/>
              </w:rPr>
              <w:t>1,236.0</w:t>
            </w:r>
          </w:p>
        </w:tc>
        <w:tc>
          <w:tcPr>
            <w:tcW w:w="605" w:type="dxa"/>
            <w:tcBorders>
              <w:top w:val="single" w:sz="7"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2,061.0</w:t>
            </w:r>
          </w:p>
        </w:tc>
        <w:tc>
          <w:tcPr>
            <w:tcW w:w="602" w:type="dxa"/>
            <w:tcBorders>
              <w:top w:val="single" w:sz="7"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2,225.2</w:t>
            </w:r>
          </w:p>
        </w:tc>
        <w:tc>
          <w:tcPr>
            <w:tcW w:w="602" w:type="dxa"/>
            <w:tcBorders>
              <w:top w:val="single" w:sz="7"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3,342.8</w:t>
            </w:r>
          </w:p>
        </w:tc>
        <w:tc>
          <w:tcPr>
            <w:tcW w:w="605" w:type="dxa"/>
            <w:tcBorders>
              <w:top w:val="single" w:sz="7"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3,559.9</w:t>
            </w:r>
          </w:p>
        </w:tc>
        <w:tc>
          <w:tcPr>
            <w:tcW w:w="602" w:type="dxa"/>
            <w:tcBorders>
              <w:top w:val="single" w:sz="7"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4,292.2</w:t>
            </w:r>
          </w:p>
        </w:tc>
        <w:tc>
          <w:tcPr>
            <w:tcW w:w="604" w:type="dxa"/>
            <w:tcBorders>
              <w:top w:val="single" w:sz="7"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5,294.0</w:t>
            </w:r>
          </w:p>
        </w:tc>
        <w:tc>
          <w:tcPr>
            <w:tcW w:w="606" w:type="dxa"/>
            <w:tcBorders>
              <w:top w:val="single" w:sz="7"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5,573.0</w:t>
            </w:r>
          </w:p>
        </w:tc>
        <w:tc>
          <w:tcPr>
            <w:tcW w:w="602" w:type="dxa"/>
            <w:tcBorders>
              <w:top w:val="single" w:sz="7"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5,286.0</w:t>
            </w:r>
          </w:p>
        </w:tc>
        <w:tc>
          <w:tcPr>
            <w:tcW w:w="602" w:type="dxa"/>
            <w:tcBorders>
              <w:top w:val="single" w:sz="7"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4,793.0</w:t>
            </w:r>
          </w:p>
        </w:tc>
        <w:tc>
          <w:tcPr>
            <w:tcW w:w="605" w:type="dxa"/>
            <w:tcBorders>
              <w:top w:val="single" w:sz="7"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2,875.2</w:t>
            </w:r>
          </w:p>
        </w:tc>
        <w:tc>
          <w:tcPr>
            <w:tcW w:w="674" w:type="dxa"/>
            <w:tcBorders>
              <w:top w:val="single" w:sz="7"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7.0</w:t>
            </w:r>
          </w:p>
        </w:tc>
        <w:tc>
          <w:tcPr>
            <w:tcW w:w="554" w:type="dxa"/>
            <w:tcBorders>
              <w:top w:val="single" w:sz="7"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16.0</w:t>
            </w:r>
          </w:p>
        </w:tc>
        <w:tc>
          <w:tcPr>
            <w:tcW w:w="684" w:type="dxa"/>
            <w:tcBorders>
              <w:top w:val="single" w:sz="7"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2,875.2</w:t>
            </w:r>
          </w:p>
        </w:tc>
        <w:tc>
          <w:tcPr>
            <w:tcW w:w="444" w:type="dxa"/>
            <w:tcBorders>
              <w:top w:val="single" w:sz="7" w:space="0" w:color="000000"/>
              <w:left w:val="single" w:sz="4" w:space="0" w:color="000000"/>
              <w:bottom w:val="single" w:sz="4" w:space="0" w:color="000000"/>
            </w:tcBorders>
          </w:tcPr>
          <w:p>
            <w:pPr>
              <w:pStyle w:val="TableParagraph"/>
              <w:ind w:right="53"/>
              <w:rPr>
                <w:sz w:val="11"/>
              </w:rPr>
            </w:pPr>
            <w:r>
              <w:rPr>
                <w:w w:val="105"/>
                <w:sz w:val="11"/>
              </w:rPr>
              <w:t>7.0</w:t>
            </w:r>
          </w:p>
        </w:tc>
      </w:tr>
      <w:tr>
        <w:trPr>
          <w:trHeight w:val="142" w:hRule="exact"/>
        </w:trPr>
        <w:tc>
          <w:tcPr>
            <w:tcW w:w="770" w:type="dxa"/>
            <w:tcBorders>
              <w:top w:val="single" w:sz="4" w:space="0" w:color="000000"/>
              <w:bottom w:val="single" w:sz="4" w:space="0" w:color="000000"/>
            </w:tcBorders>
          </w:tcPr>
          <w:p>
            <w:pPr>
              <w:pStyle w:val="TableParagraph"/>
              <w:ind w:left="57"/>
              <w:jc w:val="left"/>
              <w:rPr>
                <w:b/>
                <w:sz w:val="11"/>
              </w:rPr>
            </w:pPr>
            <w:r>
              <w:rPr>
                <w:b/>
                <w:w w:val="105"/>
                <w:sz w:val="11"/>
              </w:rPr>
              <w:t>Feb</w:t>
            </w:r>
          </w:p>
        </w:tc>
        <w:tc>
          <w:tcPr>
            <w:tcW w:w="605"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755.3</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903.7</w:t>
            </w:r>
          </w:p>
        </w:tc>
        <w:tc>
          <w:tcPr>
            <w:tcW w:w="605" w:type="dxa"/>
            <w:tcBorders>
              <w:top w:val="single" w:sz="4" w:space="0" w:color="000000"/>
              <w:left w:val="single" w:sz="3" w:space="0" w:color="000000"/>
              <w:bottom w:val="single" w:sz="4" w:space="0" w:color="000000"/>
              <w:right w:val="single" w:sz="3" w:space="0" w:color="000000"/>
            </w:tcBorders>
          </w:tcPr>
          <w:p>
            <w:pPr>
              <w:pStyle w:val="TableParagraph"/>
              <w:ind w:right="62"/>
              <w:rPr>
                <w:sz w:val="11"/>
              </w:rPr>
            </w:pPr>
            <w:r>
              <w:rPr>
                <w:w w:val="105"/>
                <w:sz w:val="11"/>
              </w:rPr>
              <w:t>1,044.5</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1,244.2</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1,390.1</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left="121" w:right="44"/>
              <w:jc w:val="center"/>
              <w:rPr>
                <w:sz w:val="11"/>
              </w:rPr>
            </w:pPr>
            <w:r>
              <w:rPr>
                <w:w w:val="105"/>
                <w:sz w:val="11"/>
              </w:rPr>
              <w:t>1,236.0</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2,073.5</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2,262.8</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3,071.3</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3,764.0</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4,426.6</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5,364.7</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5,450.2</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5,453.8</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5,181.9</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2,908.2</w:t>
            </w:r>
          </w:p>
        </w:tc>
        <w:tc>
          <w:tcPr>
            <w:tcW w:w="67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7.1</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16.4</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5,783.4</w:t>
            </w:r>
          </w:p>
        </w:tc>
        <w:tc>
          <w:tcPr>
            <w:tcW w:w="444" w:type="dxa"/>
            <w:tcBorders>
              <w:top w:val="single" w:sz="4" w:space="0" w:color="000000"/>
              <w:left w:val="single" w:sz="4" w:space="0" w:color="000000"/>
              <w:bottom w:val="single" w:sz="4" w:space="0" w:color="000000"/>
            </w:tcBorders>
          </w:tcPr>
          <w:p>
            <w:pPr>
              <w:pStyle w:val="TableParagraph"/>
              <w:ind w:right="50"/>
              <w:rPr>
                <w:sz w:val="11"/>
              </w:rPr>
            </w:pPr>
            <w:r>
              <w:rPr>
                <w:w w:val="105"/>
                <w:sz w:val="11"/>
              </w:rPr>
              <w:t>14.1</w:t>
            </w:r>
          </w:p>
        </w:tc>
      </w:tr>
      <w:tr>
        <w:trPr>
          <w:trHeight w:val="146" w:hRule="exact"/>
        </w:trPr>
        <w:tc>
          <w:tcPr>
            <w:tcW w:w="770" w:type="dxa"/>
            <w:tcBorders>
              <w:top w:val="single" w:sz="4" w:space="0" w:color="000000"/>
              <w:bottom w:val="single" w:sz="4" w:space="0" w:color="000000"/>
            </w:tcBorders>
          </w:tcPr>
          <w:p>
            <w:pPr>
              <w:pStyle w:val="TableParagraph"/>
              <w:ind w:left="57"/>
              <w:jc w:val="left"/>
              <w:rPr>
                <w:b/>
                <w:sz w:val="11"/>
              </w:rPr>
            </w:pPr>
            <w:r>
              <w:rPr>
                <w:b/>
                <w:w w:val="105"/>
                <w:sz w:val="11"/>
              </w:rPr>
              <w:t>Mar</w:t>
            </w:r>
          </w:p>
        </w:tc>
        <w:tc>
          <w:tcPr>
            <w:tcW w:w="605"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894.6</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1,057.3</w:t>
            </w:r>
          </w:p>
        </w:tc>
        <w:tc>
          <w:tcPr>
            <w:tcW w:w="605" w:type="dxa"/>
            <w:tcBorders>
              <w:top w:val="single" w:sz="4" w:space="0" w:color="000000"/>
              <w:left w:val="single" w:sz="3" w:space="0" w:color="000000"/>
              <w:bottom w:val="single" w:sz="4" w:space="0" w:color="000000"/>
              <w:right w:val="single" w:sz="3" w:space="0" w:color="000000"/>
            </w:tcBorders>
          </w:tcPr>
          <w:p>
            <w:pPr>
              <w:pStyle w:val="TableParagraph"/>
              <w:ind w:right="62"/>
              <w:rPr>
                <w:sz w:val="11"/>
              </w:rPr>
            </w:pPr>
            <w:r>
              <w:rPr>
                <w:w w:val="105"/>
                <w:sz w:val="11"/>
              </w:rPr>
              <w:t>1,214.7</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1,466.8</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1,638.3</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left="121" w:right="44"/>
              <w:jc w:val="center"/>
              <w:rPr>
                <w:sz w:val="11"/>
              </w:rPr>
            </w:pPr>
            <w:r>
              <w:rPr>
                <w:w w:val="105"/>
                <w:sz w:val="11"/>
              </w:rPr>
              <w:t>1,384.8</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2,247.5</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2,301.5</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3,576.2</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4,606.9</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5,128.2</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6,155.7</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6,244.7</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6,115.1</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6,021.5</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3,336.9</w:t>
            </w:r>
          </w:p>
        </w:tc>
        <w:tc>
          <w:tcPr>
            <w:tcW w:w="67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8.1</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15.9</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9,120.3</w:t>
            </w:r>
          </w:p>
        </w:tc>
        <w:tc>
          <w:tcPr>
            <w:tcW w:w="444" w:type="dxa"/>
            <w:tcBorders>
              <w:top w:val="single" w:sz="4" w:space="0" w:color="000000"/>
              <w:left w:val="single" w:sz="4" w:space="0" w:color="000000"/>
              <w:bottom w:val="single" w:sz="4" w:space="0" w:color="000000"/>
            </w:tcBorders>
          </w:tcPr>
          <w:p>
            <w:pPr>
              <w:pStyle w:val="TableParagraph"/>
              <w:ind w:right="50"/>
              <w:rPr>
                <w:sz w:val="11"/>
              </w:rPr>
            </w:pPr>
            <w:r>
              <w:rPr>
                <w:w w:val="105"/>
                <w:sz w:val="11"/>
              </w:rPr>
              <w:t>22.3</w:t>
            </w:r>
          </w:p>
        </w:tc>
      </w:tr>
      <w:tr>
        <w:trPr>
          <w:trHeight w:val="144" w:hRule="exact"/>
        </w:trPr>
        <w:tc>
          <w:tcPr>
            <w:tcW w:w="770" w:type="dxa"/>
            <w:tcBorders>
              <w:top w:val="single" w:sz="4" w:space="0" w:color="000000"/>
              <w:bottom w:val="single" w:sz="4" w:space="0" w:color="000000"/>
            </w:tcBorders>
          </w:tcPr>
          <w:p>
            <w:pPr>
              <w:pStyle w:val="TableParagraph"/>
              <w:spacing w:before="0"/>
              <w:ind w:left="57"/>
              <w:jc w:val="left"/>
              <w:rPr>
                <w:b/>
                <w:sz w:val="11"/>
              </w:rPr>
            </w:pPr>
            <w:r>
              <w:rPr>
                <w:b/>
                <w:w w:val="105"/>
                <w:sz w:val="11"/>
              </w:rPr>
              <w:t>Abr</w:t>
            </w:r>
          </w:p>
        </w:tc>
        <w:tc>
          <w:tcPr>
            <w:tcW w:w="605" w:type="dxa"/>
            <w:tcBorders>
              <w:top w:val="single" w:sz="4" w:space="0" w:color="000000"/>
              <w:bottom w:val="single" w:sz="4" w:space="0" w:color="000000"/>
              <w:right w:val="single" w:sz="4" w:space="0" w:color="000000"/>
            </w:tcBorders>
          </w:tcPr>
          <w:p>
            <w:pPr>
              <w:pStyle w:val="TableParagraph"/>
              <w:spacing w:before="0"/>
              <w:ind w:right="60"/>
              <w:rPr>
                <w:sz w:val="11"/>
              </w:rPr>
            </w:pPr>
            <w:r>
              <w:rPr>
                <w:w w:val="105"/>
                <w:sz w:val="11"/>
              </w:rPr>
              <w:t>919.8</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spacing w:before="0"/>
              <w:ind w:right="60"/>
              <w:rPr>
                <w:sz w:val="11"/>
              </w:rPr>
            </w:pPr>
            <w:r>
              <w:rPr>
                <w:w w:val="105"/>
                <w:sz w:val="11"/>
              </w:rPr>
              <w:t>1,204.3</w:t>
            </w:r>
          </w:p>
        </w:tc>
        <w:tc>
          <w:tcPr>
            <w:tcW w:w="605" w:type="dxa"/>
            <w:tcBorders>
              <w:top w:val="single" w:sz="4" w:space="0" w:color="000000"/>
              <w:left w:val="single" w:sz="3" w:space="0" w:color="000000"/>
              <w:bottom w:val="single" w:sz="4" w:space="0" w:color="000000"/>
              <w:right w:val="single" w:sz="3" w:space="0" w:color="000000"/>
            </w:tcBorders>
          </w:tcPr>
          <w:p>
            <w:pPr>
              <w:pStyle w:val="TableParagraph"/>
              <w:spacing w:before="0"/>
              <w:ind w:right="62"/>
              <w:rPr>
                <w:sz w:val="11"/>
              </w:rPr>
            </w:pPr>
            <w:r>
              <w:rPr>
                <w:w w:val="105"/>
                <w:sz w:val="11"/>
              </w:rPr>
              <w:t>1,325.2</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spacing w:before="0"/>
              <w:ind w:right="62"/>
              <w:rPr>
                <w:sz w:val="11"/>
              </w:rPr>
            </w:pPr>
            <w:r>
              <w:rPr>
                <w:w w:val="105"/>
                <w:sz w:val="11"/>
              </w:rPr>
              <w:t>1,450.7</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1"/>
              </w:rPr>
            </w:pPr>
            <w:r>
              <w:rPr>
                <w:w w:val="105"/>
                <w:sz w:val="11"/>
              </w:rPr>
              <w:t>1,650.8</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left="121" w:right="44"/>
              <w:jc w:val="center"/>
              <w:rPr>
                <w:sz w:val="11"/>
              </w:rPr>
            </w:pPr>
            <w:r>
              <w:rPr>
                <w:w w:val="105"/>
                <w:sz w:val="11"/>
              </w:rPr>
              <w:t>1,391.5</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1"/>
              </w:rPr>
            </w:pPr>
            <w:r>
              <w:rPr>
                <w:w w:val="105"/>
                <w:sz w:val="11"/>
              </w:rPr>
              <w:t>2,323.8</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right="57"/>
              <w:rPr>
                <w:sz w:val="11"/>
              </w:rPr>
            </w:pPr>
            <w:r>
              <w:rPr>
                <w:w w:val="105"/>
                <w:sz w:val="11"/>
              </w:rPr>
              <w:t>2,496.5</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right="57"/>
              <w:rPr>
                <w:sz w:val="11"/>
              </w:rPr>
            </w:pPr>
            <w:r>
              <w:rPr>
                <w:w w:val="105"/>
                <w:sz w:val="11"/>
              </w:rPr>
              <w:t>3,801.3</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4,583.3</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right="57"/>
              <w:rPr>
                <w:sz w:val="11"/>
              </w:rPr>
            </w:pPr>
            <w:r>
              <w:rPr>
                <w:w w:val="105"/>
                <w:sz w:val="11"/>
              </w:rPr>
              <w:t>5,229.6</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spacing w:before="0"/>
              <w:ind w:right="60"/>
              <w:rPr>
                <w:sz w:val="11"/>
              </w:rPr>
            </w:pPr>
            <w:r>
              <w:rPr>
                <w:w w:val="105"/>
                <w:sz w:val="11"/>
              </w:rPr>
              <w:t>5,934.6</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spacing w:before="0"/>
              <w:ind w:right="62"/>
              <w:rPr>
                <w:sz w:val="11"/>
              </w:rPr>
            </w:pPr>
            <w:r>
              <w:rPr>
                <w:w w:val="105"/>
                <w:sz w:val="11"/>
              </w:rPr>
              <w:t>6,231.5</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6,179.1</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5,500.1</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1"/>
              </w:rPr>
            </w:pPr>
            <w:r>
              <w:rPr>
                <w:w w:val="105"/>
                <w:sz w:val="11"/>
              </w:rPr>
              <w:t>3,348.1</w:t>
            </w:r>
          </w:p>
        </w:tc>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8.2</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15.8</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12,468.5</w:t>
            </w:r>
          </w:p>
        </w:tc>
        <w:tc>
          <w:tcPr>
            <w:tcW w:w="444" w:type="dxa"/>
            <w:tcBorders>
              <w:top w:val="single" w:sz="4" w:space="0" w:color="000000"/>
              <w:left w:val="single" w:sz="4" w:space="0" w:color="000000"/>
              <w:bottom w:val="single" w:sz="4" w:space="0" w:color="000000"/>
            </w:tcBorders>
          </w:tcPr>
          <w:p>
            <w:pPr>
              <w:pStyle w:val="TableParagraph"/>
              <w:spacing w:before="0"/>
              <w:ind w:right="50"/>
              <w:rPr>
                <w:sz w:val="11"/>
              </w:rPr>
            </w:pPr>
            <w:r>
              <w:rPr>
                <w:w w:val="105"/>
                <w:sz w:val="11"/>
              </w:rPr>
              <w:t>30.4</w:t>
            </w:r>
          </w:p>
        </w:tc>
      </w:tr>
      <w:tr>
        <w:trPr>
          <w:trHeight w:val="142" w:hRule="exact"/>
        </w:trPr>
        <w:tc>
          <w:tcPr>
            <w:tcW w:w="770" w:type="dxa"/>
            <w:tcBorders>
              <w:top w:val="single" w:sz="4" w:space="0" w:color="000000"/>
              <w:bottom w:val="single" w:sz="4" w:space="0" w:color="000000"/>
            </w:tcBorders>
          </w:tcPr>
          <w:p>
            <w:pPr>
              <w:pStyle w:val="TableParagraph"/>
              <w:ind w:left="57"/>
              <w:jc w:val="left"/>
              <w:rPr>
                <w:b/>
                <w:sz w:val="11"/>
              </w:rPr>
            </w:pPr>
            <w:r>
              <w:rPr>
                <w:b/>
                <w:w w:val="105"/>
                <w:sz w:val="11"/>
              </w:rPr>
              <w:t>May</w:t>
            </w:r>
          </w:p>
        </w:tc>
        <w:tc>
          <w:tcPr>
            <w:tcW w:w="605"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1,132.7</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1,336.1</w:t>
            </w:r>
          </w:p>
        </w:tc>
        <w:tc>
          <w:tcPr>
            <w:tcW w:w="605" w:type="dxa"/>
            <w:tcBorders>
              <w:top w:val="single" w:sz="4" w:space="0" w:color="000000"/>
              <w:left w:val="single" w:sz="3" w:space="0" w:color="000000"/>
              <w:bottom w:val="single" w:sz="4" w:space="0" w:color="000000"/>
              <w:right w:val="single" w:sz="3" w:space="0" w:color="000000"/>
            </w:tcBorders>
          </w:tcPr>
          <w:p>
            <w:pPr>
              <w:pStyle w:val="TableParagraph"/>
              <w:ind w:right="62"/>
              <w:rPr>
                <w:sz w:val="11"/>
              </w:rPr>
            </w:pPr>
            <w:r>
              <w:rPr>
                <w:w w:val="105"/>
                <w:sz w:val="11"/>
              </w:rPr>
              <w:t>1,492.9</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1,827.5</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2,082.8</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left="121" w:right="44"/>
              <w:jc w:val="center"/>
              <w:rPr>
                <w:sz w:val="11"/>
              </w:rPr>
            </w:pPr>
            <w:r>
              <w:rPr>
                <w:w w:val="105"/>
                <w:sz w:val="11"/>
              </w:rPr>
              <w:t>1,679.4</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2,569.4</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2,765.7</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4,470.8</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5,588.4</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6,365.6</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7,286.6</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7,228.6</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7,089.0</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6,276.3</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3,946.1</w:t>
            </w:r>
          </w:p>
        </w:tc>
        <w:tc>
          <w:tcPr>
            <w:tcW w:w="67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9.6</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15.2</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16,414.6</w:t>
            </w:r>
          </w:p>
        </w:tc>
        <w:tc>
          <w:tcPr>
            <w:tcW w:w="444" w:type="dxa"/>
            <w:tcBorders>
              <w:top w:val="single" w:sz="4" w:space="0" w:color="000000"/>
              <w:left w:val="single" w:sz="4" w:space="0" w:color="000000"/>
              <w:bottom w:val="single" w:sz="4" w:space="0" w:color="000000"/>
            </w:tcBorders>
          </w:tcPr>
          <w:p>
            <w:pPr>
              <w:pStyle w:val="TableParagraph"/>
              <w:ind w:right="50"/>
              <w:rPr>
                <w:sz w:val="11"/>
              </w:rPr>
            </w:pPr>
            <w:r>
              <w:rPr>
                <w:w w:val="105"/>
                <w:sz w:val="11"/>
              </w:rPr>
              <w:t>40.0</w:t>
            </w:r>
          </w:p>
        </w:tc>
      </w:tr>
      <w:tr>
        <w:trPr>
          <w:trHeight w:val="146" w:hRule="exact"/>
        </w:trPr>
        <w:tc>
          <w:tcPr>
            <w:tcW w:w="770" w:type="dxa"/>
            <w:tcBorders>
              <w:top w:val="single" w:sz="4" w:space="0" w:color="000000"/>
              <w:bottom w:val="single" w:sz="4" w:space="0" w:color="000000"/>
            </w:tcBorders>
          </w:tcPr>
          <w:p>
            <w:pPr>
              <w:pStyle w:val="TableParagraph"/>
              <w:ind w:left="57"/>
              <w:jc w:val="left"/>
              <w:rPr>
                <w:b/>
                <w:sz w:val="11"/>
              </w:rPr>
            </w:pPr>
            <w:r>
              <w:rPr>
                <w:b/>
                <w:w w:val="105"/>
                <w:sz w:val="11"/>
              </w:rPr>
              <w:t>Jun</w:t>
            </w:r>
          </w:p>
        </w:tc>
        <w:tc>
          <w:tcPr>
            <w:tcW w:w="605"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1,026.3</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1,126.8</w:t>
            </w:r>
          </w:p>
        </w:tc>
        <w:tc>
          <w:tcPr>
            <w:tcW w:w="605" w:type="dxa"/>
            <w:tcBorders>
              <w:top w:val="single" w:sz="4" w:space="0" w:color="000000"/>
              <w:left w:val="single" w:sz="3" w:space="0" w:color="000000"/>
              <w:bottom w:val="single" w:sz="4" w:space="0" w:color="000000"/>
              <w:right w:val="single" w:sz="3" w:space="0" w:color="000000"/>
            </w:tcBorders>
          </w:tcPr>
          <w:p>
            <w:pPr>
              <w:pStyle w:val="TableParagraph"/>
              <w:ind w:right="62"/>
              <w:rPr>
                <w:sz w:val="11"/>
              </w:rPr>
            </w:pPr>
            <w:r>
              <w:rPr>
                <w:w w:val="105"/>
                <w:sz w:val="11"/>
              </w:rPr>
              <w:t>1,444.5</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1,737.8</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1,829.7</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left="121" w:right="44"/>
              <w:jc w:val="center"/>
              <w:rPr>
                <w:sz w:val="11"/>
              </w:rPr>
            </w:pPr>
            <w:r>
              <w:rPr>
                <w:w w:val="105"/>
                <w:sz w:val="11"/>
              </w:rPr>
              <w:t>1,482.6</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2,347.2</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2,514.8</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4,206.0</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5,179.1</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5,702.3</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6,629.7</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6,597.0</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6,468.0</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5,992.2</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3,618.9</w:t>
            </w:r>
          </w:p>
        </w:tc>
        <w:tc>
          <w:tcPr>
            <w:tcW w:w="67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8.8</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15.2</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20,033.5</w:t>
            </w:r>
          </w:p>
        </w:tc>
        <w:tc>
          <w:tcPr>
            <w:tcW w:w="444" w:type="dxa"/>
            <w:tcBorders>
              <w:top w:val="single" w:sz="4" w:space="0" w:color="000000"/>
              <w:left w:val="single" w:sz="4" w:space="0" w:color="000000"/>
              <w:bottom w:val="single" w:sz="4" w:space="0" w:color="000000"/>
            </w:tcBorders>
          </w:tcPr>
          <w:p>
            <w:pPr>
              <w:pStyle w:val="TableParagraph"/>
              <w:ind w:right="50"/>
              <w:rPr>
                <w:sz w:val="11"/>
              </w:rPr>
            </w:pPr>
            <w:r>
              <w:rPr>
                <w:w w:val="105"/>
                <w:sz w:val="11"/>
              </w:rPr>
              <w:t>48.9</w:t>
            </w:r>
          </w:p>
        </w:tc>
      </w:tr>
      <w:tr>
        <w:trPr>
          <w:trHeight w:val="144" w:hRule="exact"/>
        </w:trPr>
        <w:tc>
          <w:tcPr>
            <w:tcW w:w="770" w:type="dxa"/>
            <w:tcBorders>
              <w:top w:val="single" w:sz="4" w:space="0" w:color="000000"/>
              <w:bottom w:val="single" w:sz="4" w:space="0" w:color="000000"/>
            </w:tcBorders>
          </w:tcPr>
          <w:p>
            <w:pPr>
              <w:pStyle w:val="TableParagraph"/>
              <w:spacing w:before="0"/>
              <w:ind w:left="57"/>
              <w:jc w:val="left"/>
              <w:rPr>
                <w:b/>
                <w:sz w:val="11"/>
              </w:rPr>
            </w:pPr>
            <w:r>
              <w:rPr>
                <w:b/>
                <w:w w:val="105"/>
                <w:sz w:val="11"/>
              </w:rPr>
              <w:t>Jul</w:t>
            </w:r>
          </w:p>
        </w:tc>
        <w:tc>
          <w:tcPr>
            <w:tcW w:w="605" w:type="dxa"/>
            <w:tcBorders>
              <w:top w:val="single" w:sz="4" w:space="0" w:color="000000"/>
              <w:bottom w:val="single" w:sz="4" w:space="0" w:color="000000"/>
              <w:right w:val="single" w:sz="4" w:space="0" w:color="000000"/>
            </w:tcBorders>
          </w:tcPr>
          <w:p>
            <w:pPr>
              <w:pStyle w:val="TableParagraph"/>
              <w:spacing w:before="0"/>
              <w:ind w:right="60"/>
              <w:rPr>
                <w:sz w:val="11"/>
              </w:rPr>
            </w:pPr>
            <w:r>
              <w:rPr>
                <w:w w:val="105"/>
                <w:sz w:val="11"/>
              </w:rPr>
              <w:t>986.9</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spacing w:before="0"/>
              <w:ind w:right="60"/>
              <w:rPr>
                <w:sz w:val="11"/>
              </w:rPr>
            </w:pPr>
            <w:r>
              <w:rPr>
                <w:w w:val="105"/>
                <w:sz w:val="11"/>
              </w:rPr>
              <w:t>1,150.9</w:t>
            </w:r>
          </w:p>
        </w:tc>
        <w:tc>
          <w:tcPr>
            <w:tcW w:w="605" w:type="dxa"/>
            <w:tcBorders>
              <w:top w:val="single" w:sz="4" w:space="0" w:color="000000"/>
              <w:left w:val="single" w:sz="3" w:space="0" w:color="000000"/>
              <w:bottom w:val="single" w:sz="4" w:space="0" w:color="000000"/>
              <w:right w:val="single" w:sz="3" w:space="0" w:color="000000"/>
            </w:tcBorders>
          </w:tcPr>
          <w:p>
            <w:pPr>
              <w:pStyle w:val="TableParagraph"/>
              <w:spacing w:before="0"/>
              <w:ind w:right="62"/>
              <w:rPr>
                <w:sz w:val="11"/>
              </w:rPr>
            </w:pPr>
            <w:r>
              <w:rPr>
                <w:w w:val="105"/>
                <w:sz w:val="11"/>
              </w:rPr>
              <w:t>1,393.3</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spacing w:before="0"/>
              <w:ind w:right="62"/>
              <w:rPr>
                <w:sz w:val="11"/>
              </w:rPr>
            </w:pPr>
            <w:r>
              <w:rPr>
                <w:w w:val="105"/>
                <w:sz w:val="11"/>
              </w:rPr>
              <w:t>1,682.0</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1"/>
              </w:rPr>
            </w:pPr>
            <w:r>
              <w:rPr>
                <w:w w:val="105"/>
                <w:sz w:val="11"/>
              </w:rPr>
              <w:t>1,781.5</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left="121" w:right="44"/>
              <w:jc w:val="center"/>
              <w:rPr>
                <w:sz w:val="11"/>
              </w:rPr>
            </w:pPr>
            <w:r>
              <w:rPr>
                <w:w w:val="105"/>
                <w:sz w:val="11"/>
              </w:rPr>
              <w:t>1,542.5</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1"/>
              </w:rPr>
            </w:pPr>
            <w:r>
              <w:rPr>
                <w:w w:val="105"/>
                <w:sz w:val="11"/>
              </w:rPr>
              <w:t>2,423.9</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right="57"/>
              <w:rPr>
                <w:sz w:val="11"/>
              </w:rPr>
            </w:pPr>
            <w:r>
              <w:rPr>
                <w:w w:val="105"/>
                <w:sz w:val="11"/>
              </w:rPr>
              <w:t>2,491.3</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right="57"/>
              <w:rPr>
                <w:sz w:val="11"/>
              </w:rPr>
            </w:pPr>
            <w:r>
              <w:rPr>
                <w:w w:val="105"/>
                <w:sz w:val="11"/>
              </w:rPr>
              <w:t>4,156.8</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4,982.5</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right="57"/>
              <w:rPr>
                <w:sz w:val="11"/>
              </w:rPr>
            </w:pPr>
            <w:r>
              <w:rPr>
                <w:w w:val="105"/>
                <w:sz w:val="11"/>
              </w:rPr>
              <w:t>5,362.2</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spacing w:before="0"/>
              <w:ind w:right="60"/>
              <w:rPr>
                <w:sz w:val="11"/>
              </w:rPr>
            </w:pPr>
            <w:r>
              <w:rPr>
                <w:w w:val="105"/>
                <w:sz w:val="11"/>
              </w:rPr>
              <w:t>6,312.9</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spacing w:before="0"/>
              <w:ind w:right="62"/>
              <w:rPr>
                <w:sz w:val="11"/>
              </w:rPr>
            </w:pPr>
            <w:r>
              <w:rPr>
                <w:w w:val="105"/>
                <w:sz w:val="11"/>
              </w:rPr>
              <w:t>6,694.6</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6,188.9</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5,680.5</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1"/>
              </w:rPr>
            </w:pPr>
            <w:r>
              <w:rPr>
                <w:w w:val="105"/>
                <w:sz w:val="11"/>
              </w:rPr>
              <w:t>3,522.0</w:t>
            </w:r>
          </w:p>
        </w:tc>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8.6</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15.2</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23,555.5</w:t>
            </w:r>
          </w:p>
        </w:tc>
        <w:tc>
          <w:tcPr>
            <w:tcW w:w="444" w:type="dxa"/>
            <w:tcBorders>
              <w:top w:val="single" w:sz="4" w:space="0" w:color="000000"/>
              <w:left w:val="single" w:sz="4" w:space="0" w:color="000000"/>
              <w:bottom w:val="single" w:sz="4" w:space="0" w:color="000000"/>
            </w:tcBorders>
          </w:tcPr>
          <w:p>
            <w:pPr>
              <w:pStyle w:val="TableParagraph"/>
              <w:spacing w:before="0"/>
              <w:ind w:right="50"/>
              <w:rPr>
                <w:sz w:val="11"/>
              </w:rPr>
            </w:pPr>
            <w:r>
              <w:rPr>
                <w:w w:val="105"/>
                <w:sz w:val="11"/>
              </w:rPr>
              <w:t>57.5</w:t>
            </w:r>
          </w:p>
        </w:tc>
      </w:tr>
      <w:tr>
        <w:trPr>
          <w:trHeight w:val="142" w:hRule="exact"/>
        </w:trPr>
        <w:tc>
          <w:tcPr>
            <w:tcW w:w="770" w:type="dxa"/>
            <w:tcBorders>
              <w:top w:val="single" w:sz="4" w:space="0" w:color="000000"/>
              <w:bottom w:val="single" w:sz="4" w:space="0" w:color="000000"/>
            </w:tcBorders>
          </w:tcPr>
          <w:p>
            <w:pPr>
              <w:pStyle w:val="TableParagraph"/>
              <w:ind w:left="57"/>
              <w:jc w:val="left"/>
              <w:rPr>
                <w:b/>
                <w:sz w:val="11"/>
              </w:rPr>
            </w:pPr>
            <w:r>
              <w:rPr>
                <w:b/>
                <w:w w:val="105"/>
                <w:sz w:val="11"/>
              </w:rPr>
              <w:t>Ago</w:t>
            </w:r>
          </w:p>
        </w:tc>
        <w:tc>
          <w:tcPr>
            <w:tcW w:w="605"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1,015.4</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1,244.6</w:t>
            </w:r>
          </w:p>
        </w:tc>
        <w:tc>
          <w:tcPr>
            <w:tcW w:w="605" w:type="dxa"/>
            <w:tcBorders>
              <w:top w:val="single" w:sz="4" w:space="0" w:color="000000"/>
              <w:left w:val="single" w:sz="3" w:space="0" w:color="000000"/>
              <w:bottom w:val="single" w:sz="4" w:space="0" w:color="000000"/>
              <w:right w:val="single" w:sz="3" w:space="0" w:color="000000"/>
            </w:tcBorders>
          </w:tcPr>
          <w:p>
            <w:pPr>
              <w:pStyle w:val="TableParagraph"/>
              <w:ind w:right="62"/>
              <w:rPr>
                <w:sz w:val="11"/>
              </w:rPr>
            </w:pPr>
            <w:r>
              <w:rPr>
                <w:w w:val="105"/>
                <w:sz w:val="11"/>
              </w:rPr>
              <w:t>1,353.8</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1,704.3</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1,853.0</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left="121" w:right="44"/>
              <w:jc w:val="center"/>
              <w:rPr>
                <w:sz w:val="11"/>
              </w:rPr>
            </w:pPr>
            <w:r>
              <w:rPr>
                <w:w w:val="105"/>
                <w:sz w:val="11"/>
              </w:rPr>
              <w:t>1,655.6</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2,414.4</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2,565.9</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4,277.5</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5,451.3</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5,937.0</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6,624.7</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6,688.8</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6,108.8</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5,732.4</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3,641.8</w:t>
            </w:r>
          </w:p>
        </w:tc>
        <w:tc>
          <w:tcPr>
            <w:tcW w:w="67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8.9</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14.8</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27,197.4</w:t>
            </w:r>
          </w:p>
        </w:tc>
        <w:tc>
          <w:tcPr>
            <w:tcW w:w="444" w:type="dxa"/>
            <w:tcBorders>
              <w:top w:val="single" w:sz="4" w:space="0" w:color="000000"/>
              <w:left w:val="single" w:sz="4" w:space="0" w:color="000000"/>
              <w:bottom w:val="single" w:sz="4" w:space="0" w:color="000000"/>
            </w:tcBorders>
          </w:tcPr>
          <w:p>
            <w:pPr>
              <w:pStyle w:val="TableParagraph"/>
              <w:ind w:right="50"/>
              <w:rPr>
                <w:sz w:val="11"/>
              </w:rPr>
            </w:pPr>
            <w:r>
              <w:rPr>
                <w:w w:val="105"/>
                <w:sz w:val="11"/>
              </w:rPr>
              <w:t>66.4</w:t>
            </w:r>
          </w:p>
        </w:tc>
      </w:tr>
      <w:tr>
        <w:trPr>
          <w:trHeight w:val="146" w:hRule="exact"/>
        </w:trPr>
        <w:tc>
          <w:tcPr>
            <w:tcW w:w="770" w:type="dxa"/>
            <w:tcBorders>
              <w:top w:val="single" w:sz="4" w:space="0" w:color="000000"/>
              <w:bottom w:val="single" w:sz="4" w:space="0" w:color="000000"/>
            </w:tcBorders>
          </w:tcPr>
          <w:p>
            <w:pPr>
              <w:pStyle w:val="TableParagraph"/>
              <w:ind w:left="57"/>
              <w:jc w:val="left"/>
              <w:rPr>
                <w:b/>
                <w:sz w:val="11"/>
              </w:rPr>
            </w:pPr>
            <w:r>
              <w:rPr>
                <w:b/>
                <w:w w:val="105"/>
                <w:sz w:val="11"/>
              </w:rPr>
              <w:t>Sep</w:t>
            </w:r>
          </w:p>
        </w:tc>
        <w:tc>
          <w:tcPr>
            <w:tcW w:w="605"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940.4</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1,046.7</w:t>
            </w:r>
          </w:p>
        </w:tc>
        <w:tc>
          <w:tcPr>
            <w:tcW w:w="605" w:type="dxa"/>
            <w:tcBorders>
              <w:top w:val="single" w:sz="4" w:space="0" w:color="000000"/>
              <w:left w:val="single" w:sz="3" w:space="0" w:color="000000"/>
              <w:bottom w:val="single" w:sz="4" w:space="0" w:color="000000"/>
              <w:right w:val="single" w:sz="3" w:space="0" w:color="000000"/>
            </w:tcBorders>
          </w:tcPr>
          <w:p>
            <w:pPr>
              <w:pStyle w:val="TableParagraph"/>
              <w:ind w:right="62"/>
              <w:rPr>
                <w:sz w:val="11"/>
              </w:rPr>
            </w:pPr>
            <w:r>
              <w:rPr>
                <w:w w:val="105"/>
                <w:sz w:val="11"/>
              </w:rPr>
              <w:t>1,353.6</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1,677.7</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1,748.8</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left="121" w:right="44"/>
              <w:jc w:val="center"/>
              <w:rPr>
                <w:sz w:val="11"/>
              </w:rPr>
            </w:pPr>
            <w:r>
              <w:rPr>
                <w:w w:val="105"/>
                <w:sz w:val="11"/>
              </w:rPr>
              <w:t>1,605.3</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2,324.2</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2,505.3</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4,259.7</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4,807.0</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5,581.6</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6,187.0</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6,213.9</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6,145.7</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5,558.7</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3,463.7</w:t>
            </w:r>
          </w:p>
        </w:tc>
        <w:tc>
          <w:tcPr>
            <w:tcW w:w="67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8.5</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15.5</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30,661.1</w:t>
            </w:r>
          </w:p>
        </w:tc>
        <w:tc>
          <w:tcPr>
            <w:tcW w:w="444" w:type="dxa"/>
            <w:tcBorders>
              <w:top w:val="single" w:sz="4" w:space="0" w:color="000000"/>
              <w:left w:val="single" w:sz="4" w:space="0" w:color="000000"/>
              <w:bottom w:val="single" w:sz="4" w:space="0" w:color="000000"/>
            </w:tcBorders>
          </w:tcPr>
          <w:p>
            <w:pPr>
              <w:pStyle w:val="TableParagraph"/>
              <w:ind w:right="50"/>
              <w:rPr>
                <w:sz w:val="11"/>
              </w:rPr>
            </w:pPr>
            <w:r>
              <w:rPr>
                <w:w w:val="105"/>
                <w:sz w:val="11"/>
              </w:rPr>
              <w:t>74.8</w:t>
            </w:r>
          </w:p>
        </w:tc>
      </w:tr>
      <w:tr>
        <w:trPr>
          <w:trHeight w:val="144" w:hRule="exact"/>
        </w:trPr>
        <w:tc>
          <w:tcPr>
            <w:tcW w:w="770" w:type="dxa"/>
            <w:tcBorders>
              <w:top w:val="single" w:sz="4" w:space="0" w:color="000000"/>
              <w:bottom w:val="single" w:sz="4" w:space="0" w:color="000000"/>
            </w:tcBorders>
          </w:tcPr>
          <w:p>
            <w:pPr>
              <w:pStyle w:val="TableParagraph"/>
              <w:spacing w:before="0"/>
              <w:ind w:left="57"/>
              <w:jc w:val="left"/>
              <w:rPr>
                <w:b/>
                <w:sz w:val="11"/>
              </w:rPr>
            </w:pPr>
            <w:r>
              <w:rPr>
                <w:b/>
                <w:w w:val="105"/>
                <w:sz w:val="11"/>
              </w:rPr>
              <w:t>Oct</w:t>
            </w:r>
          </w:p>
        </w:tc>
        <w:tc>
          <w:tcPr>
            <w:tcW w:w="605" w:type="dxa"/>
            <w:tcBorders>
              <w:top w:val="single" w:sz="4" w:space="0" w:color="000000"/>
              <w:bottom w:val="single" w:sz="4" w:space="0" w:color="000000"/>
              <w:right w:val="single" w:sz="4" w:space="0" w:color="000000"/>
            </w:tcBorders>
          </w:tcPr>
          <w:p>
            <w:pPr>
              <w:pStyle w:val="TableParagraph"/>
              <w:spacing w:before="0"/>
              <w:ind w:right="60"/>
              <w:rPr>
                <w:sz w:val="11"/>
              </w:rPr>
            </w:pPr>
            <w:r>
              <w:rPr>
                <w:w w:val="105"/>
                <w:sz w:val="11"/>
              </w:rPr>
              <w:t>1,099.2</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spacing w:before="0"/>
              <w:ind w:right="60"/>
              <w:rPr>
                <w:sz w:val="11"/>
              </w:rPr>
            </w:pPr>
            <w:r>
              <w:rPr>
                <w:w w:val="105"/>
                <w:sz w:val="11"/>
              </w:rPr>
              <w:t>1,120.6</w:t>
            </w:r>
          </w:p>
        </w:tc>
        <w:tc>
          <w:tcPr>
            <w:tcW w:w="605" w:type="dxa"/>
            <w:tcBorders>
              <w:top w:val="single" w:sz="4" w:space="0" w:color="000000"/>
              <w:left w:val="single" w:sz="3" w:space="0" w:color="000000"/>
              <w:bottom w:val="single" w:sz="4" w:space="0" w:color="000000"/>
              <w:right w:val="single" w:sz="3" w:space="0" w:color="000000"/>
            </w:tcBorders>
          </w:tcPr>
          <w:p>
            <w:pPr>
              <w:pStyle w:val="TableParagraph"/>
              <w:spacing w:before="0"/>
              <w:ind w:right="62"/>
              <w:rPr>
                <w:sz w:val="11"/>
              </w:rPr>
            </w:pPr>
            <w:r>
              <w:rPr>
                <w:w w:val="105"/>
                <w:sz w:val="11"/>
              </w:rPr>
              <w:t>1,329.2</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spacing w:before="0"/>
              <w:ind w:right="62"/>
              <w:rPr>
                <w:sz w:val="11"/>
              </w:rPr>
            </w:pPr>
            <w:r>
              <w:rPr>
                <w:w w:val="105"/>
                <w:sz w:val="11"/>
              </w:rPr>
              <w:t>1,619.8</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1"/>
              </w:rPr>
            </w:pPr>
            <w:r>
              <w:rPr>
                <w:w w:val="105"/>
                <w:sz w:val="11"/>
              </w:rPr>
              <w:t>1,779.6</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left="121" w:right="44"/>
              <w:jc w:val="center"/>
              <w:rPr>
                <w:sz w:val="11"/>
              </w:rPr>
            </w:pPr>
            <w:r>
              <w:rPr>
                <w:w w:val="105"/>
                <w:sz w:val="11"/>
              </w:rPr>
              <w:t>1,665.2</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1"/>
              </w:rPr>
            </w:pPr>
            <w:r>
              <w:rPr>
                <w:w w:val="105"/>
                <w:sz w:val="11"/>
              </w:rPr>
              <w:t>2,440.3</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right="57"/>
              <w:rPr>
                <w:sz w:val="11"/>
              </w:rPr>
            </w:pPr>
            <w:r>
              <w:rPr>
                <w:w w:val="105"/>
                <w:sz w:val="11"/>
              </w:rPr>
              <w:t>2,615.0</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right="57"/>
              <w:rPr>
                <w:sz w:val="11"/>
              </w:rPr>
            </w:pPr>
            <w:r>
              <w:rPr>
                <w:w w:val="105"/>
                <w:sz w:val="11"/>
              </w:rPr>
              <w:t>4,369.7</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4,744.9</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right="57"/>
              <w:rPr>
                <w:sz w:val="11"/>
              </w:rPr>
            </w:pPr>
            <w:r>
              <w:rPr>
                <w:w w:val="105"/>
                <w:sz w:val="11"/>
              </w:rPr>
              <w:t>5,513.0</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spacing w:before="0"/>
              <w:ind w:right="60"/>
              <w:rPr>
                <w:sz w:val="11"/>
              </w:rPr>
            </w:pPr>
            <w:r>
              <w:rPr>
                <w:w w:val="105"/>
                <w:sz w:val="11"/>
              </w:rPr>
              <w:t>6,757.4</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spacing w:before="0"/>
              <w:ind w:right="62"/>
              <w:rPr>
                <w:sz w:val="11"/>
              </w:rPr>
            </w:pPr>
            <w:r>
              <w:rPr>
                <w:w w:val="105"/>
                <w:sz w:val="11"/>
              </w:rPr>
              <w:t>6,943.6</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6,675.0</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5,649.6</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1"/>
              </w:rPr>
            </w:pPr>
            <w:r>
              <w:rPr>
                <w:w w:val="105"/>
                <w:sz w:val="11"/>
              </w:rPr>
              <w:t>3,621.5</w:t>
            </w:r>
          </w:p>
        </w:tc>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8.8</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14.9</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34,282.5</w:t>
            </w:r>
          </w:p>
        </w:tc>
        <w:tc>
          <w:tcPr>
            <w:tcW w:w="444" w:type="dxa"/>
            <w:tcBorders>
              <w:top w:val="single" w:sz="4" w:space="0" w:color="000000"/>
              <w:left w:val="single" w:sz="4" w:space="0" w:color="000000"/>
              <w:bottom w:val="single" w:sz="4" w:space="0" w:color="000000"/>
            </w:tcBorders>
          </w:tcPr>
          <w:p>
            <w:pPr>
              <w:pStyle w:val="TableParagraph"/>
              <w:spacing w:before="0"/>
              <w:ind w:right="50"/>
              <w:rPr>
                <w:sz w:val="11"/>
              </w:rPr>
            </w:pPr>
            <w:r>
              <w:rPr>
                <w:w w:val="105"/>
                <w:sz w:val="11"/>
              </w:rPr>
              <w:t>83.6</w:t>
            </w:r>
          </w:p>
        </w:tc>
      </w:tr>
      <w:tr>
        <w:trPr>
          <w:trHeight w:val="142" w:hRule="exact"/>
        </w:trPr>
        <w:tc>
          <w:tcPr>
            <w:tcW w:w="770" w:type="dxa"/>
            <w:tcBorders>
              <w:top w:val="single" w:sz="4" w:space="0" w:color="000000"/>
              <w:bottom w:val="single" w:sz="4" w:space="0" w:color="000000"/>
            </w:tcBorders>
          </w:tcPr>
          <w:p>
            <w:pPr>
              <w:pStyle w:val="TableParagraph"/>
              <w:ind w:left="57"/>
              <w:jc w:val="left"/>
              <w:rPr>
                <w:b/>
                <w:sz w:val="11"/>
              </w:rPr>
            </w:pPr>
            <w:r>
              <w:rPr>
                <w:b/>
                <w:w w:val="105"/>
                <w:sz w:val="11"/>
              </w:rPr>
              <w:t>Nov</w:t>
            </w:r>
          </w:p>
        </w:tc>
        <w:tc>
          <w:tcPr>
            <w:tcW w:w="605" w:type="dxa"/>
            <w:tcBorders>
              <w:top w:val="single" w:sz="4" w:space="0" w:color="000000"/>
              <w:bottom w:val="single" w:sz="4" w:space="0" w:color="000000"/>
              <w:right w:val="single" w:sz="4" w:space="0" w:color="000000"/>
            </w:tcBorders>
          </w:tcPr>
          <w:p>
            <w:pPr>
              <w:pStyle w:val="TableParagraph"/>
              <w:ind w:right="60"/>
              <w:rPr>
                <w:sz w:val="11"/>
              </w:rPr>
            </w:pPr>
            <w:r>
              <w:rPr>
                <w:w w:val="105"/>
                <w:sz w:val="11"/>
              </w:rPr>
              <w:t>814.1</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952.6</w:t>
            </w:r>
          </w:p>
        </w:tc>
        <w:tc>
          <w:tcPr>
            <w:tcW w:w="605" w:type="dxa"/>
            <w:tcBorders>
              <w:top w:val="single" w:sz="4" w:space="0" w:color="000000"/>
              <w:left w:val="single" w:sz="3" w:space="0" w:color="000000"/>
              <w:bottom w:val="single" w:sz="4" w:space="0" w:color="000000"/>
              <w:right w:val="single" w:sz="3" w:space="0" w:color="000000"/>
            </w:tcBorders>
          </w:tcPr>
          <w:p>
            <w:pPr>
              <w:pStyle w:val="TableParagraph"/>
              <w:ind w:right="62"/>
              <w:rPr>
                <w:sz w:val="11"/>
              </w:rPr>
            </w:pPr>
            <w:r>
              <w:rPr>
                <w:w w:val="105"/>
                <w:sz w:val="11"/>
              </w:rPr>
              <w:t>1,087.2</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1,593.0</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1,821.2</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left="121" w:right="44"/>
              <w:jc w:val="center"/>
              <w:rPr>
                <w:sz w:val="11"/>
              </w:rPr>
            </w:pPr>
            <w:r>
              <w:rPr>
                <w:w w:val="105"/>
                <w:sz w:val="11"/>
              </w:rPr>
              <w:t>1,492.2</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2,158.4</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2,305.5</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3,828.3</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4,666.3</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5,542.2</w:t>
            </w:r>
          </w:p>
        </w:tc>
        <w:tc>
          <w:tcPr>
            <w:tcW w:w="604"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5,726.1</w:t>
            </w:r>
          </w:p>
        </w:tc>
        <w:tc>
          <w:tcPr>
            <w:tcW w:w="606"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5,743.4</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5,251.5</w:t>
            </w:r>
          </w:p>
        </w:tc>
        <w:tc>
          <w:tcPr>
            <w:tcW w:w="602"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5,029.2</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3,200.7</w:t>
            </w:r>
          </w:p>
        </w:tc>
        <w:tc>
          <w:tcPr>
            <w:tcW w:w="67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7.8</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15.4</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37,483.3</w:t>
            </w:r>
          </w:p>
        </w:tc>
        <w:tc>
          <w:tcPr>
            <w:tcW w:w="444" w:type="dxa"/>
            <w:tcBorders>
              <w:top w:val="single" w:sz="4" w:space="0" w:color="000000"/>
              <w:left w:val="single" w:sz="4" w:space="0" w:color="000000"/>
              <w:bottom w:val="single" w:sz="4" w:space="0" w:color="000000"/>
            </w:tcBorders>
          </w:tcPr>
          <w:p>
            <w:pPr>
              <w:pStyle w:val="TableParagraph"/>
              <w:ind w:right="50"/>
              <w:rPr>
                <w:sz w:val="11"/>
              </w:rPr>
            </w:pPr>
            <w:r>
              <w:rPr>
                <w:w w:val="105"/>
                <w:sz w:val="11"/>
              </w:rPr>
              <w:t>91.5</w:t>
            </w:r>
          </w:p>
        </w:tc>
      </w:tr>
      <w:tr>
        <w:trPr>
          <w:trHeight w:val="151" w:hRule="exact"/>
        </w:trPr>
        <w:tc>
          <w:tcPr>
            <w:tcW w:w="770" w:type="dxa"/>
            <w:tcBorders>
              <w:top w:val="single" w:sz="4" w:space="0" w:color="000000"/>
            </w:tcBorders>
          </w:tcPr>
          <w:p>
            <w:pPr>
              <w:pStyle w:val="TableParagraph"/>
              <w:ind w:left="57"/>
              <w:jc w:val="left"/>
              <w:rPr>
                <w:b/>
                <w:sz w:val="11"/>
              </w:rPr>
            </w:pPr>
            <w:r>
              <w:rPr>
                <w:b/>
                <w:w w:val="105"/>
                <w:sz w:val="11"/>
              </w:rPr>
              <w:t>Dic</w:t>
            </w:r>
          </w:p>
        </w:tc>
        <w:tc>
          <w:tcPr>
            <w:tcW w:w="605" w:type="dxa"/>
            <w:tcBorders>
              <w:top w:val="single" w:sz="4" w:space="0" w:color="000000"/>
              <w:right w:val="single" w:sz="4" w:space="0" w:color="000000"/>
            </w:tcBorders>
          </w:tcPr>
          <w:p>
            <w:pPr>
              <w:pStyle w:val="TableParagraph"/>
              <w:ind w:right="60"/>
              <w:rPr>
                <w:sz w:val="11"/>
              </w:rPr>
            </w:pPr>
            <w:r>
              <w:rPr>
                <w:w w:val="105"/>
                <w:sz w:val="11"/>
              </w:rPr>
              <w:t>910.7</w:t>
            </w:r>
          </w:p>
        </w:tc>
        <w:tc>
          <w:tcPr>
            <w:tcW w:w="604" w:type="dxa"/>
            <w:tcBorders>
              <w:top w:val="single" w:sz="4" w:space="0" w:color="000000"/>
              <w:left w:val="single" w:sz="4" w:space="0" w:color="000000"/>
              <w:right w:val="single" w:sz="3" w:space="0" w:color="000000"/>
            </w:tcBorders>
          </w:tcPr>
          <w:p>
            <w:pPr>
              <w:pStyle w:val="TableParagraph"/>
              <w:ind w:right="60"/>
              <w:rPr>
                <w:sz w:val="11"/>
              </w:rPr>
            </w:pPr>
            <w:r>
              <w:rPr>
                <w:w w:val="105"/>
                <w:sz w:val="11"/>
              </w:rPr>
              <w:t>1,103.5</w:t>
            </w:r>
          </w:p>
        </w:tc>
        <w:tc>
          <w:tcPr>
            <w:tcW w:w="605" w:type="dxa"/>
            <w:tcBorders>
              <w:top w:val="single" w:sz="4" w:space="0" w:color="000000"/>
              <w:left w:val="single" w:sz="3" w:space="0" w:color="000000"/>
              <w:right w:val="single" w:sz="3" w:space="0" w:color="000000"/>
            </w:tcBorders>
          </w:tcPr>
          <w:p>
            <w:pPr>
              <w:pStyle w:val="TableParagraph"/>
              <w:ind w:right="62"/>
              <w:rPr>
                <w:sz w:val="11"/>
              </w:rPr>
            </w:pPr>
            <w:r>
              <w:rPr>
                <w:w w:val="105"/>
                <w:sz w:val="11"/>
              </w:rPr>
              <w:t>1,224.4</w:t>
            </w:r>
          </w:p>
        </w:tc>
        <w:tc>
          <w:tcPr>
            <w:tcW w:w="606" w:type="dxa"/>
            <w:tcBorders>
              <w:top w:val="single" w:sz="4" w:space="0" w:color="000000"/>
              <w:left w:val="single" w:sz="3" w:space="0" w:color="000000"/>
              <w:right w:val="single" w:sz="4" w:space="0" w:color="000000"/>
            </w:tcBorders>
          </w:tcPr>
          <w:p>
            <w:pPr>
              <w:pStyle w:val="TableParagraph"/>
              <w:ind w:right="62"/>
              <w:rPr>
                <w:sz w:val="11"/>
              </w:rPr>
            </w:pPr>
            <w:r>
              <w:rPr>
                <w:w w:val="105"/>
                <w:sz w:val="11"/>
              </w:rPr>
              <w:t>2,141.2</w:t>
            </w:r>
          </w:p>
        </w:tc>
        <w:tc>
          <w:tcPr>
            <w:tcW w:w="605" w:type="dxa"/>
            <w:tcBorders>
              <w:top w:val="single" w:sz="4" w:space="0" w:color="000000"/>
              <w:left w:val="single" w:sz="4" w:space="0" w:color="000000"/>
              <w:right w:val="single" w:sz="4" w:space="0" w:color="000000"/>
            </w:tcBorders>
          </w:tcPr>
          <w:p>
            <w:pPr>
              <w:pStyle w:val="TableParagraph"/>
              <w:ind w:right="62"/>
              <w:rPr>
                <w:sz w:val="11"/>
              </w:rPr>
            </w:pPr>
            <w:r>
              <w:rPr>
                <w:w w:val="105"/>
                <w:sz w:val="11"/>
              </w:rPr>
              <w:t>2,004.7</w:t>
            </w:r>
          </w:p>
        </w:tc>
        <w:tc>
          <w:tcPr>
            <w:tcW w:w="602" w:type="dxa"/>
            <w:tcBorders>
              <w:top w:val="single" w:sz="4" w:space="0" w:color="000000"/>
              <w:left w:val="single" w:sz="4" w:space="0" w:color="000000"/>
              <w:right w:val="single" w:sz="4" w:space="0" w:color="000000"/>
            </w:tcBorders>
          </w:tcPr>
          <w:p>
            <w:pPr>
              <w:pStyle w:val="TableParagraph"/>
              <w:ind w:left="121" w:right="44"/>
              <w:jc w:val="center"/>
              <w:rPr>
                <w:sz w:val="11"/>
              </w:rPr>
            </w:pPr>
            <w:r>
              <w:rPr>
                <w:w w:val="105"/>
                <w:sz w:val="11"/>
              </w:rPr>
              <w:t>1,628.0</w:t>
            </w:r>
          </w:p>
        </w:tc>
        <w:tc>
          <w:tcPr>
            <w:tcW w:w="605" w:type="dxa"/>
            <w:tcBorders>
              <w:top w:val="single" w:sz="4" w:space="0" w:color="000000"/>
              <w:left w:val="single" w:sz="4" w:space="0" w:color="000000"/>
              <w:right w:val="single" w:sz="4" w:space="0" w:color="000000"/>
            </w:tcBorders>
          </w:tcPr>
          <w:p>
            <w:pPr>
              <w:pStyle w:val="TableParagraph"/>
              <w:ind w:right="62"/>
              <w:rPr>
                <w:sz w:val="11"/>
              </w:rPr>
            </w:pPr>
            <w:r>
              <w:rPr>
                <w:w w:val="105"/>
                <w:sz w:val="11"/>
              </w:rPr>
              <w:t>2,360.8</w:t>
            </w:r>
          </w:p>
        </w:tc>
        <w:tc>
          <w:tcPr>
            <w:tcW w:w="602" w:type="dxa"/>
            <w:tcBorders>
              <w:top w:val="single" w:sz="4" w:space="0" w:color="000000"/>
              <w:left w:val="single" w:sz="4" w:space="0" w:color="000000"/>
              <w:right w:val="single" w:sz="4" w:space="0" w:color="000000"/>
            </w:tcBorders>
          </w:tcPr>
          <w:p>
            <w:pPr>
              <w:pStyle w:val="TableParagraph"/>
              <w:ind w:right="57"/>
              <w:rPr>
                <w:sz w:val="11"/>
              </w:rPr>
            </w:pPr>
            <w:r>
              <w:rPr>
                <w:w w:val="105"/>
                <w:sz w:val="11"/>
              </w:rPr>
              <w:t>2,904.3</w:t>
            </w:r>
          </w:p>
        </w:tc>
        <w:tc>
          <w:tcPr>
            <w:tcW w:w="602" w:type="dxa"/>
            <w:tcBorders>
              <w:top w:val="single" w:sz="4" w:space="0" w:color="000000"/>
              <w:left w:val="single" w:sz="4" w:space="0" w:color="000000"/>
              <w:right w:val="single" w:sz="4" w:space="0" w:color="000000"/>
            </w:tcBorders>
          </w:tcPr>
          <w:p>
            <w:pPr>
              <w:pStyle w:val="TableParagraph"/>
              <w:ind w:right="57"/>
              <w:rPr>
                <w:sz w:val="11"/>
              </w:rPr>
            </w:pPr>
            <w:r>
              <w:rPr>
                <w:w w:val="105"/>
                <w:sz w:val="11"/>
              </w:rPr>
              <w:t>4,290.9</w:t>
            </w:r>
          </w:p>
        </w:tc>
        <w:tc>
          <w:tcPr>
            <w:tcW w:w="605" w:type="dxa"/>
            <w:tcBorders>
              <w:top w:val="single" w:sz="4" w:space="0" w:color="000000"/>
              <w:left w:val="single" w:sz="4" w:space="0" w:color="000000"/>
              <w:right w:val="single" w:sz="4" w:space="0" w:color="000000"/>
            </w:tcBorders>
          </w:tcPr>
          <w:p>
            <w:pPr>
              <w:pStyle w:val="TableParagraph"/>
              <w:ind w:right="60"/>
              <w:rPr>
                <w:sz w:val="11"/>
              </w:rPr>
            </w:pPr>
            <w:r>
              <w:rPr>
                <w:w w:val="105"/>
                <w:sz w:val="11"/>
              </w:rPr>
              <w:t>5,077.8</w:t>
            </w:r>
          </w:p>
        </w:tc>
        <w:tc>
          <w:tcPr>
            <w:tcW w:w="602" w:type="dxa"/>
            <w:tcBorders>
              <w:top w:val="single" w:sz="4" w:space="0" w:color="000000"/>
              <w:left w:val="single" w:sz="4" w:space="0" w:color="000000"/>
              <w:right w:val="single" w:sz="4" w:space="0" w:color="000000"/>
            </w:tcBorders>
          </w:tcPr>
          <w:p>
            <w:pPr>
              <w:pStyle w:val="TableParagraph"/>
              <w:ind w:right="57"/>
              <w:rPr>
                <w:sz w:val="11"/>
              </w:rPr>
            </w:pPr>
            <w:r>
              <w:rPr>
                <w:w w:val="105"/>
                <w:sz w:val="11"/>
              </w:rPr>
              <w:t>5,842.8</w:t>
            </w:r>
          </w:p>
        </w:tc>
        <w:tc>
          <w:tcPr>
            <w:tcW w:w="604" w:type="dxa"/>
            <w:tcBorders>
              <w:top w:val="single" w:sz="4" w:space="0" w:color="000000"/>
              <w:left w:val="single" w:sz="4" w:space="0" w:color="000000"/>
              <w:right w:val="single" w:sz="3" w:space="0" w:color="000000"/>
            </w:tcBorders>
          </w:tcPr>
          <w:p>
            <w:pPr>
              <w:pStyle w:val="TableParagraph"/>
              <w:ind w:right="60"/>
              <w:rPr>
                <w:sz w:val="11"/>
              </w:rPr>
            </w:pPr>
            <w:r>
              <w:rPr>
                <w:w w:val="105"/>
                <w:sz w:val="11"/>
              </w:rPr>
              <w:t>5,910.5</w:t>
            </w:r>
          </w:p>
        </w:tc>
        <w:tc>
          <w:tcPr>
            <w:tcW w:w="606" w:type="dxa"/>
            <w:tcBorders>
              <w:top w:val="single" w:sz="4" w:space="0" w:color="000000"/>
              <w:left w:val="single" w:sz="3" w:space="0" w:color="000000"/>
              <w:right w:val="single" w:sz="4" w:space="0" w:color="000000"/>
            </w:tcBorders>
          </w:tcPr>
          <w:p>
            <w:pPr>
              <w:pStyle w:val="TableParagraph"/>
              <w:ind w:right="62"/>
              <w:rPr>
                <w:sz w:val="11"/>
              </w:rPr>
            </w:pPr>
            <w:r>
              <w:rPr>
                <w:w w:val="105"/>
                <w:sz w:val="11"/>
              </w:rPr>
              <w:t>6,091.4</w:t>
            </w:r>
          </w:p>
        </w:tc>
        <w:tc>
          <w:tcPr>
            <w:tcW w:w="602" w:type="dxa"/>
            <w:tcBorders>
              <w:top w:val="single" w:sz="4" w:space="0" w:color="000000"/>
              <w:left w:val="single" w:sz="4" w:space="0" w:color="000000"/>
              <w:right w:val="single" w:sz="4" w:space="0" w:color="000000"/>
            </w:tcBorders>
          </w:tcPr>
          <w:p>
            <w:pPr>
              <w:pStyle w:val="TableParagraph"/>
              <w:ind w:right="60"/>
              <w:rPr>
                <w:sz w:val="11"/>
              </w:rPr>
            </w:pPr>
            <w:r>
              <w:rPr>
                <w:w w:val="105"/>
                <w:sz w:val="11"/>
              </w:rPr>
              <w:t>5,666.4</w:t>
            </w:r>
          </w:p>
        </w:tc>
        <w:tc>
          <w:tcPr>
            <w:tcW w:w="602" w:type="dxa"/>
            <w:tcBorders>
              <w:top w:val="single" w:sz="4" w:space="0" w:color="000000"/>
              <w:left w:val="single" w:sz="4" w:space="0" w:color="000000"/>
              <w:right w:val="single" w:sz="4" w:space="0" w:color="000000"/>
            </w:tcBorders>
          </w:tcPr>
          <w:p>
            <w:pPr>
              <w:pStyle w:val="TableParagraph"/>
              <w:ind w:right="60"/>
              <w:rPr>
                <w:sz w:val="11"/>
              </w:rPr>
            </w:pPr>
            <w:r>
              <w:rPr>
                <w:w w:val="105"/>
                <w:sz w:val="11"/>
              </w:rPr>
              <w:t>5,381.9</w:t>
            </w:r>
          </w:p>
        </w:tc>
        <w:tc>
          <w:tcPr>
            <w:tcW w:w="605" w:type="dxa"/>
            <w:tcBorders>
              <w:top w:val="single" w:sz="4" w:space="0" w:color="000000"/>
              <w:left w:val="single" w:sz="4" w:space="0" w:color="000000"/>
              <w:right w:val="single" w:sz="4" w:space="0" w:color="000000"/>
            </w:tcBorders>
          </w:tcPr>
          <w:p>
            <w:pPr>
              <w:pStyle w:val="TableParagraph"/>
              <w:ind w:right="62"/>
              <w:rPr>
                <w:sz w:val="11"/>
              </w:rPr>
            </w:pPr>
            <w:r>
              <w:rPr>
                <w:w w:val="105"/>
                <w:sz w:val="11"/>
              </w:rPr>
              <w:t>3,502.6</w:t>
            </w:r>
          </w:p>
        </w:tc>
        <w:tc>
          <w:tcPr>
            <w:tcW w:w="674" w:type="dxa"/>
            <w:tcBorders>
              <w:top w:val="single" w:sz="4" w:space="0" w:color="000000"/>
              <w:left w:val="single" w:sz="4" w:space="0" w:color="000000"/>
              <w:right w:val="single" w:sz="4" w:space="0" w:color="000000"/>
            </w:tcBorders>
          </w:tcPr>
          <w:p>
            <w:pPr>
              <w:pStyle w:val="TableParagraph"/>
              <w:ind w:right="60"/>
              <w:rPr>
                <w:sz w:val="11"/>
              </w:rPr>
            </w:pPr>
            <w:r>
              <w:rPr>
                <w:w w:val="105"/>
                <w:sz w:val="11"/>
              </w:rPr>
              <w:t>8.5</w:t>
            </w:r>
          </w:p>
        </w:tc>
        <w:tc>
          <w:tcPr>
            <w:tcW w:w="554" w:type="dxa"/>
            <w:tcBorders>
              <w:top w:val="single" w:sz="4" w:space="0" w:color="000000"/>
              <w:left w:val="single" w:sz="4" w:space="0" w:color="000000"/>
              <w:right w:val="single" w:sz="4" w:space="0" w:color="000000"/>
            </w:tcBorders>
          </w:tcPr>
          <w:p>
            <w:pPr>
              <w:pStyle w:val="TableParagraph"/>
              <w:ind w:right="60"/>
              <w:rPr>
                <w:sz w:val="11"/>
              </w:rPr>
            </w:pPr>
            <w:r>
              <w:rPr>
                <w:w w:val="105"/>
                <w:sz w:val="11"/>
              </w:rPr>
              <w:t>15.1</w:t>
            </w:r>
          </w:p>
        </w:tc>
        <w:tc>
          <w:tcPr>
            <w:tcW w:w="684" w:type="dxa"/>
            <w:tcBorders>
              <w:top w:val="single" w:sz="4" w:space="0" w:color="000000"/>
              <w:left w:val="single" w:sz="4" w:space="0" w:color="000000"/>
              <w:right w:val="single" w:sz="4" w:space="0" w:color="000000"/>
            </w:tcBorders>
          </w:tcPr>
          <w:p>
            <w:pPr>
              <w:pStyle w:val="TableParagraph"/>
              <w:ind w:right="60"/>
              <w:rPr>
                <w:b/>
                <w:sz w:val="11"/>
              </w:rPr>
            </w:pPr>
            <w:r>
              <w:rPr>
                <w:b/>
                <w:w w:val="105"/>
                <w:sz w:val="11"/>
              </w:rPr>
              <w:t>40,985.9</w:t>
            </w:r>
          </w:p>
        </w:tc>
        <w:tc>
          <w:tcPr>
            <w:tcW w:w="444" w:type="dxa"/>
            <w:tcBorders>
              <w:top w:val="single" w:sz="4" w:space="0" w:color="000000"/>
              <w:left w:val="single" w:sz="4" w:space="0" w:color="000000"/>
            </w:tcBorders>
          </w:tcPr>
          <w:p>
            <w:pPr>
              <w:pStyle w:val="TableParagraph"/>
              <w:ind w:right="50"/>
              <w:rPr>
                <w:b/>
                <w:sz w:val="11"/>
              </w:rPr>
            </w:pPr>
            <w:r>
              <w:rPr>
                <w:b/>
                <w:w w:val="105"/>
                <w:sz w:val="11"/>
              </w:rPr>
              <w:t>100</w:t>
            </w:r>
          </w:p>
        </w:tc>
      </w:tr>
    </w:tbl>
    <w:p>
      <w:pPr>
        <w:spacing w:before="0"/>
        <w:ind w:left="195" w:right="0" w:firstLine="0"/>
        <w:jc w:val="left"/>
        <w:rPr>
          <w:sz w:val="21"/>
        </w:rPr>
      </w:pPr>
      <w:r>
        <w:rPr>
          <w:sz w:val="21"/>
        </w:rPr>
        <w:t>Fuente: Elaboración propia con información estadística del Banco de México.   1995-2009.</w:t>
      </w:r>
    </w:p>
    <w:p>
      <w:pPr>
        <w:spacing w:before="8"/>
        <w:ind w:left="195" w:right="0" w:firstLine="0"/>
        <w:jc w:val="left"/>
        <w:rPr>
          <w:sz w:val="21"/>
        </w:rPr>
      </w:pPr>
      <w:r>
        <w:rPr>
          <w:sz w:val="21"/>
        </w:rPr>
        <w:t>TCMA: Tasa de crecimiento media anual. FAA: frecuencia absoluta acumulada. FRA: Frecuencia relativa    acumulada.</w:t>
      </w:r>
    </w:p>
    <w:p>
      <w:pPr>
        <w:spacing w:after="0"/>
        <w:jc w:val="left"/>
        <w:rPr>
          <w:sz w:val="21"/>
        </w:rPr>
        <w:sectPr>
          <w:footerReference w:type="default" r:id="rId272"/>
          <w:pgSz w:w="16840" w:h="11900" w:orient="landscape"/>
          <w:pgMar w:footer="958" w:header="0" w:top="1100" w:bottom="1140" w:left="1900" w:right="1900"/>
          <w:pgNumType w:start="181"/>
        </w:sectPr>
      </w:pPr>
    </w:p>
    <w:p>
      <w:pPr>
        <w:pStyle w:val="BodyText"/>
        <w:rPr>
          <w:sz w:val="20"/>
        </w:rPr>
      </w:pPr>
    </w:p>
    <w:p>
      <w:pPr>
        <w:pStyle w:val="BodyText"/>
        <w:spacing w:before="2"/>
        <w:rPr>
          <w:sz w:val="22"/>
        </w:rPr>
      </w:pPr>
    </w:p>
    <w:p>
      <w:pPr>
        <w:pStyle w:val="BodyText"/>
        <w:spacing w:line="364" w:lineRule="auto" w:before="73"/>
        <w:ind w:left="195" w:right="204"/>
        <w:jc w:val="both"/>
      </w:pPr>
      <w:r>
        <w:rPr/>
        <w:t>La información estadística promedio revela que los meses de enero y febrero son los de menor peso en el envío de recursos económicos del exterior hacia el interior del país. También se puede observar que en la mitad del año, es decir,  en el mes de junio, se han enviado el 48.4% (6,273.4 millones de dólares promedio) de las remesas familiares que se traducen en 48.9% de las operaciones totales que se realizan a lo largo del año que son </w:t>
      </w:r>
      <w:r>
        <w:rPr>
          <w:spacing w:val="50"/>
        </w:rPr>
        <w:t> </w:t>
      </w:r>
      <w:r>
        <w:rPr/>
        <w:t>20,033.</w:t>
      </w:r>
    </w:p>
    <w:p>
      <w:pPr>
        <w:pStyle w:val="BodyText"/>
        <w:rPr>
          <w:sz w:val="22"/>
        </w:rPr>
      </w:pPr>
    </w:p>
    <w:p>
      <w:pPr>
        <w:pStyle w:val="Heading4"/>
        <w:spacing w:line="244" w:lineRule="auto" w:before="150"/>
        <w:ind w:left="4042" w:right="226" w:hanging="3025"/>
      </w:pPr>
      <w:r>
        <w:rPr/>
        <w:t>Cuadro 3. Instrumentos de envíos de remesas familiares y número de operaciones en México, 2009 (Millones de dólares y miles de</w:t>
      </w:r>
      <w:r>
        <w:rPr>
          <w:spacing w:val="58"/>
        </w:rPr>
        <w:t> </w:t>
      </w:r>
      <w:r>
        <w:rPr/>
        <w:t>operaciones)</w:t>
      </w:r>
    </w:p>
    <w:p>
      <w:pPr>
        <w:pStyle w:val="BodyText"/>
        <w:spacing w:before="3" w:after="1"/>
        <w:rPr>
          <w:b/>
          <w:sz w:val="10"/>
        </w:rPr>
      </w:pPr>
    </w:p>
    <w:tbl>
      <w:tblPr>
        <w:tblW w:w="0" w:type="auto"/>
        <w:jc w:val="left"/>
        <w:tblInd w:w="118"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217"/>
        <w:gridCol w:w="1519"/>
        <w:gridCol w:w="2138"/>
        <w:gridCol w:w="2875"/>
        <w:gridCol w:w="1903"/>
        <w:gridCol w:w="899"/>
        <w:gridCol w:w="865"/>
        <w:gridCol w:w="892"/>
        <w:gridCol w:w="486"/>
      </w:tblGrid>
      <w:tr>
        <w:trPr>
          <w:trHeight w:val="167" w:hRule="exact"/>
        </w:trPr>
        <w:tc>
          <w:tcPr>
            <w:tcW w:w="1217" w:type="dxa"/>
            <w:tcBorders>
              <w:left w:val="single" w:sz="8" w:space="0" w:color="000000"/>
              <w:bottom w:val="single" w:sz="8" w:space="0" w:color="000000"/>
              <w:right w:val="nil"/>
            </w:tcBorders>
          </w:tcPr>
          <w:p>
            <w:pPr/>
          </w:p>
        </w:tc>
        <w:tc>
          <w:tcPr>
            <w:tcW w:w="8436" w:type="dxa"/>
            <w:gridSpan w:val="4"/>
            <w:tcBorders>
              <w:left w:val="nil"/>
              <w:bottom w:val="single" w:sz="8" w:space="0" w:color="000000"/>
              <w:right w:val="nil"/>
            </w:tcBorders>
          </w:tcPr>
          <w:p>
            <w:pPr>
              <w:pStyle w:val="TableParagraph"/>
              <w:spacing w:before="0"/>
              <w:ind w:left="4591"/>
              <w:jc w:val="left"/>
              <w:rPr>
                <w:b/>
                <w:sz w:val="12"/>
              </w:rPr>
            </w:pPr>
            <w:r>
              <w:rPr>
                <w:b/>
                <w:w w:val="105"/>
                <w:sz w:val="12"/>
              </w:rPr>
              <w:t>Millones de dólares</w:t>
            </w:r>
          </w:p>
        </w:tc>
        <w:tc>
          <w:tcPr>
            <w:tcW w:w="899" w:type="dxa"/>
            <w:tcBorders>
              <w:left w:val="nil"/>
              <w:bottom w:val="single" w:sz="8" w:space="0" w:color="000000"/>
              <w:right w:val="nil"/>
            </w:tcBorders>
          </w:tcPr>
          <w:p>
            <w:pPr/>
          </w:p>
        </w:tc>
        <w:tc>
          <w:tcPr>
            <w:tcW w:w="865" w:type="dxa"/>
            <w:tcBorders>
              <w:left w:val="nil"/>
              <w:bottom w:val="single" w:sz="8" w:space="0" w:color="000000"/>
              <w:right w:val="nil"/>
            </w:tcBorders>
          </w:tcPr>
          <w:p>
            <w:pPr/>
          </w:p>
        </w:tc>
        <w:tc>
          <w:tcPr>
            <w:tcW w:w="892" w:type="dxa"/>
            <w:tcBorders>
              <w:left w:val="nil"/>
              <w:bottom w:val="single" w:sz="8" w:space="0" w:color="000000"/>
              <w:right w:val="nil"/>
            </w:tcBorders>
          </w:tcPr>
          <w:p>
            <w:pPr/>
          </w:p>
        </w:tc>
        <w:tc>
          <w:tcPr>
            <w:tcW w:w="486" w:type="dxa"/>
            <w:tcBorders>
              <w:left w:val="nil"/>
              <w:bottom w:val="single" w:sz="8" w:space="0" w:color="000000"/>
              <w:right w:val="single" w:sz="8" w:space="0" w:color="000000"/>
            </w:tcBorders>
          </w:tcPr>
          <w:p>
            <w:pPr/>
          </w:p>
        </w:tc>
      </w:tr>
      <w:tr>
        <w:trPr>
          <w:trHeight w:val="163" w:hRule="exact"/>
        </w:trPr>
        <w:tc>
          <w:tcPr>
            <w:tcW w:w="1217"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before="0"/>
              <w:ind w:left="57"/>
              <w:jc w:val="left"/>
              <w:rPr>
                <w:b/>
                <w:sz w:val="12"/>
              </w:rPr>
            </w:pPr>
            <w:r>
              <w:rPr>
                <w:b/>
                <w:w w:val="105"/>
                <w:sz w:val="12"/>
              </w:rPr>
              <w:t>Mes/Forma</w:t>
            </w:r>
          </w:p>
        </w:tc>
        <w:tc>
          <w:tcPr>
            <w:tcW w:w="1519" w:type="dxa"/>
            <w:tcBorders>
              <w:top w:val="single" w:sz="8" w:space="0" w:color="000000"/>
              <w:left w:val="single" w:sz="8" w:space="0" w:color="000000"/>
              <w:bottom w:val="single" w:sz="8" w:space="0" w:color="000000"/>
              <w:right w:val="single" w:sz="4" w:space="0" w:color="000000"/>
            </w:tcBorders>
          </w:tcPr>
          <w:p>
            <w:pPr>
              <w:pStyle w:val="TableParagraph"/>
              <w:spacing w:line="136" w:lineRule="exact" w:before="0"/>
              <w:ind w:left="57"/>
              <w:jc w:val="left"/>
              <w:rPr>
                <w:b/>
                <w:sz w:val="12"/>
              </w:rPr>
            </w:pPr>
            <w:r>
              <w:rPr>
                <w:b/>
                <w:w w:val="105"/>
                <w:sz w:val="12"/>
              </w:rPr>
              <w:t>Money orders</w:t>
            </w:r>
          </w:p>
        </w:tc>
        <w:tc>
          <w:tcPr>
            <w:tcW w:w="2138" w:type="dxa"/>
            <w:tcBorders>
              <w:top w:val="single" w:sz="8" w:space="0" w:color="000000"/>
              <w:left w:val="single" w:sz="4" w:space="0" w:color="000000"/>
              <w:bottom w:val="single" w:sz="8" w:space="0" w:color="000000"/>
              <w:right w:val="single" w:sz="4" w:space="0" w:color="000000"/>
            </w:tcBorders>
          </w:tcPr>
          <w:p>
            <w:pPr>
              <w:pStyle w:val="TableParagraph"/>
              <w:spacing w:line="136" w:lineRule="exact" w:before="0"/>
              <w:ind w:left="62"/>
              <w:jc w:val="left"/>
              <w:rPr>
                <w:b/>
                <w:sz w:val="12"/>
              </w:rPr>
            </w:pPr>
            <w:r>
              <w:rPr>
                <w:b/>
                <w:w w:val="105"/>
                <w:sz w:val="12"/>
              </w:rPr>
              <w:t>Cheques personales</w:t>
            </w:r>
          </w:p>
        </w:tc>
        <w:tc>
          <w:tcPr>
            <w:tcW w:w="2875" w:type="dxa"/>
            <w:tcBorders>
              <w:top w:val="single" w:sz="8" w:space="0" w:color="000000"/>
              <w:left w:val="single" w:sz="4" w:space="0" w:color="000000"/>
              <w:bottom w:val="single" w:sz="8" w:space="0" w:color="000000"/>
              <w:right w:val="single" w:sz="4" w:space="0" w:color="000000"/>
            </w:tcBorders>
          </w:tcPr>
          <w:p>
            <w:pPr>
              <w:pStyle w:val="TableParagraph"/>
              <w:spacing w:line="136" w:lineRule="exact" w:before="0"/>
              <w:ind w:left="62"/>
              <w:jc w:val="left"/>
              <w:rPr>
                <w:b/>
                <w:sz w:val="12"/>
              </w:rPr>
            </w:pPr>
            <w:r>
              <w:rPr>
                <w:b/>
                <w:w w:val="105"/>
                <w:sz w:val="12"/>
              </w:rPr>
              <w:t>Transferencias electrónicas</w:t>
            </w:r>
          </w:p>
        </w:tc>
        <w:tc>
          <w:tcPr>
            <w:tcW w:w="1903" w:type="dxa"/>
            <w:tcBorders>
              <w:top w:val="single" w:sz="8" w:space="0" w:color="000000"/>
              <w:left w:val="single" w:sz="4" w:space="0" w:color="000000"/>
              <w:bottom w:val="single" w:sz="8" w:space="0" w:color="000000"/>
              <w:right w:val="single" w:sz="8" w:space="0" w:color="000000"/>
            </w:tcBorders>
          </w:tcPr>
          <w:p>
            <w:pPr>
              <w:pStyle w:val="TableParagraph"/>
              <w:spacing w:line="136" w:lineRule="exact" w:before="0"/>
              <w:ind w:left="60"/>
              <w:jc w:val="left"/>
              <w:rPr>
                <w:b/>
                <w:sz w:val="12"/>
              </w:rPr>
            </w:pPr>
            <w:r>
              <w:rPr>
                <w:b/>
                <w:w w:val="105"/>
                <w:sz w:val="12"/>
              </w:rPr>
              <w:t>Efectivo y especie</w:t>
            </w:r>
          </w:p>
        </w:tc>
        <w:tc>
          <w:tcPr>
            <w:tcW w:w="899" w:type="dxa"/>
            <w:tcBorders>
              <w:top w:val="single" w:sz="8" w:space="0" w:color="000000"/>
              <w:left w:val="single" w:sz="8" w:space="0" w:color="000000"/>
              <w:bottom w:val="single" w:sz="8" w:space="0" w:color="000000"/>
            </w:tcBorders>
          </w:tcPr>
          <w:p>
            <w:pPr>
              <w:pStyle w:val="TableParagraph"/>
              <w:spacing w:line="136" w:lineRule="exact" w:before="0"/>
              <w:ind w:left="225"/>
              <w:jc w:val="left"/>
              <w:rPr>
                <w:b/>
                <w:sz w:val="12"/>
              </w:rPr>
            </w:pPr>
            <w:r>
              <w:rPr>
                <w:b/>
                <w:w w:val="105"/>
                <w:sz w:val="12"/>
              </w:rPr>
              <w:t>TOTAL</w:t>
            </w:r>
          </w:p>
        </w:tc>
        <w:tc>
          <w:tcPr>
            <w:tcW w:w="865" w:type="dxa"/>
            <w:tcBorders>
              <w:top w:val="single" w:sz="8" w:space="0" w:color="000000"/>
              <w:bottom w:val="single" w:sz="8" w:space="0" w:color="000000"/>
              <w:right w:val="single" w:sz="8" w:space="0" w:color="000000"/>
            </w:tcBorders>
          </w:tcPr>
          <w:p>
            <w:pPr>
              <w:pStyle w:val="TableParagraph"/>
              <w:spacing w:line="136" w:lineRule="exact" w:before="0"/>
              <w:ind w:left="60"/>
              <w:jc w:val="left"/>
              <w:rPr>
                <w:b/>
                <w:sz w:val="12"/>
              </w:rPr>
            </w:pPr>
            <w:r>
              <w:rPr>
                <w:b/>
                <w:w w:val="105"/>
                <w:sz w:val="12"/>
              </w:rPr>
              <w:t>PART. %</w:t>
            </w:r>
          </w:p>
        </w:tc>
        <w:tc>
          <w:tcPr>
            <w:tcW w:w="892" w:type="dxa"/>
            <w:tcBorders>
              <w:top w:val="single" w:sz="8" w:space="0" w:color="000000"/>
              <w:left w:val="single" w:sz="8" w:space="0" w:color="000000"/>
              <w:bottom w:val="single" w:sz="8" w:space="0" w:color="000000"/>
            </w:tcBorders>
          </w:tcPr>
          <w:p>
            <w:pPr>
              <w:pStyle w:val="TableParagraph"/>
              <w:spacing w:line="136" w:lineRule="exact" w:before="0"/>
              <w:ind w:left="304"/>
              <w:jc w:val="left"/>
              <w:rPr>
                <w:b/>
                <w:sz w:val="12"/>
              </w:rPr>
            </w:pPr>
            <w:r>
              <w:rPr>
                <w:b/>
                <w:w w:val="105"/>
                <w:sz w:val="12"/>
              </w:rPr>
              <w:t>FAA</w:t>
            </w:r>
          </w:p>
        </w:tc>
        <w:tc>
          <w:tcPr>
            <w:tcW w:w="486" w:type="dxa"/>
            <w:tcBorders>
              <w:top w:val="single" w:sz="8" w:space="0" w:color="000000"/>
              <w:bottom w:val="single" w:sz="8" w:space="0" w:color="000000"/>
              <w:right w:val="single" w:sz="8" w:space="0" w:color="000000"/>
            </w:tcBorders>
          </w:tcPr>
          <w:p>
            <w:pPr>
              <w:pStyle w:val="TableParagraph"/>
              <w:spacing w:line="136" w:lineRule="exact" w:before="0"/>
              <w:ind w:right="103"/>
              <w:rPr>
                <w:b/>
                <w:sz w:val="12"/>
              </w:rPr>
            </w:pPr>
            <w:r>
              <w:rPr>
                <w:b/>
                <w:w w:val="105"/>
                <w:sz w:val="12"/>
              </w:rPr>
              <w:t>FRA</w:t>
            </w:r>
          </w:p>
        </w:tc>
      </w:tr>
      <w:tr>
        <w:trPr>
          <w:trHeight w:val="161" w:hRule="exact"/>
        </w:trPr>
        <w:tc>
          <w:tcPr>
            <w:tcW w:w="1217" w:type="dxa"/>
            <w:tcBorders>
              <w:top w:val="single" w:sz="8"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Enero</w:t>
            </w:r>
          </w:p>
        </w:tc>
        <w:tc>
          <w:tcPr>
            <w:tcW w:w="1519" w:type="dxa"/>
            <w:tcBorders>
              <w:top w:val="single" w:sz="8" w:space="0" w:color="000000"/>
              <w:left w:val="single" w:sz="8" w:space="0" w:color="000000"/>
              <w:bottom w:val="single" w:sz="4" w:space="0" w:color="000000"/>
              <w:right w:val="single" w:sz="4" w:space="0" w:color="000000"/>
            </w:tcBorders>
          </w:tcPr>
          <w:p>
            <w:pPr>
              <w:pStyle w:val="TableParagraph"/>
              <w:ind w:right="64"/>
              <w:rPr>
                <w:sz w:val="12"/>
              </w:rPr>
            </w:pPr>
            <w:r>
              <w:rPr>
                <w:w w:val="105"/>
                <w:sz w:val="12"/>
              </w:rPr>
              <w:t>38.6</w:t>
            </w:r>
          </w:p>
        </w:tc>
        <w:tc>
          <w:tcPr>
            <w:tcW w:w="2138" w:type="dxa"/>
            <w:tcBorders>
              <w:top w:val="single" w:sz="8"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0.0</w:t>
            </w:r>
          </w:p>
        </w:tc>
        <w:tc>
          <w:tcPr>
            <w:tcW w:w="2875" w:type="dxa"/>
            <w:tcBorders>
              <w:top w:val="single" w:sz="8" w:space="0" w:color="000000"/>
              <w:left w:val="single" w:sz="4" w:space="0" w:color="000000"/>
              <w:bottom w:val="single" w:sz="4" w:space="0" w:color="000000"/>
              <w:right w:val="single" w:sz="4" w:space="0" w:color="000000"/>
            </w:tcBorders>
          </w:tcPr>
          <w:p>
            <w:pPr>
              <w:pStyle w:val="TableParagraph"/>
              <w:ind w:right="66"/>
              <w:rPr>
                <w:sz w:val="12"/>
              </w:rPr>
            </w:pPr>
            <w:r>
              <w:rPr>
                <w:w w:val="105"/>
                <w:sz w:val="12"/>
              </w:rPr>
              <w:t>1,485.6</w:t>
            </w:r>
          </w:p>
        </w:tc>
        <w:tc>
          <w:tcPr>
            <w:tcW w:w="1903" w:type="dxa"/>
            <w:tcBorders>
              <w:top w:val="single" w:sz="8" w:space="0" w:color="000000"/>
              <w:left w:val="single" w:sz="4" w:space="0" w:color="000000"/>
              <w:bottom w:val="single" w:sz="4" w:space="0" w:color="000000"/>
              <w:right w:val="single" w:sz="8" w:space="0" w:color="000000"/>
            </w:tcBorders>
          </w:tcPr>
          <w:p>
            <w:pPr>
              <w:pStyle w:val="TableParagraph"/>
              <w:ind w:right="59"/>
              <w:rPr>
                <w:sz w:val="12"/>
              </w:rPr>
            </w:pPr>
            <w:r>
              <w:rPr>
                <w:w w:val="105"/>
                <w:sz w:val="12"/>
              </w:rPr>
              <w:t>44.0</w:t>
            </w:r>
          </w:p>
        </w:tc>
        <w:tc>
          <w:tcPr>
            <w:tcW w:w="899" w:type="dxa"/>
            <w:tcBorders>
              <w:top w:val="single" w:sz="8" w:space="0" w:color="000000"/>
              <w:left w:val="single" w:sz="8" w:space="0" w:color="000000"/>
              <w:bottom w:val="single" w:sz="4" w:space="0" w:color="000000"/>
            </w:tcBorders>
          </w:tcPr>
          <w:p>
            <w:pPr>
              <w:pStyle w:val="TableParagraph"/>
              <w:ind w:right="62"/>
              <w:rPr>
                <w:sz w:val="12"/>
              </w:rPr>
            </w:pPr>
            <w:r>
              <w:rPr>
                <w:w w:val="105"/>
                <w:sz w:val="12"/>
              </w:rPr>
              <w:t>1,568.2</w:t>
            </w:r>
          </w:p>
        </w:tc>
        <w:tc>
          <w:tcPr>
            <w:tcW w:w="865" w:type="dxa"/>
            <w:tcBorders>
              <w:top w:val="single" w:sz="8" w:space="0" w:color="000000"/>
              <w:bottom w:val="single" w:sz="4" w:space="0" w:color="000000"/>
              <w:right w:val="single" w:sz="8" w:space="0" w:color="000000"/>
            </w:tcBorders>
          </w:tcPr>
          <w:p>
            <w:pPr>
              <w:pStyle w:val="TableParagraph"/>
              <w:ind w:right="57"/>
              <w:rPr>
                <w:sz w:val="12"/>
              </w:rPr>
            </w:pPr>
            <w:r>
              <w:rPr>
                <w:w w:val="105"/>
                <w:sz w:val="12"/>
              </w:rPr>
              <w:t>7.4</w:t>
            </w:r>
          </w:p>
        </w:tc>
        <w:tc>
          <w:tcPr>
            <w:tcW w:w="892" w:type="dxa"/>
            <w:tcBorders>
              <w:top w:val="single" w:sz="8" w:space="0" w:color="000000"/>
              <w:left w:val="single" w:sz="8" w:space="0" w:color="000000"/>
              <w:bottom w:val="single" w:sz="4" w:space="0" w:color="000000"/>
            </w:tcBorders>
          </w:tcPr>
          <w:p>
            <w:pPr>
              <w:pStyle w:val="TableParagraph"/>
              <w:ind w:right="59"/>
              <w:rPr>
                <w:sz w:val="12"/>
              </w:rPr>
            </w:pPr>
            <w:r>
              <w:rPr>
                <w:w w:val="105"/>
                <w:sz w:val="12"/>
              </w:rPr>
              <w:t>1,568.2</w:t>
            </w:r>
          </w:p>
        </w:tc>
        <w:tc>
          <w:tcPr>
            <w:tcW w:w="486" w:type="dxa"/>
            <w:tcBorders>
              <w:top w:val="single" w:sz="8" w:space="0" w:color="000000"/>
              <w:bottom w:val="single" w:sz="4" w:space="0" w:color="000000"/>
              <w:right w:val="single" w:sz="8" w:space="0" w:color="000000"/>
            </w:tcBorders>
          </w:tcPr>
          <w:p>
            <w:pPr>
              <w:pStyle w:val="TableParagraph"/>
              <w:ind w:right="57"/>
              <w:rPr>
                <w:sz w:val="12"/>
              </w:rPr>
            </w:pPr>
            <w:r>
              <w:rPr>
                <w:w w:val="105"/>
                <w:sz w:val="12"/>
              </w:rPr>
              <w:t>7.4</w:t>
            </w:r>
          </w:p>
        </w:tc>
      </w:tr>
      <w:tr>
        <w:trPr>
          <w:trHeight w:val="154" w:hRule="exact"/>
        </w:trPr>
        <w:tc>
          <w:tcPr>
            <w:tcW w:w="1217"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Febrero</w:t>
            </w:r>
          </w:p>
        </w:tc>
        <w:tc>
          <w:tcPr>
            <w:tcW w:w="1519" w:type="dxa"/>
            <w:tcBorders>
              <w:top w:val="single" w:sz="4" w:space="0" w:color="000000"/>
              <w:left w:val="single" w:sz="8" w:space="0" w:color="000000"/>
              <w:bottom w:val="single" w:sz="4" w:space="0" w:color="000000"/>
              <w:right w:val="single" w:sz="4" w:space="0" w:color="000000"/>
            </w:tcBorders>
          </w:tcPr>
          <w:p>
            <w:pPr>
              <w:pStyle w:val="TableParagraph"/>
              <w:ind w:right="64"/>
              <w:rPr>
                <w:sz w:val="12"/>
              </w:rPr>
            </w:pPr>
            <w:r>
              <w:rPr>
                <w:w w:val="105"/>
                <w:sz w:val="12"/>
              </w:rPr>
              <w:t>32.7</w:t>
            </w:r>
          </w:p>
        </w:tc>
        <w:tc>
          <w:tcPr>
            <w:tcW w:w="2138"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0.0</w:t>
            </w:r>
          </w:p>
        </w:tc>
        <w:tc>
          <w:tcPr>
            <w:tcW w:w="2875" w:type="dxa"/>
            <w:tcBorders>
              <w:top w:val="single" w:sz="4" w:space="0" w:color="000000"/>
              <w:left w:val="single" w:sz="4" w:space="0" w:color="000000"/>
              <w:bottom w:val="single" w:sz="4" w:space="0" w:color="000000"/>
              <w:right w:val="single" w:sz="4" w:space="0" w:color="000000"/>
            </w:tcBorders>
          </w:tcPr>
          <w:p>
            <w:pPr>
              <w:pStyle w:val="TableParagraph"/>
              <w:ind w:right="66"/>
              <w:rPr>
                <w:sz w:val="12"/>
              </w:rPr>
            </w:pPr>
            <w:r>
              <w:rPr>
                <w:w w:val="105"/>
                <w:sz w:val="12"/>
              </w:rPr>
              <w:t>1,747.5</w:t>
            </w:r>
          </w:p>
        </w:tc>
        <w:tc>
          <w:tcPr>
            <w:tcW w:w="1903" w:type="dxa"/>
            <w:tcBorders>
              <w:top w:val="single" w:sz="4" w:space="0" w:color="000000"/>
              <w:left w:val="single" w:sz="4" w:space="0" w:color="000000"/>
              <w:bottom w:val="single" w:sz="4" w:space="0" w:color="000000"/>
              <w:right w:val="single" w:sz="8" w:space="0" w:color="000000"/>
            </w:tcBorders>
          </w:tcPr>
          <w:p>
            <w:pPr>
              <w:pStyle w:val="TableParagraph"/>
              <w:ind w:right="59"/>
              <w:rPr>
                <w:sz w:val="12"/>
              </w:rPr>
            </w:pPr>
            <w:r>
              <w:rPr>
                <w:w w:val="105"/>
                <w:sz w:val="12"/>
              </w:rPr>
              <w:t>23.2</w:t>
            </w:r>
          </w:p>
        </w:tc>
        <w:tc>
          <w:tcPr>
            <w:tcW w:w="899" w:type="dxa"/>
            <w:tcBorders>
              <w:top w:val="single" w:sz="4" w:space="0" w:color="000000"/>
              <w:left w:val="single" w:sz="8" w:space="0" w:color="000000"/>
              <w:bottom w:val="single" w:sz="4" w:space="0" w:color="000000"/>
            </w:tcBorders>
          </w:tcPr>
          <w:p>
            <w:pPr>
              <w:pStyle w:val="TableParagraph"/>
              <w:ind w:right="62"/>
              <w:rPr>
                <w:sz w:val="12"/>
              </w:rPr>
            </w:pPr>
            <w:r>
              <w:rPr>
                <w:w w:val="105"/>
                <w:sz w:val="12"/>
              </w:rPr>
              <w:t>1,803.4</w:t>
            </w:r>
          </w:p>
        </w:tc>
        <w:tc>
          <w:tcPr>
            <w:tcW w:w="865"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8.5</w:t>
            </w:r>
          </w:p>
        </w:tc>
        <w:tc>
          <w:tcPr>
            <w:tcW w:w="892" w:type="dxa"/>
            <w:tcBorders>
              <w:top w:val="single" w:sz="4" w:space="0" w:color="000000"/>
              <w:left w:val="single" w:sz="8" w:space="0" w:color="000000"/>
              <w:bottom w:val="single" w:sz="4" w:space="0" w:color="000000"/>
            </w:tcBorders>
          </w:tcPr>
          <w:p>
            <w:pPr>
              <w:pStyle w:val="TableParagraph"/>
              <w:ind w:right="59"/>
              <w:rPr>
                <w:sz w:val="12"/>
              </w:rPr>
            </w:pPr>
            <w:r>
              <w:rPr>
                <w:w w:val="105"/>
                <w:sz w:val="12"/>
              </w:rPr>
              <w:t>3,371.6</w:t>
            </w:r>
          </w:p>
        </w:tc>
        <w:tc>
          <w:tcPr>
            <w:tcW w:w="486"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15.9</w:t>
            </w:r>
          </w:p>
        </w:tc>
      </w:tr>
      <w:tr>
        <w:trPr>
          <w:trHeight w:val="156" w:hRule="exact"/>
        </w:trPr>
        <w:tc>
          <w:tcPr>
            <w:tcW w:w="1217" w:type="dxa"/>
            <w:tcBorders>
              <w:top w:val="single" w:sz="4" w:space="0" w:color="000000"/>
              <w:left w:val="single" w:sz="8" w:space="0" w:color="000000"/>
              <w:bottom w:val="single" w:sz="4" w:space="0" w:color="000000"/>
              <w:right w:val="single" w:sz="8" w:space="0" w:color="000000"/>
            </w:tcBorders>
          </w:tcPr>
          <w:p>
            <w:pPr>
              <w:pStyle w:val="TableParagraph"/>
              <w:ind w:left="57"/>
              <w:jc w:val="left"/>
              <w:rPr>
                <w:b/>
                <w:sz w:val="12"/>
              </w:rPr>
            </w:pPr>
            <w:r>
              <w:rPr>
                <w:b/>
                <w:w w:val="105"/>
                <w:sz w:val="12"/>
              </w:rPr>
              <w:t>Marzo</w:t>
            </w:r>
          </w:p>
        </w:tc>
        <w:tc>
          <w:tcPr>
            <w:tcW w:w="1519" w:type="dxa"/>
            <w:tcBorders>
              <w:top w:val="single" w:sz="4" w:space="0" w:color="000000"/>
              <w:left w:val="single" w:sz="8" w:space="0" w:color="000000"/>
              <w:bottom w:val="single" w:sz="4" w:space="0" w:color="000000"/>
              <w:right w:val="single" w:sz="4" w:space="0" w:color="000000"/>
            </w:tcBorders>
          </w:tcPr>
          <w:p>
            <w:pPr>
              <w:pStyle w:val="TableParagraph"/>
              <w:spacing w:before="5"/>
              <w:ind w:right="64"/>
              <w:rPr>
                <w:sz w:val="12"/>
              </w:rPr>
            </w:pPr>
            <w:r>
              <w:rPr>
                <w:w w:val="105"/>
                <w:sz w:val="12"/>
              </w:rPr>
              <w:t>36.2</w:t>
            </w:r>
          </w:p>
        </w:tc>
        <w:tc>
          <w:tcPr>
            <w:tcW w:w="2138"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2"/>
              </w:rPr>
            </w:pPr>
            <w:r>
              <w:rPr>
                <w:w w:val="105"/>
                <w:sz w:val="12"/>
              </w:rPr>
              <w:t>0.0</w:t>
            </w:r>
          </w:p>
        </w:tc>
        <w:tc>
          <w:tcPr>
            <w:tcW w:w="2875" w:type="dxa"/>
            <w:tcBorders>
              <w:top w:val="single" w:sz="4" w:space="0" w:color="000000"/>
              <w:left w:val="single" w:sz="4" w:space="0" w:color="000000"/>
              <w:bottom w:val="single" w:sz="4" w:space="0" w:color="000000"/>
              <w:right w:val="single" w:sz="4" w:space="0" w:color="000000"/>
            </w:tcBorders>
          </w:tcPr>
          <w:p>
            <w:pPr>
              <w:pStyle w:val="TableParagraph"/>
              <w:spacing w:before="5"/>
              <w:ind w:right="66"/>
              <w:rPr>
                <w:sz w:val="12"/>
              </w:rPr>
            </w:pPr>
            <w:r>
              <w:rPr>
                <w:w w:val="105"/>
                <w:sz w:val="12"/>
              </w:rPr>
              <w:t>2,045.6</w:t>
            </w:r>
          </w:p>
        </w:tc>
        <w:tc>
          <w:tcPr>
            <w:tcW w:w="1903" w:type="dxa"/>
            <w:tcBorders>
              <w:top w:val="single" w:sz="4" w:space="0" w:color="000000"/>
              <w:left w:val="single" w:sz="4" w:space="0" w:color="000000"/>
              <w:bottom w:val="single" w:sz="4" w:space="0" w:color="000000"/>
              <w:right w:val="single" w:sz="8" w:space="0" w:color="000000"/>
            </w:tcBorders>
          </w:tcPr>
          <w:p>
            <w:pPr>
              <w:pStyle w:val="TableParagraph"/>
              <w:spacing w:before="5"/>
              <w:ind w:right="59"/>
              <w:rPr>
                <w:sz w:val="12"/>
              </w:rPr>
            </w:pPr>
            <w:r>
              <w:rPr>
                <w:w w:val="105"/>
                <w:sz w:val="12"/>
              </w:rPr>
              <w:t>22.4</w:t>
            </w:r>
          </w:p>
        </w:tc>
        <w:tc>
          <w:tcPr>
            <w:tcW w:w="899" w:type="dxa"/>
            <w:tcBorders>
              <w:top w:val="single" w:sz="4" w:space="0" w:color="000000"/>
              <w:left w:val="single" w:sz="8" w:space="0" w:color="000000"/>
              <w:bottom w:val="single" w:sz="4" w:space="0" w:color="000000"/>
            </w:tcBorders>
          </w:tcPr>
          <w:p>
            <w:pPr>
              <w:pStyle w:val="TableParagraph"/>
              <w:spacing w:before="5"/>
              <w:ind w:right="62"/>
              <w:rPr>
                <w:sz w:val="12"/>
              </w:rPr>
            </w:pPr>
            <w:r>
              <w:rPr>
                <w:w w:val="105"/>
                <w:sz w:val="12"/>
              </w:rPr>
              <w:t>2,104.3</w:t>
            </w:r>
          </w:p>
        </w:tc>
        <w:tc>
          <w:tcPr>
            <w:tcW w:w="865" w:type="dxa"/>
            <w:tcBorders>
              <w:top w:val="single" w:sz="4" w:space="0" w:color="000000"/>
              <w:bottom w:val="single" w:sz="4" w:space="0" w:color="000000"/>
              <w:right w:val="single" w:sz="8" w:space="0" w:color="000000"/>
            </w:tcBorders>
          </w:tcPr>
          <w:p>
            <w:pPr>
              <w:pStyle w:val="TableParagraph"/>
              <w:spacing w:before="5"/>
              <w:ind w:right="57"/>
              <w:rPr>
                <w:sz w:val="12"/>
              </w:rPr>
            </w:pPr>
            <w:r>
              <w:rPr>
                <w:w w:val="105"/>
                <w:sz w:val="12"/>
              </w:rPr>
              <w:t>9.9</w:t>
            </w:r>
          </w:p>
        </w:tc>
        <w:tc>
          <w:tcPr>
            <w:tcW w:w="892" w:type="dxa"/>
            <w:tcBorders>
              <w:top w:val="single" w:sz="4" w:space="0" w:color="000000"/>
              <w:left w:val="single" w:sz="8" w:space="0" w:color="000000"/>
              <w:bottom w:val="single" w:sz="4" w:space="0" w:color="000000"/>
            </w:tcBorders>
          </w:tcPr>
          <w:p>
            <w:pPr>
              <w:pStyle w:val="TableParagraph"/>
              <w:spacing w:before="5"/>
              <w:ind w:right="59"/>
              <w:rPr>
                <w:sz w:val="12"/>
              </w:rPr>
            </w:pPr>
            <w:r>
              <w:rPr>
                <w:w w:val="105"/>
                <w:sz w:val="12"/>
              </w:rPr>
              <w:t>5,475.8</w:t>
            </w:r>
          </w:p>
        </w:tc>
        <w:tc>
          <w:tcPr>
            <w:tcW w:w="486" w:type="dxa"/>
            <w:tcBorders>
              <w:top w:val="single" w:sz="4" w:space="0" w:color="000000"/>
              <w:bottom w:val="single" w:sz="4" w:space="0" w:color="000000"/>
              <w:right w:val="single" w:sz="8" w:space="0" w:color="000000"/>
            </w:tcBorders>
          </w:tcPr>
          <w:p>
            <w:pPr>
              <w:pStyle w:val="TableParagraph"/>
              <w:spacing w:before="5"/>
              <w:ind w:right="57"/>
              <w:rPr>
                <w:sz w:val="12"/>
              </w:rPr>
            </w:pPr>
            <w:r>
              <w:rPr>
                <w:w w:val="105"/>
                <w:sz w:val="12"/>
              </w:rPr>
              <w:t>25.9</w:t>
            </w:r>
          </w:p>
        </w:tc>
      </w:tr>
      <w:tr>
        <w:trPr>
          <w:trHeight w:val="156" w:hRule="exact"/>
        </w:trPr>
        <w:tc>
          <w:tcPr>
            <w:tcW w:w="1217"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Abril</w:t>
            </w:r>
          </w:p>
        </w:tc>
        <w:tc>
          <w:tcPr>
            <w:tcW w:w="1519" w:type="dxa"/>
            <w:tcBorders>
              <w:top w:val="single" w:sz="4" w:space="0" w:color="000000"/>
              <w:left w:val="single" w:sz="8" w:space="0" w:color="000000"/>
              <w:bottom w:val="single" w:sz="4" w:space="0" w:color="000000"/>
              <w:right w:val="single" w:sz="4" w:space="0" w:color="000000"/>
            </w:tcBorders>
          </w:tcPr>
          <w:p>
            <w:pPr>
              <w:pStyle w:val="TableParagraph"/>
              <w:ind w:right="64"/>
              <w:rPr>
                <w:sz w:val="12"/>
              </w:rPr>
            </w:pPr>
            <w:r>
              <w:rPr>
                <w:w w:val="105"/>
                <w:sz w:val="12"/>
              </w:rPr>
              <w:t>34.8</w:t>
            </w:r>
          </w:p>
        </w:tc>
        <w:tc>
          <w:tcPr>
            <w:tcW w:w="2138"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0.0</w:t>
            </w:r>
          </w:p>
        </w:tc>
        <w:tc>
          <w:tcPr>
            <w:tcW w:w="2875" w:type="dxa"/>
            <w:tcBorders>
              <w:top w:val="single" w:sz="4" w:space="0" w:color="000000"/>
              <w:left w:val="single" w:sz="4" w:space="0" w:color="000000"/>
              <w:bottom w:val="single" w:sz="4" w:space="0" w:color="000000"/>
              <w:right w:val="single" w:sz="4" w:space="0" w:color="000000"/>
            </w:tcBorders>
          </w:tcPr>
          <w:p>
            <w:pPr>
              <w:pStyle w:val="TableParagraph"/>
              <w:ind w:right="66"/>
              <w:rPr>
                <w:sz w:val="12"/>
              </w:rPr>
            </w:pPr>
            <w:r>
              <w:rPr>
                <w:w w:val="105"/>
                <w:sz w:val="12"/>
              </w:rPr>
              <w:t>1,721.1</w:t>
            </w:r>
          </w:p>
        </w:tc>
        <w:tc>
          <w:tcPr>
            <w:tcW w:w="1903" w:type="dxa"/>
            <w:tcBorders>
              <w:top w:val="single" w:sz="4" w:space="0" w:color="000000"/>
              <w:left w:val="single" w:sz="4" w:space="0" w:color="000000"/>
              <w:bottom w:val="single" w:sz="4" w:space="0" w:color="000000"/>
              <w:right w:val="single" w:sz="8" w:space="0" w:color="000000"/>
            </w:tcBorders>
          </w:tcPr>
          <w:p>
            <w:pPr>
              <w:pStyle w:val="TableParagraph"/>
              <w:ind w:right="59"/>
              <w:rPr>
                <w:sz w:val="12"/>
              </w:rPr>
            </w:pPr>
            <w:r>
              <w:rPr>
                <w:w w:val="105"/>
                <w:sz w:val="12"/>
              </w:rPr>
              <w:t>24.0</w:t>
            </w:r>
          </w:p>
        </w:tc>
        <w:tc>
          <w:tcPr>
            <w:tcW w:w="899" w:type="dxa"/>
            <w:tcBorders>
              <w:top w:val="single" w:sz="4" w:space="0" w:color="000000"/>
              <w:left w:val="single" w:sz="8" w:space="0" w:color="000000"/>
              <w:bottom w:val="single" w:sz="4" w:space="0" w:color="000000"/>
            </w:tcBorders>
          </w:tcPr>
          <w:p>
            <w:pPr>
              <w:pStyle w:val="TableParagraph"/>
              <w:ind w:right="62"/>
              <w:rPr>
                <w:sz w:val="12"/>
              </w:rPr>
            </w:pPr>
            <w:r>
              <w:rPr>
                <w:w w:val="105"/>
                <w:sz w:val="12"/>
              </w:rPr>
              <w:t>1,779.8</w:t>
            </w:r>
          </w:p>
        </w:tc>
        <w:tc>
          <w:tcPr>
            <w:tcW w:w="865"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8.4</w:t>
            </w:r>
          </w:p>
        </w:tc>
        <w:tc>
          <w:tcPr>
            <w:tcW w:w="892" w:type="dxa"/>
            <w:tcBorders>
              <w:top w:val="single" w:sz="4" w:space="0" w:color="000000"/>
              <w:left w:val="single" w:sz="8" w:space="0" w:color="000000"/>
              <w:bottom w:val="single" w:sz="4" w:space="0" w:color="000000"/>
            </w:tcBorders>
          </w:tcPr>
          <w:p>
            <w:pPr>
              <w:pStyle w:val="TableParagraph"/>
              <w:ind w:right="59"/>
              <w:rPr>
                <w:sz w:val="12"/>
              </w:rPr>
            </w:pPr>
            <w:r>
              <w:rPr>
                <w:w w:val="105"/>
                <w:sz w:val="12"/>
              </w:rPr>
              <w:t>7,255.7</w:t>
            </w:r>
          </w:p>
        </w:tc>
        <w:tc>
          <w:tcPr>
            <w:tcW w:w="486"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34.3</w:t>
            </w:r>
          </w:p>
        </w:tc>
      </w:tr>
      <w:tr>
        <w:trPr>
          <w:trHeight w:val="156" w:hRule="exact"/>
        </w:trPr>
        <w:tc>
          <w:tcPr>
            <w:tcW w:w="1217"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Mayo</w:t>
            </w:r>
          </w:p>
        </w:tc>
        <w:tc>
          <w:tcPr>
            <w:tcW w:w="1519" w:type="dxa"/>
            <w:tcBorders>
              <w:top w:val="single" w:sz="4" w:space="0" w:color="000000"/>
              <w:left w:val="single" w:sz="8" w:space="0" w:color="000000"/>
              <w:bottom w:val="single" w:sz="4" w:space="0" w:color="000000"/>
              <w:right w:val="single" w:sz="4" w:space="0" w:color="000000"/>
            </w:tcBorders>
          </w:tcPr>
          <w:p>
            <w:pPr>
              <w:pStyle w:val="TableParagraph"/>
              <w:ind w:right="64"/>
              <w:rPr>
                <w:sz w:val="12"/>
              </w:rPr>
            </w:pPr>
            <w:r>
              <w:rPr>
                <w:w w:val="105"/>
                <w:sz w:val="12"/>
              </w:rPr>
              <w:t>33.6</w:t>
            </w:r>
          </w:p>
        </w:tc>
        <w:tc>
          <w:tcPr>
            <w:tcW w:w="2138"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0.0</w:t>
            </w:r>
          </w:p>
        </w:tc>
        <w:tc>
          <w:tcPr>
            <w:tcW w:w="2875" w:type="dxa"/>
            <w:tcBorders>
              <w:top w:val="single" w:sz="4" w:space="0" w:color="000000"/>
              <w:left w:val="single" w:sz="4" w:space="0" w:color="000000"/>
              <w:bottom w:val="single" w:sz="4" w:space="0" w:color="000000"/>
              <w:right w:val="single" w:sz="4" w:space="0" w:color="000000"/>
            </w:tcBorders>
          </w:tcPr>
          <w:p>
            <w:pPr>
              <w:pStyle w:val="TableParagraph"/>
              <w:ind w:right="66"/>
              <w:rPr>
                <w:sz w:val="12"/>
              </w:rPr>
            </w:pPr>
            <w:r>
              <w:rPr>
                <w:w w:val="105"/>
                <w:sz w:val="12"/>
              </w:rPr>
              <w:t>1,850.7</w:t>
            </w:r>
          </w:p>
        </w:tc>
        <w:tc>
          <w:tcPr>
            <w:tcW w:w="1903" w:type="dxa"/>
            <w:tcBorders>
              <w:top w:val="single" w:sz="4" w:space="0" w:color="000000"/>
              <w:left w:val="single" w:sz="4" w:space="0" w:color="000000"/>
              <w:bottom w:val="single" w:sz="4" w:space="0" w:color="000000"/>
              <w:right w:val="single" w:sz="8" w:space="0" w:color="000000"/>
            </w:tcBorders>
          </w:tcPr>
          <w:p>
            <w:pPr>
              <w:pStyle w:val="TableParagraph"/>
              <w:ind w:right="59"/>
              <w:rPr>
                <w:sz w:val="12"/>
              </w:rPr>
            </w:pPr>
            <w:r>
              <w:rPr>
                <w:w w:val="105"/>
                <w:sz w:val="12"/>
              </w:rPr>
              <w:t>15.9</w:t>
            </w:r>
          </w:p>
        </w:tc>
        <w:tc>
          <w:tcPr>
            <w:tcW w:w="899" w:type="dxa"/>
            <w:tcBorders>
              <w:top w:val="single" w:sz="4" w:space="0" w:color="000000"/>
              <w:left w:val="single" w:sz="8" w:space="0" w:color="000000"/>
              <w:bottom w:val="single" w:sz="4" w:space="0" w:color="000000"/>
            </w:tcBorders>
          </w:tcPr>
          <w:p>
            <w:pPr>
              <w:pStyle w:val="TableParagraph"/>
              <w:ind w:right="62"/>
              <w:rPr>
                <w:sz w:val="12"/>
              </w:rPr>
            </w:pPr>
            <w:r>
              <w:rPr>
                <w:w w:val="105"/>
                <w:sz w:val="12"/>
              </w:rPr>
              <w:t>1,900.1</w:t>
            </w:r>
          </w:p>
        </w:tc>
        <w:tc>
          <w:tcPr>
            <w:tcW w:w="865"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9.0</w:t>
            </w:r>
          </w:p>
        </w:tc>
        <w:tc>
          <w:tcPr>
            <w:tcW w:w="892" w:type="dxa"/>
            <w:tcBorders>
              <w:top w:val="single" w:sz="4" w:space="0" w:color="000000"/>
              <w:left w:val="single" w:sz="8" w:space="0" w:color="000000"/>
              <w:bottom w:val="single" w:sz="4" w:space="0" w:color="000000"/>
            </w:tcBorders>
          </w:tcPr>
          <w:p>
            <w:pPr>
              <w:pStyle w:val="TableParagraph"/>
              <w:ind w:right="59"/>
              <w:rPr>
                <w:sz w:val="12"/>
              </w:rPr>
            </w:pPr>
            <w:r>
              <w:rPr>
                <w:w w:val="105"/>
                <w:sz w:val="12"/>
              </w:rPr>
              <w:t>9,155.8</w:t>
            </w:r>
          </w:p>
        </w:tc>
        <w:tc>
          <w:tcPr>
            <w:tcW w:w="486"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43.2</w:t>
            </w:r>
          </w:p>
        </w:tc>
      </w:tr>
      <w:tr>
        <w:trPr>
          <w:trHeight w:val="154" w:hRule="exact"/>
        </w:trPr>
        <w:tc>
          <w:tcPr>
            <w:tcW w:w="1217"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Junio</w:t>
            </w:r>
          </w:p>
        </w:tc>
        <w:tc>
          <w:tcPr>
            <w:tcW w:w="1519" w:type="dxa"/>
            <w:tcBorders>
              <w:top w:val="single" w:sz="4" w:space="0" w:color="000000"/>
              <w:left w:val="single" w:sz="8" w:space="0" w:color="000000"/>
              <w:bottom w:val="single" w:sz="4" w:space="0" w:color="000000"/>
              <w:right w:val="single" w:sz="4" w:space="0" w:color="000000"/>
            </w:tcBorders>
          </w:tcPr>
          <w:p>
            <w:pPr>
              <w:pStyle w:val="TableParagraph"/>
              <w:ind w:right="64"/>
              <w:rPr>
                <w:sz w:val="12"/>
              </w:rPr>
            </w:pPr>
            <w:r>
              <w:rPr>
                <w:w w:val="105"/>
                <w:sz w:val="12"/>
              </w:rPr>
              <w:t>36.1</w:t>
            </w:r>
          </w:p>
        </w:tc>
        <w:tc>
          <w:tcPr>
            <w:tcW w:w="2138"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0.0</w:t>
            </w:r>
          </w:p>
        </w:tc>
        <w:tc>
          <w:tcPr>
            <w:tcW w:w="2875" w:type="dxa"/>
            <w:tcBorders>
              <w:top w:val="single" w:sz="4" w:space="0" w:color="000000"/>
              <w:left w:val="single" w:sz="4" w:space="0" w:color="000000"/>
              <w:bottom w:val="single" w:sz="4" w:space="0" w:color="000000"/>
              <w:right w:val="single" w:sz="4" w:space="0" w:color="000000"/>
            </w:tcBorders>
          </w:tcPr>
          <w:p>
            <w:pPr>
              <w:pStyle w:val="TableParagraph"/>
              <w:ind w:right="66"/>
              <w:rPr>
                <w:sz w:val="12"/>
              </w:rPr>
            </w:pPr>
            <w:r>
              <w:rPr>
                <w:w w:val="105"/>
                <w:sz w:val="12"/>
              </w:rPr>
              <w:t>1,858.6</w:t>
            </w:r>
          </w:p>
        </w:tc>
        <w:tc>
          <w:tcPr>
            <w:tcW w:w="1903" w:type="dxa"/>
            <w:tcBorders>
              <w:top w:val="single" w:sz="4" w:space="0" w:color="000000"/>
              <w:left w:val="single" w:sz="4" w:space="0" w:color="000000"/>
              <w:bottom w:val="single" w:sz="4" w:space="0" w:color="000000"/>
              <w:right w:val="single" w:sz="8" w:space="0" w:color="000000"/>
            </w:tcBorders>
          </w:tcPr>
          <w:p>
            <w:pPr>
              <w:pStyle w:val="TableParagraph"/>
              <w:ind w:right="59"/>
              <w:rPr>
                <w:sz w:val="12"/>
              </w:rPr>
            </w:pPr>
            <w:r>
              <w:rPr>
                <w:w w:val="105"/>
                <w:sz w:val="12"/>
              </w:rPr>
              <w:t>28.2</w:t>
            </w:r>
          </w:p>
        </w:tc>
        <w:tc>
          <w:tcPr>
            <w:tcW w:w="899" w:type="dxa"/>
            <w:tcBorders>
              <w:top w:val="single" w:sz="4" w:space="0" w:color="000000"/>
              <w:left w:val="single" w:sz="8" w:space="0" w:color="000000"/>
              <w:bottom w:val="single" w:sz="4" w:space="0" w:color="000000"/>
            </w:tcBorders>
          </w:tcPr>
          <w:p>
            <w:pPr>
              <w:pStyle w:val="TableParagraph"/>
              <w:ind w:right="62"/>
              <w:rPr>
                <w:sz w:val="12"/>
              </w:rPr>
            </w:pPr>
            <w:r>
              <w:rPr>
                <w:w w:val="105"/>
                <w:sz w:val="12"/>
              </w:rPr>
              <w:t>1,922.8</w:t>
            </w:r>
          </w:p>
        </w:tc>
        <w:tc>
          <w:tcPr>
            <w:tcW w:w="865"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9.1</w:t>
            </w:r>
          </w:p>
        </w:tc>
        <w:tc>
          <w:tcPr>
            <w:tcW w:w="892" w:type="dxa"/>
            <w:tcBorders>
              <w:top w:val="single" w:sz="4" w:space="0" w:color="000000"/>
              <w:left w:val="single" w:sz="8" w:space="0" w:color="000000"/>
              <w:bottom w:val="single" w:sz="4" w:space="0" w:color="000000"/>
            </w:tcBorders>
          </w:tcPr>
          <w:p>
            <w:pPr>
              <w:pStyle w:val="TableParagraph"/>
              <w:ind w:right="59"/>
              <w:rPr>
                <w:sz w:val="12"/>
              </w:rPr>
            </w:pPr>
            <w:r>
              <w:rPr>
                <w:w w:val="105"/>
                <w:sz w:val="12"/>
              </w:rPr>
              <w:t>11,078.6</w:t>
            </w:r>
          </w:p>
        </w:tc>
        <w:tc>
          <w:tcPr>
            <w:tcW w:w="486"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52.3</w:t>
            </w:r>
          </w:p>
        </w:tc>
      </w:tr>
      <w:tr>
        <w:trPr>
          <w:trHeight w:val="156" w:hRule="exact"/>
        </w:trPr>
        <w:tc>
          <w:tcPr>
            <w:tcW w:w="1217"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Julio</w:t>
            </w:r>
          </w:p>
        </w:tc>
        <w:tc>
          <w:tcPr>
            <w:tcW w:w="1519" w:type="dxa"/>
            <w:tcBorders>
              <w:top w:val="single" w:sz="4" w:space="0" w:color="000000"/>
              <w:left w:val="single" w:sz="8" w:space="0" w:color="000000"/>
              <w:bottom w:val="single" w:sz="4" w:space="0" w:color="000000"/>
              <w:right w:val="single" w:sz="4" w:space="0" w:color="000000"/>
            </w:tcBorders>
          </w:tcPr>
          <w:p>
            <w:pPr>
              <w:pStyle w:val="TableParagraph"/>
              <w:ind w:right="64"/>
              <w:rPr>
                <w:sz w:val="12"/>
              </w:rPr>
            </w:pPr>
            <w:r>
              <w:rPr>
                <w:w w:val="105"/>
                <w:sz w:val="12"/>
              </w:rPr>
              <w:t>32.5</w:t>
            </w:r>
          </w:p>
        </w:tc>
        <w:tc>
          <w:tcPr>
            <w:tcW w:w="2138"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0.0</w:t>
            </w:r>
          </w:p>
        </w:tc>
        <w:tc>
          <w:tcPr>
            <w:tcW w:w="2875" w:type="dxa"/>
            <w:tcBorders>
              <w:top w:val="single" w:sz="4" w:space="0" w:color="000000"/>
              <w:left w:val="single" w:sz="4" w:space="0" w:color="000000"/>
              <w:bottom w:val="single" w:sz="4" w:space="0" w:color="000000"/>
              <w:right w:val="single" w:sz="4" w:space="0" w:color="000000"/>
            </w:tcBorders>
          </w:tcPr>
          <w:p>
            <w:pPr>
              <w:pStyle w:val="TableParagraph"/>
              <w:ind w:right="66"/>
              <w:rPr>
                <w:sz w:val="12"/>
              </w:rPr>
            </w:pPr>
            <w:r>
              <w:rPr>
                <w:w w:val="105"/>
                <w:sz w:val="12"/>
              </w:rPr>
              <w:t>1,771.7</w:t>
            </w:r>
          </w:p>
        </w:tc>
        <w:tc>
          <w:tcPr>
            <w:tcW w:w="1903" w:type="dxa"/>
            <w:tcBorders>
              <w:top w:val="single" w:sz="4" w:space="0" w:color="000000"/>
              <w:left w:val="single" w:sz="4" w:space="0" w:color="000000"/>
              <w:bottom w:val="single" w:sz="4" w:space="0" w:color="000000"/>
              <w:right w:val="single" w:sz="8" w:space="0" w:color="000000"/>
            </w:tcBorders>
          </w:tcPr>
          <w:p>
            <w:pPr>
              <w:pStyle w:val="TableParagraph"/>
              <w:ind w:right="59"/>
              <w:rPr>
                <w:sz w:val="12"/>
              </w:rPr>
            </w:pPr>
            <w:r>
              <w:rPr>
                <w:w w:val="105"/>
                <w:sz w:val="12"/>
              </w:rPr>
              <w:t>29.2</w:t>
            </w:r>
          </w:p>
        </w:tc>
        <w:tc>
          <w:tcPr>
            <w:tcW w:w="899" w:type="dxa"/>
            <w:tcBorders>
              <w:top w:val="single" w:sz="4" w:space="0" w:color="000000"/>
              <w:left w:val="single" w:sz="8" w:space="0" w:color="000000"/>
              <w:bottom w:val="single" w:sz="4" w:space="0" w:color="000000"/>
            </w:tcBorders>
          </w:tcPr>
          <w:p>
            <w:pPr>
              <w:pStyle w:val="TableParagraph"/>
              <w:ind w:right="62"/>
              <w:rPr>
                <w:sz w:val="12"/>
              </w:rPr>
            </w:pPr>
            <w:r>
              <w:rPr>
                <w:w w:val="105"/>
                <w:sz w:val="12"/>
              </w:rPr>
              <w:t>1,833.4</w:t>
            </w:r>
          </w:p>
        </w:tc>
        <w:tc>
          <w:tcPr>
            <w:tcW w:w="865"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8.7</w:t>
            </w:r>
          </w:p>
        </w:tc>
        <w:tc>
          <w:tcPr>
            <w:tcW w:w="892" w:type="dxa"/>
            <w:tcBorders>
              <w:top w:val="single" w:sz="4" w:space="0" w:color="000000"/>
              <w:left w:val="single" w:sz="8" w:space="0" w:color="000000"/>
              <w:bottom w:val="single" w:sz="4" w:space="0" w:color="000000"/>
            </w:tcBorders>
          </w:tcPr>
          <w:p>
            <w:pPr>
              <w:pStyle w:val="TableParagraph"/>
              <w:ind w:right="59"/>
              <w:rPr>
                <w:sz w:val="12"/>
              </w:rPr>
            </w:pPr>
            <w:r>
              <w:rPr>
                <w:w w:val="105"/>
                <w:sz w:val="12"/>
              </w:rPr>
              <w:t>12,912.0</w:t>
            </w:r>
          </w:p>
        </w:tc>
        <w:tc>
          <w:tcPr>
            <w:tcW w:w="486"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61.0</w:t>
            </w:r>
          </w:p>
        </w:tc>
      </w:tr>
      <w:tr>
        <w:trPr>
          <w:trHeight w:val="155" w:hRule="exact"/>
        </w:trPr>
        <w:tc>
          <w:tcPr>
            <w:tcW w:w="1217" w:type="dxa"/>
            <w:tcBorders>
              <w:top w:val="single" w:sz="4" w:space="0" w:color="000000"/>
              <w:left w:val="single" w:sz="8" w:space="0" w:color="000000"/>
              <w:bottom w:val="single" w:sz="3" w:space="0" w:color="000000"/>
              <w:right w:val="single" w:sz="8" w:space="0" w:color="000000"/>
            </w:tcBorders>
          </w:tcPr>
          <w:p>
            <w:pPr>
              <w:pStyle w:val="TableParagraph"/>
              <w:spacing w:before="0"/>
              <w:ind w:left="57"/>
              <w:jc w:val="left"/>
              <w:rPr>
                <w:b/>
                <w:sz w:val="12"/>
              </w:rPr>
            </w:pPr>
            <w:r>
              <w:rPr>
                <w:b/>
                <w:w w:val="105"/>
                <w:sz w:val="12"/>
              </w:rPr>
              <w:t>Agosto</w:t>
            </w:r>
          </w:p>
        </w:tc>
        <w:tc>
          <w:tcPr>
            <w:tcW w:w="1519" w:type="dxa"/>
            <w:tcBorders>
              <w:top w:val="single" w:sz="4" w:space="0" w:color="000000"/>
              <w:left w:val="single" w:sz="8" w:space="0" w:color="000000"/>
              <w:bottom w:val="single" w:sz="3" w:space="0" w:color="000000"/>
              <w:right w:val="single" w:sz="4" w:space="0" w:color="000000"/>
            </w:tcBorders>
          </w:tcPr>
          <w:p>
            <w:pPr>
              <w:pStyle w:val="TableParagraph"/>
              <w:ind w:right="64"/>
              <w:rPr>
                <w:sz w:val="12"/>
              </w:rPr>
            </w:pPr>
            <w:r>
              <w:rPr>
                <w:w w:val="105"/>
                <w:sz w:val="12"/>
              </w:rPr>
              <w:t>28.1</w:t>
            </w:r>
          </w:p>
        </w:tc>
        <w:tc>
          <w:tcPr>
            <w:tcW w:w="2138" w:type="dxa"/>
            <w:tcBorders>
              <w:top w:val="single" w:sz="4" w:space="0" w:color="000000"/>
              <w:left w:val="single" w:sz="4" w:space="0" w:color="000000"/>
              <w:bottom w:val="single" w:sz="3" w:space="0" w:color="000000"/>
              <w:right w:val="single" w:sz="4" w:space="0" w:color="000000"/>
            </w:tcBorders>
          </w:tcPr>
          <w:p>
            <w:pPr>
              <w:pStyle w:val="TableParagraph"/>
              <w:ind w:right="62"/>
              <w:rPr>
                <w:sz w:val="12"/>
              </w:rPr>
            </w:pPr>
            <w:r>
              <w:rPr>
                <w:w w:val="105"/>
                <w:sz w:val="12"/>
              </w:rPr>
              <w:t>0.0</w:t>
            </w:r>
          </w:p>
        </w:tc>
        <w:tc>
          <w:tcPr>
            <w:tcW w:w="2875" w:type="dxa"/>
            <w:tcBorders>
              <w:top w:val="single" w:sz="4" w:space="0" w:color="000000"/>
              <w:left w:val="single" w:sz="4" w:space="0" w:color="000000"/>
              <w:bottom w:val="single" w:sz="3" w:space="0" w:color="000000"/>
              <w:right w:val="single" w:sz="4" w:space="0" w:color="000000"/>
            </w:tcBorders>
          </w:tcPr>
          <w:p>
            <w:pPr>
              <w:pStyle w:val="TableParagraph"/>
              <w:ind w:right="66"/>
              <w:rPr>
                <w:sz w:val="12"/>
              </w:rPr>
            </w:pPr>
            <w:r>
              <w:rPr>
                <w:w w:val="105"/>
                <w:sz w:val="12"/>
              </w:rPr>
              <w:t>1,730.7</w:t>
            </w:r>
          </w:p>
        </w:tc>
        <w:tc>
          <w:tcPr>
            <w:tcW w:w="1903" w:type="dxa"/>
            <w:tcBorders>
              <w:top w:val="single" w:sz="4" w:space="0" w:color="000000"/>
              <w:left w:val="single" w:sz="4" w:space="0" w:color="000000"/>
              <w:bottom w:val="single" w:sz="3" w:space="0" w:color="000000"/>
              <w:right w:val="single" w:sz="8" w:space="0" w:color="000000"/>
            </w:tcBorders>
          </w:tcPr>
          <w:p>
            <w:pPr>
              <w:pStyle w:val="TableParagraph"/>
              <w:ind w:right="59"/>
              <w:rPr>
                <w:sz w:val="12"/>
              </w:rPr>
            </w:pPr>
            <w:r>
              <w:rPr>
                <w:w w:val="105"/>
                <w:sz w:val="12"/>
              </w:rPr>
              <w:t>21.8</w:t>
            </w:r>
          </w:p>
        </w:tc>
        <w:tc>
          <w:tcPr>
            <w:tcW w:w="899" w:type="dxa"/>
            <w:tcBorders>
              <w:top w:val="single" w:sz="4" w:space="0" w:color="000000"/>
              <w:left w:val="single" w:sz="8" w:space="0" w:color="000000"/>
              <w:bottom w:val="single" w:sz="3" w:space="0" w:color="000000"/>
            </w:tcBorders>
          </w:tcPr>
          <w:p>
            <w:pPr>
              <w:pStyle w:val="TableParagraph"/>
              <w:ind w:right="62"/>
              <w:rPr>
                <w:sz w:val="12"/>
              </w:rPr>
            </w:pPr>
            <w:r>
              <w:rPr>
                <w:w w:val="105"/>
                <w:sz w:val="12"/>
              </w:rPr>
              <w:t>1,780.7</w:t>
            </w:r>
          </w:p>
        </w:tc>
        <w:tc>
          <w:tcPr>
            <w:tcW w:w="865" w:type="dxa"/>
            <w:tcBorders>
              <w:top w:val="single" w:sz="4" w:space="0" w:color="000000"/>
              <w:bottom w:val="single" w:sz="3" w:space="0" w:color="000000"/>
              <w:right w:val="single" w:sz="8" w:space="0" w:color="000000"/>
            </w:tcBorders>
          </w:tcPr>
          <w:p>
            <w:pPr>
              <w:pStyle w:val="TableParagraph"/>
              <w:ind w:right="57"/>
              <w:rPr>
                <w:sz w:val="12"/>
              </w:rPr>
            </w:pPr>
            <w:r>
              <w:rPr>
                <w:w w:val="105"/>
                <w:sz w:val="12"/>
              </w:rPr>
              <w:t>8.4</w:t>
            </w:r>
          </w:p>
        </w:tc>
        <w:tc>
          <w:tcPr>
            <w:tcW w:w="892" w:type="dxa"/>
            <w:tcBorders>
              <w:top w:val="single" w:sz="4" w:space="0" w:color="000000"/>
              <w:left w:val="single" w:sz="8" w:space="0" w:color="000000"/>
              <w:bottom w:val="single" w:sz="3" w:space="0" w:color="000000"/>
            </w:tcBorders>
          </w:tcPr>
          <w:p>
            <w:pPr>
              <w:pStyle w:val="TableParagraph"/>
              <w:ind w:right="59"/>
              <w:rPr>
                <w:sz w:val="12"/>
              </w:rPr>
            </w:pPr>
            <w:r>
              <w:rPr>
                <w:w w:val="105"/>
                <w:sz w:val="12"/>
              </w:rPr>
              <w:t>14,692.7</w:t>
            </w:r>
          </w:p>
        </w:tc>
        <w:tc>
          <w:tcPr>
            <w:tcW w:w="486" w:type="dxa"/>
            <w:tcBorders>
              <w:top w:val="single" w:sz="4" w:space="0" w:color="000000"/>
              <w:bottom w:val="single" w:sz="3" w:space="0" w:color="000000"/>
              <w:right w:val="single" w:sz="8" w:space="0" w:color="000000"/>
            </w:tcBorders>
          </w:tcPr>
          <w:p>
            <w:pPr>
              <w:pStyle w:val="TableParagraph"/>
              <w:ind w:right="57"/>
              <w:rPr>
                <w:sz w:val="12"/>
              </w:rPr>
            </w:pPr>
            <w:r>
              <w:rPr>
                <w:w w:val="105"/>
                <w:sz w:val="12"/>
              </w:rPr>
              <w:t>69.4</w:t>
            </w:r>
          </w:p>
        </w:tc>
      </w:tr>
      <w:tr>
        <w:trPr>
          <w:trHeight w:val="157" w:hRule="exact"/>
        </w:trPr>
        <w:tc>
          <w:tcPr>
            <w:tcW w:w="1217" w:type="dxa"/>
            <w:tcBorders>
              <w:top w:val="single" w:sz="3"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Septiembre</w:t>
            </w:r>
          </w:p>
        </w:tc>
        <w:tc>
          <w:tcPr>
            <w:tcW w:w="1519" w:type="dxa"/>
            <w:tcBorders>
              <w:top w:val="single" w:sz="3" w:space="0" w:color="000000"/>
              <w:left w:val="single" w:sz="8" w:space="0" w:color="000000"/>
              <w:bottom w:val="single" w:sz="4" w:space="0" w:color="000000"/>
              <w:right w:val="single" w:sz="4" w:space="0" w:color="000000"/>
            </w:tcBorders>
          </w:tcPr>
          <w:p>
            <w:pPr>
              <w:pStyle w:val="TableParagraph"/>
              <w:ind w:right="64"/>
              <w:rPr>
                <w:sz w:val="12"/>
              </w:rPr>
            </w:pPr>
            <w:r>
              <w:rPr>
                <w:w w:val="105"/>
                <w:sz w:val="12"/>
              </w:rPr>
              <w:t>25.2</w:t>
            </w:r>
          </w:p>
        </w:tc>
        <w:tc>
          <w:tcPr>
            <w:tcW w:w="2138" w:type="dxa"/>
            <w:tcBorders>
              <w:top w:val="single" w:sz="3"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0.0</w:t>
            </w:r>
          </w:p>
        </w:tc>
        <w:tc>
          <w:tcPr>
            <w:tcW w:w="2875" w:type="dxa"/>
            <w:tcBorders>
              <w:top w:val="single" w:sz="3" w:space="0" w:color="000000"/>
              <w:left w:val="single" w:sz="4" w:space="0" w:color="000000"/>
              <w:bottom w:val="single" w:sz="4" w:space="0" w:color="000000"/>
              <w:right w:val="single" w:sz="4" w:space="0" w:color="000000"/>
            </w:tcBorders>
          </w:tcPr>
          <w:p>
            <w:pPr>
              <w:pStyle w:val="TableParagraph"/>
              <w:ind w:right="66"/>
              <w:rPr>
                <w:sz w:val="12"/>
              </w:rPr>
            </w:pPr>
            <w:r>
              <w:rPr>
                <w:w w:val="105"/>
                <w:sz w:val="12"/>
              </w:rPr>
              <w:t>1,701.1</w:t>
            </w:r>
          </w:p>
        </w:tc>
        <w:tc>
          <w:tcPr>
            <w:tcW w:w="1903" w:type="dxa"/>
            <w:tcBorders>
              <w:top w:val="single" w:sz="3" w:space="0" w:color="000000"/>
              <w:left w:val="single" w:sz="4" w:space="0" w:color="000000"/>
              <w:bottom w:val="single" w:sz="4" w:space="0" w:color="000000"/>
              <w:right w:val="single" w:sz="8" w:space="0" w:color="000000"/>
            </w:tcBorders>
          </w:tcPr>
          <w:p>
            <w:pPr>
              <w:pStyle w:val="TableParagraph"/>
              <w:ind w:right="59"/>
              <w:rPr>
                <w:sz w:val="12"/>
              </w:rPr>
            </w:pPr>
            <w:r>
              <w:rPr>
                <w:w w:val="105"/>
                <w:sz w:val="12"/>
              </w:rPr>
              <w:t>15.8</w:t>
            </w:r>
          </w:p>
        </w:tc>
        <w:tc>
          <w:tcPr>
            <w:tcW w:w="899" w:type="dxa"/>
            <w:tcBorders>
              <w:top w:val="single" w:sz="3" w:space="0" w:color="000000"/>
              <w:left w:val="single" w:sz="8" w:space="0" w:color="000000"/>
              <w:bottom w:val="single" w:sz="4" w:space="0" w:color="000000"/>
            </w:tcBorders>
          </w:tcPr>
          <w:p>
            <w:pPr>
              <w:pStyle w:val="TableParagraph"/>
              <w:ind w:right="62"/>
              <w:rPr>
                <w:sz w:val="12"/>
              </w:rPr>
            </w:pPr>
            <w:r>
              <w:rPr>
                <w:w w:val="105"/>
                <w:sz w:val="12"/>
              </w:rPr>
              <w:t>1,742.1</w:t>
            </w:r>
          </w:p>
        </w:tc>
        <w:tc>
          <w:tcPr>
            <w:tcW w:w="865" w:type="dxa"/>
            <w:tcBorders>
              <w:top w:val="single" w:sz="3" w:space="0" w:color="000000"/>
              <w:bottom w:val="single" w:sz="4" w:space="0" w:color="000000"/>
              <w:right w:val="single" w:sz="8" w:space="0" w:color="000000"/>
            </w:tcBorders>
          </w:tcPr>
          <w:p>
            <w:pPr>
              <w:pStyle w:val="TableParagraph"/>
              <w:ind w:right="57"/>
              <w:rPr>
                <w:sz w:val="12"/>
              </w:rPr>
            </w:pPr>
            <w:r>
              <w:rPr>
                <w:w w:val="105"/>
                <w:sz w:val="12"/>
              </w:rPr>
              <w:t>8.2</w:t>
            </w:r>
          </w:p>
        </w:tc>
        <w:tc>
          <w:tcPr>
            <w:tcW w:w="892" w:type="dxa"/>
            <w:tcBorders>
              <w:top w:val="single" w:sz="3" w:space="0" w:color="000000"/>
              <w:left w:val="single" w:sz="8" w:space="0" w:color="000000"/>
              <w:bottom w:val="single" w:sz="4" w:space="0" w:color="000000"/>
            </w:tcBorders>
          </w:tcPr>
          <w:p>
            <w:pPr>
              <w:pStyle w:val="TableParagraph"/>
              <w:ind w:right="59"/>
              <w:rPr>
                <w:sz w:val="12"/>
              </w:rPr>
            </w:pPr>
            <w:r>
              <w:rPr>
                <w:w w:val="105"/>
                <w:sz w:val="12"/>
              </w:rPr>
              <w:t>16,434.8</w:t>
            </w:r>
          </w:p>
        </w:tc>
        <w:tc>
          <w:tcPr>
            <w:tcW w:w="486" w:type="dxa"/>
            <w:tcBorders>
              <w:top w:val="single" w:sz="3" w:space="0" w:color="000000"/>
              <w:bottom w:val="single" w:sz="4" w:space="0" w:color="000000"/>
              <w:right w:val="single" w:sz="8" w:space="0" w:color="000000"/>
            </w:tcBorders>
          </w:tcPr>
          <w:p>
            <w:pPr>
              <w:pStyle w:val="TableParagraph"/>
              <w:ind w:right="57"/>
              <w:rPr>
                <w:sz w:val="12"/>
              </w:rPr>
            </w:pPr>
            <w:r>
              <w:rPr>
                <w:w w:val="105"/>
                <w:sz w:val="12"/>
              </w:rPr>
              <w:t>77.6</w:t>
            </w:r>
          </w:p>
        </w:tc>
      </w:tr>
      <w:tr>
        <w:trPr>
          <w:trHeight w:val="154" w:hRule="exact"/>
        </w:trPr>
        <w:tc>
          <w:tcPr>
            <w:tcW w:w="1217" w:type="dxa"/>
            <w:tcBorders>
              <w:top w:val="single" w:sz="4" w:space="0" w:color="000000"/>
              <w:left w:val="single" w:sz="8" w:space="0" w:color="000000"/>
              <w:bottom w:val="single" w:sz="4" w:space="0" w:color="000000"/>
              <w:right w:val="single" w:sz="8" w:space="0" w:color="000000"/>
            </w:tcBorders>
          </w:tcPr>
          <w:p>
            <w:pPr>
              <w:pStyle w:val="TableParagraph"/>
              <w:spacing w:line="136" w:lineRule="exact" w:before="0"/>
              <w:ind w:left="57"/>
              <w:jc w:val="left"/>
              <w:rPr>
                <w:b/>
                <w:sz w:val="12"/>
              </w:rPr>
            </w:pPr>
            <w:r>
              <w:rPr>
                <w:b/>
                <w:w w:val="105"/>
                <w:sz w:val="12"/>
              </w:rPr>
              <w:t>Octubre</w:t>
            </w:r>
          </w:p>
        </w:tc>
        <w:tc>
          <w:tcPr>
            <w:tcW w:w="1519" w:type="dxa"/>
            <w:tcBorders>
              <w:top w:val="single" w:sz="4" w:space="0" w:color="000000"/>
              <w:left w:val="single" w:sz="8" w:space="0" w:color="000000"/>
              <w:bottom w:val="single" w:sz="4" w:space="0" w:color="000000"/>
              <w:right w:val="single" w:sz="4" w:space="0" w:color="000000"/>
            </w:tcBorders>
          </w:tcPr>
          <w:p>
            <w:pPr>
              <w:pStyle w:val="TableParagraph"/>
              <w:spacing w:before="0"/>
              <w:ind w:right="64"/>
              <w:rPr>
                <w:sz w:val="12"/>
              </w:rPr>
            </w:pPr>
            <w:r>
              <w:rPr>
                <w:w w:val="105"/>
                <w:sz w:val="12"/>
              </w:rPr>
              <w:t>24.0</w:t>
            </w:r>
          </w:p>
        </w:tc>
        <w:tc>
          <w:tcPr>
            <w:tcW w:w="2138"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0.0</w:t>
            </w:r>
          </w:p>
        </w:tc>
        <w:tc>
          <w:tcPr>
            <w:tcW w:w="2875" w:type="dxa"/>
            <w:tcBorders>
              <w:top w:val="single" w:sz="4" w:space="0" w:color="000000"/>
              <w:left w:val="single" w:sz="4" w:space="0" w:color="000000"/>
              <w:bottom w:val="single" w:sz="4" w:space="0" w:color="000000"/>
              <w:right w:val="single" w:sz="4" w:space="0" w:color="000000"/>
            </w:tcBorders>
          </w:tcPr>
          <w:p>
            <w:pPr>
              <w:pStyle w:val="TableParagraph"/>
              <w:spacing w:before="0"/>
              <w:ind w:right="66"/>
              <w:rPr>
                <w:sz w:val="12"/>
              </w:rPr>
            </w:pPr>
            <w:r>
              <w:rPr>
                <w:w w:val="105"/>
                <w:sz w:val="12"/>
              </w:rPr>
              <w:t>1,645.6</w:t>
            </w:r>
          </w:p>
        </w:tc>
        <w:tc>
          <w:tcPr>
            <w:tcW w:w="1903" w:type="dxa"/>
            <w:tcBorders>
              <w:top w:val="single" w:sz="4" w:space="0" w:color="000000"/>
              <w:left w:val="single" w:sz="4" w:space="0" w:color="000000"/>
              <w:bottom w:val="single" w:sz="4" w:space="0" w:color="000000"/>
              <w:right w:val="single" w:sz="8" w:space="0" w:color="000000"/>
            </w:tcBorders>
          </w:tcPr>
          <w:p>
            <w:pPr>
              <w:pStyle w:val="TableParagraph"/>
              <w:spacing w:before="0"/>
              <w:ind w:right="59"/>
              <w:rPr>
                <w:sz w:val="12"/>
              </w:rPr>
            </w:pPr>
            <w:r>
              <w:rPr>
                <w:w w:val="105"/>
                <w:sz w:val="12"/>
              </w:rPr>
              <w:t>21.6</w:t>
            </w:r>
          </w:p>
        </w:tc>
        <w:tc>
          <w:tcPr>
            <w:tcW w:w="899" w:type="dxa"/>
            <w:tcBorders>
              <w:top w:val="single" w:sz="4" w:space="0" w:color="000000"/>
              <w:left w:val="single" w:sz="8" w:space="0" w:color="000000"/>
              <w:bottom w:val="single" w:sz="4" w:space="0" w:color="000000"/>
            </w:tcBorders>
          </w:tcPr>
          <w:p>
            <w:pPr>
              <w:pStyle w:val="TableParagraph"/>
              <w:spacing w:before="0"/>
              <w:ind w:right="62"/>
              <w:rPr>
                <w:sz w:val="12"/>
              </w:rPr>
            </w:pPr>
            <w:r>
              <w:rPr>
                <w:w w:val="105"/>
                <w:sz w:val="12"/>
              </w:rPr>
              <w:t>1,691.2</w:t>
            </w:r>
          </w:p>
        </w:tc>
        <w:tc>
          <w:tcPr>
            <w:tcW w:w="865" w:type="dxa"/>
            <w:tcBorders>
              <w:top w:val="single" w:sz="4" w:space="0" w:color="000000"/>
              <w:bottom w:val="single" w:sz="4" w:space="0" w:color="000000"/>
              <w:right w:val="single" w:sz="8" w:space="0" w:color="000000"/>
            </w:tcBorders>
          </w:tcPr>
          <w:p>
            <w:pPr>
              <w:pStyle w:val="TableParagraph"/>
              <w:spacing w:before="0"/>
              <w:ind w:right="57"/>
              <w:rPr>
                <w:sz w:val="12"/>
              </w:rPr>
            </w:pPr>
            <w:r>
              <w:rPr>
                <w:w w:val="105"/>
                <w:sz w:val="12"/>
              </w:rPr>
              <w:t>8.0</w:t>
            </w:r>
          </w:p>
        </w:tc>
        <w:tc>
          <w:tcPr>
            <w:tcW w:w="892" w:type="dxa"/>
            <w:tcBorders>
              <w:top w:val="single" w:sz="4" w:space="0" w:color="000000"/>
              <w:left w:val="single" w:sz="8" w:space="0" w:color="000000"/>
              <w:bottom w:val="single" w:sz="4" w:space="0" w:color="000000"/>
            </w:tcBorders>
          </w:tcPr>
          <w:p>
            <w:pPr>
              <w:pStyle w:val="TableParagraph"/>
              <w:spacing w:before="0"/>
              <w:ind w:right="59"/>
              <w:rPr>
                <w:sz w:val="12"/>
              </w:rPr>
            </w:pPr>
            <w:r>
              <w:rPr>
                <w:w w:val="105"/>
                <w:sz w:val="12"/>
              </w:rPr>
              <w:t>18,126.0</w:t>
            </w:r>
          </w:p>
        </w:tc>
        <w:tc>
          <w:tcPr>
            <w:tcW w:w="486" w:type="dxa"/>
            <w:tcBorders>
              <w:top w:val="single" w:sz="4" w:space="0" w:color="000000"/>
              <w:bottom w:val="single" w:sz="4" w:space="0" w:color="000000"/>
              <w:right w:val="single" w:sz="8" w:space="0" w:color="000000"/>
            </w:tcBorders>
          </w:tcPr>
          <w:p>
            <w:pPr>
              <w:pStyle w:val="TableParagraph"/>
              <w:spacing w:before="0"/>
              <w:ind w:right="57"/>
              <w:rPr>
                <w:sz w:val="12"/>
              </w:rPr>
            </w:pPr>
            <w:r>
              <w:rPr>
                <w:w w:val="105"/>
                <w:sz w:val="12"/>
              </w:rPr>
              <w:t>85.6</w:t>
            </w:r>
          </w:p>
        </w:tc>
      </w:tr>
      <w:tr>
        <w:trPr>
          <w:trHeight w:val="156" w:hRule="exact"/>
        </w:trPr>
        <w:tc>
          <w:tcPr>
            <w:tcW w:w="1217"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Noviembre</w:t>
            </w:r>
          </w:p>
        </w:tc>
        <w:tc>
          <w:tcPr>
            <w:tcW w:w="1519" w:type="dxa"/>
            <w:tcBorders>
              <w:top w:val="single" w:sz="4" w:space="0" w:color="000000"/>
              <w:left w:val="single" w:sz="8" w:space="0" w:color="000000"/>
              <w:bottom w:val="single" w:sz="4" w:space="0" w:color="000000"/>
              <w:right w:val="single" w:sz="4" w:space="0" w:color="000000"/>
            </w:tcBorders>
          </w:tcPr>
          <w:p>
            <w:pPr>
              <w:pStyle w:val="TableParagraph"/>
              <w:ind w:right="64"/>
              <w:rPr>
                <w:sz w:val="12"/>
              </w:rPr>
            </w:pPr>
            <w:r>
              <w:rPr>
                <w:w w:val="105"/>
                <w:sz w:val="12"/>
              </w:rPr>
              <w:t>25.6</w:t>
            </w:r>
          </w:p>
        </w:tc>
        <w:tc>
          <w:tcPr>
            <w:tcW w:w="2138"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0.0</w:t>
            </w:r>
          </w:p>
        </w:tc>
        <w:tc>
          <w:tcPr>
            <w:tcW w:w="2875" w:type="dxa"/>
            <w:tcBorders>
              <w:top w:val="single" w:sz="4" w:space="0" w:color="000000"/>
              <w:left w:val="single" w:sz="4" w:space="0" w:color="000000"/>
              <w:bottom w:val="single" w:sz="4" w:space="0" w:color="000000"/>
              <w:right w:val="single" w:sz="4" w:space="0" w:color="000000"/>
            </w:tcBorders>
          </w:tcPr>
          <w:p>
            <w:pPr>
              <w:pStyle w:val="TableParagraph"/>
              <w:ind w:right="66"/>
              <w:rPr>
                <w:sz w:val="12"/>
              </w:rPr>
            </w:pPr>
            <w:r>
              <w:rPr>
                <w:w w:val="105"/>
                <w:sz w:val="12"/>
              </w:rPr>
              <w:t>1,448.6</w:t>
            </w:r>
          </w:p>
        </w:tc>
        <w:tc>
          <w:tcPr>
            <w:tcW w:w="1903" w:type="dxa"/>
            <w:tcBorders>
              <w:top w:val="single" w:sz="4" w:space="0" w:color="000000"/>
              <w:left w:val="single" w:sz="4" w:space="0" w:color="000000"/>
              <w:bottom w:val="single" w:sz="4" w:space="0" w:color="000000"/>
              <w:right w:val="single" w:sz="8" w:space="0" w:color="000000"/>
            </w:tcBorders>
          </w:tcPr>
          <w:p>
            <w:pPr>
              <w:pStyle w:val="TableParagraph"/>
              <w:ind w:right="59"/>
              <w:rPr>
                <w:sz w:val="12"/>
              </w:rPr>
            </w:pPr>
            <w:r>
              <w:rPr>
                <w:w w:val="105"/>
                <w:sz w:val="12"/>
              </w:rPr>
              <w:t>20.8</w:t>
            </w:r>
          </w:p>
        </w:tc>
        <w:tc>
          <w:tcPr>
            <w:tcW w:w="899" w:type="dxa"/>
            <w:tcBorders>
              <w:top w:val="single" w:sz="4" w:space="0" w:color="000000"/>
              <w:left w:val="single" w:sz="8" w:space="0" w:color="000000"/>
              <w:bottom w:val="single" w:sz="4" w:space="0" w:color="000000"/>
            </w:tcBorders>
          </w:tcPr>
          <w:p>
            <w:pPr>
              <w:pStyle w:val="TableParagraph"/>
              <w:ind w:right="62"/>
              <w:rPr>
                <w:sz w:val="12"/>
              </w:rPr>
            </w:pPr>
            <w:r>
              <w:rPr>
                <w:w w:val="105"/>
                <w:sz w:val="12"/>
              </w:rPr>
              <w:t>1,495.1</w:t>
            </w:r>
          </w:p>
        </w:tc>
        <w:tc>
          <w:tcPr>
            <w:tcW w:w="865"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7.1</w:t>
            </w:r>
          </w:p>
        </w:tc>
        <w:tc>
          <w:tcPr>
            <w:tcW w:w="892" w:type="dxa"/>
            <w:tcBorders>
              <w:top w:val="single" w:sz="4" w:space="0" w:color="000000"/>
              <w:left w:val="single" w:sz="8" w:space="0" w:color="000000"/>
              <w:bottom w:val="single" w:sz="4" w:space="0" w:color="000000"/>
            </w:tcBorders>
          </w:tcPr>
          <w:p>
            <w:pPr>
              <w:pStyle w:val="TableParagraph"/>
              <w:ind w:right="59"/>
              <w:rPr>
                <w:sz w:val="12"/>
              </w:rPr>
            </w:pPr>
            <w:r>
              <w:rPr>
                <w:w w:val="105"/>
                <w:sz w:val="12"/>
              </w:rPr>
              <w:t>19,621.1</w:t>
            </w:r>
          </w:p>
        </w:tc>
        <w:tc>
          <w:tcPr>
            <w:tcW w:w="486"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92.6</w:t>
            </w:r>
          </w:p>
        </w:tc>
      </w:tr>
      <w:tr>
        <w:trPr>
          <w:trHeight w:val="154" w:hRule="exact"/>
        </w:trPr>
        <w:tc>
          <w:tcPr>
            <w:tcW w:w="1217"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Diciembre</w:t>
            </w:r>
          </w:p>
        </w:tc>
        <w:tc>
          <w:tcPr>
            <w:tcW w:w="1519" w:type="dxa"/>
            <w:tcBorders>
              <w:top w:val="single" w:sz="4" w:space="0" w:color="000000"/>
              <w:left w:val="single" w:sz="8" w:space="0" w:color="000000"/>
              <w:bottom w:val="single" w:sz="4" w:space="0" w:color="000000"/>
              <w:right w:val="single" w:sz="4" w:space="0" w:color="000000"/>
            </w:tcBorders>
          </w:tcPr>
          <w:p>
            <w:pPr>
              <w:pStyle w:val="TableParagraph"/>
              <w:ind w:right="64"/>
              <w:rPr>
                <w:sz w:val="12"/>
              </w:rPr>
            </w:pPr>
            <w:r>
              <w:rPr>
                <w:w w:val="105"/>
                <w:sz w:val="12"/>
              </w:rPr>
              <w:t>38.9</w:t>
            </w:r>
          </w:p>
        </w:tc>
        <w:tc>
          <w:tcPr>
            <w:tcW w:w="2138"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0.0</w:t>
            </w:r>
          </w:p>
        </w:tc>
        <w:tc>
          <w:tcPr>
            <w:tcW w:w="2875" w:type="dxa"/>
            <w:tcBorders>
              <w:top w:val="single" w:sz="4" w:space="0" w:color="000000"/>
              <w:left w:val="single" w:sz="4" w:space="0" w:color="000000"/>
              <w:bottom w:val="single" w:sz="4" w:space="0" w:color="000000"/>
              <w:right w:val="single" w:sz="4" w:space="0" w:color="000000"/>
            </w:tcBorders>
          </w:tcPr>
          <w:p>
            <w:pPr>
              <w:pStyle w:val="TableParagraph"/>
              <w:ind w:right="66"/>
              <w:rPr>
                <w:sz w:val="12"/>
              </w:rPr>
            </w:pPr>
            <w:r>
              <w:rPr>
                <w:w w:val="105"/>
                <w:sz w:val="12"/>
              </w:rPr>
              <w:t>1,477.1</w:t>
            </w:r>
          </w:p>
        </w:tc>
        <w:tc>
          <w:tcPr>
            <w:tcW w:w="1903" w:type="dxa"/>
            <w:tcBorders>
              <w:top w:val="single" w:sz="4" w:space="0" w:color="000000"/>
              <w:left w:val="single" w:sz="4" w:space="0" w:color="000000"/>
              <w:bottom w:val="single" w:sz="4" w:space="0" w:color="000000"/>
              <w:right w:val="single" w:sz="8" w:space="0" w:color="000000"/>
            </w:tcBorders>
          </w:tcPr>
          <w:p>
            <w:pPr>
              <w:pStyle w:val="TableParagraph"/>
              <w:ind w:right="59"/>
              <w:rPr>
                <w:sz w:val="12"/>
              </w:rPr>
            </w:pPr>
            <w:r>
              <w:rPr>
                <w:w w:val="105"/>
                <w:sz w:val="12"/>
              </w:rPr>
              <w:t>44.1</w:t>
            </w:r>
          </w:p>
        </w:tc>
        <w:tc>
          <w:tcPr>
            <w:tcW w:w="899" w:type="dxa"/>
            <w:tcBorders>
              <w:top w:val="single" w:sz="4" w:space="0" w:color="000000"/>
              <w:left w:val="single" w:sz="8" w:space="0" w:color="000000"/>
              <w:bottom w:val="single" w:sz="4" w:space="0" w:color="000000"/>
            </w:tcBorders>
          </w:tcPr>
          <w:p>
            <w:pPr>
              <w:pStyle w:val="TableParagraph"/>
              <w:ind w:right="62"/>
              <w:rPr>
                <w:sz w:val="12"/>
              </w:rPr>
            </w:pPr>
            <w:r>
              <w:rPr>
                <w:w w:val="105"/>
                <w:sz w:val="12"/>
              </w:rPr>
              <w:t>1,560.1</w:t>
            </w:r>
          </w:p>
        </w:tc>
        <w:tc>
          <w:tcPr>
            <w:tcW w:w="865"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7.4</w:t>
            </w:r>
          </w:p>
        </w:tc>
        <w:tc>
          <w:tcPr>
            <w:tcW w:w="892" w:type="dxa"/>
            <w:tcBorders>
              <w:top w:val="single" w:sz="4" w:space="0" w:color="000000"/>
              <w:left w:val="single" w:sz="8" w:space="0" w:color="000000"/>
              <w:bottom w:val="single" w:sz="8" w:space="0" w:color="000000"/>
            </w:tcBorders>
          </w:tcPr>
          <w:p>
            <w:pPr>
              <w:pStyle w:val="TableParagraph"/>
              <w:spacing w:before="0"/>
              <w:ind w:right="59"/>
              <w:rPr>
                <w:b/>
                <w:sz w:val="12"/>
              </w:rPr>
            </w:pPr>
            <w:r>
              <w:rPr>
                <w:b/>
                <w:w w:val="105"/>
                <w:sz w:val="12"/>
              </w:rPr>
              <w:t>21,181.1</w:t>
            </w:r>
          </w:p>
        </w:tc>
        <w:tc>
          <w:tcPr>
            <w:tcW w:w="486" w:type="dxa"/>
            <w:tcBorders>
              <w:top w:val="single" w:sz="4" w:space="0" w:color="000000"/>
              <w:bottom w:val="single" w:sz="8" w:space="0" w:color="000000"/>
              <w:right w:val="single" w:sz="8" w:space="0" w:color="000000"/>
            </w:tcBorders>
          </w:tcPr>
          <w:p>
            <w:pPr>
              <w:pStyle w:val="TableParagraph"/>
              <w:spacing w:before="0"/>
              <w:ind w:right="57"/>
              <w:rPr>
                <w:b/>
                <w:sz w:val="12"/>
              </w:rPr>
            </w:pPr>
            <w:r>
              <w:rPr>
                <w:b/>
                <w:w w:val="105"/>
                <w:sz w:val="12"/>
              </w:rPr>
              <w:t>100</w:t>
            </w:r>
          </w:p>
        </w:tc>
      </w:tr>
      <w:tr>
        <w:trPr>
          <w:trHeight w:val="167" w:hRule="exact"/>
        </w:trPr>
        <w:tc>
          <w:tcPr>
            <w:tcW w:w="1217" w:type="dxa"/>
            <w:tcBorders>
              <w:top w:val="single" w:sz="4" w:space="0" w:color="000000"/>
              <w:left w:val="single" w:sz="8" w:space="0" w:color="000000"/>
              <w:bottom w:val="single" w:sz="3" w:space="0" w:color="000000"/>
              <w:right w:val="single" w:sz="8" w:space="0" w:color="000000"/>
            </w:tcBorders>
          </w:tcPr>
          <w:p>
            <w:pPr>
              <w:pStyle w:val="TableParagraph"/>
              <w:spacing w:before="10"/>
              <w:ind w:left="57"/>
              <w:jc w:val="left"/>
              <w:rPr>
                <w:b/>
                <w:sz w:val="12"/>
              </w:rPr>
            </w:pPr>
            <w:r>
              <w:rPr>
                <w:b/>
                <w:w w:val="105"/>
                <w:sz w:val="12"/>
              </w:rPr>
              <w:t>Nacional</w:t>
            </w:r>
          </w:p>
        </w:tc>
        <w:tc>
          <w:tcPr>
            <w:tcW w:w="1519" w:type="dxa"/>
            <w:tcBorders>
              <w:top w:val="single" w:sz="4" w:space="0" w:color="000000"/>
              <w:left w:val="single" w:sz="8" w:space="0" w:color="000000"/>
              <w:bottom w:val="single" w:sz="3" w:space="0" w:color="000000"/>
              <w:right w:val="single" w:sz="4" w:space="0" w:color="000000"/>
            </w:tcBorders>
          </w:tcPr>
          <w:p>
            <w:pPr>
              <w:pStyle w:val="TableParagraph"/>
              <w:spacing w:before="10"/>
              <w:ind w:right="66"/>
              <w:rPr>
                <w:b/>
                <w:sz w:val="12"/>
              </w:rPr>
            </w:pPr>
            <w:r>
              <w:rPr>
                <w:b/>
                <w:w w:val="105"/>
                <w:sz w:val="12"/>
              </w:rPr>
              <w:t>386.2</w:t>
            </w:r>
          </w:p>
        </w:tc>
        <w:tc>
          <w:tcPr>
            <w:tcW w:w="2138" w:type="dxa"/>
            <w:tcBorders>
              <w:top w:val="single" w:sz="4" w:space="0" w:color="000000"/>
              <w:left w:val="single" w:sz="4" w:space="0" w:color="000000"/>
              <w:bottom w:val="single" w:sz="3" w:space="0" w:color="000000"/>
              <w:right w:val="single" w:sz="4" w:space="0" w:color="000000"/>
            </w:tcBorders>
          </w:tcPr>
          <w:p>
            <w:pPr>
              <w:pStyle w:val="TableParagraph"/>
              <w:spacing w:before="10"/>
              <w:ind w:right="62"/>
              <w:rPr>
                <w:b/>
                <w:sz w:val="12"/>
              </w:rPr>
            </w:pPr>
            <w:r>
              <w:rPr>
                <w:b/>
                <w:w w:val="105"/>
                <w:sz w:val="12"/>
              </w:rPr>
              <w:t>0.0</w:t>
            </w:r>
          </w:p>
        </w:tc>
        <w:tc>
          <w:tcPr>
            <w:tcW w:w="2875" w:type="dxa"/>
            <w:tcBorders>
              <w:top w:val="single" w:sz="4" w:space="0" w:color="000000"/>
              <w:left w:val="single" w:sz="4" w:space="0" w:color="000000"/>
              <w:bottom w:val="single" w:sz="3" w:space="0" w:color="000000"/>
              <w:right w:val="single" w:sz="4" w:space="0" w:color="000000"/>
            </w:tcBorders>
          </w:tcPr>
          <w:p>
            <w:pPr>
              <w:pStyle w:val="TableParagraph"/>
              <w:spacing w:before="10"/>
              <w:ind w:right="66"/>
              <w:rPr>
                <w:b/>
                <w:sz w:val="12"/>
              </w:rPr>
            </w:pPr>
            <w:r>
              <w:rPr>
                <w:b/>
                <w:w w:val="105"/>
                <w:sz w:val="12"/>
              </w:rPr>
              <w:t>20,483.9</w:t>
            </w:r>
          </w:p>
        </w:tc>
        <w:tc>
          <w:tcPr>
            <w:tcW w:w="1903" w:type="dxa"/>
            <w:tcBorders>
              <w:top w:val="single" w:sz="4" w:space="0" w:color="000000"/>
              <w:left w:val="single" w:sz="4" w:space="0" w:color="000000"/>
              <w:bottom w:val="single" w:sz="3" w:space="0" w:color="000000"/>
              <w:right w:val="single" w:sz="8" w:space="0" w:color="000000"/>
            </w:tcBorders>
          </w:tcPr>
          <w:p>
            <w:pPr>
              <w:pStyle w:val="TableParagraph"/>
              <w:spacing w:before="10"/>
              <w:ind w:right="62"/>
              <w:rPr>
                <w:b/>
                <w:sz w:val="12"/>
              </w:rPr>
            </w:pPr>
            <w:r>
              <w:rPr>
                <w:b/>
                <w:w w:val="105"/>
                <w:sz w:val="12"/>
              </w:rPr>
              <w:t>311.0</w:t>
            </w:r>
          </w:p>
        </w:tc>
        <w:tc>
          <w:tcPr>
            <w:tcW w:w="899" w:type="dxa"/>
            <w:tcBorders>
              <w:top w:val="single" w:sz="4" w:space="0" w:color="000000"/>
              <w:left w:val="single" w:sz="8" w:space="0" w:color="000000"/>
              <w:bottom w:val="single" w:sz="3" w:space="0" w:color="000000"/>
            </w:tcBorders>
          </w:tcPr>
          <w:p>
            <w:pPr>
              <w:pStyle w:val="TableParagraph"/>
              <w:spacing w:before="10"/>
              <w:ind w:right="62"/>
              <w:rPr>
                <w:b/>
                <w:sz w:val="12"/>
              </w:rPr>
            </w:pPr>
            <w:r>
              <w:rPr>
                <w:b/>
                <w:w w:val="105"/>
                <w:sz w:val="12"/>
              </w:rPr>
              <w:t>21,181.1</w:t>
            </w:r>
          </w:p>
        </w:tc>
        <w:tc>
          <w:tcPr>
            <w:tcW w:w="865" w:type="dxa"/>
            <w:tcBorders>
              <w:top w:val="single" w:sz="4" w:space="0" w:color="000000"/>
              <w:bottom w:val="single" w:sz="3" w:space="0" w:color="000000"/>
              <w:right w:val="single" w:sz="8" w:space="0" w:color="000000"/>
            </w:tcBorders>
          </w:tcPr>
          <w:p>
            <w:pPr>
              <w:pStyle w:val="TableParagraph"/>
              <w:spacing w:before="10"/>
              <w:ind w:right="57"/>
              <w:rPr>
                <w:b/>
                <w:sz w:val="12"/>
              </w:rPr>
            </w:pPr>
            <w:r>
              <w:rPr>
                <w:b/>
                <w:w w:val="105"/>
                <w:sz w:val="12"/>
              </w:rPr>
              <w:t>100</w:t>
            </w:r>
          </w:p>
        </w:tc>
        <w:tc>
          <w:tcPr>
            <w:tcW w:w="1378" w:type="dxa"/>
            <w:gridSpan w:val="2"/>
            <w:tcBorders>
              <w:top w:val="single" w:sz="8" w:space="0" w:color="000000"/>
              <w:left w:val="single" w:sz="8" w:space="0" w:color="000000"/>
              <w:bottom w:val="nil"/>
              <w:right w:val="single" w:sz="8" w:space="0" w:color="000000"/>
            </w:tcBorders>
          </w:tcPr>
          <w:p>
            <w:pPr/>
          </w:p>
        </w:tc>
      </w:tr>
      <w:tr>
        <w:trPr>
          <w:trHeight w:val="169" w:hRule="exact"/>
        </w:trPr>
        <w:tc>
          <w:tcPr>
            <w:tcW w:w="1217" w:type="dxa"/>
            <w:tcBorders>
              <w:top w:val="single" w:sz="3" w:space="0" w:color="000000"/>
              <w:left w:val="single" w:sz="8" w:space="0" w:color="000000"/>
              <w:bottom w:val="single" w:sz="8" w:space="0" w:color="000000"/>
              <w:right w:val="single" w:sz="8" w:space="0" w:color="000000"/>
            </w:tcBorders>
          </w:tcPr>
          <w:p>
            <w:pPr>
              <w:pStyle w:val="TableParagraph"/>
              <w:spacing w:before="10"/>
              <w:ind w:left="57"/>
              <w:jc w:val="left"/>
              <w:rPr>
                <w:b/>
                <w:sz w:val="12"/>
              </w:rPr>
            </w:pPr>
            <w:r>
              <w:rPr>
                <w:b/>
                <w:w w:val="105"/>
                <w:sz w:val="12"/>
              </w:rPr>
              <w:t>Porcentaje</w:t>
            </w:r>
          </w:p>
        </w:tc>
        <w:tc>
          <w:tcPr>
            <w:tcW w:w="1519" w:type="dxa"/>
            <w:tcBorders>
              <w:top w:val="single" w:sz="3" w:space="0" w:color="000000"/>
              <w:left w:val="single" w:sz="8" w:space="0" w:color="000000"/>
              <w:bottom w:val="single" w:sz="8" w:space="0" w:color="000000"/>
              <w:right w:val="single" w:sz="4" w:space="0" w:color="000000"/>
            </w:tcBorders>
          </w:tcPr>
          <w:p>
            <w:pPr>
              <w:pStyle w:val="TableParagraph"/>
              <w:spacing w:before="10"/>
              <w:ind w:right="64"/>
              <w:rPr>
                <w:b/>
                <w:sz w:val="12"/>
              </w:rPr>
            </w:pPr>
            <w:r>
              <w:rPr>
                <w:b/>
                <w:w w:val="105"/>
                <w:sz w:val="12"/>
              </w:rPr>
              <w:t>1.8</w:t>
            </w:r>
          </w:p>
        </w:tc>
        <w:tc>
          <w:tcPr>
            <w:tcW w:w="2138" w:type="dxa"/>
            <w:tcBorders>
              <w:top w:val="single" w:sz="3" w:space="0" w:color="000000"/>
              <w:left w:val="single" w:sz="4" w:space="0" w:color="000000"/>
              <w:bottom w:val="single" w:sz="8" w:space="0" w:color="000000"/>
              <w:right w:val="single" w:sz="4" w:space="0" w:color="000000"/>
            </w:tcBorders>
          </w:tcPr>
          <w:p>
            <w:pPr>
              <w:pStyle w:val="TableParagraph"/>
              <w:spacing w:before="10"/>
              <w:ind w:right="62"/>
              <w:rPr>
                <w:b/>
                <w:sz w:val="12"/>
              </w:rPr>
            </w:pPr>
            <w:r>
              <w:rPr>
                <w:b/>
                <w:w w:val="105"/>
                <w:sz w:val="12"/>
              </w:rPr>
              <w:t>0</w:t>
            </w:r>
          </w:p>
        </w:tc>
        <w:tc>
          <w:tcPr>
            <w:tcW w:w="2875" w:type="dxa"/>
            <w:tcBorders>
              <w:top w:val="single" w:sz="3" w:space="0" w:color="000000"/>
              <w:left w:val="single" w:sz="4" w:space="0" w:color="000000"/>
              <w:bottom w:val="single" w:sz="8" w:space="0" w:color="000000"/>
              <w:right w:val="single" w:sz="4" w:space="0" w:color="000000"/>
            </w:tcBorders>
          </w:tcPr>
          <w:p>
            <w:pPr>
              <w:pStyle w:val="TableParagraph"/>
              <w:spacing w:before="10"/>
              <w:ind w:right="64"/>
              <w:rPr>
                <w:b/>
                <w:sz w:val="12"/>
              </w:rPr>
            </w:pPr>
            <w:r>
              <w:rPr>
                <w:b/>
                <w:w w:val="105"/>
                <w:sz w:val="12"/>
              </w:rPr>
              <w:t>96.7</w:t>
            </w:r>
          </w:p>
        </w:tc>
        <w:tc>
          <w:tcPr>
            <w:tcW w:w="1903" w:type="dxa"/>
            <w:tcBorders>
              <w:top w:val="single" w:sz="3" w:space="0" w:color="000000"/>
              <w:left w:val="single" w:sz="4" w:space="0" w:color="000000"/>
              <w:bottom w:val="single" w:sz="8" w:space="0" w:color="000000"/>
              <w:right w:val="single" w:sz="8" w:space="0" w:color="000000"/>
            </w:tcBorders>
          </w:tcPr>
          <w:p>
            <w:pPr>
              <w:pStyle w:val="TableParagraph"/>
              <w:spacing w:before="10"/>
              <w:ind w:right="59"/>
              <w:rPr>
                <w:b/>
                <w:sz w:val="12"/>
              </w:rPr>
            </w:pPr>
            <w:r>
              <w:rPr>
                <w:b/>
                <w:w w:val="105"/>
                <w:sz w:val="12"/>
              </w:rPr>
              <w:t>1.5</w:t>
            </w:r>
          </w:p>
        </w:tc>
        <w:tc>
          <w:tcPr>
            <w:tcW w:w="899" w:type="dxa"/>
            <w:tcBorders>
              <w:top w:val="single" w:sz="3" w:space="0" w:color="000000"/>
              <w:left w:val="single" w:sz="8" w:space="0" w:color="000000"/>
              <w:bottom w:val="single" w:sz="8" w:space="0" w:color="000000"/>
            </w:tcBorders>
          </w:tcPr>
          <w:p>
            <w:pPr>
              <w:pStyle w:val="TableParagraph"/>
              <w:spacing w:before="10"/>
              <w:ind w:right="59"/>
              <w:rPr>
                <w:b/>
                <w:sz w:val="12"/>
              </w:rPr>
            </w:pPr>
            <w:r>
              <w:rPr>
                <w:b/>
                <w:w w:val="105"/>
                <w:sz w:val="12"/>
              </w:rPr>
              <w:t>100</w:t>
            </w:r>
          </w:p>
        </w:tc>
        <w:tc>
          <w:tcPr>
            <w:tcW w:w="2243" w:type="dxa"/>
            <w:gridSpan w:val="3"/>
            <w:tcBorders>
              <w:top w:val="nil"/>
              <w:bottom w:val="single" w:sz="8" w:space="0" w:color="000000"/>
              <w:right w:val="nil"/>
            </w:tcBorders>
          </w:tcPr>
          <w:p>
            <w:pPr/>
          </w:p>
        </w:tc>
      </w:tr>
      <w:tr>
        <w:trPr>
          <w:trHeight w:val="166" w:hRule="exact"/>
        </w:trPr>
        <w:tc>
          <w:tcPr>
            <w:tcW w:w="12794" w:type="dxa"/>
            <w:gridSpan w:val="9"/>
            <w:tcBorders>
              <w:top w:val="single" w:sz="8" w:space="0" w:color="000000"/>
              <w:left w:val="single" w:sz="8" w:space="0" w:color="000000"/>
              <w:bottom w:val="single" w:sz="8" w:space="0" w:color="000000"/>
              <w:right w:val="single" w:sz="8" w:space="0" w:color="000000"/>
            </w:tcBorders>
          </w:tcPr>
          <w:p>
            <w:pPr>
              <w:pStyle w:val="TableParagraph"/>
              <w:spacing w:before="0"/>
              <w:ind w:left="5729" w:right="5730"/>
              <w:jc w:val="center"/>
              <w:rPr>
                <w:b/>
                <w:sz w:val="12"/>
              </w:rPr>
            </w:pPr>
            <w:r>
              <w:rPr>
                <w:b/>
                <w:w w:val="105"/>
                <w:sz w:val="12"/>
              </w:rPr>
              <w:t>Miles de operaciones</w:t>
            </w:r>
          </w:p>
        </w:tc>
      </w:tr>
      <w:tr>
        <w:trPr>
          <w:trHeight w:val="163" w:hRule="exact"/>
        </w:trPr>
        <w:tc>
          <w:tcPr>
            <w:tcW w:w="1217" w:type="dxa"/>
            <w:tcBorders>
              <w:top w:val="single" w:sz="8" w:space="0" w:color="000000"/>
              <w:left w:val="single" w:sz="8" w:space="0" w:color="000000"/>
              <w:bottom w:val="single" w:sz="8" w:space="0" w:color="000000"/>
              <w:right w:val="single" w:sz="8" w:space="0" w:color="000000"/>
            </w:tcBorders>
          </w:tcPr>
          <w:p>
            <w:pPr/>
          </w:p>
        </w:tc>
        <w:tc>
          <w:tcPr>
            <w:tcW w:w="1519" w:type="dxa"/>
            <w:tcBorders>
              <w:top w:val="single" w:sz="8" w:space="0" w:color="000000"/>
              <w:left w:val="single" w:sz="8" w:space="0" w:color="000000"/>
              <w:bottom w:val="single" w:sz="8" w:space="0" w:color="000000"/>
              <w:right w:val="single" w:sz="4" w:space="0" w:color="000000"/>
            </w:tcBorders>
          </w:tcPr>
          <w:p>
            <w:pPr>
              <w:pStyle w:val="TableParagraph"/>
              <w:spacing w:line="136" w:lineRule="exact" w:before="0"/>
              <w:ind w:left="57"/>
              <w:jc w:val="left"/>
              <w:rPr>
                <w:b/>
                <w:sz w:val="12"/>
              </w:rPr>
            </w:pPr>
            <w:r>
              <w:rPr>
                <w:b/>
                <w:w w:val="105"/>
                <w:sz w:val="12"/>
              </w:rPr>
              <w:t>Money orders</w:t>
            </w:r>
          </w:p>
        </w:tc>
        <w:tc>
          <w:tcPr>
            <w:tcW w:w="2138" w:type="dxa"/>
            <w:tcBorders>
              <w:top w:val="single" w:sz="8" w:space="0" w:color="000000"/>
              <w:left w:val="single" w:sz="4" w:space="0" w:color="000000"/>
              <w:bottom w:val="single" w:sz="8" w:space="0" w:color="000000"/>
              <w:right w:val="single" w:sz="4" w:space="0" w:color="000000"/>
            </w:tcBorders>
          </w:tcPr>
          <w:p>
            <w:pPr>
              <w:pStyle w:val="TableParagraph"/>
              <w:spacing w:line="136" w:lineRule="exact" w:before="0"/>
              <w:ind w:left="62"/>
              <w:jc w:val="left"/>
              <w:rPr>
                <w:b/>
                <w:sz w:val="12"/>
              </w:rPr>
            </w:pPr>
            <w:r>
              <w:rPr>
                <w:b/>
                <w:w w:val="105"/>
                <w:sz w:val="12"/>
              </w:rPr>
              <w:t>Cheques personales</w:t>
            </w:r>
          </w:p>
        </w:tc>
        <w:tc>
          <w:tcPr>
            <w:tcW w:w="2875" w:type="dxa"/>
            <w:tcBorders>
              <w:top w:val="single" w:sz="8" w:space="0" w:color="000000"/>
              <w:left w:val="single" w:sz="4" w:space="0" w:color="000000"/>
              <w:bottom w:val="single" w:sz="8" w:space="0" w:color="000000"/>
              <w:right w:val="single" w:sz="4" w:space="0" w:color="000000"/>
            </w:tcBorders>
          </w:tcPr>
          <w:p>
            <w:pPr>
              <w:pStyle w:val="TableParagraph"/>
              <w:spacing w:line="136" w:lineRule="exact" w:before="0"/>
              <w:ind w:left="62"/>
              <w:jc w:val="left"/>
              <w:rPr>
                <w:b/>
                <w:sz w:val="12"/>
              </w:rPr>
            </w:pPr>
            <w:r>
              <w:rPr>
                <w:b/>
                <w:w w:val="105"/>
                <w:sz w:val="12"/>
              </w:rPr>
              <w:t>Transferencias electrónicas</w:t>
            </w:r>
          </w:p>
        </w:tc>
        <w:tc>
          <w:tcPr>
            <w:tcW w:w="1903" w:type="dxa"/>
            <w:tcBorders>
              <w:top w:val="single" w:sz="8" w:space="0" w:color="000000"/>
              <w:left w:val="single" w:sz="4" w:space="0" w:color="000000"/>
              <w:bottom w:val="single" w:sz="8" w:space="0" w:color="000000"/>
              <w:right w:val="single" w:sz="8" w:space="0" w:color="000000"/>
            </w:tcBorders>
          </w:tcPr>
          <w:p>
            <w:pPr>
              <w:pStyle w:val="TableParagraph"/>
              <w:spacing w:line="136" w:lineRule="exact" w:before="0"/>
              <w:ind w:left="60"/>
              <w:jc w:val="left"/>
              <w:rPr>
                <w:b/>
                <w:sz w:val="12"/>
              </w:rPr>
            </w:pPr>
            <w:r>
              <w:rPr>
                <w:b/>
                <w:w w:val="105"/>
                <w:sz w:val="12"/>
              </w:rPr>
              <w:t>Efectivo y especie</w:t>
            </w:r>
          </w:p>
        </w:tc>
        <w:tc>
          <w:tcPr>
            <w:tcW w:w="899" w:type="dxa"/>
            <w:tcBorders>
              <w:top w:val="single" w:sz="8" w:space="0" w:color="000000"/>
              <w:left w:val="single" w:sz="8" w:space="0" w:color="000000"/>
              <w:bottom w:val="single" w:sz="8" w:space="0" w:color="000000"/>
            </w:tcBorders>
          </w:tcPr>
          <w:p>
            <w:pPr>
              <w:pStyle w:val="TableParagraph"/>
              <w:spacing w:line="136" w:lineRule="exact" w:before="0"/>
              <w:ind w:left="225"/>
              <w:jc w:val="left"/>
              <w:rPr>
                <w:b/>
                <w:sz w:val="12"/>
              </w:rPr>
            </w:pPr>
            <w:r>
              <w:rPr>
                <w:b/>
                <w:w w:val="105"/>
                <w:sz w:val="12"/>
              </w:rPr>
              <w:t>TOTAL</w:t>
            </w:r>
          </w:p>
        </w:tc>
        <w:tc>
          <w:tcPr>
            <w:tcW w:w="865" w:type="dxa"/>
            <w:tcBorders>
              <w:top w:val="single" w:sz="8" w:space="0" w:color="000000"/>
              <w:bottom w:val="single" w:sz="8" w:space="0" w:color="000000"/>
              <w:right w:val="single" w:sz="8" w:space="0" w:color="000000"/>
            </w:tcBorders>
          </w:tcPr>
          <w:p>
            <w:pPr>
              <w:pStyle w:val="TableParagraph"/>
              <w:spacing w:line="136" w:lineRule="exact" w:before="0"/>
              <w:ind w:left="160"/>
              <w:jc w:val="left"/>
              <w:rPr>
                <w:b/>
                <w:sz w:val="12"/>
              </w:rPr>
            </w:pPr>
            <w:r>
              <w:rPr>
                <w:b/>
                <w:w w:val="105"/>
                <w:sz w:val="12"/>
              </w:rPr>
              <w:t>PART. %</w:t>
            </w:r>
          </w:p>
        </w:tc>
        <w:tc>
          <w:tcPr>
            <w:tcW w:w="892" w:type="dxa"/>
            <w:tcBorders>
              <w:top w:val="single" w:sz="8" w:space="0" w:color="000000"/>
              <w:left w:val="single" w:sz="8" w:space="0" w:color="000000"/>
              <w:bottom w:val="single" w:sz="8" w:space="0" w:color="000000"/>
            </w:tcBorders>
          </w:tcPr>
          <w:p>
            <w:pPr>
              <w:pStyle w:val="TableParagraph"/>
              <w:spacing w:line="136" w:lineRule="exact" w:before="0"/>
              <w:ind w:left="304"/>
              <w:jc w:val="left"/>
              <w:rPr>
                <w:b/>
                <w:sz w:val="12"/>
              </w:rPr>
            </w:pPr>
            <w:r>
              <w:rPr>
                <w:b/>
                <w:w w:val="105"/>
                <w:sz w:val="12"/>
              </w:rPr>
              <w:t>FAA</w:t>
            </w:r>
          </w:p>
        </w:tc>
        <w:tc>
          <w:tcPr>
            <w:tcW w:w="486" w:type="dxa"/>
            <w:tcBorders>
              <w:top w:val="single" w:sz="8" w:space="0" w:color="000000"/>
              <w:bottom w:val="single" w:sz="8" w:space="0" w:color="000000"/>
              <w:right w:val="single" w:sz="8" w:space="0" w:color="000000"/>
            </w:tcBorders>
          </w:tcPr>
          <w:p>
            <w:pPr>
              <w:pStyle w:val="TableParagraph"/>
              <w:spacing w:line="136" w:lineRule="exact" w:before="0"/>
              <w:ind w:right="103"/>
              <w:rPr>
                <w:b/>
                <w:sz w:val="12"/>
              </w:rPr>
            </w:pPr>
            <w:r>
              <w:rPr>
                <w:b/>
                <w:w w:val="105"/>
                <w:sz w:val="12"/>
              </w:rPr>
              <w:t>FRA</w:t>
            </w:r>
          </w:p>
        </w:tc>
      </w:tr>
      <w:tr>
        <w:trPr>
          <w:trHeight w:val="161" w:hRule="exact"/>
        </w:trPr>
        <w:tc>
          <w:tcPr>
            <w:tcW w:w="1217" w:type="dxa"/>
            <w:tcBorders>
              <w:top w:val="single" w:sz="8"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Enero</w:t>
            </w:r>
          </w:p>
        </w:tc>
        <w:tc>
          <w:tcPr>
            <w:tcW w:w="1519" w:type="dxa"/>
            <w:tcBorders>
              <w:top w:val="single" w:sz="8" w:space="0" w:color="000000"/>
              <w:left w:val="single" w:sz="8" w:space="0" w:color="000000"/>
              <w:bottom w:val="single" w:sz="4" w:space="0" w:color="000000"/>
              <w:right w:val="single" w:sz="4" w:space="0" w:color="000000"/>
            </w:tcBorders>
          </w:tcPr>
          <w:p>
            <w:pPr>
              <w:pStyle w:val="TableParagraph"/>
              <w:ind w:right="64"/>
              <w:rPr>
                <w:sz w:val="12"/>
              </w:rPr>
            </w:pPr>
            <w:r>
              <w:rPr>
                <w:w w:val="105"/>
                <w:sz w:val="12"/>
              </w:rPr>
              <w:t>90.8</w:t>
            </w:r>
          </w:p>
        </w:tc>
        <w:tc>
          <w:tcPr>
            <w:tcW w:w="2138" w:type="dxa"/>
            <w:tcBorders>
              <w:top w:val="single" w:sz="8"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0.0</w:t>
            </w:r>
          </w:p>
        </w:tc>
        <w:tc>
          <w:tcPr>
            <w:tcW w:w="2875" w:type="dxa"/>
            <w:tcBorders>
              <w:top w:val="single" w:sz="8" w:space="0" w:color="000000"/>
              <w:left w:val="single" w:sz="4" w:space="0" w:color="000000"/>
              <w:bottom w:val="single" w:sz="4" w:space="0" w:color="000000"/>
              <w:right w:val="single" w:sz="4" w:space="0" w:color="000000"/>
            </w:tcBorders>
          </w:tcPr>
          <w:p>
            <w:pPr>
              <w:pStyle w:val="TableParagraph"/>
              <w:ind w:right="66"/>
              <w:rPr>
                <w:sz w:val="12"/>
              </w:rPr>
            </w:pPr>
            <w:r>
              <w:rPr>
                <w:w w:val="105"/>
                <w:sz w:val="12"/>
              </w:rPr>
              <w:t>4,643.9</w:t>
            </w:r>
          </w:p>
        </w:tc>
        <w:tc>
          <w:tcPr>
            <w:tcW w:w="1903" w:type="dxa"/>
            <w:tcBorders>
              <w:top w:val="single" w:sz="8" w:space="0" w:color="000000"/>
              <w:left w:val="single" w:sz="4" w:space="0" w:color="000000"/>
              <w:bottom w:val="single" w:sz="4" w:space="0" w:color="000000"/>
              <w:right w:val="single" w:sz="8" w:space="0" w:color="000000"/>
            </w:tcBorders>
          </w:tcPr>
          <w:p>
            <w:pPr>
              <w:pStyle w:val="TableParagraph"/>
              <w:ind w:right="59"/>
              <w:rPr>
                <w:sz w:val="12"/>
              </w:rPr>
            </w:pPr>
            <w:r>
              <w:rPr>
                <w:w w:val="105"/>
                <w:sz w:val="12"/>
              </w:rPr>
              <w:t>58.3</w:t>
            </w:r>
          </w:p>
        </w:tc>
        <w:tc>
          <w:tcPr>
            <w:tcW w:w="899" w:type="dxa"/>
            <w:tcBorders>
              <w:top w:val="single" w:sz="8" w:space="0" w:color="000000"/>
              <w:left w:val="single" w:sz="8" w:space="0" w:color="000000"/>
              <w:bottom w:val="single" w:sz="4" w:space="0" w:color="000000"/>
            </w:tcBorders>
          </w:tcPr>
          <w:p>
            <w:pPr>
              <w:pStyle w:val="TableParagraph"/>
              <w:ind w:right="62"/>
              <w:rPr>
                <w:sz w:val="12"/>
              </w:rPr>
            </w:pPr>
            <w:r>
              <w:rPr>
                <w:w w:val="105"/>
                <w:sz w:val="12"/>
              </w:rPr>
              <w:t>4,793.0</w:t>
            </w:r>
          </w:p>
        </w:tc>
        <w:tc>
          <w:tcPr>
            <w:tcW w:w="865" w:type="dxa"/>
            <w:tcBorders>
              <w:top w:val="single" w:sz="8" w:space="0" w:color="000000"/>
              <w:bottom w:val="single" w:sz="4" w:space="0" w:color="000000"/>
              <w:right w:val="single" w:sz="8" w:space="0" w:color="000000"/>
            </w:tcBorders>
          </w:tcPr>
          <w:p>
            <w:pPr>
              <w:pStyle w:val="TableParagraph"/>
              <w:ind w:right="57"/>
              <w:rPr>
                <w:sz w:val="12"/>
              </w:rPr>
            </w:pPr>
            <w:r>
              <w:rPr>
                <w:w w:val="105"/>
                <w:sz w:val="12"/>
              </w:rPr>
              <w:t>7.2</w:t>
            </w:r>
          </w:p>
        </w:tc>
        <w:tc>
          <w:tcPr>
            <w:tcW w:w="892" w:type="dxa"/>
            <w:tcBorders>
              <w:top w:val="single" w:sz="8" w:space="0" w:color="000000"/>
              <w:left w:val="single" w:sz="8" w:space="0" w:color="000000"/>
              <w:bottom w:val="single" w:sz="4" w:space="0" w:color="000000"/>
            </w:tcBorders>
          </w:tcPr>
          <w:p>
            <w:pPr>
              <w:pStyle w:val="TableParagraph"/>
              <w:ind w:right="59"/>
              <w:rPr>
                <w:sz w:val="12"/>
              </w:rPr>
            </w:pPr>
            <w:r>
              <w:rPr>
                <w:w w:val="105"/>
                <w:sz w:val="12"/>
              </w:rPr>
              <w:t>4,793.0</w:t>
            </w:r>
          </w:p>
        </w:tc>
        <w:tc>
          <w:tcPr>
            <w:tcW w:w="486" w:type="dxa"/>
            <w:tcBorders>
              <w:top w:val="single" w:sz="8" w:space="0" w:color="000000"/>
              <w:bottom w:val="single" w:sz="4" w:space="0" w:color="000000"/>
              <w:right w:val="single" w:sz="8" w:space="0" w:color="000000"/>
            </w:tcBorders>
          </w:tcPr>
          <w:p>
            <w:pPr>
              <w:pStyle w:val="TableParagraph"/>
              <w:ind w:right="57"/>
              <w:rPr>
                <w:sz w:val="12"/>
              </w:rPr>
            </w:pPr>
            <w:r>
              <w:rPr>
                <w:w w:val="105"/>
                <w:sz w:val="12"/>
              </w:rPr>
              <w:t>7.2</w:t>
            </w:r>
          </w:p>
        </w:tc>
      </w:tr>
      <w:tr>
        <w:trPr>
          <w:trHeight w:val="156" w:hRule="exact"/>
        </w:trPr>
        <w:tc>
          <w:tcPr>
            <w:tcW w:w="1217"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Febrero</w:t>
            </w:r>
          </w:p>
        </w:tc>
        <w:tc>
          <w:tcPr>
            <w:tcW w:w="1519" w:type="dxa"/>
            <w:tcBorders>
              <w:top w:val="single" w:sz="4" w:space="0" w:color="000000"/>
              <w:left w:val="single" w:sz="8" w:space="0" w:color="000000"/>
              <w:bottom w:val="single" w:sz="4" w:space="0" w:color="000000"/>
              <w:right w:val="single" w:sz="4" w:space="0" w:color="000000"/>
            </w:tcBorders>
          </w:tcPr>
          <w:p>
            <w:pPr>
              <w:pStyle w:val="TableParagraph"/>
              <w:ind w:right="64"/>
              <w:rPr>
                <w:sz w:val="12"/>
              </w:rPr>
            </w:pPr>
            <w:r>
              <w:rPr>
                <w:w w:val="105"/>
                <w:sz w:val="12"/>
              </w:rPr>
              <w:t>68.7</w:t>
            </w:r>
          </w:p>
        </w:tc>
        <w:tc>
          <w:tcPr>
            <w:tcW w:w="2138"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0.0</w:t>
            </w:r>
          </w:p>
        </w:tc>
        <w:tc>
          <w:tcPr>
            <w:tcW w:w="2875" w:type="dxa"/>
            <w:tcBorders>
              <w:top w:val="single" w:sz="4" w:space="0" w:color="000000"/>
              <w:left w:val="single" w:sz="4" w:space="0" w:color="000000"/>
              <w:bottom w:val="single" w:sz="4" w:space="0" w:color="000000"/>
              <w:right w:val="single" w:sz="4" w:space="0" w:color="000000"/>
            </w:tcBorders>
          </w:tcPr>
          <w:p>
            <w:pPr>
              <w:pStyle w:val="TableParagraph"/>
              <w:ind w:right="66"/>
              <w:rPr>
                <w:sz w:val="12"/>
              </w:rPr>
            </w:pPr>
            <w:r>
              <w:rPr>
                <w:w w:val="105"/>
                <w:sz w:val="12"/>
              </w:rPr>
              <w:t>5,067.3</w:t>
            </w:r>
          </w:p>
        </w:tc>
        <w:tc>
          <w:tcPr>
            <w:tcW w:w="1903" w:type="dxa"/>
            <w:tcBorders>
              <w:top w:val="single" w:sz="4" w:space="0" w:color="000000"/>
              <w:left w:val="single" w:sz="4" w:space="0" w:color="000000"/>
              <w:bottom w:val="single" w:sz="4" w:space="0" w:color="000000"/>
              <w:right w:val="single" w:sz="8" w:space="0" w:color="000000"/>
            </w:tcBorders>
          </w:tcPr>
          <w:p>
            <w:pPr>
              <w:pStyle w:val="TableParagraph"/>
              <w:ind w:right="59"/>
              <w:rPr>
                <w:sz w:val="12"/>
              </w:rPr>
            </w:pPr>
            <w:r>
              <w:rPr>
                <w:w w:val="105"/>
                <w:sz w:val="12"/>
              </w:rPr>
              <w:t>45.9</w:t>
            </w:r>
          </w:p>
        </w:tc>
        <w:tc>
          <w:tcPr>
            <w:tcW w:w="899" w:type="dxa"/>
            <w:tcBorders>
              <w:top w:val="single" w:sz="4" w:space="0" w:color="000000"/>
              <w:left w:val="single" w:sz="8" w:space="0" w:color="000000"/>
              <w:bottom w:val="single" w:sz="4" w:space="0" w:color="000000"/>
            </w:tcBorders>
          </w:tcPr>
          <w:p>
            <w:pPr>
              <w:pStyle w:val="TableParagraph"/>
              <w:ind w:right="62"/>
              <w:rPr>
                <w:sz w:val="12"/>
              </w:rPr>
            </w:pPr>
            <w:r>
              <w:rPr>
                <w:w w:val="105"/>
                <w:sz w:val="12"/>
              </w:rPr>
              <w:t>5,181.9</w:t>
            </w:r>
          </w:p>
        </w:tc>
        <w:tc>
          <w:tcPr>
            <w:tcW w:w="865"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7.8</w:t>
            </w:r>
          </w:p>
        </w:tc>
        <w:tc>
          <w:tcPr>
            <w:tcW w:w="892" w:type="dxa"/>
            <w:tcBorders>
              <w:top w:val="single" w:sz="4" w:space="0" w:color="000000"/>
              <w:left w:val="single" w:sz="8" w:space="0" w:color="000000"/>
              <w:bottom w:val="single" w:sz="4" w:space="0" w:color="000000"/>
            </w:tcBorders>
          </w:tcPr>
          <w:p>
            <w:pPr>
              <w:pStyle w:val="TableParagraph"/>
              <w:ind w:right="59"/>
              <w:rPr>
                <w:sz w:val="12"/>
              </w:rPr>
            </w:pPr>
            <w:r>
              <w:rPr>
                <w:w w:val="105"/>
                <w:sz w:val="12"/>
              </w:rPr>
              <w:t>9,974.8</w:t>
            </w:r>
          </w:p>
        </w:tc>
        <w:tc>
          <w:tcPr>
            <w:tcW w:w="486"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14.9</w:t>
            </w:r>
          </w:p>
        </w:tc>
      </w:tr>
      <w:tr>
        <w:trPr>
          <w:trHeight w:val="155" w:hRule="exact"/>
        </w:trPr>
        <w:tc>
          <w:tcPr>
            <w:tcW w:w="1217" w:type="dxa"/>
            <w:tcBorders>
              <w:top w:val="single" w:sz="4" w:space="0" w:color="000000"/>
              <w:left w:val="single" w:sz="8" w:space="0" w:color="000000"/>
              <w:bottom w:val="single" w:sz="3" w:space="0" w:color="000000"/>
              <w:right w:val="single" w:sz="8" w:space="0" w:color="000000"/>
            </w:tcBorders>
          </w:tcPr>
          <w:p>
            <w:pPr>
              <w:pStyle w:val="TableParagraph"/>
              <w:spacing w:before="0"/>
              <w:ind w:left="57"/>
              <w:jc w:val="left"/>
              <w:rPr>
                <w:b/>
                <w:sz w:val="12"/>
              </w:rPr>
            </w:pPr>
            <w:r>
              <w:rPr>
                <w:b/>
                <w:w w:val="105"/>
                <w:sz w:val="12"/>
              </w:rPr>
              <w:t>Marzo</w:t>
            </w:r>
          </w:p>
        </w:tc>
        <w:tc>
          <w:tcPr>
            <w:tcW w:w="1519" w:type="dxa"/>
            <w:tcBorders>
              <w:top w:val="single" w:sz="4" w:space="0" w:color="000000"/>
              <w:left w:val="single" w:sz="8" w:space="0" w:color="000000"/>
              <w:bottom w:val="single" w:sz="3" w:space="0" w:color="000000"/>
              <w:right w:val="single" w:sz="4" w:space="0" w:color="000000"/>
            </w:tcBorders>
          </w:tcPr>
          <w:p>
            <w:pPr>
              <w:pStyle w:val="TableParagraph"/>
              <w:ind w:right="64"/>
              <w:rPr>
                <w:sz w:val="12"/>
              </w:rPr>
            </w:pPr>
            <w:r>
              <w:rPr>
                <w:w w:val="105"/>
                <w:sz w:val="12"/>
              </w:rPr>
              <w:t>77.1</w:t>
            </w:r>
          </w:p>
        </w:tc>
        <w:tc>
          <w:tcPr>
            <w:tcW w:w="2138" w:type="dxa"/>
            <w:tcBorders>
              <w:top w:val="single" w:sz="4" w:space="0" w:color="000000"/>
              <w:left w:val="single" w:sz="4" w:space="0" w:color="000000"/>
              <w:bottom w:val="single" w:sz="3" w:space="0" w:color="000000"/>
              <w:right w:val="single" w:sz="4" w:space="0" w:color="000000"/>
            </w:tcBorders>
          </w:tcPr>
          <w:p>
            <w:pPr>
              <w:pStyle w:val="TableParagraph"/>
              <w:ind w:right="62"/>
              <w:rPr>
                <w:sz w:val="12"/>
              </w:rPr>
            </w:pPr>
            <w:r>
              <w:rPr>
                <w:w w:val="105"/>
                <w:sz w:val="12"/>
              </w:rPr>
              <w:t>0.0</w:t>
            </w:r>
          </w:p>
        </w:tc>
        <w:tc>
          <w:tcPr>
            <w:tcW w:w="2875" w:type="dxa"/>
            <w:tcBorders>
              <w:top w:val="single" w:sz="4" w:space="0" w:color="000000"/>
              <w:left w:val="single" w:sz="4" w:space="0" w:color="000000"/>
              <w:bottom w:val="single" w:sz="3" w:space="0" w:color="000000"/>
              <w:right w:val="single" w:sz="4" w:space="0" w:color="000000"/>
            </w:tcBorders>
          </w:tcPr>
          <w:p>
            <w:pPr>
              <w:pStyle w:val="TableParagraph"/>
              <w:ind w:right="66"/>
              <w:rPr>
                <w:sz w:val="12"/>
              </w:rPr>
            </w:pPr>
            <w:r>
              <w:rPr>
                <w:w w:val="105"/>
                <w:sz w:val="12"/>
              </w:rPr>
              <w:t>5,892.2</w:t>
            </w:r>
          </w:p>
        </w:tc>
        <w:tc>
          <w:tcPr>
            <w:tcW w:w="1903" w:type="dxa"/>
            <w:tcBorders>
              <w:top w:val="single" w:sz="4" w:space="0" w:color="000000"/>
              <w:left w:val="single" w:sz="4" w:space="0" w:color="000000"/>
              <w:bottom w:val="single" w:sz="3" w:space="0" w:color="000000"/>
              <w:right w:val="single" w:sz="8" w:space="0" w:color="000000"/>
            </w:tcBorders>
          </w:tcPr>
          <w:p>
            <w:pPr>
              <w:pStyle w:val="TableParagraph"/>
              <w:ind w:right="59"/>
              <w:rPr>
                <w:sz w:val="12"/>
              </w:rPr>
            </w:pPr>
            <w:r>
              <w:rPr>
                <w:w w:val="105"/>
                <w:sz w:val="12"/>
              </w:rPr>
              <w:t>52.2</w:t>
            </w:r>
          </w:p>
        </w:tc>
        <w:tc>
          <w:tcPr>
            <w:tcW w:w="899" w:type="dxa"/>
            <w:tcBorders>
              <w:top w:val="single" w:sz="4" w:space="0" w:color="000000"/>
              <w:left w:val="single" w:sz="8" w:space="0" w:color="000000"/>
              <w:bottom w:val="single" w:sz="3" w:space="0" w:color="000000"/>
            </w:tcBorders>
          </w:tcPr>
          <w:p>
            <w:pPr>
              <w:pStyle w:val="TableParagraph"/>
              <w:ind w:right="62"/>
              <w:rPr>
                <w:sz w:val="12"/>
              </w:rPr>
            </w:pPr>
            <w:r>
              <w:rPr>
                <w:w w:val="105"/>
                <w:sz w:val="12"/>
              </w:rPr>
              <w:t>6,021.5</w:t>
            </w:r>
          </w:p>
        </w:tc>
        <w:tc>
          <w:tcPr>
            <w:tcW w:w="865" w:type="dxa"/>
            <w:tcBorders>
              <w:top w:val="single" w:sz="4" w:space="0" w:color="000000"/>
              <w:bottom w:val="single" w:sz="3" w:space="0" w:color="000000"/>
              <w:right w:val="single" w:sz="8" w:space="0" w:color="000000"/>
            </w:tcBorders>
          </w:tcPr>
          <w:p>
            <w:pPr>
              <w:pStyle w:val="TableParagraph"/>
              <w:ind w:right="57"/>
              <w:rPr>
                <w:sz w:val="12"/>
              </w:rPr>
            </w:pPr>
            <w:r>
              <w:rPr>
                <w:w w:val="105"/>
                <w:sz w:val="12"/>
              </w:rPr>
              <w:t>9.0</w:t>
            </w:r>
          </w:p>
        </w:tc>
        <w:tc>
          <w:tcPr>
            <w:tcW w:w="892" w:type="dxa"/>
            <w:tcBorders>
              <w:top w:val="single" w:sz="4" w:space="0" w:color="000000"/>
              <w:left w:val="single" w:sz="8" w:space="0" w:color="000000"/>
              <w:bottom w:val="single" w:sz="3" w:space="0" w:color="000000"/>
            </w:tcBorders>
          </w:tcPr>
          <w:p>
            <w:pPr>
              <w:pStyle w:val="TableParagraph"/>
              <w:ind w:right="59"/>
              <w:rPr>
                <w:sz w:val="12"/>
              </w:rPr>
            </w:pPr>
            <w:r>
              <w:rPr>
                <w:w w:val="105"/>
                <w:sz w:val="12"/>
              </w:rPr>
              <w:t>15,996.3</w:t>
            </w:r>
          </w:p>
        </w:tc>
        <w:tc>
          <w:tcPr>
            <w:tcW w:w="486" w:type="dxa"/>
            <w:tcBorders>
              <w:top w:val="single" w:sz="4" w:space="0" w:color="000000"/>
              <w:bottom w:val="single" w:sz="3" w:space="0" w:color="000000"/>
              <w:right w:val="single" w:sz="8" w:space="0" w:color="000000"/>
            </w:tcBorders>
          </w:tcPr>
          <w:p>
            <w:pPr>
              <w:pStyle w:val="TableParagraph"/>
              <w:ind w:right="57"/>
              <w:rPr>
                <w:sz w:val="12"/>
              </w:rPr>
            </w:pPr>
            <w:r>
              <w:rPr>
                <w:w w:val="105"/>
                <w:sz w:val="12"/>
              </w:rPr>
              <w:t>23.9</w:t>
            </w:r>
          </w:p>
        </w:tc>
      </w:tr>
      <w:tr>
        <w:trPr>
          <w:trHeight w:val="155" w:hRule="exact"/>
        </w:trPr>
        <w:tc>
          <w:tcPr>
            <w:tcW w:w="1217" w:type="dxa"/>
            <w:tcBorders>
              <w:top w:val="single" w:sz="3"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Abril</w:t>
            </w:r>
          </w:p>
        </w:tc>
        <w:tc>
          <w:tcPr>
            <w:tcW w:w="1519" w:type="dxa"/>
            <w:tcBorders>
              <w:top w:val="single" w:sz="3" w:space="0" w:color="000000"/>
              <w:left w:val="single" w:sz="8" w:space="0" w:color="000000"/>
              <w:bottom w:val="single" w:sz="4" w:space="0" w:color="000000"/>
              <w:right w:val="single" w:sz="4" w:space="0" w:color="000000"/>
            </w:tcBorders>
          </w:tcPr>
          <w:p>
            <w:pPr>
              <w:pStyle w:val="TableParagraph"/>
              <w:ind w:right="64"/>
              <w:rPr>
                <w:sz w:val="12"/>
              </w:rPr>
            </w:pPr>
            <w:r>
              <w:rPr>
                <w:w w:val="105"/>
                <w:sz w:val="12"/>
              </w:rPr>
              <w:t>75.0</w:t>
            </w:r>
          </w:p>
        </w:tc>
        <w:tc>
          <w:tcPr>
            <w:tcW w:w="2138" w:type="dxa"/>
            <w:tcBorders>
              <w:top w:val="single" w:sz="3"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0.0</w:t>
            </w:r>
          </w:p>
        </w:tc>
        <w:tc>
          <w:tcPr>
            <w:tcW w:w="2875" w:type="dxa"/>
            <w:tcBorders>
              <w:top w:val="single" w:sz="3" w:space="0" w:color="000000"/>
              <w:left w:val="single" w:sz="4" w:space="0" w:color="000000"/>
              <w:bottom w:val="single" w:sz="4" w:space="0" w:color="000000"/>
              <w:right w:val="single" w:sz="4" w:space="0" w:color="000000"/>
            </w:tcBorders>
          </w:tcPr>
          <w:p>
            <w:pPr>
              <w:pStyle w:val="TableParagraph"/>
              <w:ind w:right="66"/>
              <w:rPr>
                <w:sz w:val="12"/>
              </w:rPr>
            </w:pPr>
            <w:r>
              <w:rPr>
                <w:w w:val="105"/>
                <w:sz w:val="12"/>
              </w:rPr>
              <w:t>5,373.4</w:t>
            </w:r>
          </w:p>
        </w:tc>
        <w:tc>
          <w:tcPr>
            <w:tcW w:w="1903" w:type="dxa"/>
            <w:tcBorders>
              <w:top w:val="single" w:sz="3" w:space="0" w:color="000000"/>
              <w:left w:val="single" w:sz="4" w:space="0" w:color="000000"/>
              <w:bottom w:val="single" w:sz="4" w:space="0" w:color="000000"/>
              <w:right w:val="single" w:sz="8" w:space="0" w:color="000000"/>
            </w:tcBorders>
          </w:tcPr>
          <w:p>
            <w:pPr>
              <w:pStyle w:val="TableParagraph"/>
              <w:ind w:right="59"/>
              <w:rPr>
                <w:sz w:val="12"/>
              </w:rPr>
            </w:pPr>
            <w:r>
              <w:rPr>
                <w:w w:val="105"/>
                <w:sz w:val="12"/>
              </w:rPr>
              <w:t>51.7</w:t>
            </w:r>
          </w:p>
        </w:tc>
        <w:tc>
          <w:tcPr>
            <w:tcW w:w="899" w:type="dxa"/>
            <w:tcBorders>
              <w:top w:val="single" w:sz="3" w:space="0" w:color="000000"/>
              <w:left w:val="single" w:sz="8" w:space="0" w:color="000000"/>
              <w:bottom w:val="single" w:sz="4" w:space="0" w:color="000000"/>
            </w:tcBorders>
          </w:tcPr>
          <w:p>
            <w:pPr>
              <w:pStyle w:val="TableParagraph"/>
              <w:ind w:right="62"/>
              <w:rPr>
                <w:sz w:val="12"/>
              </w:rPr>
            </w:pPr>
            <w:r>
              <w:rPr>
                <w:w w:val="105"/>
                <w:sz w:val="12"/>
              </w:rPr>
              <w:t>5,500.1</w:t>
            </w:r>
          </w:p>
        </w:tc>
        <w:tc>
          <w:tcPr>
            <w:tcW w:w="865" w:type="dxa"/>
            <w:tcBorders>
              <w:top w:val="single" w:sz="3" w:space="0" w:color="000000"/>
              <w:bottom w:val="single" w:sz="4" w:space="0" w:color="000000"/>
              <w:right w:val="single" w:sz="8" w:space="0" w:color="000000"/>
            </w:tcBorders>
          </w:tcPr>
          <w:p>
            <w:pPr>
              <w:pStyle w:val="TableParagraph"/>
              <w:ind w:right="57"/>
              <w:rPr>
                <w:sz w:val="12"/>
              </w:rPr>
            </w:pPr>
            <w:r>
              <w:rPr>
                <w:w w:val="105"/>
                <w:sz w:val="12"/>
              </w:rPr>
              <w:t>8.2</w:t>
            </w:r>
          </w:p>
        </w:tc>
        <w:tc>
          <w:tcPr>
            <w:tcW w:w="892" w:type="dxa"/>
            <w:tcBorders>
              <w:top w:val="single" w:sz="3" w:space="0" w:color="000000"/>
              <w:left w:val="single" w:sz="8" w:space="0" w:color="000000"/>
              <w:bottom w:val="single" w:sz="4" w:space="0" w:color="000000"/>
            </w:tcBorders>
          </w:tcPr>
          <w:p>
            <w:pPr>
              <w:pStyle w:val="TableParagraph"/>
              <w:ind w:right="59"/>
              <w:rPr>
                <w:sz w:val="12"/>
              </w:rPr>
            </w:pPr>
            <w:r>
              <w:rPr>
                <w:w w:val="105"/>
                <w:sz w:val="12"/>
              </w:rPr>
              <w:t>21,496.4</w:t>
            </w:r>
          </w:p>
        </w:tc>
        <w:tc>
          <w:tcPr>
            <w:tcW w:w="486" w:type="dxa"/>
            <w:tcBorders>
              <w:top w:val="single" w:sz="3" w:space="0" w:color="000000"/>
              <w:bottom w:val="single" w:sz="4" w:space="0" w:color="000000"/>
              <w:right w:val="single" w:sz="8" w:space="0" w:color="000000"/>
            </w:tcBorders>
          </w:tcPr>
          <w:p>
            <w:pPr>
              <w:pStyle w:val="TableParagraph"/>
              <w:ind w:right="57"/>
              <w:rPr>
                <w:sz w:val="12"/>
              </w:rPr>
            </w:pPr>
            <w:r>
              <w:rPr>
                <w:w w:val="105"/>
                <w:sz w:val="12"/>
              </w:rPr>
              <w:t>32.2</w:t>
            </w:r>
          </w:p>
        </w:tc>
      </w:tr>
      <w:tr>
        <w:trPr>
          <w:trHeight w:val="156" w:hRule="exact"/>
        </w:trPr>
        <w:tc>
          <w:tcPr>
            <w:tcW w:w="1217"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Mayo</w:t>
            </w:r>
          </w:p>
        </w:tc>
        <w:tc>
          <w:tcPr>
            <w:tcW w:w="1519" w:type="dxa"/>
            <w:tcBorders>
              <w:top w:val="single" w:sz="4" w:space="0" w:color="000000"/>
              <w:left w:val="single" w:sz="8" w:space="0" w:color="000000"/>
              <w:bottom w:val="single" w:sz="4" w:space="0" w:color="000000"/>
              <w:right w:val="single" w:sz="4" w:space="0" w:color="000000"/>
            </w:tcBorders>
          </w:tcPr>
          <w:p>
            <w:pPr>
              <w:pStyle w:val="TableParagraph"/>
              <w:ind w:right="64"/>
              <w:rPr>
                <w:sz w:val="12"/>
              </w:rPr>
            </w:pPr>
            <w:r>
              <w:rPr>
                <w:w w:val="105"/>
                <w:sz w:val="12"/>
              </w:rPr>
              <w:t>82.2</w:t>
            </w:r>
          </w:p>
        </w:tc>
        <w:tc>
          <w:tcPr>
            <w:tcW w:w="2138"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0.0</w:t>
            </w:r>
          </w:p>
        </w:tc>
        <w:tc>
          <w:tcPr>
            <w:tcW w:w="2875" w:type="dxa"/>
            <w:tcBorders>
              <w:top w:val="single" w:sz="4" w:space="0" w:color="000000"/>
              <w:left w:val="single" w:sz="4" w:space="0" w:color="000000"/>
              <w:bottom w:val="single" w:sz="4" w:space="0" w:color="000000"/>
              <w:right w:val="single" w:sz="4" w:space="0" w:color="000000"/>
            </w:tcBorders>
          </w:tcPr>
          <w:p>
            <w:pPr>
              <w:pStyle w:val="TableParagraph"/>
              <w:ind w:right="66"/>
              <w:rPr>
                <w:sz w:val="12"/>
              </w:rPr>
            </w:pPr>
            <w:r>
              <w:rPr>
                <w:w w:val="105"/>
                <w:sz w:val="12"/>
              </w:rPr>
              <w:t>6,156.0</w:t>
            </w:r>
          </w:p>
        </w:tc>
        <w:tc>
          <w:tcPr>
            <w:tcW w:w="1903" w:type="dxa"/>
            <w:tcBorders>
              <w:top w:val="single" w:sz="4" w:space="0" w:color="000000"/>
              <w:left w:val="single" w:sz="4" w:space="0" w:color="000000"/>
              <w:bottom w:val="single" w:sz="4" w:space="0" w:color="000000"/>
              <w:right w:val="single" w:sz="8" w:space="0" w:color="000000"/>
            </w:tcBorders>
          </w:tcPr>
          <w:p>
            <w:pPr>
              <w:pStyle w:val="TableParagraph"/>
              <w:ind w:right="59"/>
              <w:rPr>
                <w:sz w:val="12"/>
              </w:rPr>
            </w:pPr>
            <w:r>
              <w:rPr>
                <w:w w:val="105"/>
                <w:sz w:val="12"/>
              </w:rPr>
              <w:t>38.1</w:t>
            </w:r>
          </w:p>
        </w:tc>
        <w:tc>
          <w:tcPr>
            <w:tcW w:w="899" w:type="dxa"/>
            <w:tcBorders>
              <w:top w:val="single" w:sz="4" w:space="0" w:color="000000"/>
              <w:left w:val="single" w:sz="8" w:space="0" w:color="000000"/>
              <w:bottom w:val="single" w:sz="4" w:space="0" w:color="000000"/>
            </w:tcBorders>
          </w:tcPr>
          <w:p>
            <w:pPr>
              <w:pStyle w:val="TableParagraph"/>
              <w:ind w:right="62"/>
              <w:rPr>
                <w:sz w:val="12"/>
              </w:rPr>
            </w:pPr>
            <w:r>
              <w:rPr>
                <w:w w:val="105"/>
                <w:sz w:val="12"/>
              </w:rPr>
              <w:t>6,276.3</w:t>
            </w:r>
          </w:p>
        </w:tc>
        <w:tc>
          <w:tcPr>
            <w:tcW w:w="865"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9.4</w:t>
            </w:r>
          </w:p>
        </w:tc>
        <w:tc>
          <w:tcPr>
            <w:tcW w:w="892" w:type="dxa"/>
            <w:tcBorders>
              <w:top w:val="single" w:sz="4" w:space="0" w:color="000000"/>
              <w:left w:val="single" w:sz="8" w:space="0" w:color="000000"/>
              <w:bottom w:val="single" w:sz="4" w:space="0" w:color="000000"/>
            </w:tcBorders>
          </w:tcPr>
          <w:p>
            <w:pPr>
              <w:pStyle w:val="TableParagraph"/>
              <w:ind w:right="59"/>
              <w:rPr>
                <w:sz w:val="12"/>
              </w:rPr>
            </w:pPr>
            <w:r>
              <w:rPr>
                <w:w w:val="105"/>
                <w:sz w:val="12"/>
              </w:rPr>
              <w:t>27,772.7</w:t>
            </w:r>
          </w:p>
        </w:tc>
        <w:tc>
          <w:tcPr>
            <w:tcW w:w="486"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41.6</w:t>
            </w:r>
          </w:p>
        </w:tc>
      </w:tr>
      <w:tr>
        <w:trPr>
          <w:trHeight w:val="154" w:hRule="exact"/>
        </w:trPr>
        <w:tc>
          <w:tcPr>
            <w:tcW w:w="1217"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Junio</w:t>
            </w:r>
          </w:p>
        </w:tc>
        <w:tc>
          <w:tcPr>
            <w:tcW w:w="1519" w:type="dxa"/>
            <w:tcBorders>
              <w:top w:val="single" w:sz="4" w:space="0" w:color="000000"/>
              <w:left w:val="single" w:sz="8" w:space="0" w:color="000000"/>
              <w:bottom w:val="single" w:sz="4" w:space="0" w:color="000000"/>
              <w:right w:val="single" w:sz="4" w:space="0" w:color="000000"/>
            </w:tcBorders>
          </w:tcPr>
          <w:p>
            <w:pPr>
              <w:pStyle w:val="TableParagraph"/>
              <w:ind w:right="64"/>
              <w:rPr>
                <w:sz w:val="12"/>
              </w:rPr>
            </w:pPr>
            <w:r>
              <w:rPr>
                <w:w w:val="105"/>
                <w:sz w:val="12"/>
              </w:rPr>
              <w:t>86.3</w:t>
            </w:r>
          </w:p>
        </w:tc>
        <w:tc>
          <w:tcPr>
            <w:tcW w:w="2138"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0.0</w:t>
            </w:r>
          </w:p>
        </w:tc>
        <w:tc>
          <w:tcPr>
            <w:tcW w:w="2875" w:type="dxa"/>
            <w:tcBorders>
              <w:top w:val="single" w:sz="4" w:space="0" w:color="000000"/>
              <w:left w:val="single" w:sz="4" w:space="0" w:color="000000"/>
              <w:bottom w:val="single" w:sz="4" w:space="0" w:color="000000"/>
              <w:right w:val="single" w:sz="4" w:space="0" w:color="000000"/>
            </w:tcBorders>
          </w:tcPr>
          <w:p>
            <w:pPr>
              <w:pStyle w:val="TableParagraph"/>
              <w:ind w:right="66"/>
              <w:rPr>
                <w:sz w:val="12"/>
              </w:rPr>
            </w:pPr>
            <w:r>
              <w:rPr>
                <w:w w:val="105"/>
                <w:sz w:val="12"/>
              </w:rPr>
              <w:t>5,846.8</w:t>
            </w:r>
          </w:p>
        </w:tc>
        <w:tc>
          <w:tcPr>
            <w:tcW w:w="1903" w:type="dxa"/>
            <w:tcBorders>
              <w:top w:val="single" w:sz="4" w:space="0" w:color="000000"/>
              <w:left w:val="single" w:sz="4" w:space="0" w:color="000000"/>
              <w:bottom w:val="single" w:sz="4" w:space="0" w:color="000000"/>
              <w:right w:val="single" w:sz="8" w:space="0" w:color="000000"/>
            </w:tcBorders>
          </w:tcPr>
          <w:p>
            <w:pPr>
              <w:pStyle w:val="TableParagraph"/>
              <w:ind w:right="59"/>
              <w:rPr>
                <w:sz w:val="12"/>
              </w:rPr>
            </w:pPr>
            <w:r>
              <w:rPr>
                <w:w w:val="105"/>
                <w:sz w:val="12"/>
              </w:rPr>
              <w:t>59.1</w:t>
            </w:r>
          </w:p>
        </w:tc>
        <w:tc>
          <w:tcPr>
            <w:tcW w:w="899" w:type="dxa"/>
            <w:tcBorders>
              <w:top w:val="single" w:sz="4" w:space="0" w:color="000000"/>
              <w:left w:val="single" w:sz="8" w:space="0" w:color="000000"/>
              <w:bottom w:val="single" w:sz="4" w:space="0" w:color="000000"/>
            </w:tcBorders>
          </w:tcPr>
          <w:p>
            <w:pPr>
              <w:pStyle w:val="TableParagraph"/>
              <w:ind w:right="62"/>
              <w:rPr>
                <w:sz w:val="12"/>
              </w:rPr>
            </w:pPr>
            <w:r>
              <w:rPr>
                <w:w w:val="105"/>
                <w:sz w:val="12"/>
              </w:rPr>
              <w:t>5,992.2</w:t>
            </w:r>
          </w:p>
        </w:tc>
        <w:tc>
          <w:tcPr>
            <w:tcW w:w="865"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9.0</w:t>
            </w:r>
          </w:p>
        </w:tc>
        <w:tc>
          <w:tcPr>
            <w:tcW w:w="892" w:type="dxa"/>
            <w:tcBorders>
              <w:top w:val="single" w:sz="4" w:space="0" w:color="000000"/>
              <w:left w:val="single" w:sz="8" w:space="0" w:color="000000"/>
              <w:bottom w:val="single" w:sz="4" w:space="0" w:color="000000"/>
            </w:tcBorders>
          </w:tcPr>
          <w:p>
            <w:pPr>
              <w:pStyle w:val="TableParagraph"/>
              <w:ind w:right="59"/>
              <w:rPr>
                <w:sz w:val="12"/>
              </w:rPr>
            </w:pPr>
            <w:r>
              <w:rPr>
                <w:w w:val="105"/>
                <w:sz w:val="12"/>
              </w:rPr>
              <w:t>33,764.8</w:t>
            </w:r>
          </w:p>
        </w:tc>
        <w:tc>
          <w:tcPr>
            <w:tcW w:w="486"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50.5</w:t>
            </w:r>
          </w:p>
        </w:tc>
      </w:tr>
      <w:tr>
        <w:trPr>
          <w:trHeight w:val="156" w:hRule="exact"/>
        </w:trPr>
        <w:tc>
          <w:tcPr>
            <w:tcW w:w="1217" w:type="dxa"/>
            <w:tcBorders>
              <w:top w:val="single" w:sz="4" w:space="0" w:color="000000"/>
              <w:left w:val="single" w:sz="8" w:space="0" w:color="000000"/>
              <w:bottom w:val="single" w:sz="4" w:space="0" w:color="000000"/>
              <w:right w:val="single" w:sz="8" w:space="0" w:color="000000"/>
            </w:tcBorders>
          </w:tcPr>
          <w:p>
            <w:pPr>
              <w:pStyle w:val="TableParagraph"/>
              <w:ind w:left="57"/>
              <w:jc w:val="left"/>
              <w:rPr>
                <w:b/>
                <w:sz w:val="12"/>
              </w:rPr>
            </w:pPr>
            <w:r>
              <w:rPr>
                <w:b/>
                <w:w w:val="105"/>
                <w:sz w:val="12"/>
              </w:rPr>
              <w:t>Julio</w:t>
            </w:r>
          </w:p>
        </w:tc>
        <w:tc>
          <w:tcPr>
            <w:tcW w:w="1519" w:type="dxa"/>
            <w:tcBorders>
              <w:top w:val="single" w:sz="4" w:space="0" w:color="000000"/>
              <w:left w:val="single" w:sz="8" w:space="0" w:color="000000"/>
              <w:bottom w:val="single" w:sz="4" w:space="0" w:color="000000"/>
              <w:right w:val="single" w:sz="4" w:space="0" w:color="000000"/>
            </w:tcBorders>
          </w:tcPr>
          <w:p>
            <w:pPr>
              <w:pStyle w:val="TableParagraph"/>
              <w:spacing w:before="5"/>
              <w:ind w:right="64"/>
              <w:rPr>
                <w:sz w:val="12"/>
              </w:rPr>
            </w:pPr>
            <w:r>
              <w:rPr>
                <w:w w:val="105"/>
                <w:sz w:val="12"/>
              </w:rPr>
              <w:t>68.2</w:t>
            </w:r>
          </w:p>
        </w:tc>
        <w:tc>
          <w:tcPr>
            <w:tcW w:w="2138"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2"/>
              </w:rPr>
            </w:pPr>
            <w:r>
              <w:rPr>
                <w:w w:val="105"/>
                <w:sz w:val="12"/>
              </w:rPr>
              <w:t>0.0</w:t>
            </w:r>
          </w:p>
        </w:tc>
        <w:tc>
          <w:tcPr>
            <w:tcW w:w="2875" w:type="dxa"/>
            <w:tcBorders>
              <w:top w:val="single" w:sz="4" w:space="0" w:color="000000"/>
              <w:left w:val="single" w:sz="4" w:space="0" w:color="000000"/>
              <w:bottom w:val="single" w:sz="4" w:space="0" w:color="000000"/>
              <w:right w:val="single" w:sz="4" w:space="0" w:color="000000"/>
            </w:tcBorders>
          </w:tcPr>
          <w:p>
            <w:pPr>
              <w:pStyle w:val="TableParagraph"/>
              <w:spacing w:before="5"/>
              <w:ind w:right="66"/>
              <w:rPr>
                <w:sz w:val="12"/>
              </w:rPr>
            </w:pPr>
            <w:r>
              <w:rPr>
                <w:w w:val="105"/>
                <w:sz w:val="12"/>
              </w:rPr>
              <w:t>5,539.8</w:t>
            </w:r>
          </w:p>
        </w:tc>
        <w:tc>
          <w:tcPr>
            <w:tcW w:w="1903" w:type="dxa"/>
            <w:tcBorders>
              <w:top w:val="single" w:sz="4" w:space="0" w:color="000000"/>
              <w:left w:val="single" w:sz="4" w:space="0" w:color="000000"/>
              <w:bottom w:val="single" w:sz="4" w:space="0" w:color="000000"/>
              <w:right w:val="single" w:sz="8" w:space="0" w:color="000000"/>
            </w:tcBorders>
          </w:tcPr>
          <w:p>
            <w:pPr>
              <w:pStyle w:val="TableParagraph"/>
              <w:spacing w:before="5"/>
              <w:ind w:right="59"/>
              <w:rPr>
                <w:sz w:val="12"/>
              </w:rPr>
            </w:pPr>
            <w:r>
              <w:rPr>
                <w:w w:val="105"/>
                <w:sz w:val="12"/>
              </w:rPr>
              <w:t>72.5</w:t>
            </w:r>
          </w:p>
        </w:tc>
        <w:tc>
          <w:tcPr>
            <w:tcW w:w="899" w:type="dxa"/>
            <w:tcBorders>
              <w:top w:val="single" w:sz="4" w:space="0" w:color="000000"/>
              <w:left w:val="single" w:sz="8" w:space="0" w:color="000000"/>
              <w:bottom w:val="single" w:sz="4" w:space="0" w:color="000000"/>
            </w:tcBorders>
          </w:tcPr>
          <w:p>
            <w:pPr>
              <w:pStyle w:val="TableParagraph"/>
              <w:spacing w:before="5"/>
              <w:ind w:right="62"/>
              <w:rPr>
                <w:sz w:val="12"/>
              </w:rPr>
            </w:pPr>
            <w:r>
              <w:rPr>
                <w:w w:val="105"/>
                <w:sz w:val="12"/>
              </w:rPr>
              <w:t>5,680.5</w:t>
            </w:r>
          </w:p>
        </w:tc>
        <w:tc>
          <w:tcPr>
            <w:tcW w:w="865" w:type="dxa"/>
            <w:tcBorders>
              <w:top w:val="single" w:sz="4" w:space="0" w:color="000000"/>
              <w:bottom w:val="single" w:sz="4" w:space="0" w:color="000000"/>
              <w:right w:val="single" w:sz="8" w:space="0" w:color="000000"/>
            </w:tcBorders>
          </w:tcPr>
          <w:p>
            <w:pPr>
              <w:pStyle w:val="TableParagraph"/>
              <w:spacing w:before="5"/>
              <w:ind w:right="57"/>
              <w:rPr>
                <w:sz w:val="12"/>
              </w:rPr>
            </w:pPr>
            <w:r>
              <w:rPr>
                <w:w w:val="105"/>
                <w:sz w:val="12"/>
              </w:rPr>
              <w:t>8.5</w:t>
            </w:r>
          </w:p>
        </w:tc>
        <w:tc>
          <w:tcPr>
            <w:tcW w:w="892" w:type="dxa"/>
            <w:tcBorders>
              <w:top w:val="single" w:sz="4" w:space="0" w:color="000000"/>
              <w:left w:val="single" w:sz="8" w:space="0" w:color="000000"/>
              <w:bottom w:val="single" w:sz="4" w:space="0" w:color="000000"/>
            </w:tcBorders>
          </w:tcPr>
          <w:p>
            <w:pPr>
              <w:pStyle w:val="TableParagraph"/>
              <w:spacing w:before="5"/>
              <w:ind w:right="59"/>
              <w:rPr>
                <w:sz w:val="12"/>
              </w:rPr>
            </w:pPr>
            <w:r>
              <w:rPr>
                <w:w w:val="105"/>
                <w:sz w:val="12"/>
              </w:rPr>
              <w:t>39,445.3</w:t>
            </w:r>
          </w:p>
        </w:tc>
        <w:tc>
          <w:tcPr>
            <w:tcW w:w="486" w:type="dxa"/>
            <w:tcBorders>
              <w:top w:val="single" w:sz="4" w:space="0" w:color="000000"/>
              <w:bottom w:val="single" w:sz="4" w:space="0" w:color="000000"/>
              <w:right w:val="single" w:sz="8" w:space="0" w:color="000000"/>
            </w:tcBorders>
          </w:tcPr>
          <w:p>
            <w:pPr>
              <w:pStyle w:val="TableParagraph"/>
              <w:spacing w:before="5"/>
              <w:ind w:right="57"/>
              <w:rPr>
                <w:sz w:val="12"/>
              </w:rPr>
            </w:pPr>
            <w:r>
              <w:rPr>
                <w:w w:val="105"/>
                <w:sz w:val="12"/>
              </w:rPr>
              <w:t>59.1</w:t>
            </w:r>
          </w:p>
        </w:tc>
      </w:tr>
      <w:tr>
        <w:trPr>
          <w:trHeight w:val="156" w:hRule="exact"/>
        </w:trPr>
        <w:tc>
          <w:tcPr>
            <w:tcW w:w="1217"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Agosto</w:t>
            </w:r>
          </w:p>
        </w:tc>
        <w:tc>
          <w:tcPr>
            <w:tcW w:w="1519" w:type="dxa"/>
            <w:tcBorders>
              <w:top w:val="single" w:sz="4" w:space="0" w:color="000000"/>
              <w:left w:val="single" w:sz="8" w:space="0" w:color="000000"/>
              <w:bottom w:val="single" w:sz="4" w:space="0" w:color="000000"/>
              <w:right w:val="single" w:sz="4" w:space="0" w:color="000000"/>
            </w:tcBorders>
          </w:tcPr>
          <w:p>
            <w:pPr>
              <w:pStyle w:val="TableParagraph"/>
              <w:ind w:right="64"/>
              <w:rPr>
                <w:sz w:val="12"/>
              </w:rPr>
            </w:pPr>
            <w:r>
              <w:rPr>
                <w:w w:val="105"/>
                <w:sz w:val="12"/>
              </w:rPr>
              <w:t>64.9</w:t>
            </w:r>
          </w:p>
        </w:tc>
        <w:tc>
          <w:tcPr>
            <w:tcW w:w="2138"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0.0</w:t>
            </w:r>
          </w:p>
        </w:tc>
        <w:tc>
          <w:tcPr>
            <w:tcW w:w="2875" w:type="dxa"/>
            <w:tcBorders>
              <w:top w:val="single" w:sz="4" w:space="0" w:color="000000"/>
              <w:left w:val="single" w:sz="4" w:space="0" w:color="000000"/>
              <w:bottom w:val="single" w:sz="4" w:space="0" w:color="000000"/>
              <w:right w:val="single" w:sz="4" w:space="0" w:color="000000"/>
            </w:tcBorders>
          </w:tcPr>
          <w:p>
            <w:pPr>
              <w:pStyle w:val="TableParagraph"/>
              <w:ind w:right="66"/>
              <w:rPr>
                <w:sz w:val="12"/>
              </w:rPr>
            </w:pPr>
            <w:r>
              <w:rPr>
                <w:w w:val="105"/>
                <w:sz w:val="12"/>
              </w:rPr>
              <w:t>5,611.7</w:t>
            </w:r>
          </w:p>
        </w:tc>
        <w:tc>
          <w:tcPr>
            <w:tcW w:w="1903" w:type="dxa"/>
            <w:tcBorders>
              <w:top w:val="single" w:sz="4" w:space="0" w:color="000000"/>
              <w:left w:val="single" w:sz="4" w:space="0" w:color="000000"/>
              <w:bottom w:val="single" w:sz="4" w:space="0" w:color="000000"/>
              <w:right w:val="single" w:sz="8" w:space="0" w:color="000000"/>
            </w:tcBorders>
          </w:tcPr>
          <w:p>
            <w:pPr>
              <w:pStyle w:val="TableParagraph"/>
              <w:ind w:right="59"/>
              <w:rPr>
                <w:sz w:val="12"/>
              </w:rPr>
            </w:pPr>
            <w:r>
              <w:rPr>
                <w:w w:val="105"/>
                <w:sz w:val="12"/>
              </w:rPr>
              <w:t>55.8</w:t>
            </w:r>
          </w:p>
        </w:tc>
        <w:tc>
          <w:tcPr>
            <w:tcW w:w="899" w:type="dxa"/>
            <w:tcBorders>
              <w:top w:val="single" w:sz="4" w:space="0" w:color="000000"/>
              <w:left w:val="single" w:sz="8" w:space="0" w:color="000000"/>
              <w:bottom w:val="single" w:sz="4" w:space="0" w:color="000000"/>
            </w:tcBorders>
          </w:tcPr>
          <w:p>
            <w:pPr>
              <w:pStyle w:val="TableParagraph"/>
              <w:ind w:right="62"/>
              <w:rPr>
                <w:sz w:val="12"/>
              </w:rPr>
            </w:pPr>
            <w:r>
              <w:rPr>
                <w:w w:val="105"/>
                <w:sz w:val="12"/>
              </w:rPr>
              <w:t>5,732.4</w:t>
            </w:r>
          </w:p>
        </w:tc>
        <w:tc>
          <w:tcPr>
            <w:tcW w:w="865"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8.6</w:t>
            </w:r>
          </w:p>
        </w:tc>
        <w:tc>
          <w:tcPr>
            <w:tcW w:w="892" w:type="dxa"/>
            <w:tcBorders>
              <w:top w:val="single" w:sz="4" w:space="0" w:color="000000"/>
              <w:left w:val="single" w:sz="8" w:space="0" w:color="000000"/>
              <w:bottom w:val="single" w:sz="4" w:space="0" w:color="000000"/>
            </w:tcBorders>
          </w:tcPr>
          <w:p>
            <w:pPr>
              <w:pStyle w:val="TableParagraph"/>
              <w:ind w:right="59"/>
              <w:rPr>
                <w:sz w:val="12"/>
              </w:rPr>
            </w:pPr>
            <w:r>
              <w:rPr>
                <w:w w:val="105"/>
                <w:sz w:val="12"/>
              </w:rPr>
              <w:t>45,177.7</w:t>
            </w:r>
          </w:p>
        </w:tc>
        <w:tc>
          <w:tcPr>
            <w:tcW w:w="486"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67.6</w:t>
            </w:r>
          </w:p>
        </w:tc>
      </w:tr>
      <w:tr>
        <w:trPr>
          <w:trHeight w:val="156" w:hRule="exact"/>
        </w:trPr>
        <w:tc>
          <w:tcPr>
            <w:tcW w:w="1217" w:type="dxa"/>
            <w:tcBorders>
              <w:top w:val="single" w:sz="4" w:space="0" w:color="000000"/>
              <w:left w:val="single" w:sz="8" w:space="0" w:color="000000"/>
              <w:bottom w:val="single" w:sz="4" w:space="0" w:color="000000"/>
              <w:right w:val="single" w:sz="8" w:space="0" w:color="000000"/>
            </w:tcBorders>
          </w:tcPr>
          <w:p>
            <w:pPr>
              <w:pStyle w:val="TableParagraph"/>
              <w:spacing w:line="136" w:lineRule="exact" w:before="0"/>
              <w:ind w:left="57"/>
              <w:jc w:val="left"/>
              <w:rPr>
                <w:b/>
                <w:sz w:val="12"/>
              </w:rPr>
            </w:pPr>
            <w:r>
              <w:rPr>
                <w:b/>
                <w:w w:val="105"/>
                <w:sz w:val="12"/>
              </w:rPr>
              <w:t>Septiembre</w:t>
            </w:r>
          </w:p>
        </w:tc>
        <w:tc>
          <w:tcPr>
            <w:tcW w:w="1519" w:type="dxa"/>
            <w:tcBorders>
              <w:top w:val="single" w:sz="4" w:space="0" w:color="000000"/>
              <w:left w:val="single" w:sz="8" w:space="0" w:color="000000"/>
              <w:bottom w:val="single" w:sz="4" w:space="0" w:color="000000"/>
              <w:right w:val="single" w:sz="4" w:space="0" w:color="000000"/>
            </w:tcBorders>
          </w:tcPr>
          <w:p>
            <w:pPr>
              <w:pStyle w:val="TableParagraph"/>
              <w:spacing w:before="0"/>
              <w:ind w:right="64"/>
              <w:rPr>
                <w:sz w:val="12"/>
              </w:rPr>
            </w:pPr>
            <w:r>
              <w:rPr>
                <w:w w:val="105"/>
                <w:sz w:val="12"/>
              </w:rPr>
              <w:t>56.3</w:t>
            </w:r>
          </w:p>
        </w:tc>
        <w:tc>
          <w:tcPr>
            <w:tcW w:w="2138"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0.0</w:t>
            </w:r>
          </w:p>
        </w:tc>
        <w:tc>
          <w:tcPr>
            <w:tcW w:w="2875" w:type="dxa"/>
            <w:tcBorders>
              <w:top w:val="single" w:sz="4" w:space="0" w:color="000000"/>
              <w:left w:val="single" w:sz="4" w:space="0" w:color="000000"/>
              <w:bottom w:val="single" w:sz="4" w:space="0" w:color="000000"/>
              <w:right w:val="single" w:sz="4" w:space="0" w:color="000000"/>
            </w:tcBorders>
          </w:tcPr>
          <w:p>
            <w:pPr>
              <w:pStyle w:val="TableParagraph"/>
              <w:spacing w:before="0"/>
              <w:ind w:right="66"/>
              <w:rPr>
                <w:sz w:val="12"/>
              </w:rPr>
            </w:pPr>
            <w:r>
              <w:rPr>
                <w:w w:val="105"/>
                <w:sz w:val="12"/>
              </w:rPr>
              <w:t>5,459.0</w:t>
            </w:r>
          </w:p>
        </w:tc>
        <w:tc>
          <w:tcPr>
            <w:tcW w:w="1903" w:type="dxa"/>
            <w:tcBorders>
              <w:top w:val="single" w:sz="4" w:space="0" w:color="000000"/>
              <w:left w:val="single" w:sz="4" w:space="0" w:color="000000"/>
              <w:bottom w:val="single" w:sz="4" w:space="0" w:color="000000"/>
              <w:right w:val="single" w:sz="8" w:space="0" w:color="000000"/>
            </w:tcBorders>
          </w:tcPr>
          <w:p>
            <w:pPr>
              <w:pStyle w:val="TableParagraph"/>
              <w:spacing w:before="0"/>
              <w:ind w:right="59"/>
              <w:rPr>
                <w:sz w:val="12"/>
              </w:rPr>
            </w:pPr>
            <w:r>
              <w:rPr>
                <w:w w:val="105"/>
                <w:sz w:val="12"/>
              </w:rPr>
              <w:t>43.4</w:t>
            </w:r>
          </w:p>
        </w:tc>
        <w:tc>
          <w:tcPr>
            <w:tcW w:w="899" w:type="dxa"/>
            <w:tcBorders>
              <w:top w:val="single" w:sz="4" w:space="0" w:color="000000"/>
              <w:left w:val="single" w:sz="8" w:space="0" w:color="000000"/>
              <w:bottom w:val="single" w:sz="4" w:space="0" w:color="000000"/>
            </w:tcBorders>
          </w:tcPr>
          <w:p>
            <w:pPr>
              <w:pStyle w:val="TableParagraph"/>
              <w:spacing w:before="0"/>
              <w:ind w:right="62"/>
              <w:rPr>
                <w:sz w:val="12"/>
              </w:rPr>
            </w:pPr>
            <w:r>
              <w:rPr>
                <w:w w:val="105"/>
                <w:sz w:val="12"/>
              </w:rPr>
              <w:t>5,558.7</w:t>
            </w:r>
          </w:p>
        </w:tc>
        <w:tc>
          <w:tcPr>
            <w:tcW w:w="865" w:type="dxa"/>
            <w:tcBorders>
              <w:top w:val="single" w:sz="4" w:space="0" w:color="000000"/>
              <w:bottom w:val="single" w:sz="4" w:space="0" w:color="000000"/>
              <w:right w:val="single" w:sz="8" w:space="0" w:color="000000"/>
            </w:tcBorders>
          </w:tcPr>
          <w:p>
            <w:pPr>
              <w:pStyle w:val="TableParagraph"/>
              <w:spacing w:before="0"/>
              <w:ind w:right="57"/>
              <w:rPr>
                <w:sz w:val="12"/>
              </w:rPr>
            </w:pPr>
            <w:r>
              <w:rPr>
                <w:w w:val="105"/>
                <w:sz w:val="12"/>
              </w:rPr>
              <w:t>8.3</w:t>
            </w:r>
          </w:p>
        </w:tc>
        <w:tc>
          <w:tcPr>
            <w:tcW w:w="892" w:type="dxa"/>
            <w:tcBorders>
              <w:top w:val="single" w:sz="4" w:space="0" w:color="000000"/>
              <w:left w:val="single" w:sz="8" w:space="0" w:color="000000"/>
              <w:bottom w:val="single" w:sz="4" w:space="0" w:color="000000"/>
            </w:tcBorders>
          </w:tcPr>
          <w:p>
            <w:pPr>
              <w:pStyle w:val="TableParagraph"/>
              <w:spacing w:before="0"/>
              <w:ind w:right="59"/>
              <w:rPr>
                <w:sz w:val="12"/>
              </w:rPr>
            </w:pPr>
            <w:r>
              <w:rPr>
                <w:w w:val="105"/>
                <w:sz w:val="12"/>
              </w:rPr>
              <w:t>50,736.4</w:t>
            </w:r>
          </w:p>
        </w:tc>
        <w:tc>
          <w:tcPr>
            <w:tcW w:w="486" w:type="dxa"/>
            <w:tcBorders>
              <w:top w:val="single" w:sz="4" w:space="0" w:color="000000"/>
              <w:bottom w:val="single" w:sz="4" w:space="0" w:color="000000"/>
              <w:right w:val="single" w:sz="8" w:space="0" w:color="000000"/>
            </w:tcBorders>
          </w:tcPr>
          <w:p>
            <w:pPr>
              <w:pStyle w:val="TableParagraph"/>
              <w:spacing w:before="0"/>
              <w:ind w:right="57"/>
              <w:rPr>
                <w:sz w:val="12"/>
              </w:rPr>
            </w:pPr>
            <w:r>
              <w:rPr>
                <w:w w:val="105"/>
                <w:sz w:val="12"/>
              </w:rPr>
              <w:t>76.0</w:t>
            </w:r>
          </w:p>
        </w:tc>
      </w:tr>
      <w:tr>
        <w:trPr>
          <w:trHeight w:val="154" w:hRule="exact"/>
        </w:trPr>
        <w:tc>
          <w:tcPr>
            <w:tcW w:w="1217"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Octubre</w:t>
            </w:r>
          </w:p>
        </w:tc>
        <w:tc>
          <w:tcPr>
            <w:tcW w:w="1519" w:type="dxa"/>
            <w:tcBorders>
              <w:top w:val="single" w:sz="4" w:space="0" w:color="000000"/>
              <w:left w:val="single" w:sz="8" w:space="0" w:color="000000"/>
              <w:bottom w:val="single" w:sz="4" w:space="0" w:color="000000"/>
              <w:right w:val="single" w:sz="4" w:space="0" w:color="000000"/>
            </w:tcBorders>
          </w:tcPr>
          <w:p>
            <w:pPr>
              <w:pStyle w:val="TableParagraph"/>
              <w:ind w:right="64"/>
              <w:rPr>
                <w:sz w:val="12"/>
              </w:rPr>
            </w:pPr>
            <w:r>
              <w:rPr>
                <w:w w:val="105"/>
                <w:sz w:val="12"/>
              </w:rPr>
              <w:t>55.6</w:t>
            </w:r>
          </w:p>
        </w:tc>
        <w:tc>
          <w:tcPr>
            <w:tcW w:w="2138"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0.0</w:t>
            </w:r>
          </w:p>
        </w:tc>
        <w:tc>
          <w:tcPr>
            <w:tcW w:w="2875" w:type="dxa"/>
            <w:tcBorders>
              <w:top w:val="single" w:sz="4" w:space="0" w:color="000000"/>
              <w:left w:val="single" w:sz="4" w:space="0" w:color="000000"/>
              <w:bottom w:val="single" w:sz="4" w:space="0" w:color="000000"/>
              <w:right w:val="single" w:sz="4" w:space="0" w:color="000000"/>
            </w:tcBorders>
          </w:tcPr>
          <w:p>
            <w:pPr>
              <w:pStyle w:val="TableParagraph"/>
              <w:ind w:right="66"/>
              <w:rPr>
                <w:sz w:val="12"/>
              </w:rPr>
            </w:pPr>
            <w:r>
              <w:rPr>
                <w:w w:val="105"/>
                <w:sz w:val="12"/>
              </w:rPr>
              <w:t>5,538.1</w:t>
            </w:r>
          </w:p>
        </w:tc>
        <w:tc>
          <w:tcPr>
            <w:tcW w:w="1903" w:type="dxa"/>
            <w:tcBorders>
              <w:top w:val="single" w:sz="4" w:space="0" w:color="000000"/>
              <w:left w:val="single" w:sz="4" w:space="0" w:color="000000"/>
              <w:bottom w:val="single" w:sz="4" w:space="0" w:color="000000"/>
              <w:right w:val="single" w:sz="8" w:space="0" w:color="000000"/>
            </w:tcBorders>
          </w:tcPr>
          <w:p>
            <w:pPr>
              <w:pStyle w:val="TableParagraph"/>
              <w:ind w:right="59"/>
              <w:rPr>
                <w:sz w:val="12"/>
              </w:rPr>
            </w:pPr>
            <w:r>
              <w:rPr>
                <w:w w:val="105"/>
                <w:sz w:val="12"/>
              </w:rPr>
              <w:t>55.9</w:t>
            </w:r>
          </w:p>
        </w:tc>
        <w:tc>
          <w:tcPr>
            <w:tcW w:w="899" w:type="dxa"/>
            <w:tcBorders>
              <w:top w:val="single" w:sz="4" w:space="0" w:color="000000"/>
              <w:left w:val="single" w:sz="8" w:space="0" w:color="000000"/>
              <w:bottom w:val="single" w:sz="4" w:space="0" w:color="000000"/>
            </w:tcBorders>
          </w:tcPr>
          <w:p>
            <w:pPr>
              <w:pStyle w:val="TableParagraph"/>
              <w:ind w:right="62"/>
              <w:rPr>
                <w:sz w:val="12"/>
              </w:rPr>
            </w:pPr>
            <w:r>
              <w:rPr>
                <w:w w:val="105"/>
                <w:sz w:val="12"/>
              </w:rPr>
              <w:t>5,649.6</w:t>
            </w:r>
          </w:p>
        </w:tc>
        <w:tc>
          <w:tcPr>
            <w:tcW w:w="865"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8.5</w:t>
            </w:r>
          </w:p>
        </w:tc>
        <w:tc>
          <w:tcPr>
            <w:tcW w:w="892" w:type="dxa"/>
            <w:tcBorders>
              <w:top w:val="single" w:sz="4" w:space="0" w:color="000000"/>
              <w:left w:val="single" w:sz="8" w:space="0" w:color="000000"/>
              <w:bottom w:val="single" w:sz="4" w:space="0" w:color="000000"/>
            </w:tcBorders>
          </w:tcPr>
          <w:p>
            <w:pPr>
              <w:pStyle w:val="TableParagraph"/>
              <w:ind w:right="59"/>
              <w:rPr>
                <w:sz w:val="12"/>
              </w:rPr>
            </w:pPr>
            <w:r>
              <w:rPr>
                <w:w w:val="105"/>
                <w:sz w:val="12"/>
              </w:rPr>
              <w:t>56,385.9</w:t>
            </w:r>
          </w:p>
        </w:tc>
        <w:tc>
          <w:tcPr>
            <w:tcW w:w="486"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84.4</w:t>
            </w:r>
          </w:p>
        </w:tc>
      </w:tr>
      <w:tr>
        <w:trPr>
          <w:trHeight w:val="156" w:hRule="exact"/>
        </w:trPr>
        <w:tc>
          <w:tcPr>
            <w:tcW w:w="1217"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Noviembre</w:t>
            </w:r>
          </w:p>
        </w:tc>
        <w:tc>
          <w:tcPr>
            <w:tcW w:w="1519" w:type="dxa"/>
            <w:tcBorders>
              <w:top w:val="single" w:sz="4" w:space="0" w:color="000000"/>
              <w:left w:val="single" w:sz="8" w:space="0" w:color="000000"/>
              <w:bottom w:val="single" w:sz="4" w:space="0" w:color="000000"/>
              <w:right w:val="single" w:sz="4" w:space="0" w:color="000000"/>
            </w:tcBorders>
          </w:tcPr>
          <w:p>
            <w:pPr>
              <w:pStyle w:val="TableParagraph"/>
              <w:ind w:right="64"/>
              <w:rPr>
                <w:sz w:val="12"/>
              </w:rPr>
            </w:pPr>
            <w:r>
              <w:rPr>
                <w:w w:val="105"/>
                <w:sz w:val="12"/>
              </w:rPr>
              <w:t>57.4</w:t>
            </w:r>
          </w:p>
        </w:tc>
        <w:tc>
          <w:tcPr>
            <w:tcW w:w="2138"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0.0</w:t>
            </w:r>
          </w:p>
        </w:tc>
        <w:tc>
          <w:tcPr>
            <w:tcW w:w="2875" w:type="dxa"/>
            <w:tcBorders>
              <w:top w:val="single" w:sz="4" w:space="0" w:color="000000"/>
              <w:left w:val="single" w:sz="4" w:space="0" w:color="000000"/>
              <w:bottom w:val="single" w:sz="4" w:space="0" w:color="000000"/>
              <w:right w:val="single" w:sz="4" w:space="0" w:color="000000"/>
            </w:tcBorders>
          </w:tcPr>
          <w:p>
            <w:pPr>
              <w:pStyle w:val="TableParagraph"/>
              <w:ind w:right="66"/>
              <w:rPr>
                <w:sz w:val="12"/>
              </w:rPr>
            </w:pPr>
            <w:r>
              <w:rPr>
                <w:w w:val="105"/>
                <w:sz w:val="12"/>
              </w:rPr>
              <w:t>4,917.7</w:t>
            </w:r>
          </w:p>
        </w:tc>
        <w:tc>
          <w:tcPr>
            <w:tcW w:w="1903" w:type="dxa"/>
            <w:tcBorders>
              <w:top w:val="single" w:sz="4" w:space="0" w:color="000000"/>
              <w:left w:val="single" w:sz="4" w:space="0" w:color="000000"/>
              <w:bottom w:val="single" w:sz="4" w:space="0" w:color="000000"/>
              <w:right w:val="single" w:sz="8" w:space="0" w:color="000000"/>
            </w:tcBorders>
          </w:tcPr>
          <w:p>
            <w:pPr>
              <w:pStyle w:val="TableParagraph"/>
              <w:ind w:right="59"/>
              <w:rPr>
                <w:sz w:val="12"/>
              </w:rPr>
            </w:pPr>
            <w:r>
              <w:rPr>
                <w:w w:val="105"/>
                <w:sz w:val="12"/>
              </w:rPr>
              <w:t>54.0</w:t>
            </w:r>
          </w:p>
        </w:tc>
        <w:tc>
          <w:tcPr>
            <w:tcW w:w="899" w:type="dxa"/>
            <w:tcBorders>
              <w:top w:val="single" w:sz="4" w:space="0" w:color="000000"/>
              <w:left w:val="single" w:sz="8" w:space="0" w:color="000000"/>
              <w:bottom w:val="single" w:sz="4" w:space="0" w:color="000000"/>
            </w:tcBorders>
          </w:tcPr>
          <w:p>
            <w:pPr>
              <w:pStyle w:val="TableParagraph"/>
              <w:ind w:right="62"/>
              <w:rPr>
                <w:sz w:val="12"/>
              </w:rPr>
            </w:pPr>
            <w:r>
              <w:rPr>
                <w:w w:val="105"/>
                <w:sz w:val="12"/>
              </w:rPr>
              <w:t>5,029.2</w:t>
            </w:r>
          </w:p>
        </w:tc>
        <w:tc>
          <w:tcPr>
            <w:tcW w:w="865"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7.5</w:t>
            </w:r>
          </w:p>
        </w:tc>
        <w:tc>
          <w:tcPr>
            <w:tcW w:w="892" w:type="dxa"/>
            <w:tcBorders>
              <w:top w:val="single" w:sz="4" w:space="0" w:color="000000"/>
              <w:left w:val="single" w:sz="8" w:space="0" w:color="000000"/>
              <w:bottom w:val="single" w:sz="4" w:space="0" w:color="000000"/>
            </w:tcBorders>
          </w:tcPr>
          <w:p>
            <w:pPr>
              <w:pStyle w:val="TableParagraph"/>
              <w:ind w:right="59"/>
              <w:rPr>
                <w:sz w:val="12"/>
              </w:rPr>
            </w:pPr>
            <w:r>
              <w:rPr>
                <w:w w:val="105"/>
                <w:sz w:val="12"/>
              </w:rPr>
              <w:t>61,415.1</w:t>
            </w:r>
          </w:p>
        </w:tc>
        <w:tc>
          <w:tcPr>
            <w:tcW w:w="486" w:type="dxa"/>
            <w:tcBorders>
              <w:top w:val="single" w:sz="4" w:space="0" w:color="000000"/>
              <w:bottom w:val="single" w:sz="4" w:space="0" w:color="000000"/>
              <w:right w:val="single" w:sz="8" w:space="0" w:color="000000"/>
            </w:tcBorders>
          </w:tcPr>
          <w:p>
            <w:pPr>
              <w:pStyle w:val="TableParagraph"/>
              <w:ind w:right="57"/>
              <w:rPr>
                <w:sz w:val="12"/>
              </w:rPr>
            </w:pPr>
            <w:r>
              <w:rPr>
                <w:w w:val="105"/>
                <w:sz w:val="12"/>
              </w:rPr>
              <w:t>91.9</w:t>
            </w:r>
          </w:p>
        </w:tc>
      </w:tr>
      <w:tr>
        <w:trPr>
          <w:trHeight w:val="160" w:hRule="exact"/>
        </w:trPr>
        <w:tc>
          <w:tcPr>
            <w:tcW w:w="1217" w:type="dxa"/>
            <w:tcBorders>
              <w:top w:val="single" w:sz="4" w:space="0" w:color="000000"/>
              <w:left w:val="single" w:sz="8" w:space="0" w:color="000000"/>
              <w:right w:val="single" w:sz="8" w:space="0" w:color="000000"/>
            </w:tcBorders>
          </w:tcPr>
          <w:p>
            <w:pPr>
              <w:pStyle w:val="TableParagraph"/>
              <w:spacing w:before="0"/>
              <w:ind w:left="57"/>
              <w:jc w:val="left"/>
              <w:rPr>
                <w:b/>
                <w:sz w:val="12"/>
              </w:rPr>
            </w:pPr>
            <w:r>
              <w:rPr>
                <w:b/>
                <w:w w:val="105"/>
                <w:sz w:val="12"/>
              </w:rPr>
              <w:t>Diciembre</w:t>
            </w:r>
          </w:p>
        </w:tc>
        <w:tc>
          <w:tcPr>
            <w:tcW w:w="1519" w:type="dxa"/>
            <w:tcBorders>
              <w:top w:val="single" w:sz="4" w:space="0" w:color="000000"/>
              <w:left w:val="single" w:sz="8" w:space="0" w:color="000000"/>
              <w:right w:val="single" w:sz="4" w:space="0" w:color="000000"/>
            </w:tcBorders>
          </w:tcPr>
          <w:p>
            <w:pPr>
              <w:pStyle w:val="TableParagraph"/>
              <w:ind w:right="64"/>
              <w:rPr>
                <w:sz w:val="12"/>
              </w:rPr>
            </w:pPr>
            <w:r>
              <w:rPr>
                <w:w w:val="105"/>
                <w:sz w:val="12"/>
              </w:rPr>
              <w:t>84.0</w:t>
            </w:r>
          </w:p>
        </w:tc>
        <w:tc>
          <w:tcPr>
            <w:tcW w:w="2138" w:type="dxa"/>
            <w:tcBorders>
              <w:top w:val="single" w:sz="4" w:space="0" w:color="000000"/>
              <w:left w:val="single" w:sz="4" w:space="0" w:color="000000"/>
              <w:right w:val="single" w:sz="4" w:space="0" w:color="000000"/>
            </w:tcBorders>
          </w:tcPr>
          <w:p>
            <w:pPr>
              <w:pStyle w:val="TableParagraph"/>
              <w:ind w:right="62"/>
              <w:rPr>
                <w:sz w:val="12"/>
              </w:rPr>
            </w:pPr>
            <w:r>
              <w:rPr>
                <w:w w:val="105"/>
                <w:sz w:val="12"/>
              </w:rPr>
              <w:t>0.0</w:t>
            </w:r>
          </w:p>
        </w:tc>
        <w:tc>
          <w:tcPr>
            <w:tcW w:w="2875" w:type="dxa"/>
            <w:tcBorders>
              <w:top w:val="single" w:sz="4" w:space="0" w:color="000000"/>
              <w:left w:val="single" w:sz="4" w:space="0" w:color="000000"/>
              <w:right w:val="single" w:sz="4" w:space="0" w:color="000000"/>
            </w:tcBorders>
          </w:tcPr>
          <w:p>
            <w:pPr>
              <w:pStyle w:val="TableParagraph"/>
              <w:ind w:right="66"/>
              <w:rPr>
                <w:sz w:val="12"/>
              </w:rPr>
            </w:pPr>
            <w:r>
              <w:rPr>
                <w:w w:val="105"/>
                <w:sz w:val="12"/>
              </w:rPr>
              <w:t>5,195.8</w:t>
            </w:r>
          </w:p>
        </w:tc>
        <w:tc>
          <w:tcPr>
            <w:tcW w:w="1903" w:type="dxa"/>
            <w:tcBorders>
              <w:top w:val="single" w:sz="4" w:space="0" w:color="000000"/>
              <w:left w:val="single" w:sz="4" w:space="0" w:color="000000"/>
              <w:right w:val="single" w:sz="8" w:space="0" w:color="000000"/>
            </w:tcBorders>
          </w:tcPr>
          <w:p>
            <w:pPr>
              <w:pStyle w:val="TableParagraph"/>
              <w:ind w:right="62"/>
              <w:rPr>
                <w:sz w:val="12"/>
              </w:rPr>
            </w:pPr>
            <w:r>
              <w:rPr>
                <w:w w:val="105"/>
                <w:sz w:val="12"/>
              </w:rPr>
              <w:t>102.2</w:t>
            </w:r>
          </w:p>
        </w:tc>
        <w:tc>
          <w:tcPr>
            <w:tcW w:w="899" w:type="dxa"/>
            <w:tcBorders>
              <w:top w:val="single" w:sz="4" w:space="0" w:color="000000"/>
              <w:left w:val="single" w:sz="8" w:space="0" w:color="000000"/>
            </w:tcBorders>
          </w:tcPr>
          <w:p>
            <w:pPr>
              <w:pStyle w:val="TableParagraph"/>
              <w:ind w:right="62"/>
              <w:rPr>
                <w:sz w:val="12"/>
              </w:rPr>
            </w:pPr>
            <w:r>
              <w:rPr>
                <w:w w:val="105"/>
                <w:sz w:val="12"/>
              </w:rPr>
              <w:t>5,381.9</w:t>
            </w:r>
          </w:p>
        </w:tc>
        <w:tc>
          <w:tcPr>
            <w:tcW w:w="865" w:type="dxa"/>
            <w:tcBorders>
              <w:top w:val="single" w:sz="4" w:space="0" w:color="000000"/>
              <w:right w:val="single" w:sz="8" w:space="0" w:color="000000"/>
            </w:tcBorders>
          </w:tcPr>
          <w:p>
            <w:pPr>
              <w:pStyle w:val="TableParagraph"/>
              <w:ind w:right="57"/>
              <w:rPr>
                <w:sz w:val="12"/>
              </w:rPr>
            </w:pPr>
            <w:r>
              <w:rPr>
                <w:w w:val="105"/>
                <w:sz w:val="12"/>
              </w:rPr>
              <w:t>8.1</w:t>
            </w:r>
          </w:p>
        </w:tc>
        <w:tc>
          <w:tcPr>
            <w:tcW w:w="892" w:type="dxa"/>
            <w:tcBorders>
              <w:top w:val="single" w:sz="4" w:space="0" w:color="000000"/>
              <w:left w:val="single" w:sz="8" w:space="0" w:color="000000"/>
            </w:tcBorders>
          </w:tcPr>
          <w:p>
            <w:pPr>
              <w:pStyle w:val="TableParagraph"/>
              <w:spacing w:before="0"/>
              <w:ind w:right="59"/>
              <w:rPr>
                <w:b/>
                <w:sz w:val="12"/>
              </w:rPr>
            </w:pPr>
            <w:r>
              <w:rPr>
                <w:b/>
                <w:w w:val="105"/>
                <w:sz w:val="12"/>
              </w:rPr>
              <w:t>66,797</w:t>
            </w:r>
          </w:p>
        </w:tc>
        <w:tc>
          <w:tcPr>
            <w:tcW w:w="486" w:type="dxa"/>
            <w:tcBorders>
              <w:top w:val="single" w:sz="4" w:space="0" w:color="000000"/>
              <w:right w:val="single" w:sz="8" w:space="0" w:color="000000"/>
            </w:tcBorders>
          </w:tcPr>
          <w:p>
            <w:pPr>
              <w:pStyle w:val="TableParagraph"/>
              <w:spacing w:before="0"/>
              <w:ind w:right="57"/>
              <w:rPr>
                <w:b/>
                <w:sz w:val="12"/>
              </w:rPr>
            </w:pPr>
            <w:r>
              <w:rPr>
                <w:b/>
                <w:w w:val="105"/>
                <w:sz w:val="12"/>
              </w:rPr>
              <w:t>100</w:t>
            </w:r>
          </w:p>
        </w:tc>
      </w:tr>
      <w:tr>
        <w:trPr>
          <w:trHeight w:val="166" w:hRule="exact"/>
        </w:trPr>
        <w:tc>
          <w:tcPr>
            <w:tcW w:w="1217" w:type="dxa"/>
            <w:tcBorders>
              <w:left w:val="single" w:sz="8" w:space="0" w:color="000000"/>
              <w:right w:val="single" w:sz="8" w:space="0" w:color="000000"/>
            </w:tcBorders>
          </w:tcPr>
          <w:p>
            <w:pPr>
              <w:pStyle w:val="TableParagraph"/>
              <w:spacing w:before="0"/>
              <w:ind w:left="57"/>
              <w:jc w:val="left"/>
              <w:rPr>
                <w:b/>
                <w:sz w:val="12"/>
              </w:rPr>
            </w:pPr>
            <w:r>
              <w:rPr>
                <w:b/>
                <w:w w:val="105"/>
                <w:sz w:val="12"/>
              </w:rPr>
              <w:t>Nacional</w:t>
            </w:r>
          </w:p>
        </w:tc>
        <w:tc>
          <w:tcPr>
            <w:tcW w:w="1519" w:type="dxa"/>
            <w:tcBorders>
              <w:left w:val="single" w:sz="8" w:space="0" w:color="000000"/>
              <w:right w:val="single" w:sz="8" w:space="0" w:color="000000"/>
            </w:tcBorders>
          </w:tcPr>
          <w:p>
            <w:pPr>
              <w:pStyle w:val="TableParagraph"/>
              <w:spacing w:before="0"/>
              <w:ind w:right="62"/>
              <w:rPr>
                <w:b/>
                <w:sz w:val="12"/>
              </w:rPr>
            </w:pPr>
            <w:r>
              <w:rPr>
                <w:b/>
                <w:w w:val="105"/>
                <w:sz w:val="12"/>
              </w:rPr>
              <w:t>866.4</w:t>
            </w:r>
          </w:p>
        </w:tc>
        <w:tc>
          <w:tcPr>
            <w:tcW w:w="2138" w:type="dxa"/>
            <w:tcBorders>
              <w:left w:val="single" w:sz="8" w:space="0" w:color="000000"/>
              <w:right w:val="single" w:sz="8" w:space="0" w:color="000000"/>
            </w:tcBorders>
          </w:tcPr>
          <w:p>
            <w:pPr>
              <w:pStyle w:val="TableParagraph"/>
              <w:spacing w:before="0"/>
              <w:ind w:right="57"/>
              <w:rPr>
                <w:b/>
                <w:sz w:val="12"/>
              </w:rPr>
            </w:pPr>
            <w:r>
              <w:rPr>
                <w:b/>
                <w:w w:val="105"/>
                <w:sz w:val="12"/>
              </w:rPr>
              <w:t>0.0</w:t>
            </w:r>
          </w:p>
        </w:tc>
        <w:tc>
          <w:tcPr>
            <w:tcW w:w="2875" w:type="dxa"/>
            <w:tcBorders>
              <w:left w:val="single" w:sz="8" w:space="0" w:color="000000"/>
            </w:tcBorders>
          </w:tcPr>
          <w:p>
            <w:pPr>
              <w:pStyle w:val="TableParagraph"/>
              <w:spacing w:before="0"/>
              <w:ind w:right="63"/>
              <w:rPr>
                <w:b/>
                <w:sz w:val="12"/>
              </w:rPr>
            </w:pPr>
            <w:r>
              <w:rPr>
                <w:b/>
                <w:w w:val="105"/>
                <w:sz w:val="12"/>
              </w:rPr>
              <w:t>65,241.5</w:t>
            </w:r>
          </w:p>
        </w:tc>
        <w:tc>
          <w:tcPr>
            <w:tcW w:w="1903" w:type="dxa"/>
            <w:tcBorders>
              <w:right w:val="single" w:sz="8" w:space="0" w:color="000000"/>
            </w:tcBorders>
          </w:tcPr>
          <w:p>
            <w:pPr>
              <w:pStyle w:val="TableParagraph"/>
              <w:spacing w:before="0"/>
              <w:ind w:right="62"/>
              <w:rPr>
                <w:b/>
                <w:sz w:val="12"/>
              </w:rPr>
            </w:pPr>
            <w:r>
              <w:rPr>
                <w:b/>
                <w:w w:val="105"/>
                <w:sz w:val="12"/>
              </w:rPr>
              <w:t>689.1</w:t>
            </w:r>
          </w:p>
        </w:tc>
        <w:tc>
          <w:tcPr>
            <w:tcW w:w="899" w:type="dxa"/>
            <w:tcBorders>
              <w:left w:val="single" w:sz="8" w:space="0" w:color="000000"/>
            </w:tcBorders>
          </w:tcPr>
          <w:p>
            <w:pPr>
              <w:pStyle w:val="TableParagraph"/>
              <w:spacing w:before="0"/>
              <w:ind w:right="62"/>
              <w:rPr>
                <w:b/>
                <w:sz w:val="12"/>
              </w:rPr>
            </w:pPr>
            <w:r>
              <w:rPr>
                <w:b/>
                <w:w w:val="105"/>
                <w:sz w:val="12"/>
              </w:rPr>
              <w:t>66,797.0</w:t>
            </w:r>
          </w:p>
        </w:tc>
        <w:tc>
          <w:tcPr>
            <w:tcW w:w="865" w:type="dxa"/>
            <w:tcBorders>
              <w:right w:val="single" w:sz="8" w:space="0" w:color="000000"/>
            </w:tcBorders>
          </w:tcPr>
          <w:p>
            <w:pPr>
              <w:pStyle w:val="TableParagraph"/>
              <w:spacing w:before="0"/>
              <w:ind w:right="57"/>
              <w:rPr>
                <w:b/>
                <w:sz w:val="12"/>
              </w:rPr>
            </w:pPr>
            <w:r>
              <w:rPr>
                <w:b/>
                <w:w w:val="105"/>
                <w:sz w:val="12"/>
              </w:rPr>
              <w:t>100</w:t>
            </w:r>
          </w:p>
        </w:tc>
        <w:tc>
          <w:tcPr>
            <w:tcW w:w="1378" w:type="dxa"/>
            <w:gridSpan w:val="2"/>
            <w:tcBorders>
              <w:left w:val="single" w:sz="8" w:space="0" w:color="000000"/>
              <w:bottom w:val="nil"/>
              <w:right w:val="single" w:sz="8" w:space="0" w:color="000000"/>
            </w:tcBorders>
          </w:tcPr>
          <w:p>
            <w:pPr/>
          </w:p>
        </w:tc>
      </w:tr>
      <w:tr>
        <w:trPr>
          <w:trHeight w:val="167" w:hRule="exact"/>
        </w:trPr>
        <w:tc>
          <w:tcPr>
            <w:tcW w:w="1217" w:type="dxa"/>
            <w:tcBorders>
              <w:left w:val="single" w:sz="8" w:space="0" w:color="000000"/>
              <w:bottom w:val="single" w:sz="8" w:space="0" w:color="000000"/>
              <w:right w:val="single" w:sz="8" w:space="0" w:color="000000"/>
            </w:tcBorders>
          </w:tcPr>
          <w:p>
            <w:pPr/>
          </w:p>
        </w:tc>
        <w:tc>
          <w:tcPr>
            <w:tcW w:w="1519" w:type="dxa"/>
            <w:tcBorders>
              <w:left w:val="single" w:sz="8" w:space="0" w:color="000000"/>
              <w:bottom w:val="single" w:sz="8" w:space="0" w:color="000000"/>
              <w:right w:val="single" w:sz="8" w:space="0" w:color="000000"/>
            </w:tcBorders>
          </w:tcPr>
          <w:p>
            <w:pPr>
              <w:pStyle w:val="TableParagraph"/>
              <w:spacing w:before="0"/>
              <w:ind w:right="59"/>
              <w:rPr>
                <w:b/>
                <w:sz w:val="12"/>
              </w:rPr>
            </w:pPr>
            <w:r>
              <w:rPr>
                <w:b/>
                <w:w w:val="105"/>
                <w:sz w:val="12"/>
              </w:rPr>
              <w:t>1.3</w:t>
            </w:r>
          </w:p>
        </w:tc>
        <w:tc>
          <w:tcPr>
            <w:tcW w:w="2138" w:type="dxa"/>
            <w:tcBorders>
              <w:left w:val="single" w:sz="8" w:space="0" w:color="000000"/>
              <w:bottom w:val="single" w:sz="8" w:space="0" w:color="000000"/>
              <w:right w:val="single" w:sz="8" w:space="0" w:color="000000"/>
            </w:tcBorders>
          </w:tcPr>
          <w:p>
            <w:pPr>
              <w:pStyle w:val="TableParagraph"/>
              <w:spacing w:before="0"/>
              <w:ind w:right="57"/>
              <w:rPr>
                <w:b/>
                <w:sz w:val="12"/>
              </w:rPr>
            </w:pPr>
            <w:r>
              <w:rPr>
                <w:b/>
                <w:w w:val="105"/>
                <w:sz w:val="12"/>
              </w:rPr>
              <w:t>0</w:t>
            </w:r>
          </w:p>
        </w:tc>
        <w:tc>
          <w:tcPr>
            <w:tcW w:w="2875" w:type="dxa"/>
            <w:tcBorders>
              <w:left w:val="single" w:sz="8" w:space="0" w:color="000000"/>
              <w:bottom w:val="single" w:sz="8" w:space="0" w:color="000000"/>
            </w:tcBorders>
          </w:tcPr>
          <w:p>
            <w:pPr>
              <w:pStyle w:val="TableParagraph"/>
              <w:spacing w:before="0"/>
              <w:ind w:right="62"/>
              <w:rPr>
                <w:b/>
                <w:sz w:val="12"/>
              </w:rPr>
            </w:pPr>
            <w:r>
              <w:rPr>
                <w:b/>
                <w:w w:val="105"/>
                <w:sz w:val="12"/>
              </w:rPr>
              <w:t>97.7</w:t>
            </w:r>
          </w:p>
        </w:tc>
        <w:tc>
          <w:tcPr>
            <w:tcW w:w="1903" w:type="dxa"/>
            <w:tcBorders>
              <w:bottom w:val="single" w:sz="8" w:space="0" w:color="000000"/>
              <w:right w:val="single" w:sz="8" w:space="0" w:color="000000"/>
            </w:tcBorders>
          </w:tcPr>
          <w:p>
            <w:pPr>
              <w:pStyle w:val="TableParagraph"/>
              <w:spacing w:before="0"/>
              <w:ind w:right="59"/>
              <w:rPr>
                <w:b/>
                <w:sz w:val="12"/>
              </w:rPr>
            </w:pPr>
            <w:r>
              <w:rPr>
                <w:b/>
                <w:w w:val="105"/>
                <w:sz w:val="12"/>
              </w:rPr>
              <w:t>1.0</w:t>
            </w:r>
          </w:p>
        </w:tc>
        <w:tc>
          <w:tcPr>
            <w:tcW w:w="899" w:type="dxa"/>
            <w:tcBorders>
              <w:left w:val="single" w:sz="8" w:space="0" w:color="000000"/>
              <w:bottom w:val="single" w:sz="8" w:space="0" w:color="000000"/>
            </w:tcBorders>
          </w:tcPr>
          <w:p>
            <w:pPr>
              <w:pStyle w:val="TableParagraph"/>
              <w:spacing w:before="0"/>
              <w:ind w:right="59"/>
              <w:rPr>
                <w:b/>
                <w:sz w:val="12"/>
              </w:rPr>
            </w:pPr>
            <w:r>
              <w:rPr>
                <w:b/>
                <w:w w:val="105"/>
                <w:sz w:val="12"/>
              </w:rPr>
              <w:t>100</w:t>
            </w:r>
          </w:p>
        </w:tc>
        <w:tc>
          <w:tcPr>
            <w:tcW w:w="865" w:type="dxa"/>
            <w:tcBorders>
              <w:bottom w:val="single" w:sz="8" w:space="0" w:color="000000"/>
              <w:right w:val="single" w:sz="8" w:space="0" w:color="000000"/>
            </w:tcBorders>
          </w:tcPr>
          <w:p>
            <w:pPr/>
          </w:p>
        </w:tc>
        <w:tc>
          <w:tcPr>
            <w:tcW w:w="1378" w:type="dxa"/>
            <w:gridSpan w:val="2"/>
            <w:tcBorders>
              <w:top w:val="nil"/>
              <w:left w:val="single" w:sz="8" w:space="0" w:color="000000"/>
              <w:bottom w:val="single" w:sz="8" w:space="0" w:color="000000"/>
              <w:right w:val="nil"/>
            </w:tcBorders>
          </w:tcPr>
          <w:p>
            <w:pPr/>
          </w:p>
        </w:tc>
      </w:tr>
    </w:tbl>
    <w:p>
      <w:pPr>
        <w:spacing w:before="0"/>
        <w:ind w:left="195" w:right="226" w:firstLine="0"/>
        <w:jc w:val="left"/>
        <w:rPr>
          <w:sz w:val="21"/>
        </w:rPr>
      </w:pPr>
      <w:r>
        <w:rPr>
          <w:sz w:val="21"/>
        </w:rPr>
        <w:t>Fuente: Elaboración propia con información estadística del Banco de México.   2009.</w:t>
      </w:r>
    </w:p>
    <w:p>
      <w:pPr>
        <w:spacing w:before="5"/>
        <w:ind w:left="195" w:right="226" w:firstLine="0"/>
        <w:jc w:val="left"/>
        <w:rPr>
          <w:sz w:val="21"/>
        </w:rPr>
      </w:pPr>
      <w:r>
        <w:rPr>
          <w:sz w:val="21"/>
        </w:rPr>
        <w:t>TCMA: Tasa de crecimiento media anual. FAA: frecuencia absoluta acumulada. FRA: Frecuencia relativa    acumulada.</w:t>
      </w:r>
    </w:p>
    <w:p>
      <w:pPr>
        <w:spacing w:after="0"/>
        <w:jc w:val="left"/>
        <w:rPr>
          <w:sz w:val="21"/>
        </w:rPr>
        <w:sectPr>
          <w:pgSz w:w="16840" w:h="11900" w:orient="landscape"/>
          <w:pgMar w:header="0" w:footer="958" w:top="1100" w:bottom="1140" w:left="1900" w:right="1880"/>
        </w:sectPr>
      </w:pPr>
    </w:p>
    <w:p>
      <w:pPr>
        <w:pStyle w:val="BodyText"/>
        <w:rPr>
          <w:sz w:val="20"/>
        </w:rPr>
      </w:pPr>
    </w:p>
    <w:p>
      <w:pPr>
        <w:pStyle w:val="BodyText"/>
        <w:spacing w:before="10"/>
        <w:rPr>
          <w:sz w:val="16"/>
        </w:rPr>
      </w:pPr>
    </w:p>
    <w:p>
      <w:pPr>
        <w:pStyle w:val="BodyText"/>
        <w:spacing w:line="364" w:lineRule="auto" w:before="74"/>
        <w:ind w:left="115" w:right="119"/>
        <w:jc w:val="both"/>
      </w:pPr>
      <w:r>
        <w:rPr/>
        <w:t>Como se pude apreciar en el  cuadro 3, se presenta de manera mensual durante  los 12 meses del año específicamente para 2009, las diferentes formas de envío   de remesas al</w:t>
      </w:r>
      <w:r>
        <w:rPr>
          <w:spacing w:val="22"/>
        </w:rPr>
        <w:t> </w:t>
      </w:r>
      <w:r>
        <w:rPr/>
        <w:t>país.</w:t>
      </w:r>
    </w:p>
    <w:p>
      <w:pPr>
        <w:pStyle w:val="BodyText"/>
        <w:rPr>
          <w:sz w:val="22"/>
        </w:rPr>
      </w:pPr>
    </w:p>
    <w:p>
      <w:pPr>
        <w:pStyle w:val="BodyText"/>
        <w:spacing w:line="364" w:lineRule="auto" w:before="153"/>
        <w:ind w:left="115" w:right="118"/>
        <w:jc w:val="both"/>
      </w:pPr>
      <w:r>
        <w:rPr/>
        <w:t>En este sentido, se ve que la forma de envío a través de  transferencias  electrónicas es la que más utilizan los migrantes al mandarse por este medio el 96.7% (20,483.9 millones de dólares) de éste concepto, seguido de los Money orders con 1.8% (386.2 MMD), Efectivo y especie con 1.5% (311.0 MMD) y los cheques personales dejaron de usarse prácticamente desde 2004. Para este año  de análisis se exhibe que el mes de marzo (9.9%) fue el más sobresaliente en el envío de éste recurso al país, seguido de los meses de junio y mayo que significaron el 9.1 y</w:t>
      </w:r>
      <w:r>
        <w:rPr>
          <w:spacing w:val="26"/>
        </w:rPr>
        <w:t> </w:t>
      </w:r>
      <w:r>
        <w:rPr/>
        <w:t>9.0%.</w:t>
      </w:r>
    </w:p>
    <w:p>
      <w:pPr>
        <w:pStyle w:val="BodyText"/>
        <w:rPr>
          <w:sz w:val="22"/>
        </w:rPr>
      </w:pPr>
    </w:p>
    <w:p>
      <w:pPr>
        <w:pStyle w:val="BodyText"/>
        <w:spacing w:line="364" w:lineRule="auto" w:before="155"/>
        <w:ind w:left="115" w:right="117"/>
        <w:jc w:val="both"/>
      </w:pPr>
      <w:r>
        <w:rPr/>
        <w:t>Concretamente para el año 2009, a mediados de año (junio) se había enviado el 52.3% de las remesas (11,078.6 millones de dólares) de los cuales 10,713.0 millones de dólares corresponden a transferencias electrónicas que representa el 50.6% de las remesas totales del país. Con relación al número de operaciones 33,764.8 miles de transacciones (50.5% del total de este rubro), de estas 32,988.2 miles de operaciones corresponden a las transferencias electrónicas que significó  el 49.4% de las operaciones totales de remesas </w:t>
      </w:r>
      <w:r>
        <w:rPr>
          <w:spacing w:val="1"/>
        </w:rPr>
        <w:t> </w:t>
      </w:r>
      <w:r>
        <w:rPr/>
        <w:t>familiares.</w:t>
      </w:r>
    </w:p>
    <w:p>
      <w:pPr>
        <w:pStyle w:val="BodyText"/>
        <w:rPr>
          <w:sz w:val="22"/>
        </w:rPr>
      </w:pPr>
    </w:p>
    <w:p>
      <w:pPr>
        <w:pStyle w:val="BodyText"/>
        <w:spacing w:line="364" w:lineRule="auto" w:before="155"/>
        <w:ind w:left="115" w:right="116"/>
        <w:jc w:val="both"/>
      </w:pPr>
      <w:r>
        <w:rPr/>
        <w:t>Con respecto al número de operaciones realizadas en cada uno de los conceptos de envío, las transferencias electrónicas fueron de 65,241.5 miles de operaciones que significó el 97.7% de las operaciones totales de este rubro; los Money orders significó el 1.3% con 866.4 miles de operaciones y finalmente en  efectivo  y  especie fueron 689.1 miles de operaciones que fue el </w:t>
      </w:r>
      <w:r>
        <w:rPr>
          <w:spacing w:val="2"/>
        </w:rPr>
        <w:t> </w:t>
      </w:r>
      <w:r>
        <w:rPr/>
        <w:t>1.0%.</w:t>
      </w:r>
    </w:p>
    <w:p>
      <w:pPr>
        <w:pStyle w:val="BodyText"/>
        <w:rPr>
          <w:sz w:val="22"/>
        </w:rPr>
      </w:pPr>
    </w:p>
    <w:p>
      <w:pPr>
        <w:pStyle w:val="BodyText"/>
        <w:spacing w:line="364" w:lineRule="auto" w:before="155"/>
        <w:ind w:left="115" w:right="119"/>
        <w:jc w:val="both"/>
      </w:pPr>
      <w:r>
        <w:rPr/>
        <w:t>El cuadro 4, revela el comportamiento que ha venido teniendo las transferencias electrónicas, como el instrumento más importante que utilizan los migrantes mexicanos para el envío de remesas a sus familias que radican a lo largo y ancho de la República Mexicana.</w:t>
      </w:r>
    </w:p>
    <w:p>
      <w:pPr>
        <w:pStyle w:val="BodyText"/>
        <w:spacing w:before="2"/>
        <w:rPr>
          <w:sz w:val="24"/>
        </w:rPr>
      </w:pPr>
    </w:p>
    <w:p>
      <w:pPr>
        <w:spacing w:before="62"/>
        <w:ind w:left="0" w:right="119" w:firstLine="0"/>
        <w:jc w:val="right"/>
        <w:rPr>
          <w:rFonts w:ascii="Calibri"/>
          <w:sz w:val="21"/>
        </w:rPr>
      </w:pPr>
      <w:r>
        <w:rPr>
          <w:rFonts w:ascii="Calibri"/>
          <w:sz w:val="21"/>
        </w:rPr>
        <w:t>183</w:t>
      </w:r>
    </w:p>
    <w:p>
      <w:pPr>
        <w:spacing w:after="0"/>
        <w:jc w:val="right"/>
        <w:rPr>
          <w:rFonts w:ascii="Calibri"/>
          <w:sz w:val="21"/>
        </w:rPr>
        <w:sectPr>
          <w:footerReference w:type="default" r:id="rId273"/>
          <w:pgSz w:w="11900" w:h="16840"/>
          <w:pgMar w:footer="0" w:header="0" w:top="1600" w:bottom="280" w:left="1540" w:right="1520"/>
        </w:sectPr>
      </w:pPr>
    </w:p>
    <w:p>
      <w:pPr>
        <w:pStyle w:val="BodyText"/>
        <w:rPr>
          <w:rFonts w:ascii="Calibri"/>
          <w:sz w:val="20"/>
        </w:rPr>
      </w:pPr>
    </w:p>
    <w:p>
      <w:pPr>
        <w:pStyle w:val="BodyText"/>
        <w:spacing w:before="4"/>
        <w:rPr>
          <w:rFonts w:ascii="Calibri"/>
          <w:sz w:val="19"/>
        </w:rPr>
      </w:pPr>
    </w:p>
    <w:p>
      <w:pPr>
        <w:pStyle w:val="Heading4"/>
        <w:spacing w:line="244" w:lineRule="auto" w:before="73"/>
        <w:ind w:left="431" w:right="443"/>
        <w:jc w:val="center"/>
      </w:pPr>
      <w:r>
        <w:rPr/>
        <w:t>Cuadro 4. Comportamiento mensual y anual de las transferencias electrónicas de las remesas familiares, 1995- 2009</w:t>
      </w:r>
    </w:p>
    <w:p>
      <w:pPr>
        <w:spacing w:line="264" w:lineRule="exact" w:before="0"/>
        <w:ind w:left="429" w:right="443" w:firstLine="0"/>
        <w:jc w:val="center"/>
        <w:rPr>
          <w:b/>
          <w:sz w:val="23"/>
        </w:rPr>
      </w:pPr>
      <w:r>
        <w:rPr>
          <w:b/>
          <w:sz w:val="23"/>
        </w:rPr>
        <w:t>(Millones de dólares)</w:t>
      </w:r>
    </w:p>
    <w:p>
      <w:pPr>
        <w:pStyle w:val="BodyText"/>
        <w:spacing w:before="9"/>
        <w:rPr>
          <w:b/>
          <w:sz w:val="10"/>
        </w:rPr>
      </w:pPr>
    </w:p>
    <w:tbl>
      <w:tblPr>
        <w:tblW w:w="0" w:type="auto"/>
        <w:jc w:val="left"/>
        <w:tblInd w:w="118"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962"/>
        <w:gridCol w:w="624"/>
        <w:gridCol w:w="626"/>
        <w:gridCol w:w="624"/>
        <w:gridCol w:w="623"/>
        <w:gridCol w:w="623"/>
        <w:gridCol w:w="624"/>
        <w:gridCol w:w="624"/>
        <w:gridCol w:w="624"/>
        <w:gridCol w:w="706"/>
        <w:gridCol w:w="703"/>
        <w:gridCol w:w="706"/>
        <w:gridCol w:w="706"/>
        <w:gridCol w:w="703"/>
        <w:gridCol w:w="706"/>
        <w:gridCol w:w="706"/>
        <w:gridCol w:w="773"/>
        <w:gridCol w:w="571"/>
        <w:gridCol w:w="562"/>
      </w:tblGrid>
      <w:tr>
        <w:trPr>
          <w:trHeight w:val="325" w:hRule="exact"/>
        </w:trPr>
        <w:tc>
          <w:tcPr>
            <w:tcW w:w="962" w:type="dxa"/>
            <w:tcBorders>
              <w:left w:val="single" w:sz="8" w:space="0" w:color="000000"/>
              <w:bottom w:val="single" w:sz="8" w:space="0" w:color="000000"/>
              <w:right w:val="single" w:sz="8" w:space="0" w:color="000000"/>
            </w:tcBorders>
          </w:tcPr>
          <w:p>
            <w:pPr>
              <w:pStyle w:val="TableParagraph"/>
              <w:spacing w:before="1"/>
              <w:jc w:val="left"/>
              <w:rPr>
                <w:b/>
                <w:sz w:val="12"/>
              </w:rPr>
            </w:pPr>
          </w:p>
          <w:p>
            <w:pPr>
              <w:pStyle w:val="TableParagraph"/>
              <w:spacing w:before="1"/>
              <w:ind w:left="57"/>
              <w:jc w:val="left"/>
              <w:rPr>
                <w:b/>
                <w:sz w:val="14"/>
              </w:rPr>
            </w:pPr>
            <w:r>
              <w:rPr>
                <w:b/>
                <w:w w:val="105"/>
                <w:sz w:val="14"/>
              </w:rPr>
              <w:t>MES/AÑO</w:t>
            </w:r>
          </w:p>
        </w:tc>
        <w:tc>
          <w:tcPr>
            <w:tcW w:w="624" w:type="dxa"/>
            <w:tcBorders>
              <w:left w:val="single" w:sz="8" w:space="0" w:color="000000"/>
              <w:bottom w:val="single" w:sz="8" w:space="0" w:color="000000"/>
              <w:right w:val="single" w:sz="8" w:space="0" w:color="000000"/>
            </w:tcBorders>
          </w:tcPr>
          <w:p>
            <w:pPr>
              <w:pStyle w:val="TableParagraph"/>
              <w:spacing w:before="1"/>
              <w:jc w:val="left"/>
              <w:rPr>
                <w:b/>
                <w:sz w:val="12"/>
              </w:rPr>
            </w:pPr>
          </w:p>
          <w:p>
            <w:pPr>
              <w:pStyle w:val="TableParagraph"/>
              <w:spacing w:before="1"/>
              <w:ind w:right="52"/>
              <w:rPr>
                <w:b/>
                <w:sz w:val="14"/>
              </w:rPr>
            </w:pPr>
            <w:r>
              <w:rPr>
                <w:b/>
                <w:w w:val="105"/>
                <w:sz w:val="14"/>
              </w:rPr>
              <w:t>1995</w:t>
            </w:r>
          </w:p>
        </w:tc>
        <w:tc>
          <w:tcPr>
            <w:tcW w:w="626" w:type="dxa"/>
            <w:tcBorders>
              <w:left w:val="single" w:sz="8" w:space="0" w:color="000000"/>
              <w:bottom w:val="single" w:sz="8" w:space="0" w:color="000000"/>
              <w:right w:val="single" w:sz="8" w:space="0" w:color="000000"/>
            </w:tcBorders>
          </w:tcPr>
          <w:p>
            <w:pPr>
              <w:pStyle w:val="TableParagraph"/>
              <w:spacing w:before="1"/>
              <w:jc w:val="left"/>
              <w:rPr>
                <w:b/>
                <w:sz w:val="12"/>
              </w:rPr>
            </w:pPr>
          </w:p>
          <w:p>
            <w:pPr>
              <w:pStyle w:val="TableParagraph"/>
              <w:spacing w:before="1"/>
              <w:ind w:right="55"/>
              <w:rPr>
                <w:b/>
                <w:sz w:val="14"/>
              </w:rPr>
            </w:pPr>
            <w:r>
              <w:rPr>
                <w:b/>
                <w:w w:val="105"/>
                <w:sz w:val="14"/>
              </w:rPr>
              <w:t>1996</w:t>
            </w:r>
          </w:p>
        </w:tc>
        <w:tc>
          <w:tcPr>
            <w:tcW w:w="624" w:type="dxa"/>
            <w:tcBorders>
              <w:left w:val="single" w:sz="8" w:space="0" w:color="000000"/>
              <w:bottom w:val="single" w:sz="8" w:space="0" w:color="000000"/>
              <w:right w:val="single" w:sz="8" w:space="0" w:color="000000"/>
            </w:tcBorders>
          </w:tcPr>
          <w:p>
            <w:pPr>
              <w:pStyle w:val="TableParagraph"/>
              <w:spacing w:before="1"/>
              <w:jc w:val="left"/>
              <w:rPr>
                <w:b/>
                <w:sz w:val="12"/>
              </w:rPr>
            </w:pPr>
          </w:p>
          <w:p>
            <w:pPr>
              <w:pStyle w:val="TableParagraph"/>
              <w:spacing w:before="1"/>
              <w:ind w:right="55"/>
              <w:rPr>
                <w:b/>
                <w:sz w:val="14"/>
              </w:rPr>
            </w:pPr>
            <w:r>
              <w:rPr>
                <w:b/>
                <w:w w:val="105"/>
                <w:sz w:val="14"/>
              </w:rPr>
              <w:t>1997</w:t>
            </w:r>
          </w:p>
        </w:tc>
        <w:tc>
          <w:tcPr>
            <w:tcW w:w="623" w:type="dxa"/>
            <w:tcBorders>
              <w:left w:val="single" w:sz="8" w:space="0" w:color="000000"/>
              <w:bottom w:val="single" w:sz="8" w:space="0" w:color="000000"/>
            </w:tcBorders>
          </w:tcPr>
          <w:p>
            <w:pPr>
              <w:pStyle w:val="TableParagraph"/>
              <w:spacing w:before="1"/>
              <w:jc w:val="left"/>
              <w:rPr>
                <w:b/>
                <w:sz w:val="12"/>
              </w:rPr>
            </w:pPr>
          </w:p>
          <w:p>
            <w:pPr>
              <w:pStyle w:val="TableParagraph"/>
              <w:spacing w:before="1"/>
              <w:ind w:left="200" w:right="37"/>
              <w:jc w:val="center"/>
              <w:rPr>
                <w:b/>
                <w:sz w:val="14"/>
              </w:rPr>
            </w:pPr>
            <w:r>
              <w:rPr>
                <w:b/>
                <w:w w:val="105"/>
                <w:sz w:val="14"/>
              </w:rPr>
              <w:t>1998</w:t>
            </w:r>
          </w:p>
        </w:tc>
        <w:tc>
          <w:tcPr>
            <w:tcW w:w="623" w:type="dxa"/>
            <w:tcBorders>
              <w:bottom w:val="single" w:sz="8" w:space="0" w:color="000000"/>
            </w:tcBorders>
          </w:tcPr>
          <w:p>
            <w:pPr>
              <w:pStyle w:val="TableParagraph"/>
              <w:spacing w:before="1"/>
              <w:jc w:val="left"/>
              <w:rPr>
                <w:b/>
                <w:sz w:val="12"/>
              </w:rPr>
            </w:pPr>
          </w:p>
          <w:p>
            <w:pPr>
              <w:pStyle w:val="TableParagraph"/>
              <w:spacing w:before="1"/>
              <w:ind w:right="54"/>
              <w:rPr>
                <w:b/>
                <w:sz w:val="14"/>
              </w:rPr>
            </w:pPr>
            <w:r>
              <w:rPr>
                <w:b/>
                <w:w w:val="105"/>
                <w:sz w:val="14"/>
              </w:rPr>
              <w:t>1999</w:t>
            </w:r>
          </w:p>
        </w:tc>
        <w:tc>
          <w:tcPr>
            <w:tcW w:w="624" w:type="dxa"/>
            <w:tcBorders>
              <w:bottom w:val="single" w:sz="8" w:space="0" w:color="000000"/>
              <w:right w:val="single" w:sz="8" w:space="0" w:color="000000"/>
            </w:tcBorders>
          </w:tcPr>
          <w:p>
            <w:pPr>
              <w:pStyle w:val="TableParagraph"/>
              <w:spacing w:before="1"/>
              <w:jc w:val="left"/>
              <w:rPr>
                <w:b/>
                <w:sz w:val="12"/>
              </w:rPr>
            </w:pPr>
          </w:p>
          <w:p>
            <w:pPr>
              <w:pStyle w:val="TableParagraph"/>
              <w:spacing w:before="1"/>
              <w:ind w:right="52"/>
              <w:rPr>
                <w:b/>
                <w:sz w:val="14"/>
              </w:rPr>
            </w:pPr>
            <w:r>
              <w:rPr>
                <w:b/>
                <w:w w:val="105"/>
                <w:sz w:val="14"/>
              </w:rPr>
              <w:t>2000</w:t>
            </w:r>
          </w:p>
        </w:tc>
        <w:tc>
          <w:tcPr>
            <w:tcW w:w="624" w:type="dxa"/>
            <w:tcBorders>
              <w:left w:val="single" w:sz="8" w:space="0" w:color="000000"/>
              <w:bottom w:val="single" w:sz="8" w:space="0" w:color="000000"/>
              <w:right w:val="single" w:sz="8" w:space="0" w:color="000000"/>
            </w:tcBorders>
          </w:tcPr>
          <w:p>
            <w:pPr>
              <w:pStyle w:val="TableParagraph"/>
              <w:spacing w:before="1"/>
              <w:jc w:val="left"/>
              <w:rPr>
                <w:b/>
                <w:sz w:val="12"/>
              </w:rPr>
            </w:pPr>
          </w:p>
          <w:p>
            <w:pPr>
              <w:pStyle w:val="TableParagraph"/>
              <w:spacing w:before="1"/>
              <w:ind w:right="52"/>
              <w:rPr>
                <w:b/>
                <w:sz w:val="14"/>
              </w:rPr>
            </w:pPr>
            <w:r>
              <w:rPr>
                <w:b/>
                <w:w w:val="105"/>
                <w:sz w:val="14"/>
              </w:rPr>
              <w:t>2001</w:t>
            </w:r>
          </w:p>
        </w:tc>
        <w:tc>
          <w:tcPr>
            <w:tcW w:w="624" w:type="dxa"/>
            <w:tcBorders>
              <w:left w:val="single" w:sz="8" w:space="0" w:color="000000"/>
              <w:bottom w:val="single" w:sz="8" w:space="0" w:color="000000"/>
              <w:right w:val="single" w:sz="8" w:space="0" w:color="000000"/>
            </w:tcBorders>
          </w:tcPr>
          <w:p>
            <w:pPr>
              <w:pStyle w:val="TableParagraph"/>
              <w:spacing w:before="1"/>
              <w:jc w:val="left"/>
              <w:rPr>
                <w:b/>
                <w:sz w:val="12"/>
              </w:rPr>
            </w:pPr>
          </w:p>
          <w:p>
            <w:pPr>
              <w:pStyle w:val="TableParagraph"/>
              <w:spacing w:before="1"/>
              <w:ind w:right="52"/>
              <w:rPr>
                <w:b/>
                <w:sz w:val="14"/>
              </w:rPr>
            </w:pPr>
            <w:r>
              <w:rPr>
                <w:b/>
                <w:w w:val="105"/>
                <w:sz w:val="14"/>
              </w:rPr>
              <w:t>2002</w:t>
            </w:r>
          </w:p>
        </w:tc>
        <w:tc>
          <w:tcPr>
            <w:tcW w:w="706" w:type="dxa"/>
            <w:tcBorders>
              <w:left w:val="single" w:sz="8" w:space="0" w:color="000000"/>
              <w:bottom w:val="single" w:sz="8" w:space="0" w:color="000000"/>
              <w:right w:val="single" w:sz="8" w:space="0" w:color="000000"/>
            </w:tcBorders>
          </w:tcPr>
          <w:p>
            <w:pPr>
              <w:pStyle w:val="TableParagraph"/>
              <w:spacing w:before="1"/>
              <w:jc w:val="left"/>
              <w:rPr>
                <w:b/>
                <w:sz w:val="12"/>
              </w:rPr>
            </w:pPr>
          </w:p>
          <w:p>
            <w:pPr>
              <w:pStyle w:val="TableParagraph"/>
              <w:spacing w:before="1"/>
              <w:ind w:right="55"/>
              <w:rPr>
                <w:b/>
                <w:sz w:val="14"/>
              </w:rPr>
            </w:pPr>
            <w:r>
              <w:rPr>
                <w:b/>
                <w:w w:val="105"/>
                <w:sz w:val="14"/>
              </w:rPr>
              <w:t>2003</w:t>
            </w:r>
          </w:p>
        </w:tc>
        <w:tc>
          <w:tcPr>
            <w:tcW w:w="703" w:type="dxa"/>
            <w:tcBorders>
              <w:left w:val="single" w:sz="8" w:space="0" w:color="000000"/>
              <w:bottom w:val="single" w:sz="8" w:space="0" w:color="000000"/>
              <w:right w:val="single" w:sz="8" w:space="0" w:color="000000"/>
            </w:tcBorders>
          </w:tcPr>
          <w:p>
            <w:pPr>
              <w:pStyle w:val="TableParagraph"/>
              <w:spacing w:before="1"/>
              <w:jc w:val="left"/>
              <w:rPr>
                <w:b/>
                <w:sz w:val="12"/>
              </w:rPr>
            </w:pPr>
          </w:p>
          <w:p>
            <w:pPr>
              <w:pStyle w:val="TableParagraph"/>
              <w:spacing w:before="1"/>
              <w:ind w:right="52"/>
              <w:rPr>
                <w:b/>
                <w:sz w:val="14"/>
              </w:rPr>
            </w:pPr>
            <w:r>
              <w:rPr>
                <w:b/>
                <w:w w:val="105"/>
                <w:sz w:val="14"/>
              </w:rPr>
              <w:t>2004</w:t>
            </w:r>
          </w:p>
        </w:tc>
        <w:tc>
          <w:tcPr>
            <w:tcW w:w="706" w:type="dxa"/>
            <w:tcBorders>
              <w:left w:val="single" w:sz="8" w:space="0" w:color="000000"/>
              <w:bottom w:val="single" w:sz="8" w:space="0" w:color="000000"/>
              <w:right w:val="single" w:sz="8" w:space="0" w:color="000000"/>
            </w:tcBorders>
          </w:tcPr>
          <w:p>
            <w:pPr>
              <w:pStyle w:val="TableParagraph"/>
              <w:spacing w:before="1"/>
              <w:jc w:val="left"/>
              <w:rPr>
                <w:b/>
                <w:sz w:val="12"/>
              </w:rPr>
            </w:pPr>
          </w:p>
          <w:p>
            <w:pPr>
              <w:pStyle w:val="TableParagraph"/>
              <w:spacing w:before="1"/>
              <w:ind w:right="55"/>
              <w:rPr>
                <w:b/>
                <w:sz w:val="14"/>
              </w:rPr>
            </w:pPr>
            <w:r>
              <w:rPr>
                <w:b/>
                <w:w w:val="105"/>
                <w:sz w:val="14"/>
              </w:rPr>
              <w:t>2005</w:t>
            </w:r>
          </w:p>
        </w:tc>
        <w:tc>
          <w:tcPr>
            <w:tcW w:w="706" w:type="dxa"/>
            <w:tcBorders>
              <w:left w:val="single" w:sz="8" w:space="0" w:color="000000"/>
              <w:bottom w:val="single" w:sz="8" w:space="0" w:color="000000"/>
              <w:right w:val="single" w:sz="8" w:space="0" w:color="000000"/>
            </w:tcBorders>
          </w:tcPr>
          <w:p>
            <w:pPr>
              <w:pStyle w:val="TableParagraph"/>
              <w:spacing w:before="1"/>
              <w:jc w:val="left"/>
              <w:rPr>
                <w:b/>
                <w:sz w:val="12"/>
              </w:rPr>
            </w:pPr>
          </w:p>
          <w:p>
            <w:pPr>
              <w:pStyle w:val="TableParagraph"/>
              <w:spacing w:before="1"/>
              <w:ind w:right="55"/>
              <w:rPr>
                <w:b/>
                <w:sz w:val="14"/>
              </w:rPr>
            </w:pPr>
            <w:r>
              <w:rPr>
                <w:b/>
                <w:w w:val="105"/>
                <w:sz w:val="14"/>
              </w:rPr>
              <w:t>2006</w:t>
            </w:r>
          </w:p>
        </w:tc>
        <w:tc>
          <w:tcPr>
            <w:tcW w:w="703" w:type="dxa"/>
            <w:tcBorders>
              <w:left w:val="single" w:sz="8" w:space="0" w:color="000000"/>
              <w:bottom w:val="single" w:sz="8" w:space="0" w:color="000000"/>
              <w:right w:val="single" w:sz="8" w:space="0" w:color="000000"/>
            </w:tcBorders>
          </w:tcPr>
          <w:p>
            <w:pPr>
              <w:pStyle w:val="TableParagraph"/>
              <w:spacing w:before="1"/>
              <w:jc w:val="left"/>
              <w:rPr>
                <w:b/>
                <w:sz w:val="12"/>
              </w:rPr>
            </w:pPr>
          </w:p>
          <w:p>
            <w:pPr>
              <w:pStyle w:val="TableParagraph"/>
              <w:spacing w:before="1"/>
              <w:ind w:right="52"/>
              <w:rPr>
                <w:b/>
                <w:sz w:val="14"/>
              </w:rPr>
            </w:pPr>
            <w:r>
              <w:rPr>
                <w:b/>
                <w:w w:val="105"/>
                <w:sz w:val="14"/>
              </w:rPr>
              <w:t>2007</w:t>
            </w:r>
          </w:p>
        </w:tc>
        <w:tc>
          <w:tcPr>
            <w:tcW w:w="706" w:type="dxa"/>
            <w:tcBorders>
              <w:left w:val="single" w:sz="8" w:space="0" w:color="000000"/>
              <w:bottom w:val="single" w:sz="8" w:space="0" w:color="000000"/>
              <w:right w:val="single" w:sz="8" w:space="0" w:color="000000"/>
            </w:tcBorders>
          </w:tcPr>
          <w:p>
            <w:pPr>
              <w:pStyle w:val="TableParagraph"/>
              <w:spacing w:before="1"/>
              <w:jc w:val="left"/>
              <w:rPr>
                <w:b/>
                <w:sz w:val="12"/>
              </w:rPr>
            </w:pPr>
          </w:p>
          <w:p>
            <w:pPr>
              <w:pStyle w:val="TableParagraph"/>
              <w:spacing w:before="1"/>
              <w:ind w:right="55"/>
              <w:rPr>
                <w:b/>
                <w:sz w:val="14"/>
              </w:rPr>
            </w:pPr>
            <w:r>
              <w:rPr>
                <w:b/>
                <w:w w:val="105"/>
                <w:sz w:val="14"/>
              </w:rPr>
              <w:t>2008</w:t>
            </w:r>
          </w:p>
        </w:tc>
        <w:tc>
          <w:tcPr>
            <w:tcW w:w="706" w:type="dxa"/>
            <w:tcBorders>
              <w:left w:val="single" w:sz="8" w:space="0" w:color="000000"/>
              <w:bottom w:val="single" w:sz="8" w:space="0" w:color="000000"/>
              <w:right w:val="single" w:sz="8" w:space="0" w:color="000000"/>
            </w:tcBorders>
          </w:tcPr>
          <w:p>
            <w:pPr>
              <w:pStyle w:val="TableParagraph"/>
              <w:spacing w:before="1"/>
              <w:jc w:val="left"/>
              <w:rPr>
                <w:b/>
                <w:sz w:val="12"/>
              </w:rPr>
            </w:pPr>
          </w:p>
          <w:p>
            <w:pPr>
              <w:pStyle w:val="TableParagraph"/>
              <w:spacing w:before="1"/>
              <w:ind w:right="57"/>
              <w:rPr>
                <w:b/>
                <w:sz w:val="14"/>
              </w:rPr>
            </w:pPr>
            <w:r>
              <w:rPr>
                <w:b/>
                <w:w w:val="105"/>
                <w:sz w:val="14"/>
              </w:rPr>
              <w:t>2009</w:t>
            </w:r>
          </w:p>
        </w:tc>
        <w:tc>
          <w:tcPr>
            <w:tcW w:w="773" w:type="dxa"/>
            <w:tcBorders>
              <w:left w:val="single" w:sz="8" w:space="0" w:color="000000"/>
              <w:bottom w:val="single" w:sz="8" w:space="0" w:color="000000"/>
              <w:right w:val="single" w:sz="8" w:space="0" w:color="000000"/>
            </w:tcBorders>
          </w:tcPr>
          <w:p>
            <w:pPr>
              <w:pStyle w:val="TableParagraph"/>
              <w:spacing w:before="1"/>
              <w:jc w:val="left"/>
              <w:rPr>
                <w:b/>
                <w:sz w:val="12"/>
              </w:rPr>
            </w:pPr>
          </w:p>
          <w:p>
            <w:pPr>
              <w:pStyle w:val="TableParagraph"/>
              <w:spacing w:before="1"/>
              <w:ind w:left="134"/>
              <w:jc w:val="left"/>
              <w:rPr>
                <w:b/>
                <w:sz w:val="14"/>
              </w:rPr>
            </w:pPr>
            <w:r>
              <w:rPr>
                <w:b/>
                <w:w w:val="105"/>
                <w:sz w:val="14"/>
              </w:rPr>
              <w:t>PROM.</w:t>
            </w:r>
          </w:p>
        </w:tc>
        <w:tc>
          <w:tcPr>
            <w:tcW w:w="571" w:type="dxa"/>
            <w:tcBorders>
              <w:left w:val="single" w:sz="8" w:space="0" w:color="000000"/>
              <w:bottom w:val="single" w:sz="8" w:space="0" w:color="000000"/>
              <w:right w:val="single" w:sz="8" w:space="0" w:color="000000"/>
            </w:tcBorders>
          </w:tcPr>
          <w:p>
            <w:pPr>
              <w:pStyle w:val="TableParagraph"/>
              <w:spacing w:before="1"/>
              <w:jc w:val="left"/>
              <w:rPr>
                <w:b/>
                <w:sz w:val="12"/>
              </w:rPr>
            </w:pPr>
          </w:p>
          <w:p>
            <w:pPr>
              <w:pStyle w:val="TableParagraph"/>
              <w:spacing w:before="1"/>
              <w:ind w:right="55"/>
              <w:rPr>
                <w:b/>
                <w:sz w:val="14"/>
              </w:rPr>
            </w:pPr>
            <w:r>
              <w:rPr>
                <w:b/>
                <w:w w:val="105"/>
                <w:sz w:val="14"/>
              </w:rPr>
              <w:t>PART.</w:t>
            </w:r>
          </w:p>
        </w:tc>
        <w:tc>
          <w:tcPr>
            <w:tcW w:w="562" w:type="dxa"/>
            <w:tcBorders>
              <w:left w:val="single" w:sz="8" w:space="0" w:color="000000"/>
              <w:bottom w:val="single" w:sz="8" w:space="0" w:color="000000"/>
              <w:right w:val="single" w:sz="8" w:space="0" w:color="000000"/>
            </w:tcBorders>
          </w:tcPr>
          <w:p>
            <w:pPr>
              <w:pStyle w:val="TableParagraph"/>
              <w:spacing w:before="1"/>
              <w:jc w:val="left"/>
              <w:rPr>
                <w:b/>
                <w:sz w:val="12"/>
              </w:rPr>
            </w:pPr>
          </w:p>
          <w:p>
            <w:pPr>
              <w:pStyle w:val="TableParagraph"/>
              <w:spacing w:before="1"/>
              <w:ind w:right="54"/>
              <w:rPr>
                <w:b/>
                <w:sz w:val="14"/>
              </w:rPr>
            </w:pPr>
            <w:r>
              <w:rPr>
                <w:b/>
                <w:w w:val="105"/>
                <w:sz w:val="14"/>
              </w:rPr>
              <w:t>TCMA</w:t>
            </w:r>
          </w:p>
        </w:tc>
      </w:tr>
      <w:tr>
        <w:trPr>
          <w:trHeight w:val="326" w:hRule="exact"/>
        </w:trPr>
        <w:tc>
          <w:tcPr>
            <w:tcW w:w="962" w:type="dxa"/>
            <w:tcBorders>
              <w:top w:val="single" w:sz="8" w:space="0" w:color="000000"/>
              <w:left w:val="single" w:sz="8" w:space="0" w:color="000000"/>
              <w:bottom w:val="single" w:sz="8" w:space="0" w:color="000000"/>
              <w:right w:val="single" w:sz="8" w:space="0" w:color="000000"/>
            </w:tcBorders>
          </w:tcPr>
          <w:p>
            <w:pPr>
              <w:pStyle w:val="TableParagraph"/>
              <w:spacing w:before="4"/>
              <w:jc w:val="left"/>
              <w:rPr>
                <w:b/>
                <w:sz w:val="12"/>
              </w:rPr>
            </w:pPr>
          </w:p>
          <w:p>
            <w:pPr>
              <w:pStyle w:val="TableParagraph"/>
              <w:spacing w:before="0"/>
              <w:ind w:left="57"/>
              <w:jc w:val="left"/>
              <w:rPr>
                <w:b/>
                <w:sz w:val="14"/>
              </w:rPr>
            </w:pPr>
            <w:r>
              <w:rPr>
                <w:b/>
                <w:w w:val="105"/>
                <w:sz w:val="14"/>
              </w:rPr>
              <w:t>Nacional</w:t>
            </w:r>
          </w:p>
        </w:tc>
        <w:tc>
          <w:tcPr>
            <w:tcW w:w="624" w:type="dxa"/>
            <w:tcBorders>
              <w:top w:val="single" w:sz="8" w:space="0" w:color="000000"/>
              <w:left w:val="single" w:sz="8" w:space="0" w:color="000000"/>
              <w:bottom w:val="single" w:sz="8" w:space="0" w:color="000000"/>
              <w:right w:val="single" w:sz="8" w:space="0" w:color="000000"/>
            </w:tcBorders>
          </w:tcPr>
          <w:p>
            <w:pPr>
              <w:pStyle w:val="TableParagraph"/>
              <w:spacing w:before="4"/>
              <w:jc w:val="left"/>
              <w:rPr>
                <w:b/>
                <w:sz w:val="12"/>
              </w:rPr>
            </w:pPr>
          </w:p>
          <w:p>
            <w:pPr>
              <w:pStyle w:val="TableParagraph"/>
              <w:spacing w:before="0"/>
              <w:ind w:right="55"/>
              <w:rPr>
                <w:b/>
                <w:sz w:val="14"/>
              </w:rPr>
            </w:pPr>
            <w:r>
              <w:rPr>
                <w:b/>
                <w:w w:val="105"/>
                <w:sz w:val="14"/>
              </w:rPr>
              <w:t>1,891.2</w:t>
            </w:r>
          </w:p>
        </w:tc>
        <w:tc>
          <w:tcPr>
            <w:tcW w:w="626" w:type="dxa"/>
            <w:tcBorders>
              <w:top w:val="single" w:sz="8" w:space="0" w:color="000000"/>
              <w:left w:val="single" w:sz="8" w:space="0" w:color="000000"/>
              <w:bottom w:val="single" w:sz="8" w:space="0" w:color="000000"/>
              <w:right w:val="single" w:sz="8" w:space="0" w:color="000000"/>
            </w:tcBorders>
          </w:tcPr>
          <w:p>
            <w:pPr>
              <w:pStyle w:val="TableParagraph"/>
              <w:spacing w:before="4"/>
              <w:jc w:val="left"/>
              <w:rPr>
                <w:b/>
                <w:sz w:val="12"/>
              </w:rPr>
            </w:pPr>
          </w:p>
          <w:p>
            <w:pPr>
              <w:pStyle w:val="TableParagraph"/>
              <w:spacing w:before="0"/>
              <w:ind w:right="57"/>
              <w:rPr>
                <w:b/>
                <w:sz w:val="14"/>
              </w:rPr>
            </w:pPr>
            <w:r>
              <w:rPr>
                <w:b/>
                <w:w w:val="105"/>
                <w:sz w:val="14"/>
              </w:rPr>
              <w:t>2,221.9</w:t>
            </w:r>
          </w:p>
        </w:tc>
        <w:tc>
          <w:tcPr>
            <w:tcW w:w="624" w:type="dxa"/>
            <w:tcBorders>
              <w:top w:val="single" w:sz="8" w:space="0" w:color="000000"/>
              <w:left w:val="single" w:sz="8" w:space="0" w:color="000000"/>
              <w:bottom w:val="single" w:sz="8" w:space="0" w:color="000000"/>
              <w:right w:val="single" w:sz="8" w:space="0" w:color="000000"/>
            </w:tcBorders>
          </w:tcPr>
          <w:p>
            <w:pPr>
              <w:pStyle w:val="TableParagraph"/>
              <w:spacing w:before="4"/>
              <w:jc w:val="left"/>
              <w:rPr>
                <w:b/>
                <w:sz w:val="12"/>
              </w:rPr>
            </w:pPr>
          </w:p>
          <w:p>
            <w:pPr>
              <w:pStyle w:val="TableParagraph"/>
              <w:spacing w:before="0"/>
              <w:ind w:right="57"/>
              <w:rPr>
                <w:b/>
                <w:sz w:val="14"/>
              </w:rPr>
            </w:pPr>
            <w:r>
              <w:rPr>
                <w:b/>
                <w:w w:val="105"/>
                <w:sz w:val="14"/>
              </w:rPr>
              <w:t>2,637.9</w:t>
            </w:r>
          </w:p>
        </w:tc>
        <w:tc>
          <w:tcPr>
            <w:tcW w:w="623" w:type="dxa"/>
            <w:tcBorders>
              <w:top w:val="single" w:sz="8" w:space="0" w:color="000000"/>
              <w:left w:val="single" w:sz="8" w:space="0" w:color="000000"/>
              <w:bottom w:val="single" w:sz="8" w:space="0" w:color="000000"/>
            </w:tcBorders>
          </w:tcPr>
          <w:p>
            <w:pPr>
              <w:pStyle w:val="TableParagraph"/>
              <w:spacing w:before="4"/>
              <w:jc w:val="left"/>
              <w:rPr>
                <w:b/>
                <w:sz w:val="12"/>
              </w:rPr>
            </w:pPr>
          </w:p>
          <w:p>
            <w:pPr>
              <w:pStyle w:val="TableParagraph"/>
              <w:spacing w:before="0"/>
              <w:ind w:left="37" w:right="37"/>
              <w:jc w:val="center"/>
              <w:rPr>
                <w:b/>
                <w:sz w:val="14"/>
              </w:rPr>
            </w:pPr>
            <w:r>
              <w:rPr>
                <w:b/>
                <w:w w:val="105"/>
                <w:sz w:val="14"/>
              </w:rPr>
              <w:t>3,250.3</w:t>
            </w:r>
          </w:p>
        </w:tc>
        <w:tc>
          <w:tcPr>
            <w:tcW w:w="623" w:type="dxa"/>
            <w:tcBorders>
              <w:top w:val="single" w:sz="8" w:space="0" w:color="000000"/>
              <w:bottom w:val="single" w:sz="8" w:space="0" w:color="000000"/>
            </w:tcBorders>
          </w:tcPr>
          <w:p>
            <w:pPr>
              <w:pStyle w:val="TableParagraph"/>
              <w:spacing w:before="4"/>
              <w:jc w:val="left"/>
              <w:rPr>
                <w:b/>
                <w:sz w:val="12"/>
              </w:rPr>
            </w:pPr>
          </w:p>
          <w:p>
            <w:pPr>
              <w:pStyle w:val="TableParagraph"/>
              <w:spacing w:before="0"/>
              <w:ind w:right="56"/>
              <w:rPr>
                <w:b/>
                <w:sz w:val="14"/>
              </w:rPr>
            </w:pPr>
            <w:r>
              <w:rPr>
                <w:b/>
                <w:w w:val="105"/>
                <w:sz w:val="14"/>
              </w:rPr>
              <w:t>3,935.1</w:t>
            </w:r>
          </w:p>
        </w:tc>
        <w:tc>
          <w:tcPr>
            <w:tcW w:w="624" w:type="dxa"/>
            <w:tcBorders>
              <w:top w:val="single" w:sz="8" w:space="0" w:color="000000"/>
              <w:bottom w:val="single" w:sz="8" w:space="0" w:color="000000"/>
              <w:right w:val="single" w:sz="8" w:space="0" w:color="000000"/>
            </w:tcBorders>
          </w:tcPr>
          <w:p>
            <w:pPr>
              <w:pStyle w:val="TableParagraph"/>
              <w:spacing w:before="4"/>
              <w:jc w:val="left"/>
              <w:rPr>
                <w:b/>
                <w:sz w:val="12"/>
              </w:rPr>
            </w:pPr>
          </w:p>
          <w:p>
            <w:pPr>
              <w:pStyle w:val="TableParagraph"/>
              <w:spacing w:before="0"/>
              <w:ind w:right="55"/>
              <w:rPr>
                <w:b/>
                <w:sz w:val="14"/>
              </w:rPr>
            </w:pPr>
            <w:r>
              <w:rPr>
                <w:b/>
                <w:w w:val="105"/>
                <w:sz w:val="14"/>
              </w:rPr>
              <w:t>4,642.0</w:t>
            </w:r>
          </w:p>
        </w:tc>
        <w:tc>
          <w:tcPr>
            <w:tcW w:w="624" w:type="dxa"/>
            <w:tcBorders>
              <w:top w:val="single" w:sz="8" w:space="0" w:color="000000"/>
              <w:left w:val="single" w:sz="8" w:space="0" w:color="000000"/>
              <w:bottom w:val="single" w:sz="8" w:space="0" w:color="000000"/>
              <w:right w:val="single" w:sz="8" w:space="0" w:color="000000"/>
            </w:tcBorders>
          </w:tcPr>
          <w:p>
            <w:pPr>
              <w:pStyle w:val="TableParagraph"/>
              <w:spacing w:before="4"/>
              <w:jc w:val="left"/>
              <w:rPr>
                <w:b/>
                <w:sz w:val="12"/>
              </w:rPr>
            </w:pPr>
          </w:p>
          <w:p>
            <w:pPr>
              <w:pStyle w:val="TableParagraph"/>
              <w:spacing w:before="0"/>
              <w:ind w:right="55"/>
              <w:rPr>
                <w:b/>
                <w:sz w:val="14"/>
              </w:rPr>
            </w:pPr>
            <w:r>
              <w:rPr>
                <w:b/>
                <w:w w:val="105"/>
                <w:sz w:val="14"/>
              </w:rPr>
              <w:t>7,783.6</w:t>
            </w:r>
          </w:p>
        </w:tc>
        <w:tc>
          <w:tcPr>
            <w:tcW w:w="624" w:type="dxa"/>
            <w:tcBorders>
              <w:top w:val="single" w:sz="8" w:space="0" w:color="000000"/>
              <w:left w:val="single" w:sz="8" w:space="0" w:color="000000"/>
              <w:bottom w:val="single" w:sz="8" w:space="0" w:color="000000"/>
              <w:right w:val="single" w:sz="8" w:space="0" w:color="000000"/>
            </w:tcBorders>
          </w:tcPr>
          <w:p>
            <w:pPr>
              <w:pStyle w:val="TableParagraph"/>
              <w:spacing w:before="4"/>
              <w:jc w:val="left"/>
              <w:rPr>
                <w:b/>
                <w:sz w:val="12"/>
              </w:rPr>
            </w:pPr>
          </w:p>
          <w:p>
            <w:pPr>
              <w:pStyle w:val="TableParagraph"/>
              <w:spacing w:before="0"/>
              <w:ind w:right="55"/>
              <w:rPr>
                <w:b/>
                <w:sz w:val="14"/>
              </w:rPr>
            </w:pPr>
            <w:r>
              <w:rPr>
                <w:b/>
                <w:w w:val="105"/>
                <w:sz w:val="14"/>
              </w:rPr>
              <w:t>8,798.1</w:t>
            </w:r>
          </w:p>
        </w:tc>
        <w:tc>
          <w:tcPr>
            <w:tcW w:w="706" w:type="dxa"/>
            <w:tcBorders>
              <w:top w:val="single" w:sz="8" w:space="0" w:color="000000"/>
              <w:left w:val="single" w:sz="8" w:space="0" w:color="000000"/>
              <w:bottom w:val="single" w:sz="8" w:space="0" w:color="000000"/>
              <w:right w:val="single" w:sz="8" w:space="0" w:color="000000"/>
            </w:tcBorders>
          </w:tcPr>
          <w:p>
            <w:pPr>
              <w:pStyle w:val="TableParagraph"/>
              <w:spacing w:before="4"/>
              <w:jc w:val="left"/>
              <w:rPr>
                <w:b/>
                <w:sz w:val="12"/>
              </w:rPr>
            </w:pPr>
          </w:p>
          <w:p>
            <w:pPr>
              <w:pStyle w:val="TableParagraph"/>
              <w:spacing w:before="0"/>
              <w:ind w:right="55"/>
              <w:rPr>
                <w:b/>
                <w:sz w:val="14"/>
              </w:rPr>
            </w:pPr>
            <w:r>
              <w:rPr>
                <w:b/>
                <w:w w:val="105"/>
                <w:sz w:val="14"/>
              </w:rPr>
              <w:t>13,114.4</w:t>
            </w:r>
          </w:p>
        </w:tc>
        <w:tc>
          <w:tcPr>
            <w:tcW w:w="703" w:type="dxa"/>
            <w:tcBorders>
              <w:top w:val="single" w:sz="8" w:space="0" w:color="000000"/>
              <w:left w:val="single" w:sz="8" w:space="0" w:color="000000"/>
              <w:bottom w:val="single" w:sz="8" w:space="0" w:color="000000"/>
              <w:right w:val="single" w:sz="8" w:space="0" w:color="000000"/>
            </w:tcBorders>
          </w:tcPr>
          <w:p>
            <w:pPr>
              <w:pStyle w:val="TableParagraph"/>
              <w:spacing w:before="4"/>
              <w:jc w:val="left"/>
              <w:rPr>
                <w:b/>
                <w:sz w:val="12"/>
              </w:rPr>
            </w:pPr>
          </w:p>
          <w:p>
            <w:pPr>
              <w:pStyle w:val="TableParagraph"/>
              <w:spacing w:before="0"/>
              <w:ind w:right="52"/>
              <w:rPr>
                <w:b/>
                <w:sz w:val="14"/>
              </w:rPr>
            </w:pPr>
            <w:r>
              <w:rPr>
                <w:b/>
                <w:w w:val="105"/>
                <w:sz w:val="14"/>
              </w:rPr>
              <w:t>16,228.0</w:t>
            </w:r>
          </w:p>
        </w:tc>
        <w:tc>
          <w:tcPr>
            <w:tcW w:w="706" w:type="dxa"/>
            <w:tcBorders>
              <w:top w:val="single" w:sz="8" w:space="0" w:color="000000"/>
              <w:left w:val="single" w:sz="8" w:space="0" w:color="000000"/>
              <w:bottom w:val="single" w:sz="8" w:space="0" w:color="000000"/>
              <w:right w:val="single" w:sz="8" w:space="0" w:color="000000"/>
            </w:tcBorders>
          </w:tcPr>
          <w:p>
            <w:pPr>
              <w:pStyle w:val="TableParagraph"/>
              <w:spacing w:before="4"/>
              <w:jc w:val="left"/>
              <w:rPr>
                <w:b/>
                <w:sz w:val="12"/>
              </w:rPr>
            </w:pPr>
          </w:p>
          <w:p>
            <w:pPr>
              <w:pStyle w:val="TableParagraph"/>
              <w:spacing w:before="0"/>
              <w:ind w:right="55"/>
              <w:rPr>
                <w:b/>
                <w:sz w:val="14"/>
              </w:rPr>
            </w:pPr>
            <w:r>
              <w:rPr>
                <w:b/>
                <w:w w:val="105"/>
                <w:sz w:val="14"/>
              </w:rPr>
              <w:t>19,667.7</w:t>
            </w:r>
          </w:p>
        </w:tc>
        <w:tc>
          <w:tcPr>
            <w:tcW w:w="706" w:type="dxa"/>
            <w:tcBorders>
              <w:top w:val="single" w:sz="8" w:space="0" w:color="000000"/>
              <w:left w:val="single" w:sz="8" w:space="0" w:color="000000"/>
              <w:bottom w:val="single" w:sz="8" w:space="0" w:color="000000"/>
              <w:right w:val="single" w:sz="8" w:space="0" w:color="000000"/>
            </w:tcBorders>
          </w:tcPr>
          <w:p>
            <w:pPr>
              <w:pStyle w:val="TableParagraph"/>
              <w:spacing w:before="4"/>
              <w:jc w:val="left"/>
              <w:rPr>
                <w:b/>
                <w:sz w:val="12"/>
              </w:rPr>
            </w:pPr>
          </w:p>
          <w:p>
            <w:pPr>
              <w:pStyle w:val="TableParagraph"/>
              <w:spacing w:before="0"/>
              <w:ind w:right="55"/>
              <w:rPr>
                <w:b/>
                <w:sz w:val="14"/>
              </w:rPr>
            </w:pPr>
            <w:r>
              <w:rPr>
                <w:b/>
                <w:w w:val="105"/>
                <w:sz w:val="14"/>
              </w:rPr>
              <w:t>23,854.0</w:t>
            </w:r>
          </w:p>
        </w:tc>
        <w:tc>
          <w:tcPr>
            <w:tcW w:w="703" w:type="dxa"/>
            <w:tcBorders>
              <w:top w:val="single" w:sz="8" w:space="0" w:color="000000"/>
              <w:left w:val="single" w:sz="8" w:space="0" w:color="000000"/>
              <w:bottom w:val="single" w:sz="8" w:space="0" w:color="000000"/>
              <w:right w:val="single" w:sz="8" w:space="0" w:color="000000"/>
            </w:tcBorders>
          </w:tcPr>
          <w:p>
            <w:pPr>
              <w:pStyle w:val="TableParagraph"/>
              <w:spacing w:before="4"/>
              <w:jc w:val="left"/>
              <w:rPr>
                <w:b/>
                <w:sz w:val="12"/>
              </w:rPr>
            </w:pPr>
          </w:p>
          <w:p>
            <w:pPr>
              <w:pStyle w:val="TableParagraph"/>
              <w:spacing w:before="0"/>
              <w:ind w:right="52"/>
              <w:rPr>
                <w:b/>
                <w:sz w:val="14"/>
              </w:rPr>
            </w:pPr>
            <w:r>
              <w:rPr>
                <w:b/>
                <w:w w:val="105"/>
                <w:sz w:val="14"/>
              </w:rPr>
              <w:t>24,821.7</w:t>
            </w:r>
          </w:p>
        </w:tc>
        <w:tc>
          <w:tcPr>
            <w:tcW w:w="706" w:type="dxa"/>
            <w:tcBorders>
              <w:top w:val="single" w:sz="8" w:space="0" w:color="000000"/>
              <w:left w:val="single" w:sz="8" w:space="0" w:color="000000"/>
              <w:bottom w:val="single" w:sz="8" w:space="0" w:color="000000"/>
              <w:right w:val="single" w:sz="8" w:space="0" w:color="000000"/>
            </w:tcBorders>
          </w:tcPr>
          <w:p>
            <w:pPr>
              <w:pStyle w:val="TableParagraph"/>
              <w:spacing w:before="4"/>
              <w:jc w:val="left"/>
              <w:rPr>
                <w:b/>
                <w:sz w:val="12"/>
              </w:rPr>
            </w:pPr>
          </w:p>
          <w:p>
            <w:pPr>
              <w:pStyle w:val="TableParagraph"/>
              <w:spacing w:before="0"/>
              <w:ind w:right="55"/>
              <w:rPr>
                <w:b/>
                <w:sz w:val="14"/>
              </w:rPr>
            </w:pPr>
            <w:r>
              <w:rPr>
                <w:b/>
                <w:w w:val="105"/>
                <w:sz w:val="14"/>
              </w:rPr>
              <w:t>24,113.0</w:t>
            </w:r>
          </w:p>
        </w:tc>
        <w:tc>
          <w:tcPr>
            <w:tcW w:w="706" w:type="dxa"/>
            <w:tcBorders>
              <w:top w:val="single" w:sz="8" w:space="0" w:color="000000"/>
              <w:left w:val="single" w:sz="8" w:space="0" w:color="000000"/>
              <w:bottom w:val="single" w:sz="8" w:space="0" w:color="000000"/>
              <w:right w:val="single" w:sz="8" w:space="0" w:color="000000"/>
            </w:tcBorders>
          </w:tcPr>
          <w:p>
            <w:pPr>
              <w:pStyle w:val="TableParagraph"/>
              <w:spacing w:before="4"/>
              <w:jc w:val="left"/>
              <w:rPr>
                <w:b/>
                <w:sz w:val="12"/>
              </w:rPr>
            </w:pPr>
          </w:p>
          <w:p>
            <w:pPr>
              <w:pStyle w:val="TableParagraph"/>
              <w:spacing w:before="0"/>
              <w:ind w:right="57"/>
              <w:rPr>
                <w:b/>
                <w:sz w:val="14"/>
              </w:rPr>
            </w:pPr>
            <w:r>
              <w:rPr>
                <w:b/>
                <w:w w:val="105"/>
                <w:sz w:val="14"/>
              </w:rPr>
              <w:t>20,483.9</w:t>
            </w:r>
          </w:p>
        </w:tc>
        <w:tc>
          <w:tcPr>
            <w:tcW w:w="773" w:type="dxa"/>
            <w:tcBorders>
              <w:top w:val="single" w:sz="8" w:space="0" w:color="000000"/>
              <w:left w:val="single" w:sz="8" w:space="0" w:color="000000"/>
              <w:bottom w:val="single" w:sz="8" w:space="0" w:color="000000"/>
              <w:right w:val="single" w:sz="8" w:space="0" w:color="000000"/>
            </w:tcBorders>
          </w:tcPr>
          <w:p>
            <w:pPr>
              <w:pStyle w:val="TableParagraph"/>
              <w:spacing w:before="4"/>
              <w:jc w:val="left"/>
              <w:rPr>
                <w:b/>
                <w:sz w:val="12"/>
              </w:rPr>
            </w:pPr>
          </w:p>
          <w:p>
            <w:pPr>
              <w:pStyle w:val="TableParagraph"/>
              <w:spacing w:before="0"/>
              <w:ind w:right="55"/>
              <w:rPr>
                <w:b/>
                <w:sz w:val="14"/>
              </w:rPr>
            </w:pPr>
            <w:r>
              <w:rPr>
                <w:b/>
                <w:w w:val="105"/>
                <w:sz w:val="14"/>
              </w:rPr>
              <w:t>11,829.5</w:t>
            </w:r>
          </w:p>
        </w:tc>
        <w:tc>
          <w:tcPr>
            <w:tcW w:w="571" w:type="dxa"/>
            <w:tcBorders>
              <w:top w:val="single" w:sz="8" w:space="0" w:color="000000"/>
              <w:left w:val="single" w:sz="8" w:space="0" w:color="000000"/>
              <w:bottom w:val="single" w:sz="8" w:space="0" w:color="000000"/>
              <w:right w:val="single" w:sz="8" w:space="0" w:color="000000"/>
            </w:tcBorders>
          </w:tcPr>
          <w:p>
            <w:pPr>
              <w:pStyle w:val="TableParagraph"/>
              <w:spacing w:before="4"/>
              <w:jc w:val="left"/>
              <w:rPr>
                <w:b/>
                <w:sz w:val="12"/>
              </w:rPr>
            </w:pPr>
          </w:p>
          <w:p>
            <w:pPr>
              <w:pStyle w:val="TableParagraph"/>
              <w:spacing w:before="0"/>
              <w:ind w:right="52"/>
              <w:rPr>
                <w:b/>
                <w:sz w:val="14"/>
              </w:rPr>
            </w:pPr>
            <w:r>
              <w:rPr>
                <w:b/>
                <w:w w:val="105"/>
                <w:sz w:val="14"/>
              </w:rPr>
              <w:t>100</w:t>
            </w:r>
          </w:p>
        </w:tc>
        <w:tc>
          <w:tcPr>
            <w:tcW w:w="562" w:type="dxa"/>
            <w:tcBorders>
              <w:top w:val="single" w:sz="8" w:space="0" w:color="000000"/>
              <w:left w:val="single" w:sz="8" w:space="0" w:color="000000"/>
              <w:bottom w:val="single" w:sz="8" w:space="0" w:color="000000"/>
              <w:right w:val="single" w:sz="8" w:space="0" w:color="000000"/>
            </w:tcBorders>
          </w:tcPr>
          <w:p>
            <w:pPr>
              <w:pStyle w:val="TableParagraph"/>
              <w:spacing w:before="4"/>
              <w:jc w:val="left"/>
              <w:rPr>
                <w:b/>
                <w:sz w:val="12"/>
              </w:rPr>
            </w:pPr>
          </w:p>
          <w:p>
            <w:pPr>
              <w:pStyle w:val="TableParagraph"/>
              <w:spacing w:before="0"/>
              <w:ind w:right="57"/>
              <w:rPr>
                <w:b/>
                <w:sz w:val="14"/>
              </w:rPr>
            </w:pPr>
            <w:r>
              <w:rPr>
                <w:b/>
                <w:w w:val="105"/>
                <w:sz w:val="14"/>
              </w:rPr>
              <w:t>19.9</w:t>
            </w:r>
          </w:p>
        </w:tc>
      </w:tr>
      <w:tr>
        <w:trPr>
          <w:trHeight w:val="306" w:hRule="exact"/>
        </w:trPr>
        <w:tc>
          <w:tcPr>
            <w:tcW w:w="962" w:type="dxa"/>
            <w:tcBorders>
              <w:top w:val="single" w:sz="8" w:space="0" w:color="000000"/>
              <w:left w:val="single" w:sz="8" w:space="0" w:color="000000"/>
              <w:bottom w:val="single" w:sz="3" w:space="0" w:color="000000"/>
              <w:right w:val="single" w:sz="8" w:space="0" w:color="000000"/>
            </w:tcBorders>
          </w:tcPr>
          <w:p>
            <w:pPr>
              <w:pStyle w:val="TableParagraph"/>
              <w:spacing w:before="125"/>
              <w:ind w:left="57"/>
              <w:jc w:val="left"/>
              <w:rPr>
                <w:b/>
                <w:sz w:val="14"/>
              </w:rPr>
            </w:pPr>
            <w:r>
              <w:rPr>
                <w:b/>
                <w:w w:val="105"/>
                <w:sz w:val="14"/>
              </w:rPr>
              <w:t>Enero</w:t>
            </w:r>
          </w:p>
        </w:tc>
        <w:tc>
          <w:tcPr>
            <w:tcW w:w="624" w:type="dxa"/>
            <w:tcBorders>
              <w:top w:val="single" w:sz="8" w:space="0" w:color="000000"/>
              <w:left w:val="single" w:sz="8"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132.8</w:t>
            </w:r>
          </w:p>
        </w:tc>
        <w:tc>
          <w:tcPr>
            <w:tcW w:w="626" w:type="dxa"/>
            <w:tcBorders>
              <w:top w:val="single" w:sz="8"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149.2</w:t>
            </w:r>
          </w:p>
        </w:tc>
        <w:tc>
          <w:tcPr>
            <w:tcW w:w="624" w:type="dxa"/>
            <w:tcBorders>
              <w:top w:val="single" w:sz="8"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167.6</w:t>
            </w:r>
          </w:p>
        </w:tc>
        <w:tc>
          <w:tcPr>
            <w:tcW w:w="623" w:type="dxa"/>
            <w:tcBorders>
              <w:top w:val="single" w:sz="8" w:space="0" w:color="000000"/>
              <w:left w:val="single" w:sz="4" w:space="0" w:color="000000"/>
              <w:bottom w:val="single" w:sz="3" w:space="0" w:color="000000"/>
              <w:right w:val="single" w:sz="3" w:space="0" w:color="000000"/>
            </w:tcBorders>
          </w:tcPr>
          <w:p>
            <w:pPr>
              <w:pStyle w:val="TableParagraph"/>
              <w:spacing w:before="1"/>
              <w:jc w:val="left"/>
              <w:rPr>
                <w:b/>
                <w:sz w:val="11"/>
              </w:rPr>
            </w:pPr>
          </w:p>
          <w:p>
            <w:pPr>
              <w:pStyle w:val="TableParagraph"/>
              <w:spacing w:before="0"/>
              <w:ind w:left="165" w:right="40"/>
              <w:jc w:val="center"/>
              <w:rPr>
                <w:sz w:val="14"/>
              </w:rPr>
            </w:pPr>
            <w:r>
              <w:rPr>
                <w:w w:val="105"/>
                <w:sz w:val="14"/>
              </w:rPr>
              <w:t>215.8</w:t>
            </w:r>
          </w:p>
        </w:tc>
        <w:tc>
          <w:tcPr>
            <w:tcW w:w="623" w:type="dxa"/>
            <w:tcBorders>
              <w:top w:val="single" w:sz="8" w:space="0" w:color="000000"/>
              <w:left w:val="single" w:sz="3"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249.6</w:t>
            </w:r>
          </w:p>
        </w:tc>
        <w:tc>
          <w:tcPr>
            <w:tcW w:w="624" w:type="dxa"/>
            <w:tcBorders>
              <w:top w:val="single" w:sz="8"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294.8</w:t>
            </w:r>
          </w:p>
        </w:tc>
        <w:tc>
          <w:tcPr>
            <w:tcW w:w="624" w:type="dxa"/>
            <w:tcBorders>
              <w:top w:val="single" w:sz="8"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554.3</w:t>
            </w:r>
          </w:p>
        </w:tc>
        <w:tc>
          <w:tcPr>
            <w:tcW w:w="624" w:type="dxa"/>
            <w:tcBorders>
              <w:top w:val="single" w:sz="8"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615.3</w:t>
            </w:r>
          </w:p>
        </w:tc>
        <w:tc>
          <w:tcPr>
            <w:tcW w:w="706" w:type="dxa"/>
            <w:tcBorders>
              <w:top w:val="single" w:sz="8"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880.5</w:t>
            </w:r>
          </w:p>
        </w:tc>
        <w:tc>
          <w:tcPr>
            <w:tcW w:w="703" w:type="dxa"/>
            <w:tcBorders>
              <w:top w:val="single" w:sz="8"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938.4</w:t>
            </w:r>
          </w:p>
        </w:tc>
        <w:tc>
          <w:tcPr>
            <w:tcW w:w="706" w:type="dxa"/>
            <w:tcBorders>
              <w:top w:val="single" w:sz="8"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1,209.7</w:t>
            </w:r>
          </w:p>
        </w:tc>
        <w:tc>
          <w:tcPr>
            <w:tcW w:w="706" w:type="dxa"/>
            <w:tcBorders>
              <w:top w:val="single" w:sz="8"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1,611.1</w:t>
            </w:r>
          </w:p>
        </w:tc>
        <w:tc>
          <w:tcPr>
            <w:tcW w:w="703" w:type="dxa"/>
            <w:tcBorders>
              <w:top w:val="single" w:sz="8"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1,733.3</w:t>
            </w:r>
          </w:p>
        </w:tc>
        <w:tc>
          <w:tcPr>
            <w:tcW w:w="706" w:type="dxa"/>
            <w:tcBorders>
              <w:top w:val="single" w:sz="8"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1,665.6</w:t>
            </w:r>
          </w:p>
        </w:tc>
        <w:tc>
          <w:tcPr>
            <w:tcW w:w="706" w:type="dxa"/>
            <w:tcBorders>
              <w:top w:val="single" w:sz="8"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1,485.6</w:t>
            </w:r>
          </w:p>
        </w:tc>
        <w:tc>
          <w:tcPr>
            <w:tcW w:w="773" w:type="dxa"/>
            <w:tcBorders>
              <w:top w:val="single" w:sz="8"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793.6</w:t>
            </w:r>
          </w:p>
        </w:tc>
        <w:tc>
          <w:tcPr>
            <w:tcW w:w="571" w:type="dxa"/>
            <w:tcBorders>
              <w:top w:val="single" w:sz="8"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6.7</w:t>
            </w:r>
          </w:p>
        </w:tc>
        <w:tc>
          <w:tcPr>
            <w:tcW w:w="562" w:type="dxa"/>
            <w:tcBorders>
              <w:top w:val="single" w:sz="8" w:space="0" w:color="000000"/>
              <w:left w:val="single" w:sz="4" w:space="0" w:color="000000"/>
              <w:bottom w:val="single" w:sz="3" w:space="0" w:color="000000"/>
              <w:right w:val="single" w:sz="8" w:space="0" w:color="000000"/>
            </w:tcBorders>
          </w:tcPr>
          <w:p>
            <w:pPr>
              <w:pStyle w:val="TableParagraph"/>
              <w:spacing w:before="1"/>
              <w:jc w:val="left"/>
              <w:rPr>
                <w:b/>
                <w:sz w:val="11"/>
              </w:rPr>
            </w:pPr>
          </w:p>
          <w:p>
            <w:pPr>
              <w:pStyle w:val="TableParagraph"/>
              <w:spacing w:before="0"/>
              <w:ind w:right="57"/>
              <w:rPr>
                <w:sz w:val="14"/>
              </w:rPr>
            </w:pPr>
            <w:r>
              <w:rPr>
                <w:w w:val="105"/>
                <w:sz w:val="14"/>
              </w:rPr>
              <w:t>19.8</w:t>
            </w:r>
          </w:p>
        </w:tc>
      </w:tr>
      <w:tr>
        <w:trPr>
          <w:trHeight w:val="301" w:hRule="exact"/>
        </w:trPr>
        <w:tc>
          <w:tcPr>
            <w:tcW w:w="962" w:type="dxa"/>
            <w:tcBorders>
              <w:top w:val="single" w:sz="3" w:space="0" w:color="000000"/>
              <w:left w:val="single" w:sz="8" w:space="0" w:color="000000"/>
              <w:bottom w:val="single" w:sz="4" w:space="0" w:color="000000"/>
              <w:right w:val="single" w:sz="8" w:space="0" w:color="000000"/>
            </w:tcBorders>
          </w:tcPr>
          <w:p>
            <w:pPr>
              <w:pStyle w:val="TableParagraph"/>
              <w:spacing w:before="3"/>
              <w:jc w:val="left"/>
              <w:rPr>
                <w:b/>
                <w:sz w:val="11"/>
              </w:rPr>
            </w:pPr>
          </w:p>
          <w:p>
            <w:pPr>
              <w:pStyle w:val="TableParagraph"/>
              <w:spacing w:before="0"/>
              <w:ind w:left="57"/>
              <w:jc w:val="left"/>
              <w:rPr>
                <w:b/>
                <w:sz w:val="14"/>
              </w:rPr>
            </w:pPr>
            <w:r>
              <w:rPr>
                <w:b/>
                <w:w w:val="105"/>
                <w:sz w:val="14"/>
              </w:rPr>
              <w:t>Febrero</w:t>
            </w:r>
          </w:p>
        </w:tc>
        <w:tc>
          <w:tcPr>
            <w:tcW w:w="624" w:type="dxa"/>
            <w:tcBorders>
              <w:top w:val="single" w:sz="3" w:space="0" w:color="000000"/>
              <w:left w:val="single" w:sz="8" w:space="0" w:color="000000"/>
              <w:bottom w:val="single" w:sz="4" w:space="0" w:color="000000"/>
              <w:right w:val="single" w:sz="4" w:space="0" w:color="000000"/>
            </w:tcBorders>
          </w:tcPr>
          <w:p>
            <w:pPr>
              <w:pStyle w:val="TableParagraph"/>
              <w:spacing w:before="6"/>
              <w:jc w:val="left"/>
              <w:rPr>
                <w:b/>
                <w:sz w:val="11"/>
              </w:rPr>
            </w:pPr>
          </w:p>
          <w:p>
            <w:pPr>
              <w:pStyle w:val="TableParagraph"/>
              <w:spacing w:before="0"/>
              <w:ind w:right="57"/>
              <w:rPr>
                <w:sz w:val="14"/>
              </w:rPr>
            </w:pPr>
            <w:r>
              <w:rPr>
                <w:w w:val="105"/>
                <w:sz w:val="14"/>
              </w:rPr>
              <w:t>131.3</w:t>
            </w:r>
          </w:p>
        </w:tc>
        <w:tc>
          <w:tcPr>
            <w:tcW w:w="626" w:type="dxa"/>
            <w:tcBorders>
              <w:top w:val="single" w:sz="3" w:space="0" w:color="000000"/>
              <w:left w:val="single" w:sz="4" w:space="0" w:color="000000"/>
              <w:bottom w:val="single" w:sz="4" w:space="0" w:color="000000"/>
              <w:right w:val="single" w:sz="4" w:space="0" w:color="000000"/>
            </w:tcBorders>
          </w:tcPr>
          <w:p>
            <w:pPr>
              <w:pStyle w:val="TableParagraph"/>
              <w:spacing w:before="6"/>
              <w:jc w:val="left"/>
              <w:rPr>
                <w:b/>
                <w:sz w:val="11"/>
              </w:rPr>
            </w:pPr>
          </w:p>
          <w:p>
            <w:pPr>
              <w:pStyle w:val="TableParagraph"/>
              <w:spacing w:before="0"/>
              <w:ind w:right="60"/>
              <w:rPr>
                <w:sz w:val="14"/>
              </w:rPr>
            </w:pPr>
            <w:r>
              <w:rPr>
                <w:w w:val="105"/>
                <w:sz w:val="14"/>
              </w:rPr>
              <w:t>151.0</w:t>
            </w:r>
          </w:p>
        </w:tc>
        <w:tc>
          <w:tcPr>
            <w:tcW w:w="624" w:type="dxa"/>
            <w:tcBorders>
              <w:top w:val="single" w:sz="3" w:space="0" w:color="000000"/>
              <w:left w:val="single" w:sz="4" w:space="0" w:color="000000"/>
              <w:bottom w:val="single" w:sz="4" w:space="0" w:color="000000"/>
              <w:right w:val="single" w:sz="4" w:space="0" w:color="000000"/>
            </w:tcBorders>
          </w:tcPr>
          <w:p>
            <w:pPr>
              <w:pStyle w:val="TableParagraph"/>
              <w:spacing w:before="6"/>
              <w:jc w:val="left"/>
              <w:rPr>
                <w:b/>
                <w:sz w:val="11"/>
              </w:rPr>
            </w:pPr>
          </w:p>
          <w:p>
            <w:pPr>
              <w:pStyle w:val="TableParagraph"/>
              <w:spacing w:before="0"/>
              <w:ind w:right="60"/>
              <w:rPr>
                <w:sz w:val="14"/>
              </w:rPr>
            </w:pPr>
            <w:r>
              <w:rPr>
                <w:w w:val="105"/>
                <w:sz w:val="14"/>
              </w:rPr>
              <w:t>185.9</w:t>
            </w:r>
          </w:p>
        </w:tc>
        <w:tc>
          <w:tcPr>
            <w:tcW w:w="623" w:type="dxa"/>
            <w:tcBorders>
              <w:top w:val="single" w:sz="3" w:space="0" w:color="000000"/>
              <w:left w:val="single" w:sz="4" w:space="0" w:color="000000"/>
              <w:bottom w:val="single" w:sz="4" w:space="0" w:color="000000"/>
              <w:right w:val="single" w:sz="3" w:space="0" w:color="000000"/>
            </w:tcBorders>
          </w:tcPr>
          <w:p>
            <w:pPr>
              <w:pStyle w:val="TableParagraph"/>
              <w:spacing w:before="6"/>
              <w:jc w:val="left"/>
              <w:rPr>
                <w:b/>
                <w:sz w:val="11"/>
              </w:rPr>
            </w:pPr>
          </w:p>
          <w:p>
            <w:pPr>
              <w:pStyle w:val="TableParagraph"/>
              <w:spacing w:before="0"/>
              <w:ind w:left="165" w:right="40"/>
              <w:jc w:val="center"/>
              <w:rPr>
                <w:sz w:val="14"/>
              </w:rPr>
            </w:pPr>
            <w:r>
              <w:rPr>
                <w:w w:val="105"/>
                <w:sz w:val="14"/>
              </w:rPr>
              <w:t>223.0</w:t>
            </w:r>
          </w:p>
        </w:tc>
        <w:tc>
          <w:tcPr>
            <w:tcW w:w="623" w:type="dxa"/>
            <w:tcBorders>
              <w:top w:val="single" w:sz="3" w:space="0" w:color="000000"/>
              <w:left w:val="single" w:sz="3" w:space="0" w:color="000000"/>
              <w:bottom w:val="single" w:sz="4" w:space="0" w:color="000000"/>
              <w:right w:val="single" w:sz="4" w:space="0" w:color="000000"/>
            </w:tcBorders>
          </w:tcPr>
          <w:p>
            <w:pPr>
              <w:pStyle w:val="TableParagraph"/>
              <w:spacing w:before="6"/>
              <w:jc w:val="left"/>
              <w:rPr>
                <w:b/>
                <w:sz w:val="11"/>
              </w:rPr>
            </w:pPr>
          </w:p>
          <w:p>
            <w:pPr>
              <w:pStyle w:val="TableParagraph"/>
              <w:spacing w:before="0"/>
              <w:ind w:right="57"/>
              <w:rPr>
                <w:sz w:val="14"/>
              </w:rPr>
            </w:pPr>
            <w:r>
              <w:rPr>
                <w:w w:val="105"/>
                <w:sz w:val="14"/>
              </w:rPr>
              <w:t>263.6</w:t>
            </w:r>
          </w:p>
        </w:tc>
        <w:tc>
          <w:tcPr>
            <w:tcW w:w="624" w:type="dxa"/>
            <w:tcBorders>
              <w:top w:val="single" w:sz="3" w:space="0" w:color="000000"/>
              <w:left w:val="single" w:sz="4" w:space="0" w:color="000000"/>
              <w:bottom w:val="single" w:sz="4" w:space="0" w:color="000000"/>
              <w:right w:val="single" w:sz="4" w:space="0" w:color="000000"/>
            </w:tcBorders>
          </w:tcPr>
          <w:p>
            <w:pPr>
              <w:pStyle w:val="TableParagraph"/>
              <w:spacing w:before="6"/>
              <w:jc w:val="left"/>
              <w:rPr>
                <w:b/>
                <w:sz w:val="11"/>
              </w:rPr>
            </w:pPr>
          </w:p>
          <w:p>
            <w:pPr>
              <w:pStyle w:val="TableParagraph"/>
              <w:spacing w:before="0"/>
              <w:ind w:right="57"/>
              <w:rPr>
                <w:sz w:val="14"/>
              </w:rPr>
            </w:pPr>
            <w:r>
              <w:rPr>
                <w:w w:val="105"/>
                <w:sz w:val="14"/>
              </w:rPr>
              <w:t>306.5</w:t>
            </w:r>
          </w:p>
        </w:tc>
        <w:tc>
          <w:tcPr>
            <w:tcW w:w="624" w:type="dxa"/>
            <w:tcBorders>
              <w:top w:val="single" w:sz="3" w:space="0" w:color="000000"/>
              <w:left w:val="single" w:sz="4" w:space="0" w:color="000000"/>
              <w:bottom w:val="single" w:sz="4" w:space="0" w:color="000000"/>
              <w:right w:val="single" w:sz="4" w:space="0" w:color="000000"/>
            </w:tcBorders>
          </w:tcPr>
          <w:p>
            <w:pPr>
              <w:pStyle w:val="TableParagraph"/>
              <w:spacing w:before="6"/>
              <w:jc w:val="left"/>
              <w:rPr>
                <w:b/>
                <w:sz w:val="11"/>
              </w:rPr>
            </w:pPr>
          </w:p>
          <w:p>
            <w:pPr>
              <w:pStyle w:val="TableParagraph"/>
              <w:spacing w:before="0"/>
              <w:ind w:right="57"/>
              <w:rPr>
                <w:sz w:val="14"/>
              </w:rPr>
            </w:pPr>
            <w:r>
              <w:rPr>
                <w:w w:val="105"/>
                <w:sz w:val="14"/>
              </w:rPr>
              <w:t>557.4</w:t>
            </w:r>
          </w:p>
        </w:tc>
        <w:tc>
          <w:tcPr>
            <w:tcW w:w="624" w:type="dxa"/>
            <w:tcBorders>
              <w:top w:val="single" w:sz="3" w:space="0" w:color="000000"/>
              <w:left w:val="single" w:sz="4" w:space="0" w:color="000000"/>
              <w:bottom w:val="single" w:sz="4" w:space="0" w:color="000000"/>
              <w:right w:val="single" w:sz="4" w:space="0" w:color="000000"/>
            </w:tcBorders>
          </w:tcPr>
          <w:p>
            <w:pPr>
              <w:pStyle w:val="TableParagraph"/>
              <w:spacing w:before="6"/>
              <w:jc w:val="left"/>
              <w:rPr>
                <w:b/>
                <w:sz w:val="11"/>
              </w:rPr>
            </w:pPr>
          </w:p>
          <w:p>
            <w:pPr>
              <w:pStyle w:val="TableParagraph"/>
              <w:spacing w:before="0"/>
              <w:ind w:right="57"/>
              <w:rPr>
                <w:sz w:val="14"/>
              </w:rPr>
            </w:pPr>
            <w:r>
              <w:rPr>
                <w:w w:val="105"/>
                <w:sz w:val="14"/>
              </w:rPr>
              <w:t>637.0</w:t>
            </w:r>
          </w:p>
        </w:tc>
        <w:tc>
          <w:tcPr>
            <w:tcW w:w="706" w:type="dxa"/>
            <w:tcBorders>
              <w:top w:val="single" w:sz="3" w:space="0" w:color="000000"/>
              <w:left w:val="single" w:sz="4" w:space="0" w:color="000000"/>
              <w:bottom w:val="single" w:sz="4" w:space="0" w:color="000000"/>
              <w:right w:val="single" w:sz="4" w:space="0" w:color="000000"/>
            </w:tcBorders>
          </w:tcPr>
          <w:p>
            <w:pPr>
              <w:pStyle w:val="TableParagraph"/>
              <w:spacing w:before="6"/>
              <w:jc w:val="left"/>
              <w:rPr>
                <w:b/>
                <w:sz w:val="11"/>
              </w:rPr>
            </w:pPr>
          </w:p>
          <w:p>
            <w:pPr>
              <w:pStyle w:val="TableParagraph"/>
              <w:spacing w:before="0"/>
              <w:ind w:right="60"/>
              <w:rPr>
                <w:sz w:val="14"/>
              </w:rPr>
            </w:pPr>
            <w:r>
              <w:rPr>
                <w:w w:val="105"/>
                <w:sz w:val="14"/>
              </w:rPr>
              <w:t>838.5</w:t>
            </w:r>
          </w:p>
        </w:tc>
        <w:tc>
          <w:tcPr>
            <w:tcW w:w="703" w:type="dxa"/>
            <w:tcBorders>
              <w:top w:val="single" w:sz="3" w:space="0" w:color="000000"/>
              <w:left w:val="single" w:sz="4" w:space="0" w:color="000000"/>
              <w:bottom w:val="single" w:sz="4" w:space="0" w:color="000000"/>
              <w:right w:val="single" w:sz="4" w:space="0" w:color="000000"/>
            </w:tcBorders>
          </w:tcPr>
          <w:p>
            <w:pPr>
              <w:pStyle w:val="TableParagraph"/>
              <w:spacing w:before="6"/>
              <w:jc w:val="left"/>
              <w:rPr>
                <w:b/>
                <w:sz w:val="11"/>
              </w:rPr>
            </w:pPr>
          </w:p>
          <w:p>
            <w:pPr>
              <w:pStyle w:val="TableParagraph"/>
              <w:spacing w:before="0"/>
              <w:ind w:right="60"/>
              <w:rPr>
                <w:sz w:val="14"/>
              </w:rPr>
            </w:pPr>
            <w:r>
              <w:rPr>
                <w:w w:val="105"/>
                <w:sz w:val="14"/>
              </w:rPr>
              <w:t>1,026.5</w:t>
            </w:r>
          </w:p>
        </w:tc>
        <w:tc>
          <w:tcPr>
            <w:tcW w:w="706" w:type="dxa"/>
            <w:tcBorders>
              <w:top w:val="single" w:sz="3" w:space="0" w:color="000000"/>
              <w:left w:val="single" w:sz="4" w:space="0" w:color="000000"/>
              <w:bottom w:val="single" w:sz="4" w:space="0" w:color="000000"/>
              <w:right w:val="single" w:sz="4" w:space="0" w:color="000000"/>
            </w:tcBorders>
          </w:tcPr>
          <w:p>
            <w:pPr>
              <w:pStyle w:val="TableParagraph"/>
              <w:spacing w:before="6"/>
              <w:jc w:val="left"/>
              <w:rPr>
                <w:b/>
                <w:sz w:val="11"/>
              </w:rPr>
            </w:pPr>
          </w:p>
          <w:p>
            <w:pPr>
              <w:pStyle w:val="TableParagraph"/>
              <w:spacing w:before="0"/>
              <w:ind w:right="62"/>
              <w:rPr>
                <w:sz w:val="14"/>
              </w:rPr>
            </w:pPr>
            <w:r>
              <w:rPr>
                <w:w w:val="105"/>
                <w:sz w:val="14"/>
              </w:rPr>
              <w:t>1,280.5</w:t>
            </w:r>
          </w:p>
        </w:tc>
        <w:tc>
          <w:tcPr>
            <w:tcW w:w="706" w:type="dxa"/>
            <w:tcBorders>
              <w:top w:val="single" w:sz="3" w:space="0" w:color="000000"/>
              <w:left w:val="single" w:sz="4" w:space="0" w:color="000000"/>
              <w:bottom w:val="single" w:sz="4" w:space="0" w:color="000000"/>
              <w:right w:val="single" w:sz="4" w:space="0" w:color="000000"/>
            </w:tcBorders>
          </w:tcPr>
          <w:p>
            <w:pPr>
              <w:pStyle w:val="TableParagraph"/>
              <w:spacing w:before="6"/>
              <w:jc w:val="left"/>
              <w:rPr>
                <w:b/>
                <w:sz w:val="11"/>
              </w:rPr>
            </w:pPr>
          </w:p>
          <w:p>
            <w:pPr>
              <w:pStyle w:val="TableParagraph"/>
              <w:spacing w:before="0"/>
              <w:ind w:right="62"/>
              <w:rPr>
                <w:sz w:val="14"/>
              </w:rPr>
            </w:pPr>
            <w:r>
              <w:rPr>
                <w:w w:val="105"/>
                <w:sz w:val="14"/>
              </w:rPr>
              <w:t>1,699.3</w:t>
            </w:r>
          </w:p>
        </w:tc>
        <w:tc>
          <w:tcPr>
            <w:tcW w:w="703" w:type="dxa"/>
            <w:tcBorders>
              <w:top w:val="single" w:sz="3" w:space="0" w:color="000000"/>
              <w:left w:val="single" w:sz="4" w:space="0" w:color="000000"/>
              <w:bottom w:val="single" w:sz="4" w:space="0" w:color="000000"/>
              <w:right w:val="single" w:sz="4" w:space="0" w:color="000000"/>
            </w:tcBorders>
          </w:tcPr>
          <w:p>
            <w:pPr>
              <w:pStyle w:val="TableParagraph"/>
              <w:spacing w:before="6"/>
              <w:jc w:val="left"/>
              <w:rPr>
                <w:b/>
                <w:sz w:val="11"/>
              </w:rPr>
            </w:pPr>
          </w:p>
          <w:p>
            <w:pPr>
              <w:pStyle w:val="TableParagraph"/>
              <w:spacing w:before="0"/>
              <w:ind w:right="60"/>
              <w:rPr>
                <w:sz w:val="14"/>
              </w:rPr>
            </w:pPr>
            <w:r>
              <w:rPr>
                <w:w w:val="105"/>
                <w:sz w:val="14"/>
              </w:rPr>
              <w:t>1,751.3</w:t>
            </w:r>
          </w:p>
        </w:tc>
        <w:tc>
          <w:tcPr>
            <w:tcW w:w="706" w:type="dxa"/>
            <w:tcBorders>
              <w:top w:val="single" w:sz="3" w:space="0" w:color="000000"/>
              <w:left w:val="single" w:sz="4" w:space="0" w:color="000000"/>
              <w:bottom w:val="single" w:sz="4" w:space="0" w:color="000000"/>
              <w:right w:val="single" w:sz="4" w:space="0" w:color="000000"/>
            </w:tcBorders>
          </w:tcPr>
          <w:p>
            <w:pPr>
              <w:pStyle w:val="TableParagraph"/>
              <w:spacing w:before="6"/>
              <w:jc w:val="left"/>
              <w:rPr>
                <w:b/>
                <w:sz w:val="11"/>
              </w:rPr>
            </w:pPr>
          </w:p>
          <w:p>
            <w:pPr>
              <w:pStyle w:val="TableParagraph"/>
              <w:spacing w:before="0"/>
              <w:ind w:right="62"/>
              <w:rPr>
                <w:sz w:val="14"/>
              </w:rPr>
            </w:pPr>
            <w:r>
              <w:rPr>
                <w:w w:val="105"/>
                <w:sz w:val="14"/>
              </w:rPr>
              <w:t>1,787.8</w:t>
            </w:r>
          </w:p>
        </w:tc>
        <w:tc>
          <w:tcPr>
            <w:tcW w:w="706" w:type="dxa"/>
            <w:tcBorders>
              <w:top w:val="single" w:sz="3" w:space="0" w:color="000000"/>
              <w:left w:val="single" w:sz="4" w:space="0" w:color="000000"/>
              <w:bottom w:val="single" w:sz="4" w:space="0" w:color="000000"/>
              <w:right w:val="single" w:sz="4" w:space="0" w:color="000000"/>
            </w:tcBorders>
          </w:tcPr>
          <w:p>
            <w:pPr>
              <w:pStyle w:val="TableParagraph"/>
              <w:spacing w:before="6"/>
              <w:jc w:val="left"/>
              <w:rPr>
                <w:b/>
                <w:sz w:val="11"/>
              </w:rPr>
            </w:pPr>
          </w:p>
          <w:p>
            <w:pPr>
              <w:pStyle w:val="TableParagraph"/>
              <w:spacing w:before="0"/>
              <w:ind w:right="62"/>
              <w:rPr>
                <w:sz w:val="14"/>
              </w:rPr>
            </w:pPr>
            <w:r>
              <w:rPr>
                <w:w w:val="105"/>
                <w:sz w:val="14"/>
              </w:rPr>
              <w:t>1,747.5</w:t>
            </w:r>
          </w:p>
        </w:tc>
        <w:tc>
          <w:tcPr>
            <w:tcW w:w="773" w:type="dxa"/>
            <w:tcBorders>
              <w:top w:val="single" w:sz="3" w:space="0" w:color="000000"/>
              <w:left w:val="single" w:sz="4" w:space="0" w:color="000000"/>
              <w:bottom w:val="single" w:sz="4" w:space="0" w:color="000000"/>
              <w:right w:val="single" w:sz="4" w:space="0" w:color="000000"/>
            </w:tcBorders>
          </w:tcPr>
          <w:p>
            <w:pPr>
              <w:pStyle w:val="TableParagraph"/>
              <w:spacing w:before="6"/>
              <w:jc w:val="left"/>
              <w:rPr>
                <w:b/>
                <w:sz w:val="11"/>
              </w:rPr>
            </w:pPr>
          </w:p>
          <w:p>
            <w:pPr>
              <w:pStyle w:val="TableParagraph"/>
              <w:spacing w:before="0"/>
              <w:ind w:right="60"/>
              <w:rPr>
                <w:sz w:val="14"/>
              </w:rPr>
            </w:pPr>
            <w:r>
              <w:rPr>
                <w:w w:val="105"/>
                <w:sz w:val="14"/>
              </w:rPr>
              <w:t>839.1</w:t>
            </w:r>
          </w:p>
        </w:tc>
        <w:tc>
          <w:tcPr>
            <w:tcW w:w="571" w:type="dxa"/>
            <w:tcBorders>
              <w:top w:val="single" w:sz="3" w:space="0" w:color="000000"/>
              <w:left w:val="single" w:sz="4" w:space="0" w:color="000000"/>
              <w:bottom w:val="single" w:sz="4" w:space="0" w:color="000000"/>
              <w:right w:val="single" w:sz="4" w:space="0" w:color="000000"/>
            </w:tcBorders>
          </w:tcPr>
          <w:p>
            <w:pPr>
              <w:pStyle w:val="TableParagraph"/>
              <w:spacing w:before="6"/>
              <w:jc w:val="left"/>
              <w:rPr>
                <w:b/>
                <w:sz w:val="11"/>
              </w:rPr>
            </w:pPr>
          </w:p>
          <w:p>
            <w:pPr>
              <w:pStyle w:val="TableParagraph"/>
              <w:spacing w:before="0"/>
              <w:ind w:right="60"/>
              <w:rPr>
                <w:sz w:val="14"/>
              </w:rPr>
            </w:pPr>
            <w:r>
              <w:rPr>
                <w:w w:val="105"/>
                <w:sz w:val="14"/>
              </w:rPr>
              <w:t>7.1</w:t>
            </w:r>
          </w:p>
        </w:tc>
        <w:tc>
          <w:tcPr>
            <w:tcW w:w="562" w:type="dxa"/>
            <w:tcBorders>
              <w:top w:val="single" w:sz="3" w:space="0" w:color="000000"/>
              <w:left w:val="single" w:sz="4" w:space="0" w:color="000000"/>
              <w:bottom w:val="single" w:sz="4" w:space="0" w:color="000000"/>
              <w:right w:val="single" w:sz="8" w:space="0" w:color="000000"/>
            </w:tcBorders>
          </w:tcPr>
          <w:p>
            <w:pPr>
              <w:pStyle w:val="TableParagraph"/>
              <w:spacing w:before="6"/>
              <w:jc w:val="left"/>
              <w:rPr>
                <w:b/>
                <w:sz w:val="11"/>
              </w:rPr>
            </w:pPr>
          </w:p>
          <w:p>
            <w:pPr>
              <w:pStyle w:val="TableParagraph"/>
              <w:spacing w:before="0"/>
              <w:ind w:right="57"/>
              <w:rPr>
                <w:sz w:val="14"/>
              </w:rPr>
            </w:pPr>
            <w:r>
              <w:rPr>
                <w:w w:val="105"/>
                <w:sz w:val="14"/>
              </w:rPr>
              <w:t>20.5</w:t>
            </w:r>
          </w:p>
        </w:tc>
      </w:tr>
      <w:tr>
        <w:trPr>
          <w:trHeight w:val="305" w:hRule="exact"/>
        </w:trPr>
        <w:tc>
          <w:tcPr>
            <w:tcW w:w="962" w:type="dxa"/>
            <w:tcBorders>
              <w:top w:val="single" w:sz="4" w:space="0" w:color="000000"/>
              <w:left w:val="single" w:sz="8" w:space="0" w:color="000000"/>
              <w:bottom w:val="single" w:sz="4" w:space="0" w:color="000000"/>
              <w:right w:val="single" w:sz="8" w:space="0" w:color="000000"/>
            </w:tcBorders>
          </w:tcPr>
          <w:p>
            <w:pPr>
              <w:pStyle w:val="TableParagraph"/>
              <w:spacing w:before="1"/>
              <w:jc w:val="left"/>
              <w:rPr>
                <w:b/>
                <w:sz w:val="11"/>
              </w:rPr>
            </w:pPr>
          </w:p>
          <w:p>
            <w:pPr>
              <w:pStyle w:val="TableParagraph"/>
              <w:spacing w:before="0"/>
              <w:ind w:left="57"/>
              <w:jc w:val="left"/>
              <w:rPr>
                <w:b/>
                <w:sz w:val="14"/>
              </w:rPr>
            </w:pPr>
            <w:r>
              <w:rPr>
                <w:b/>
                <w:w w:val="105"/>
                <w:sz w:val="14"/>
              </w:rPr>
              <w:t>Marzo</w:t>
            </w:r>
          </w:p>
        </w:tc>
        <w:tc>
          <w:tcPr>
            <w:tcW w:w="624" w:type="dxa"/>
            <w:tcBorders>
              <w:top w:val="single" w:sz="4" w:space="0" w:color="000000"/>
              <w:left w:val="single" w:sz="8"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57"/>
              <w:rPr>
                <w:sz w:val="14"/>
              </w:rPr>
            </w:pPr>
            <w:r>
              <w:rPr>
                <w:w w:val="105"/>
                <w:sz w:val="14"/>
              </w:rPr>
              <w:t>157.2</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183.9</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218.8</w:t>
            </w:r>
          </w:p>
        </w:tc>
        <w:tc>
          <w:tcPr>
            <w:tcW w:w="623" w:type="dxa"/>
            <w:tcBorders>
              <w:top w:val="single" w:sz="4" w:space="0" w:color="000000"/>
              <w:left w:val="single" w:sz="4" w:space="0" w:color="000000"/>
              <w:bottom w:val="single" w:sz="4" w:space="0" w:color="000000"/>
              <w:right w:val="single" w:sz="3" w:space="0" w:color="000000"/>
            </w:tcBorders>
          </w:tcPr>
          <w:p>
            <w:pPr>
              <w:pStyle w:val="TableParagraph"/>
              <w:spacing w:before="3"/>
              <w:jc w:val="left"/>
              <w:rPr>
                <w:b/>
                <w:sz w:val="11"/>
              </w:rPr>
            </w:pPr>
          </w:p>
          <w:p>
            <w:pPr>
              <w:pStyle w:val="TableParagraph"/>
              <w:spacing w:before="0"/>
              <w:ind w:left="165" w:right="40"/>
              <w:jc w:val="center"/>
              <w:rPr>
                <w:sz w:val="14"/>
              </w:rPr>
            </w:pPr>
            <w:r>
              <w:rPr>
                <w:w w:val="105"/>
                <w:sz w:val="14"/>
              </w:rPr>
              <w:t>263.9</w:t>
            </w:r>
          </w:p>
        </w:tc>
        <w:tc>
          <w:tcPr>
            <w:tcW w:w="623" w:type="dxa"/>
            <w:tcBorders>
              <w:top w:val="single" w:sz="4" w:space="0" w:color="000000"/>
              <w:left w:val="single" w:sz="3"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57"/>
              <w:rPr>
                <w:sz w:val="14"/>
              </w:rPr>
            </w:pPr>
            <w:r>
              <w:rPr>
                <w:w w:val="105"/>
                <w:sz w:val="14"/>
              </w:rPr>
              <w:t>313.6</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57"/>
              <w:rPr>
                <w:sz w:val="14"/>
              </w:rPr>
            </w:pPr>
            <w:r>
              <w:rPr>
                <w:w w:val="105"/>
                <w:sz w:val="14"/>
              </w:rPr>
              <w:t>339.8</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57"/>
              <w:rPr>
                <w:sz w:val="14"/>
              </w:rPr>
            </w:pPr>
            <w:r>
              <w:rPr>
                <w:w w:val="105"/>
                <w:sz w:val="14"/>
              </w:rPr>
              <w:t>620.5</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57"/>
              <w:rPr>
                <w:sz w:val="14"/>
              </w:rPr>
            </w:pPr>
            <w:r>
              <w:rPr>
                <w:w w:val="105"/>
                <w:sz w:val="14"/>
              </w:rPr>
              <w:t>650.2</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950.5</w:t>
            </w:r>
          </w:p>
        </w:tc>
        <w:tc>
          <w:tcPr>
            <w:tcW w:w="703"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1,303.4</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2"/>
              <w:rPr>
                <w:sz w:val="14"/>
              </w:rPr>
            </w:pPr>
            <w:r>
              <w:rPr>
                <w:w w:val="105"/>
                <w:sz w:val="14"/>
              </w:rPr>
              <w:t>1,526.1</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2"/>
              <w:rPr>
                <w:sz w:val="14"/>
              </w:rPr>
            </w:pPr>
            <w:r>
              <w:rPr>
                <w:w w:val="105"/>
                <w:sz w:val="14"/>
              </w:rPr>
              <w:t>2,005.4</w:t>
            </w:r>
          </w:p>
        </w:tc>
        <w:tc>
          <w:tcPr>
            <w:tcW w:w="703"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2,073.6</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2"/>
              <w:rPr>
                <w:sz w:val="14"/>
              </w:rPr>
            </w:pPr>
            <w:r>
              <w:rPr>
                <w:w w:val="105"/>
                <w:sz w:val="14"/>
              </w:rPr>
              <w:t>2,039.5</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2"/>
              <w:rPr>
                <w:sz w:val="14"/>
              </w:rPr>
            </w:pPr>
            <w:r>
              <w:rPr>
                <w:w w:val="105"/>
                <w:sz w:val="14"/>
              </w:rPr>
              <w:t>2,045.6</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979.5</w:t>
            </w:r>
          </w:p>
        </w:tc>
        <w:tc>
          <w:tcPr>
            <w:tcW w:w="571"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8.3</w:t>
            </w:r>
          </w:p>
        </w:tc>
        <w:tc>
          <w:tcPr>
            <w:tcW w:w="562" w:type="dxa"/>
            <w:tcBorders>
              <w:top w:val="single" w:sz="4" w:space="0" w:color="000000"/>
              <w:left w:val="single" w:sz="4" w:space="0" w:color="000000"/>
              <w:bottom w:val="single" w:sz="4" w:space="0" w:color="000000"/>
              <w:right w:val="single" w:sz="8" w:space="0" w:color="000000"/>
            </w:tcBorders>
          </w:tcPr>
          <w:p>
            <w:pPr>
              <w:pStyle w:val="TableParagraph"/>
              <w:spacing w:before="3"/>
              <w:jc w:val="left"/>
              <w:rPr>
                <w:b/>
                <w:sz w:val="11"/>
              </w:rPr>
            </w:pPr>
          </w:p>
          <w:p>
            <w:pPr>
              <w:pStyle w:val="TableParagraph"/>
              <w:spacing w:before="0"/>
              <w:ind w:right="57"/>
              <w:rPr>
                <w:sz w:val="14"/>
              </w:rPr>
            </w:pPr>
            <w:r>
              <w:rPr>
                <w:w w:val="105"/>
                <w:sz w:val="14"/>
              </w:rPr>
              <w:t>20.1</w:t>
            </w:r>
          </w:p>
        </w:tc>
      </w:tr>
      <w:tr>
        <w:trPr>
          <w:trHeight w:val="300" w:hRule="exact"/>
        </w:trPr>
        <w:tc>
          <w:tcPr>
            <w:tcW w:w="962" w:type="dxa"/>
            <w:tcBorders>
              <w:top w:val="single" w:sz="4" w:space="0" w:color="000000"/>
              <w:left w:val="single" w:sz="8" w:space="0" w:color="000000"/>
              <w:bottom w:val="single" w:sz="4" w:space="0" w:color="000000"/>
              <w:right w:val="single" w:sz="8" w:space="0" w:color="000000"/>
            </w:tcBorders>
          </w:tcPr>
          <w:p>
            <w:pPr>
              <w:pStyle w:val="TableParagraph"/>
              <w:spacing w:before="125"/>
              <w:ind w:left="57"/>
              <w:jc w:val="left"/>
              <w:rPr>
                <w:b/>
                <w:sz w:val="14"/>
              </w:rPr>
            </w:pPr>
            <w:r>
              <w:rPr>
                <w:b/>
                <w:w w:val="105"/>
                <w:sz w:val="14"/>
              </w:rPr>
              <w:t>Abril</w:t>
            </w:r>
          </w:p>
        </w:tc>
        <w:tc>
          <w:tcPr>
            <w:tcW w:w="624" w:type="dxa"/>
            <w:tcBorders>
              <w:top w:val="single" w:sz="4" w:space="0" w:color="000000"/>
              <w:left w:val="single" w:sz="8"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155.3</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205.6</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235.4</w:t>
            </w:r>
          </w:p>
        </w:tc>
        <w:tc>
          <w:tcPr>
            <w:tcW w:w="623" w:type="dxa"/>
            <w:tcBorders>
              <w:top w:val="single" w:sz="4" w:space="0" w:color="000000"/>
              <w:left w:val="single" w:sz="4" w:space="0" w:color="000000"/>
              <w:bottom w:val="single" w:sz="4" w:space="0" w:color="000000"/>
              <w:right w:val="single" w:sz="3" w:space="0" w:color="000000"/>
            </w:tcBorders>
          </w:tcPr>
          <w:p>
            <w:pPr>
              <w:pStyle w:val="TableParagraph"/>
              <w:spacing w:before="1"/>
              <w:jc w:val="left"/>
              <w:rPr>
                <w:b/>
                <w:sz w:val="11"/>
              </w:rPr>
            </w:pPr>
          </w:p>
          <w:p>
            <w:pPr>
              <w:pStyle w:val="TableParagraph"/>
              <w:spacing w:before="0"/>
              <w:ind w:left="165" w:right="40"/>
              <w:jc w:val="center"/>
              <w:rPr>
                <w:sz w:val="14"/>
              </w:rPr>
            </w:pPr>
            <w:r>
              <w:rPr>
                <w:w w:val="105"/>
                <w:sz w:val="14"/>
              </w:rPr>
              <w:t>240.2</w:t>
            </w:r>
          </w:p>
        </w:tc>
        <w:tc>
          <w:tcPr>
            <w:tcW w:w="623" w:type="dxa"/>
            <w:tcBorders>
              <w:top w:val="single" w:sz="4" w:space="0" w:color="000000"/>
              <w:left w:val="single" w:sz="3"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324.9</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349.4</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633.3</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721.0</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1,048.6</w:t>
            </w:r>
          </w:p>
        </w:tc>
        <w:tc>
          <w:tcPr>
            <w:tcW w:w="703"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1,337.4</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1,589.7</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1,952.7</w:t>
            </w:r>
          </w:p>
        </w:tc>
        <w:tc>
          <w:tcPr>
            <w:tcW w:w="703"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2,059.1</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2,112.7</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1,721.1</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979.1</w:t>
            </w:r>
          </w:p>
        </w:tc>
        <w:tc>
          <w:tcPr>
            <w:tcW w:w="571"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8.3</w:t>
            </w:r>
          </w:p>
        </w:tc>
        <w:tc>
          <w:tcPr>
            <w:tcW w:w="562" w:type="dxa"/>
            <w:tcBorders>
              <w:top w:val="single" w:sz="4" w:space="0" w:color="000000"/>
              <w:left w:val="single" w:sz="4" w:space="0" w:color="000000"/>
              <w:bottom w:val="single" w:sz="4" w:space="0" w:color="000000"/>
              <w:right w:val="single" w:sz="8" w:space="0" w:color="000000"/>
            </w:tcBorders>
          </w:tcPr>
          <w:p>
            <w:pPr>
              <w:pStyle w:val="TableParagraph"/>
              <w:spacing w:before="1"/>
              <w:jc w:val="left"/>
              <w:rPr>
                <w:b/>
                <w:sz w:val="11"/>
              </w:rPr>
            </w:pPr>
          </w:p>
          <w:p>
            <w:pPr>
              <w:pStyle w:val="TableParagraph"/>
              <w:spacing w:before="0"/>
              <w:ind w:right="57"/>
              <w:rPr>
                <w:sz w:val="14"/>
              </w:rPr>
            </w:pPr>
            <w:r>
              <w:rPr>
                <w:w w:val="105"/>
                <w:sz w:val="14"/>
              </w:rPr>
              <w:t>20.5</w:t>
            </w:r>
          </w:p>
        </w:tc>
      </w:tr>
      <w:tr>
        <w:trPr>
          <w:trHeight w:val="302" w:hRule="exact"/>
        </w:trPr>
        <w:tc>
          <w:tcPr>
            <w:tcW w:w="962" w:type="dxa"/>
            <w:tcBorders>
              <w:top w:val="single" w:sz="4" w:space="0" w:color="000000"/>
              <w:left w:val="single" w:sz="8" w:space="0" w:color="000000"/>
              <w:bottom w:val="single" w:sz="4" w:space="0" w:color="000000"/>
              <w:right w:val="single" w:sz="8" w:space="0" w:color="000000"/>
            </w:tcBorders>
          </w:tcPr>
          <w:p>
            <w:pPr>
              <w:pStyle w:val="TableParagraph"/>
              <w:spacing w:before="125"/>
              <w:ind w:left="57"/>
              <w:jc w:val="left"/>
              <w:rPr>
                <w:b/>
                <w:sz w:val="14"/>
              </w:rPr>
            </w:pPr>
            <w:r>
              <w:rPr>
                <w:b/>
                <w:w w:val="105"/>
                <w:sz w:val="14"/>
              </w:rPr>
              <w:t>Mayo</w:t>
            </w:r>
          </w:p>
        </w:tc>
        <w:tc>
          <w:tcPr>
            <w:tcW w:w="624" w:type="dxa"/>
            <w:tcBorders>
              <w:top w:val="single" w:sz="4" w:space="0" w:color="000000"/>
              <w:left w:val="single" w:sz="8"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189.7</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222.6</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268.4</w:t>
            </w:r>
          </w:p>
        </w:tc>
        <w:tc>
          <w:tcPr>
            <w:tcW w:w="623" w:type="dxa"/>
            <w:tcBorders>
              <w:top w:val="single" w:sz="4" w:space="0" w:color="000000"/>
              <w:left w:val="single" w:sz="4" w:space="0" w:color="000000"/>
              <w:bottom w:val="single" w:sz="4" w:space="0" w:color="000000"/>
              <w:right w:val="single" w:sz="3" w:space="0" w:color="000000"/>
            </w:tcBorders>
          </w:tcPr>
          <w:p>
            <w:pPr>
              <w:pStyle w:val="TableParagraph"/>
              <w:spacing w:before="1"/>
              <w:jc w:val="left"/>
              <w:rPr>
                <w:b/>
                <w:sz w:val="11"/>
              </w:rPr>
            </w:pPr>
          </w:p>
          <w:p>
            <w:pPr>
              <w:pStyle w:val="TableParagraph"/>
              <w:spacing w:before="0"/>
              <w:ind w:left="165" w:right="40"/>
              <w:jc w:val="center"/>
              <w:rPr>
                <w:sz w:val="14"/>
              </w:rPr>
            </w:pPr>
            <w:r>
              <w:rPr>
                <w:w w:val="105"/>
                <w:sz w:val="14"/>
              </w:rPr>
              <w:t>297.6</w:t>
            </w:r>
          </w:p>
        </w:tc>
        <w:tc>
          <w:tcPr>
            <w:tcW w:w="623" w:type="dxa"/>
            <w:tcBorders>
              <w:top w:val="single" w:sz="4" w:space="0" w:color="000000"/>
              <w:left w:val="single" w:sz="3"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386.1</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395.4</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700.1</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820.5</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1,152.6</w:t>
            </w:r>
          </w:p>
        </w:tc>
        <w:tc>
          <w:tcPr>
            <w:tcW w:w="703"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1,575.8</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1,883.5</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2,365.5</w:t>
            </w:r>
          </w:p>
        </w:tc>
        <w:tc>
          <w:tcPr>
            <w:tcW w:w="703"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2,319.0</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2,286.4</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1,850.7</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1,114.2</w:t>
            </w:r>
          </w:p>
        </w:tc>
        <w:tc>
          <w:tcPr>
            <w:tcW w:w="571"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9.4</w:t>
            </w:r>
          </w:p>
        </w:tc>
        <w:tc>
          <w:tcPr>
            <w:tcW w:w="562" w:type="dxa"/>
            <w:tcBorders>
              <w:top w:val="single" w:sz="4" w:space="0" w:color="000000"/>
              <w:left w:val="single" w:sz="4" w:space="0" w:color="000000"/>
              <w:bottom w:val="single" w:sz="4" w:space="0" w:color="000000"/>
              <w:right w:val="single" w:sz="8" w:space="0" w:color="000000"/>
            </w:tcBorders>
          </w:tcPr>
          <w:p>
            <w:pPr>
              <w:pStyle w:val="TableParagraph"/>
              <w:spacing w:before="1"/>
              <w:jc w:val="left"/>
              <w:rPr>
                <w:b/>
                <w:sz w:val="11"/>
              </w:rPr>
            </w:pPr>
          </w:p>
          <w:p>
            <w:pPr>
              <w:pStyle w:val="TableParagraph"/>
              <w:spacing w:before="0"/>
              <w:ind w:right="57"/>
              <w:rPr>
                <w:sz w:val="14"/>
              </w:rPr>
            </w:pPr>
            <w:r>
              <w:rPr>
                <w:w w:val="105"/>
                <w:sz w:val="14"/>
              </w:rPr>
              <w:t>19.5</w:t>
            </w:r>
          </w:p>
        </w:tc>
      </w:tr>
      <w:tr>
        <w:trPr>
          <w:trHeight w:val="300" w:hRule="exact"/>
        </w:trPr>
        <w:tc>
          <w:tcPr>
            <w:tcW w:w="962" w:type="dxa"/>
            <w:tcBorders>
              <w:top w:val="single" w:sz="4" w:space="0" w:color="000000"/>
              <w:left w:val="single" w:sz="8" w:space="0" w:color="000000"/>
              <w:bottom w:val="single" w:sz="4" w:space="0" w:color="000000"/>
              <w:right w:val="single" w:sz="8" w:space="0" w:color="000000"/>
            </w:tcBorders>
          </w:tcPr>
          <w:p>
            <w:pPr>
              <w:pStyle w:val="TableParagraph"/>
              <w:spacing w:before="125"/>
              <w:ind w:left="57"/>
              <w:jc w:val="left"/>
              <w:rPr>
                <w:b/>
                <w:sz w:val="14"/>
              </w:rPr>
            </w:pPr>
            <w:r>
              <w:rPr>
                <w:b/>
                <w:w w:val="105"/>
                <w:sz w:val="14"/>
              </w:rPr>
              <w:t>Junio</w:t>
            </w:r>
          </w:p>
        </w:tc>
        <w:tc>
          <w:tcPr>
            <w:tcW w:w="624" w:type="dxa"/>
            <w:tcBorders>
              <w:top w:val="single" w:sz="4" w:space="0" w:color="000000"/>
              <w:left w:val="single" w:sz="8"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175.6</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197.8</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242.0</w:t>
            </w:r>
          </w:p>
        </w:tc>
        <w:tc>
          <w:tcPr>
            <w:tcW w:w="623" w:type="dxa"/>
            <w:tcBorders>
              <w:top w:val="single" w:sz="4" w:space="0" w:color="000000"/>
              <w:left w:val="single" w:sz="4" w:space="0" w:color="000000"/>
              <w:bottom w:val="single" w:sz="4" w:space="0" w:color="000000"/>
              <w:right w:val="single" w:sz="3" w:space="0" w:color="000000"/>
            </w:tcBorders>
          </w:tcPr>
          <w:p>
            <w:pPr>
              <w:pStyle w:val="TableParagraph"/>
              <w:spacing w:before="1"/>
              <w:jc w:val="left"/>
              <w:rPr>
                <w:b/>
                <w:sz w:val="11"/>
              </w:rPr>
            </w:pPr>
          </w:p>
          <w:p>
            <w:pPr>
              <w:pStyle w:val="TableParagraph"/>
              <w:spacing w:before="0"/>
              <w:ind w:left="165" w:right="40"/>
              <w:jc w:val="center"/>
              <w:rPr>
                <w:sz w:val="14"/>
              </w:rPr>
            </w:pPr>
            <w:r>
              <w:rPr>
                <w:w w:val="105"/>
                <w:sz w:val="14"/>
              </w:rPr>
              <w:t>272.7</w:t>
            </w:r>
          </w:p>
        </w:tc>
        <w:tc>
          <w:tcPr>
            <w:tcW w:w="623" w:type="dxa"/>
            <w:tcBorders>
              <w:top w:val="single" w:sz="4" w:space="0" w:color="000000"/>
              <w:left w:val="single" w:sz="3"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346.8</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375.6</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668.3</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784.7</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1,181.7</w:t>
            </w:r>
          </w:p>
        </w:tc>
        <w:tc>
          <w:tcPr>
            <w:tcW w:w="703"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1,500.3</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1,755.4</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2,186.4</w:t>
            </w:r>
          </w:p>
        </w:tc>
        <w:tc>
          <w:tcPr>
            <w:tcW w:w="703"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2,193.2</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2,173.7</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1,858.6</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1,060.8</w:t>
            </w:r>
          </w:p>
        </w:tc>
        <w:tc>
          <w:tcPr>
            <w:tcW w:w="571"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9.0</w:t>
            </w:r>
          </w:p>
        </w:tc>
        <w:tc>
          <w:tcPr>
            <w:tcW w:w="562" w:type="dxa"/>
            <w:tcBorders>
              <w:top w:val="single" w:sz="4" w:space="0" w:color="000000"/>
              <w:left w:val="single" w:sz="4" w:space="0" w:color="000000"/>
              <w:bottom w:val="single" w:sz="4" w:space="0" w:color="000000"/>
              <w:right w:val="single" w:sz="8" w:space="0" w:color="000000"/>
            </w:tcBorders>
          </w:tcPr>
          <w:p>
            <w:pPr>
              <w:pStyle w:val="TableParagraph"/>
              <w:spacing w:before="1"/>
              <w:jc w:val="left"/>
              <w:rPr>
                <w:b/>
                <w:sz w:val="11"/>
              </w:rPr>
            </w:pPr>
          </w:p>
          <w:p>
            <w:pPr>
              <w:pStyle w:val="TableParagraph"/>
              <w:spacing w:before="0"/>
              <w:ind w:right="57"/>
              <w:rPr>
                <w:sz w:val="14"/>
              </w:rPr>
            </w:pPr>
            <w:r>
              <w:rPr>
                <w:w w:val="105"/>
                <w:sz w:val="14"/>
              </w:rPr>
              <w:t>19.7</w:t>
            </w:r>
          </w:p>
        </w:tc>
      </w:tr>
      <w:tr>
        <w:trPr>
          <w:trHeight w:val="302" w:hRule="exact"/>
        </w:trPr>
        <w:tc>
          <w:tcPr>
            <w:tcW w:w="962" w:type="dxa"/>
            <w:tcBorders>
              <w:top w:val="single" w:sz="4" w:space="0" w:color="000000"/>
              <w:left w:val="single" w:sz="8" w:space="0" w:color="000000"/>
              <w:bottom w:val="single" w:sz="4" w:space="0" w:color="000000"/>
              <w:right w:val="single" w:sz="8" w:space="0" w:color="000000"/>
            </w:tcBorders>
          </w:tcPr>
          <w:p>
            <w:pPr>
              <w:pStyle w:val="TableParagraph"/>
              <w:spacing w:before="125"/>
              <w:ind w:left="57"/>
              <w:jc w:val="left"/>
              <w:rPr>
                <w:b/>
                <w:sz w:val="14"/>
              </w:rPr>
            </w:pPr>
            <w:r>
              <w:rPr>
                <w:b/>
                <w:w w:val="105"/>
                <w:sz w:val="14"/>
              </w:rPr>
              <w:t>Julio</w:t>
            </w:r>
          </w:p>
        </w:tc>
        <w:tc>
          <w:tcPr>
            <w:tcW w:w="624" w:type="dxa"/>
            <w:tcBorders>
              <w:top w:val="single" w:sz="4" w:space="0" w:color="000000"/>
              <w:left w:val="single" w:sz="8"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179.5</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197.9</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232.3</w:t>
            </w:r>
          </w:p>
        </w:tc>
        <w:tc>
          <w:tcPr>
            <w:tcW w:w="623" w:type="dxa"/>
            <w:tcBorders>
              <w:top w:val="single" w:sz="4" w:space="0" w:color="000000"/>
              <w:left w:val="single" w:sz="4" w:space="0" w:color="000000"/>
              <w:bottom w:val="single" w:sz="4" w:space="0" w:color="000000"/>
              <w:right w:val="single" w:sz="3" w:space="0" w:color="000000"/>
            </w:tcBorders>
          </w:tcPr>
          <w:p>
            <w:pPr>
              <w:pStyle w:val="TableParagraph"/>
              <w:spacing w:before="1"/>
              <w:jc w:val="left"/>
              <w:rPr>
                <w:b/>
                <w:sz w:val="11"/>
              </w:rPr>
            </w:pPr>
          </w:p>
          <w:p>
            <w:pPr>
              <w:pStyle w:val="TableParagraph"/>
              <w:spacing w:before="0"/>
              <w:ind w:left="165" w:right="40"/>
              <w:jc w:val="center"/>
              <w:rPr>
                <w:sz w:val="14"/>
              </w:rPr>
            </w:pPr>
            <w:r>
              <w:rPr>
                <w:w w:val="105"/>
                <w:sz w:val="14"/>
              </w:rPr>
              <w:t>279.5</w:t>
            </w:r>
          </w:p>
        </w:tc>
        <w:tc>
          <w:tcPr>
            <w:tcW w:w="623" w:type="dxa"/>
            <w:tcBorders>
              <w:top w:val="single" w:sz="4" w:space="0" w:color="000000"/>
              <w:left w:val="single" w:sz="3"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337.9</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414.8</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702.9</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769.5</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1,180.4</w:t>
            </w:r>
          </w:p>
        </w:tc>
        <w:tc>
          <w:tcPr>
            <w:tcW w:w="703"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1,476.5</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1,675.4</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2,045.4</w:t>
            </w:r>
          </w:p>
        </w:tc>
        <w:tc>
          <w:tcPr>
            <w:tcW w:w="703"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2,256.5</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2,085.8</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1,771.7</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1,040.4</w:t>
            </w:r>
          </w:p>
        </w:tc>
        <w:tc>
          <w:tcPr>
            <w:tcW w:w="571"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8.8</w:t>
            </w:r>
          </w:p>
        </w:tc>
        <w:tc>
          <w:tcPr>
            <w:tcW w:w="562" w:type="dxa"/>
            <w:tcBorders>
              <w:top w:val="single" w:sz="4" w:space="0" w:color="000000"/>
              <w:left w:val="single" w:sz="4" w:space="0" w:color="000000"/>
              <w:bottom w:val="single" w:sz="4" w:space="0" w:color="000000"/>
              <w:right w:val="single" w:sz="8" w:space="0" w:color="000000"/>
            </w:tcBorders>
          </w:tcPr>
          <w:p>
            <w:pPr>
              <w:pStyle w:val="TableParagraph"/>
              <w:spacing w:before="1"/>
              <w:jc w:val="left"/>
              <w:rPr>
                <w:b/>
                <w:sz w:val="11"/>
              </w:rPr>
            </w:pPr>
          </w:p>
          <w:p>
            <w:pPr>
              <w:pStyle w:val="TableParagraph"/>
              <w:spacing w:before="0"/>
              <w:ind w:right="57"/>
              <w:rPr>
                <w:sz w:val="14"/>
              </w:rPr>
            </w:pPr>
            <w:r>
              <w:rPr>
                <w:w w:val="105"/>
                <w:sz w:val="14"/>
              </w:rPr>
              <w:t>19.2</w:t>
            </w:r>
          </w:p>
        </w:tc>
      </w:tr>
      <w:tr>
        <w:trPr>
          <w:trHeight w:val="300" w:hRule="exact"/>
        </w:trPr>
        <w:tc>
          <w:tcPr>
            <w:tcW w:w="962" w:type="dxa"/>
            <w:tcBorders>
              <w:top w:val="single" w:sz="4" w:space="0" w:color="000000"/>
              <w:left w:val="single" w:sz="8" w:space="0" w:color="000000"/>
              <w:bottom w:val="single" w:sz="4" w:space="0" w:color="000000"/>
              <w:right w:val="single" w:sz="8" w:space="0" w:color="000000"/>
            </w:tcBorders>
          </w:tcPr>
          <w:p>
            <w:pPr>
              <w:pStyle w:val="TableParagraph"/>
              <w:spacing w:before="1"/>
              <w:jc w:val="left"/>
              <w:rPr>
                <w:b/>
                <w:sz w:val="11"/>
              </w:rPr>
            </w:pPr>
          </w:p>
          <w:p>
            <w:pPr>
              <w:pStyle w:val="TableParagraph"/>
              <w:spacing w:before="0"/>
              <w:ind w:left="57"/>
              <w:jc w:val="left"/>
              <w:rPr>
                <w:b/>
                <w:sz w:val="14"/>
              </w:rPr>
            </w:pPr>
            <w:r>
              <w:rPr>
                <w:b/>
                <w:w w:val="105"/>
                <w:sz w:val="14"/>
              </w:rPr>
              <w:t>Agosto</w:t>
            </w:r>
          </w:p>
        </w:tc>
        <w:tc>
          <w:tcPr>
            <w:tcW w:w="624" w:type="dxa"/>
            <w:tcBorders>
              <w:top w:val="single" w:sz="4" w:space="0" w:color="000000"/>
              <w:left w:val="single" w:sz="8"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57"/>
              <w:rPr>
                <w:sz w:val="14"/>
              </w:rPr>
            </w:pPr>
            <w:r>
              <w:rPr>
                <w:w w:val="105"/>
                <w:sz w:val="14"/>
              </w:rPr>
              <w:t>175.7</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193.1</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235.9</w:t>
            </w:r>
          </w:p>
        </w:tc>
        <w:tc>
          <w:tcPr>
            <w:tcW w:w="623" w:type="dxa"/>
            <w:tcBorders>
              <w:top w:val="single" w:sz="4" w:space="0" w:color="000000"/>
              <w:left w:val="single" w:sz="4" w:space="0" w:color="000000"/>
              <w:bottom w:val="single" w:sz="4" w:space="0" w:color="000000"/>
              <w:right w:val="single" w:sz="3" w:space="0" w:color="000000"/>
            </w:tcBorders>
          </w:tcPr>
          <w:p>
            <w:pPr>
              <w:pStyle w:val="TableParagraph"/>
              <w:spacing w:before="3"/>
              <w:jc w:val="left"/>
              <w:rPr>
                <w:b/>
                <w:sz w:val="11"/>
              </w:rPr>
            </w:pPr>
          </w:p>
          <w:p>
            <w:pPr>
              <w:pStyle w:val="TableParagraph"/>
              <w:spacing w:before="0"/>
              <w:ind w:left="165" w:right="40"/>
              <w:jc w:val="center"/>
              <w:rPr>
                <w:sz w:val="14"/>
              </w:rPr>
            </w:pPr>
            <w:r>
              <w:rPr>
                <w:w w:val="105"/>
                <w:sz w:val="14"/>
              </w:rPr>
              <w:t>281.6</w:t>
            </w:r>
          </w:p>
        </w:tc>
        <w:tc>
          <w:tcPr>
            <w:tcW w:w="623" w:type="dxa"/>
            <w:tcBorders>
              <w:top w:val="single" w:sz="4" w:space="0" w:color="000000"/>
              <w:left w:val="single" w:sz="3"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57"/>
              <w:rPr>
                <w:sz w:val="14"/>
              </w:rPr>
            </w:pPr>
            <w:r>
              <w:rPr>
                <w:w w:val="105"/>
                <w:sz w:val="14"/>
              </w:rPr>
              <w:t>350.4</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57"/>
              <w:rPr>
                <w:sz w:val="14"/>
              </w:rPr>
            </w:pPr>
            <w:r>
              <w:rPr>
                <w:w w:val="105"/>
                <w:sz w:val="14"/>
              </w:rPr>
              <w:t>436.9</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57"/>
              <w:rPr>
                <w:sz w:val="14"/>
              </w:rPr>
            </w:pPr>
            <w:r>
              <w:rPr>
                <w:w w:val="105"/>
                <w:sz w:val="14"/>
              </w:rPr>
              <w:t>708.8</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57"/>
              <w:rPr>
                <w:sz w:val="14"/>
              </w:rPr>
            </w:pPr>
            <w:r>
              <w:rPr>
                <w:w w:val="105"/>
                <w:sz w:val="14"/>
              </w:rPr>
              <w:t>778.0</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2"/>
              <w:rPr>
                <w:sz w:val="14"/>
              </w:rPr>
            </w:pPr>
            <w:r>
              <w:rPr>
                <w:w w:val="105"/>
                <w:sz w:val="14"/>
              </w:rPr>
              <w:t>1,228.4</w:t>
            </w:r>
          </w:p>
        </w:tc>
        <w:tc>
          <w:tcPr>
            <w:tcW w:w="703"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1,612.2</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2"/>
              <w:rPr>
                <w:sz w:val="14"/>
              </w:rPr>
            </w:pPr>
            <w:r>
              <w:rPr>
                <w:w w:val="105"/>
                <w:sz w:val="14"/>
              </w:rPr>
              <w:t>1,878.6</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2"/>
              <w:rPr>
                <w:sz w:val="14"/>
              </w:rPr>
            </w:pPr>
            <w:r>
              <w:rPr>
                <w:w w:val="105"/>
                <w:sz w:val="14"/>
              </w:rPr>
              <w:t>2,191.6</w:t>
            </w:r>
          </w:p>
        </w:tc>
        <w:tc>
          <w:tcPr>
            <w:tcW w:w="703"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2,318.2</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2"/>
              <w:rPr>
                <w:sz w:val="14"/>
              </w:rPr>
            </w:pPr>
            <w:r>
              <w:rPr>
                <w:w w:val="105"/>
                <w:sz w:val="14"/>
              </w:rPr>
              <w:t>2,014.1</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2"/>
              <w:rPr>
                <w:sz w:val="14"/>
              </w:rPr>
            </w:pPr>
            <w:r>
              <w:rPr>
                <w:w w:val="105"/>
                <w:sz w:val="14"/>
              </w:rPr>
              <w:t>1,730.7</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2"/>
              <w:rPr>
                <w:sz w:val="14"/>
              </w:rPr>
            </w:pPr>
            <w:r>
              <w:rPr>
                <w:w w:val="105"/>
                <w:sz w:val="14"/>
              </w:rPr>
              <w:t>1,075.6</w:t>
            </w:r>
          </w:p>
        </w:tc>
        <w:tc>
          <w:tcPr>
            <w:tcW w:w="571"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9.1</w:t>
            </w:r>
          </w:p>
        </w:tc>
        <w:tc>
          <w:tcPr>
            <w:tcW w:w="562" w:type="dxa"/>
            <w:tcBorders>
              <w:top w:val="single" w:sz="4" w:space="0" w:color="000000"/>
              <w:left w:val="single" w:sz="4" w:space="0" w:color="000000"/>
              <w:bottom w:val="single" w:sz="4" w:space="0" w:color="000000"/>
              <w:right w:val="single" w:sz="8" w:space="0" w:color="000000"/>
            </w:tcBorders>
          </w:tcPr>
          <w:p>
            <w:pPr>
              <w:pStyle w:val="TableParagraph"/>
              <w:spacing w:before="3"/>
              <w:jc w:val="left"/>
              <w:rPr>
                <w:b/>
                <w:sz w:val="11"/>
              </w:rPr>
            </w:pPr>
          </w:p>
          <w:p>
            <w:pPr>
              <w:pStyle w:val="TableParagraph"/>
              <w:spacing w:before="0"/>
              <w:ind w:right="57"/>
              <w:rPr>
                <w:sz w:val="14"/>
              </w:rPr>
            </w:pPr>
            <w:r>
              <w:rPr>
                <w:w w:val="105"/>
                <w:sz w:val="14"/>
              </w:rPr>
              <w:t>19.0</w:t>
            </w:r>
          </w:p>
        </w:tc>
      </w:tr>
      <w:tr>
        <w:trPr>
          <w:trHeight w:val="305" w:hRule="exact"/>
        </w:trPr>
        <w:tc>
          <w:tcPr>
            <w:tcW w:w="962" w:type="dxa"/>
            <w:tcBorders>
              <w:top w:val="single" w:sz="4" w:space="0" w:color="000000"/>
              <w:left w:val="single" w:sz="8" w:space="0" w:color="000000"/>
              <w:bottom w:val="single" w:sz="4" w:space="0" w:color="000000"/>
              <w:right w:val="single" w:sz="8" w:space="0" w:color="000000"/>
            </w:tcBorders>
          </w:tcPr>
          <w:p>
            <w:pPr>
              <w:pStyle w:val="TableParagraph"/>
              <w:spacing w:before="1"/>
              <w:jc w:val="left"/>
              <w:rPr>
                <w:b/>
                <w:sz w:val="11"/>
              </w:rPr>
            </w:pPr>
          </w:p>
          <w:p>
            <w:pPr>
              <w:pStyle w:val="TableParagraph"/>
              <w:spacing w:before="0"/>
              <w:ind w:left="57"/>
              <w:jc w:val="left"/>
              <w:rPr>
                <w:b/>
                <w:sz w:val="14"/>
              </w:rPr>
            </w:pPr>
            <w:r>
              <w:rPr>
                <w:b/>
                <w:w w:val="105"/>
                <w:sz w:val="14"/>
              </w:rPr>
              <w:t>Septiembre</w:t>
            </w:r>
          </w:p>
        </w:tc>
        <w:tc>
          <w:tcPr>
            <w:tcW w:w="624" w:type="dxa"/>
            <w:tcBorders>
              <w:top w:val="single" w:sz="4" w:space="0" w:color="000000"/>
              <w:left w:val="single" w:sz="8"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57"/>
              <w:rPr>
                <w:sz w:val="14"/>
              </w:rPr>
            </w:pPr>
            <w:r>
              <w:rPr>
                <w:w w:val="105"/>
                <w:sz w:val="14"/>
              </w:rPr>
              <w:t>161.3</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189.3</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236.4</w:t>
            </w:r>
          </w:p>
        </w:tc>
        <w:tc>
          <w:tcPr>
            <w:tcW w:w="623" w:type="dxa"/>
            <w:tcBorders>
              <w:top w:val="single" w:sz="4" w:space="0" w:color="000000"/>
              <w:left w:val="single" w:sz="4" w:space="0" w:color="000000"/>
              <w:bottom w:val="single" w:sz="4" w:space="0" w:color="000000"/>
              <w:right w:val="single" w:sz="3" w:space="0" w:color="000000"/>
            </w:tcBorders>
          </w:tcPr>
          <w:p>
            <w:pPr>
              <w:pStyle w:val="TableParagraph"/>
              <w:spacing w:before="3"/>
              <w:jc w:val="left"/>
              <w:rPr>
                <w:b/>
                <w:sz w:val="11"/>
              </w:rPr>
            </w:pPr>
          </w:p>
          <w:p>
            <w:pPr>
              <w:pStyle w:val="TableParagraph"/>
              <w:spacing w:before="0"/>
              <w:ind w:left="165" w:right="40"/>
              <w:jc w:val="center"/>
              <w:rPr>
                <w:sz w:val="14"/>
              </w:rPr>
            </w:pPr>
            <w:r>
              <w:rPr>
                <w:w w:val="105"/>
                <w:sz w:val="14"/>
              </w:rPr>
              <w:t>279.0</w:t>
            </w:r>
          </w:p>
        </w:tc>
        <w:tc>
          <w:tcPr>
            <w:tcW w:w="623" w:type="dxa"/>
            <w:tcBorders>
              <w:top w:val="single" w:sz="4" w:space="0" w:color="000000"/>
              <w:left w:val="single" w:sz="3"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57"/>
              <w:rPr>
                <w:sz w:val="14"/>
              </w:rPr>
            </w:pPr>
            <w:r>
              <w:rPr>
                <w:w w:val="105"/>
                <w:sz w:val="14"/>
              </w:rPr>
              <w:t>322.5</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57"/>
              <w:rPr>
                <w:sz w:val="14"/>
              </w:rPr>
            </w:pPr>
            <w:r>
              <w:rPr>
                <w:w w:val="105"/>
                <w:sz w:val="14"/>
              </w:rPr>
              <w:t>410.9</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57"/>
              <w:rPr>
                <w:sz w:val="14"/>
              </w:rPr>
            </w:pPr>
            <w:r>
              <w:rPr>
                <w:w w:val="105"/>
                <w:sz w:val="14"/>
              </w:rPr>
              <w:t>707.9</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57"/>
              <w:rPr>
                <w:sz w:val="14"/>
              </w:rPr>
            </w:pPr>
            <w:r>
              <w:rPr>
                <w:w w:val="105"/>
                <w:sz w:val="14"/>
              </w:rPr>
              <w:t>794.4</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2"/>
              <w:rPr>
                <w:sz w:val="14"/>
              </w:rPr>
            </w:pPr>
            <w:r>
              <w:rPr>
                <w:w w:val="105"/>
                <w:sz w:val="14"/>
              </w:rPr>
              <w:t>1,201.2</w:t>
            </w:r>
          </w:p>
        </w:tc>
        <w:tc>
          <w:tcPr>
            <w:tcW w:w="703"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1,424.1</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2"/>
              <w:rPr>
                <w:sz w:val="14"/>
              </w:rPr>
            </w:pPr>
            <w:r>
              <w:rPr>
                <w:w w:val="105"/>
                <w:sz w:val="14"/>
              </w:rPr>
              <w:t>1,733.3</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2"/>
              <w:rPr>
                <w:sz w:val="14"/>
              </w:rPr>
            </w:pPr>
            <w:r>
              <w:rPr>
                <w:w w:val="105"/>
                <w:sz w:val="14"/>
              </w:rPr>
              <w:t>2,017.6</w:t>
            </w:r>
          </w:p>
        </w:tc>
        <w:tc>
          <w:tcPr>
            <w:tcW w:w="703"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2,113.4</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2"/>
              <w:rPr>
                <w:sz w:val="14"/>
              </w:rPr>
            </w:pPr>
            <w:r>
              <w:rPr>
                <w:w w:val="105"/>
                <w:sz w:val="14"/>
              </w:rPr>
              <w:t>2,039.7</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2"/>
              <w:rPr>
                <w:sz w:val="14"/>
              </w:rPr>
            </w:pPr>
            <w:r>
              <w:rPr>
                <w:w w:val="105"/>
                <w:sz w:val="14"/>
              </w:rPr>
              <w:t>1,701.1</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2"/>
              <w:rPr>
                <w:sz w:val="14"/>
              </w:rPr>
            </w:pPr>
            <w:r>
              <w:rPr>
                <w:w w:val="105"/>
                <w:sz w:val="14"/>
              </w:rPr>
              <w:t>1,022.1</w:t>
            </w:r>
          </w:p>
        </w:tc>
        <w:tc>
          <w:tcPr>
            <w:tcW w:w="571" w:type="dxa"/>
            <w:tcBorders>
              <w:top w:val="single" w:sz="4"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8.6</w:t>
            </w:r>
          </w:p>
        </w:tc>
        <w:tc>
          <w:tcPr>
            <w:tcW w:w="562" w:type="dxa"/>
            <w:tcBorders>
              <w:top w:val="single" w:sz="4" w:space="0" w:color="000000"/>
              <w:left w:val="single" w:sz="4" w:space="0" w:color="000000"/>
              <w:bottom w:val="single" w:sz="4" w:space="0" w:color="000000"/>
              <w:right w:val="single" w:sz="8" w:space="0" w:color="000000"/>
            </w:tcBorders>
          </w:tcPr>
          <w:p>
            <w:pPr>
              <w:pStyle w:val="TableParagraph"/>
              <w:spacing w:before="3"/>
              <w:jc w:val="left"/>
              <w:rPr>
                <w:b/>
                <w:sz w:val="11"/>
              </w:rPr>
            </w:pPr>
          </w:p>
          <w:p>
            <w:pPr>
              <w:pStyle w:val="TableParagraph"/>
              <w:spacing w:before="0"/>
              <w:ind w:right="57"/>
              <w:rPr>
                <w:sz w:val="14"/>
              </w:rPr>
            </w:pPr>
            <w:r>
              <w:rPr>
                <w:w w:val="105"/>
                <w:sz w:val="14"/>
              </w:rPr>
              <w:t>19.9</w:t>
            </w:r>
          </w:p>
        </w:tc>
      </w:tr>
      <w:tr>
        <w:trPr>
          <w:trHeight w:val="301" w:hRule="exact"/>
        </w:trPr>
        <w:tc>
          <w:tcPr>
            <w:tcW w:w="962" w:type="dxa"/>
            <w:tcBorders>
              <w:top w:val="single" w:sz="4" w:space="0" w:color="000000"/>
              <w:left w:val="single" w:sz="8" w:space="0" w:color="000000"/>
              <w:bottom w:val="single" w:sz="3" w:space="0" w:color="000000"/>
              <w:right w:val="single" w:sz="8" w:space="0" w:color="000000"/>
            </w:tcBorders>
          </w:tcPr>
          <w:p>
            <w:pPr>
              <w:pStyle w:val="TableParagraph"/>
              <w:spacing w:before="125"/>
              <w:ind w:left="57"/>
              <w:jc w:val="left"/>
              <w:rPr>
                <w:b/>
                <w:sz w:val="14"/>
              </w:rPr>
            </w:pPr>
            <w:r>
              <w:rPr>
                <w:b/>
                <w:w w:val="105"/>
                <w:sz w:val="14"/>
              </w:rPr>
              <w:t>Octubre</w:t>
            </w:r>
          </w:p>
        </w:tc>
        <w:tc>
          <w:tcPr>
            <w:tcW w:w="624" w:type="dxa"/>
            <w:tcBorders>
              <w:top w:val="single" w:sz="4" w:space="0" w:color="000000"/>
              <w:left w:val="single" w:sz="8"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172.5</w:t>
            </w:r>
          </w:p>
        </w:tc>
        <w:tc>
          <w:tcPr>
            <w:tcW w:w="626" w:type="dxa"/>
            <w:tcBorders>
              <w:top w:val="single" w:sz="4"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192.4</w:t>
            </w:r>
          </w:p>
        </w:tc>
        <w:tc>
          <w:tcPr>
            <w:tcW w:w="624" w:type="dxa"/>
            <w:tcBorders>
              <w:top w:val="single" w:sz="4"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233.1</w:t>
            </w:r>
          </w:p>
        </w:tc>
        <w:tc>
          <w:tcPr>
            <w:tcW w:w="623" w:type="dxa"/>
            <w:tcBorders>
              <w:top w:val="single" w:sz="4" w:space="0" w:color="000000"/>
              <w:left w:val="single" w:sz="4" w:space="0" w:color="000000"/>
              <w:bottom w:val="single" w:sz="3" w:space="0" w:color="000000"/>
              <w:right w:val="single" w:sz="3" w:space="0" w:color="000000"/>
            </w:tcBorders>
          </w:tcPr>
          <w:p>
            <w:pPr>
              <w:pStyle w:val="TableParagraph"/>
              <w:spacing w:before="1"/>
              <w:jc w:val="left"/>
              <w:rPr>
                <w:b/>
                <w:sz w:val="11"/>
              </w:rPr>
            </w:pPr>
          </w:p>
          <w:p>
            <w:pPr>
              <w:pStyle w:val="TableParagraph"/>
              <w:spacing w:before="0"/>
              <w:ind w:left="165" w:right="40"/>
              <w:jc w:val="center"/>
              <w:rPr>
                <w:sz w:val="14"/>
              </w:rPr>
            </w:pPr>
            <w:r>
              <w:rPr>
                <w:w w:val="105"/>
                <w:sz w:val="14"/>
              </w:rPr>
              <w:t>273.8</w:t>
            </w:r>
          </w:p>
        </w:tc>
        <w:tc>
          <w:tcPr>
            <w:tcW w:w="623" w:type="dxa"/>
            <w:tcBorders>
              <w:top w:val="single" w:sz="4" w:space="0" w:color="000000"/>
              <w:left w:val="single" w:sz="3"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332.4</w:t>
            </w:r>
          </w:p>
        </w:tc>
        <w:tc>
          <w:tcPr>
            <w:tcW w:w="624" w:type="dxa"/>
            <w:tcBorders>
              <w:top w:val="single" w:sz="4"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428.5</w:t>
            </w:r>
          </w:p>
        </w:tc>
        <w:tc>
          <w:tcPr>
            <w:tcW w:w="624" w:type="dxa"/>
            <w:tcBorders>
              <w:top w:val="single" w:sz="4"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708.5</w:t>
            </w:r>
          </w:p>
        </w:tc>
        <w:tc>
          <w:tcPr>
            <w:tcW w:w="624" w:type="dxa"/>
            <w:tcBorders>
              <w:top w:val="single" w:sz="4"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57"/>
              <w:rPr>
                <w:sz w:val="14"/>
              </w:rPr>
            </w:pPr>
            <w:r>
              <w:rPr>
                <w:w w:val="105"/>
                <w:sz w:val="14"/>
              </w:rPr>
              <w:t>779.6</w:t>
            </w:r>
          </w:p>
        </w:tc>
        <w:tc>
          <w:tcPr>
            <w:tcW w:w="706" w:type="dxa"/>
            <w:tcBorders>
              <w:top w:val="single" w:sz="4"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1,239.1</w:t>
            </w:r>
          </w:p>
        </w:tc>
        <w:tc>
          <w:tcPr>
            <w:tcW w:w="703" w:type="dxa"/>
            <w:tcBorders>
              <w:top w:val="single" w:sz="4"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1,361.6</w:t>
            </w:r>
          </w:p>
        </w:tc>
        <w:tc>
          <w:tcPr>
            <w:tcW w:w="706" w:type="dxa"/>
            <w:tcBorders>
              <w:top w:val="single" w:sz="4"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1,710.9</w:t>
            </w:r>
          </w:p>
        </w:tc>
        <w:tc>
          <w:tcPr>
            <w:tcW w:w="706" w:type="dxa"/>
            <w:tcBorders>
              <w:top w:val="single" w:sz="4"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2,167.2</w:t>
            </w:r>
          </w:p>
        </w:tc>
        <w:tc>
          <w:tcPr>
            <w:tcW w:w="703" w:type="dxa"/>
            <w:tcBorders>
              <w:top w:val="single" w:sz="4"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2,279.9</w:t>
            </w:r>
          </w:p>
        </w:tc>
        <w:tc>
          <w:tcPr>
            <w:tcW w:w="706" w:type="dxa"/>
            <w:tcBorders>
              <w:top w:val="single" w:sz="4"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2,558.8</w:t>
            </w:r>
          </w:p>
        </w:tc>
        <w:tc>
          <w:tcPr>
            <w:tcW w:w="706" w:type="dxa"/>
            <w:tcBorders>
              <w:top w:val="single" w:sz="4"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1,645.6</w:t>
            </w:r>
          </w:p>
        </w:tc>
        <w:tc>
          <w:tcPr>
            <w:tcW w:w="773" w:type="dxa"/>
            <w:tcBorders>
              <w:top w:val="single" w:sz="4"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62"/>
              <w:rPr>
                <w:sz w:val="14"/>
              </w:rPr>
            </w:pPr>
            <w:r>
              <w:rPr>
                <w:w w:val="105"/>
                <w:sz w:val="14"/>
              </w:rPr>
              <w:t>1,072.2</w:t>
            </w:r>
          </w:p>
        </w:tc>
        <w:tc>
          <w:tcPr>
            <w:tcW w:w="571" w:type="dxa"/>
            <w:tcBorders>
              <w:top w:val="single" w:sz="4" w:space="0" w:color="000000"/>
              <w:left w:val="single" w:sz="4" w:space="0" w:color="000000"/>
              <w:bottom w:val="single" w:sz="3" w:space="0" w:color="000000"/>
              <w:right w:val="single" w:sz="4" w:space="0" w:color="000000"/>
            </w:tcBorders>
          </w:tcPr>
          <w:p>
            <w:pPr>
              <w:pStyle w:val="TableParagraph"/>
              <w:spacing w:before="1"/>
              <w:jc w:val="left"/>
              <w:rPr>
                <w:b/>
                <w:sz w:val="11"/>
              </w:rPr>
            </w:pPr>
          </w:p>
          <w:p>
            <w:pPr>
              <w:pStyle w:val="TableParagraph"/>
              <w:spacing w:before="0"/>
              <w:ind w:right="60"/>
              <w:rPr>
                <w:sz w:val="14"/>
              </w:rPr>
            </w:pPr>
            <w:r>
              <w:rPr>
                <w:w w:val="105"/>
                <w:sz w:val="14"/>
              </w:rPr>
              <w:t>9.1</w:t>
            </w:r>
          </w:p>
        </w:tc>
        <w:tc>
          <w:tcPr>
            <w:tcW w:w="562" w:type="dxa"/>
            <w:tcBorders>
              <w:top w:val="single" w:sz="4" w:space="0" w:color="000000"/>
              <w:left w:val="single" w:sz="4" w:space="0" w:color="000000"/>
              <w:bottom w:val="single" w:sz="3" w:space="0" w:color="000000"/>
              <w:right w:val="single" w:sz="8" w:space="0" w:color="000000"/>
            </w:tcBorders>
          </w:tcPr>
          <w:p>
            <w:pPr>
              <w:pStyle w:val="TableParagraph"/>
              <w:spacing w:before="1"/>
              <w:jc w:val="left"/>
              <w:rPr>
                <w:b/>
                <w:sz w:val="11"/>
              </w:rPr>
            </w:pPr>
          </w:p>
          <w:p>
            <w:pPr>
              <w:pStyle w:val="TableParagraph"/>
              <w:spacing w:before="0"/>
              <w:ind w:right="57"/>
              <w:rPr>
                <w:sz w:val="14"/>
              </w:rPr>
            </w:pPr>
            <w:r>
              <w:rPr>
                <w:w w:val="105"/>
                <w:sz w:val="14"/>
              </w:rPr>
              <w:t>21.2</w:t>
            </w:r>
          </w:p>
        </w:tc>
      </w:tr>
      <w:tr>
        <w:trPr>
          <w:trHeight w:val="301" w:hRule="exact"/>
        </w:trPr>
        <w:tc>
          <w:tcPr>
            <w:tcW w:w="962" w:type="dxa"/>
            <w:tcBorders>
              <w:top w:val="single" w:sz="3" w:space="0" w:color="000000"/>
              <w:left w:val="single" w:sz="8" w:space="0" w:color="000000"/>
              <w:bottom w:val="single" w:sz="4" w:space="0" w:color="000000"/>
              <w:right w:val="single" w:sz="8" w:space="0" w:color="000000"/>
            </w:tcBorders>
          </w:tcPr>
          <w:p>
            <w:pPr>
              <w:pStyle w:val="TableParagraph"/>
              <w:spacing w:before="1"/>
              <w:jc w:val="left"/>
              <w:rPr>
                <w:b/>
                <w:sz w:val="11"/>
              </w:rPr>
            </w:pPr>
          </w:p>
          <w:p>
            <w:pPr>
              <w:pStyle w:val="TableParagraph"/>
              <w:spacing w:before="0"/>
              <w:ind w:left="57"/>
              <w:jc w:val="left"/>
              <w:rPr>
                <w:b/>
                <w:sz w:val="14"/>
              </w:rPr>
            </w:pPr>
            <w:r>
              <w:rPr>
                <w:b/>
                <w:w w:val="105"/>
                <w:sz w:val="14"/>
              </w:rPr>
              <w:t>Noviembre</w:t>
            </w:r>
          </w:p>
        </w:tc>
        <w:tc>
          <w:tcPr>
            <w:tcW w:w="624" w:type="dxa"/>
            <w:tcBorders>
              <w:top w:val="single" w:sz="3" w:space="0" w:color="000000"/>
              <w:left w:val="single" w:sz="8"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57"/>
              <w:rPr>
                <w:sz w:val="14"/>
              </w:rPr>
            </w:pPr>
            <w:r>
              <w:rPr>
                <w:w w:val="105"/>
                <w:sz w:val="14"/>
              </w:rPr>
              <w:t>132.5</w:t>
            </w:r>
          </w:p>
        </w:tc>
        <w:tc>
          <w:tcPr>
            <w:tcW w:w="626" w:type="dxa"/>
            <w:tcBorders>
              <w:top w:val="single" w:sz="3"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167.6</w:t>
            </w:r>
          </w:p>
        </w:tc>
        <w:tc>
          <w:tcPr>
            <w:tcW w:w="624" w:type="dxa"/>
            <w:tcBorders>
              <w:top w:val="single" w:sz="3"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185.6</w:t>
            </w:r>
          </w:p>
        </w:tc>
        <w:tc>
          <w:tcPr>
            <w:tcW w:w="623" w:type="dxa"/>
            <w:tcBorders>
              <w:top w:val="single" w:sz="3" w:space="0" w:color="000000"/>
              <w:left w:val="single" w:sz="4" w:space="0" w:color="000000"/>
              <w:bottom w:val="single" w:sz="4" w:space="0" w:color="000000"/>
              <w:right w:val="single" w:sz="3" w:space="0" w:color="000000"/>
            </w:tcBorders>
          </w:tcPr>
          <w:p>
            <w:pPr>
              <w:pStyle w:val="TableParagraph"/>
              <w:spacing w:before="3"/>
              <w:jc w:val="left"/>
              <w:rPr>
                <w:b/>
                <w:sz w:val="11"/>
              </w:rPr>
            </w:pPr>
          </w:p>
          <w:p>
            <w:pPr>
              <w:pStyle w:val="TableParagraph"/>
              <w:spacing w:before="0"/>
              <w:ind w:left="165" w:right="40"/>
              <w:jc w:val="center"/>
              <w:rPr>
                <w:sz w:val="14"/>
              </w:rPr>
            </w:pPr>
            <w:r>
              <w:rPr>
                <w:w w:val="105"/>
                <w:sz w:val="14"/>
              </w:rPr>
              <w:t>263.8</w:t>
            </w:r>
          </w:p>
        </w:tc>
        <w:tc>
          <w:tcPr>
            <w:tcW w:w="623" w:type="dxa"/>
            <w:tcBorders>
              <w:top w:val="single" w:sz="3" w:space="0" w:color="000000"/>
              <w:left w:val="single" w:sz="3"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57"/>
              <w:rPr>
                <w:sz w:val="14"/>
              </w:rPr>
            </w:pPr>
            <w:r>
              <w:rPr>
                <w:w w:val="105"/>
                <w:sz w:val="14"/>
              </w:rPr>
              <w:t>340.3</w:t>
            </w:r>
          </w:p>
        </w:tc>
        <w:tc>
          <w:tcPr>
            <w:tcW w:w="624" w:type="dxa"/>
            <w:tcBorders>
              <w:top w:val="single" w:sz="3"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57"/>
              <w:rPr>
                <w:sz w:val="14"/>
              </w:rPr>
            </w:pPr>
            <w:r>
              <w:rPr>
                <w:w w:val="105"/>
                <w:sz w:val="14"/>
              </w:rPr>
              <w:t>431.4</w:t>
            </w:r>
          </w:p>
        </w:tc>
        <w:tc>
          <w:tcPr>
            <w:tcW w:w="624" w:type="dxa"/>
            <w:tcBorders>
              <w:top w:val="single" w:sz="3"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57"/>
              <w:rPr>
                <w:sz w:val="14"/>
              </w:rPr>
            </w:pPr>
            <w:r>
              <w:rPr>
                <w:w w:val="105"/>
                <w:sz w:val="14"/>
              </w:rPr>
              <w:t>619.3</w:t>
            </w:r>
          </w:p>
        </w:tc>
        <w:tc>
          <w:tcPr>
            <w:tcW w:w="624" w:type="dxa"/>
            <w:tcBorders>
              <w:top w:val="single" w:sz="3"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57"/>
              <w:rPr>
                <w:sz w:val="14"/>
              </w:rPr>
            </w:pPr>
            <w:r>
              <w:rPr>
                <w:w w:val="105"/>
                <w:sz w:val="14"/>
              </w:rPr>
              <w:t>675.2</w:t>
            </w:r>
          </w:p>
        </w:tc>
        <w:tc>
          <w:tcPr>
            <w:tcW w:w="706" w:type="dxa"/>
            <w:tcBorders>
              <w:top w:val="single" w:sz="3"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2"/>
              <w:rPr>
                <w:sz w:val="14"/>
              </w:rPr>
            </w:pPr>
            <w:r>
              <w:rPr>
                <w:w w:val="105"/>
                <w:sz w:val="14"/>
              </w:rPr>
              <w:t>1,078.2</w:t>
            </w:r>
          </w:p>
        </w:tc>
        <w:tc>
          <w:tcPr>
            <w:tcW w:w="703" w:type="dxa"/>
            <w:tcBorders>
              <w:top w:val="single" w:sz="3"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1,346.8</w:t>
            </w:r>
          </w:p>
        </w:tc>
        <w:tc>
          <w:tcPr>
            <w:tcW w:w="706" w:type="dxa"/>
            <w:tcBorders>
              <w:top w:val="single" w:sz="3"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2"/>
              <w:rPr>
                <w:sz w:val="14"/>
              </w:rPr>
            </w:pPr>
            <w:r>
              <w:rPr>
                <w:w w:val="105"/>
                <w:sz w:val="14"/>
              </w:rPr>
              <w:t>1,736.0</w:t>
            </w:r>
          </w:p>
        </w:tc>
        <w:tc>
          <w:tcPr>
            <w:tcW w:w="706" w:type="dxa"/>
            <w:tcBorders>
              <w:top w:val="single" w:sz="3"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2"/>
              <w:rPr>
                <w:sz w:val="14"/>
              </w:rPr>
            </w:pPr>
            <w:r>
              <w:rPr>
                <w:w w:val="105"/>
                <w:sz w:val="14"/>
              </w:rPr>
              <w:t>1,835.6</w:t>
            </w:r>
          </w:p>
        </w:tc>
        <w:tc>
          <w:tcPr>
            <w:tcW w:w="703" w:type="dxa"/>
            <w:tcBorders>
              <w:top w:val="single" w:sz="3"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1,876.7</w:t>
            </w:r>
          </w:p>
        </w:tc>
        <w:tc>
          <w:tcPr>
            <w:tcW w:w="706" w:type="dxa"/>
            <w:tcBorders>
              <w:top w:val="single" w:sz="3"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2"/>
              <w:rPr>
                <w:sz w:val="14"/>
              </w:rPr>
            </w:pPr>
            <w:r>
              <w:rPr>
                <w:w w:val="105"/>
                <w:sz w:val="14"/>
              </w:rPr>
              <w:t>1,681.6</w:t>
            </w:r>
          </w:p>
        </w:tc>
        <w:tc>
          <w:tcPr>
            <w:tcW w:w="706" w:type="dxa"/>
            <w:tcBorders>
              <w:top w:val="single" w:sz="3"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2"/>
              <w:rPr>
                <w:sz w:val="14"/>
              </w:rPr>
            </w:pPr>
            <w:r>
              <w:rPr>
                <w:w w:val="105"/>
                <w:sz w:val="14"/>
              </w:rPr>
              <w:t>1,448.6</w:t>
            </w:r>
          </w:p>
        </w:tc>
        <w:tc>
          <w:tcPr>
            <w:tcW w:w="773" w:type="dxa"/>
            <w:tcBorders>
              <w:top w:val="single" w:sz="3"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921.3</w:t>
            </w:r>
          </w:p>
        </w:tc>
        <w:tc>
          <w:tcPr>
            <w:tcW w:w="571" w:type="dxa"/>
            <w:tcBorders>
              <w:top w:val="single" w:sz="3" w:space="0" w:color="000000"/>
              <w:left w:val="single" w:sz="4" w:space="0" w:color="000000"/>
              <w:bottom w:val="single" w:sz="4" w:space="0" w:color="000000"/>
              <w:right w:val="single" w:sz="4" w:space="0" w:color="000000"/>
            </w:tcBorders>
          </w:tcPr>
          <w:p>
            <w:pPr>
              <w:pStyle w:val="TableParagraph"/>
              <w:spacing w:before="3"/>
              <w:jc w:val="left"/>
              <w:rPr>
                <w:b/>
                <w:sz w:val="11"/>
              </w:rPr>
            </w:pPr>
          </w:p>
          <w:p>
            <w:pPr>
              <w:pStyle w:val="TableParagraph"/>
              <w:spacing w:before="0"/>
              <w:ind w:right="60"/>
              <w:rPr>
                <w:sz w:val="14"/>
              </w:rPr>
            </w:pPr>
            <w:r>
              <w:rPr>
                <w:w w:val="105"/>
                <w:sz w:val="14"/>
              </w:rPr>
              <w:t>7.8</w:t>
            </w:r>
          </w:p>
        </w:tc>
        <w:tc>
          <w:tcPr>
            <w:tcW w:w="562" w:type="dxa"/>
            <w:tcBorders>
              <w:top w:val="single" w:sz="3" w:space="0" w:color="000000"/>
              <w:left w:val="single" w:sz="4" w:space="0" w:color="000000"/>
              <w:bottom w:val="single" w:sz="4" w:space="0" w:color="000000"/>
              <w:right w:val="single" w:sz="8" w:space="0" w:color="000000"/>
            </w:tcBorders>
          </w:tcPr>
          <w:p>
            <w:pPr>
              <w:pStyle w:val="TableParagraph"/>
              <w:spacing w:before="3"/>
              <w:jc w:val="left"/>
              <w:rPr>
                <w:b/>
                <w:sz w:val="11"/>
              </w:rPr>
            </w:pPr>
          </w:p>
          <w:p>
            <w:pPr>
              <w:pStyle w:val="TableParagraph"/>
              <w:spacing w:before="0"/>
              <w:ind w:right="57"/>
              <w:rPr>
                <w:sz w:val="14"/>
              </w:rPr>
            </w:pPr>
            <w:r>
              <w:rPr>
                <w:w w:val="105"/>
                <w:sz w:val="14"/>
              </w:rPr>
              <w:t>19.9</w:t>
            </w:r>
          </w:p>
        </w:tc>
      </w:tr>
      <w:tr>
        <w:trPr>
          <w:trHeight w:val="322" w:hRule="exact"/>
        </w:trPr>
        <w:tc>
          <w:tcPr>
            <w:tcW w:w="962" w:type="dxa"/>
            <w:tcBorders>
              <w:top w:val="single" w:sz="4" w:space="0" w:color="000000"/>
              <w:left w:val="single" w:sz="8" w:space="0" w:color="000000"/>
              <w:bottom w:val="single" w:sz="8" w:space="0" w:color="000000"/>
              <w:right w:val="single" w:sz="8" w:space="0" w:color="000000"/>
            </w:tcBorders>
          </w:tcPr>
          <w:p>
            <w:pPr>
              <w:pStyle w:val="TableParagraph"/>
              <w:spacing w:before="1"/>
              <w:jc w:val="left"/>
              <w:rPr>
                <w:b/>
                <w:sz w:val="12"/>
              </w:rPr>
            </w:pPr>
          </w:p>
          <w:p>
            <w:pPr>
              <w:pStyle w:val="TableParagraph"/>
              <w:spacing w:before="1"/>
              <w:ind w:left="57"/>
              <w:jc w:val="left"/>
              <w:rPr>
                <w:b/>
                <w:sz w:val="14"/>
              </w:rPr>
            </w:pPr>
            <w:r>
              <w:rPr>
                <w:b/>
                <w:w w:val="105"/>
                <w:sz w:val="14"/>
              </w:rPr>
              <w:t>Diciembre</w:t>
            </w:r>
          </w:p>
        </w:tc>
        <w:tc>
          <w:tcPr>
            <w:tcW w:w="624" w:type="dxa"/>
            <w:tcBorders>
              <w:top w:val="single" w:sz="4" w:space="0" w:color="000000"/>
              <w:left w:val="single" w:sz="8" w:space="0" w:color="000000"/>
              <w:bottom w:val="single" w:sz="8" w:space="0" w:color="000000"/>
              <w:right w:val="single" w:sz="4" w:space="0" w:color="000000"/>
            </w:tcBorders>
          </w:tcPr>
          <w:p>
            <w:pPr>
              <w:pStyle w:val="TableParagraph"/>
              <w:spacing w:before="4"/>
              <w:jc w:val="left"/>
              <w:rPr>
                <w:b/>
                <w:sz w:val="12"/>
              </w:rPr>
            </w:pPr>
          </w:p>
          <w:p>
            <w:pPr>
              <w:pStyle w:val="TableParagraph"/>
              <w:spacing w:before="0"/>
              <w:ind w:right="57"/>
              <w:rPr>
                <w:sz w:val="14"/>
              </w:rPr>
            </w:pPr>
            <w:r>
              <w:rPr>
                <w:w w:val="105"/>
                <w:sz w:val="14"/>
              </w:rPr>
              <w:t>128.0</w:t>
            </w:r>
          </w:p>
        </w:tc>
        <w:tc>
          <w:tcPr>
            <w:tcW w:w="626" w:type="dxa"/>
            <w:tcBorders>
              <w:top w:val="single" w:sz="4" w:space="0" w:color="000000"/>
              <w:left w:val="single" w:sz="4" w:space="0" w:color="000000"/>
              <w:bottom w:val="single" w:sz="8" w:space="0" w:color="000000"/>
              <w:right w:val="single" w:sz="4" w:space="0" w:color="000000"/>
            </w:tcBorders>
          </w:tcPr>
          <w:p>
            <w:pPr>
              <w:pStyle w:val="TableParagraph"/>
              <w:spacing w:before="4"/>
              <w:jc w:val="left"/>
              <w:rPr>
                <w:b/>
                <w:sz w:val="12"/>
              </w:rPr>
            </w:pPr>
          </w:p>
          <w:p>
            <w:pPr>
              <w:pStyle w:val="TableParagraph"/>
              <w:spacing w:before="0"/>
              <w:ind w:right="60"/>
              <w:rPr>
                <w:sz w:val="14"/>
              </w:rPr>
            </w:pPr>
            <w:r>
              <w:rPr>
                <w:w w:val="105"/>
                <w:sz w:val="14"/>
              </w:rPr>
              <w:t>171.5</w:t>
            </w:r>
          </w:p>
        </w:tc>
        <w:tc>
          <w:tcPr>
            <w:tcW w:w="624" w:type="dxa"/>
            <w:tcBorders>
              <w:top w:val="single" w:sz="4" w:space="0" w:color="000000"/>
              <w:left w:val="single" w:sz="4" w:space="0" w:color="000000"/>
              <w:bottom w:val="single" w:sz="8" w:space="0" w:color="000000"/>
              <w:right w:val="single" w:sz="4" w:space="0" w:color="000000"/>
            </w:tcBorders>
          </w:tcPr>
          <w:p>
            <w:pPr>
              <w:pStyle w:val="TableParagraph"/>
              <w:spacing w:before="4"/>
              <w:jc w:val="left"/>
              <w:rPr>
                <w:b/>
                <w:sz w:val="12"/>
              </w:rPr>
            </w:pPr>
          </w:p>
          <w:p>
            <w:pPr>
              <w:pStyle w:val="TableParagraph"/>
              <w:spacing w:before="0"/>
              <w:ind w:right="60"/>
              <w:rPr>
                <w:sz w:val="14"/>
              </w:rPr>
            </w:pPr>
            <w:r>
              <w:rPr>
                <w:w w:val="105"/>
                <w:sz w:val="14"/>
              </w:rPr>
              <w:t>196.5</w:t>
            </w:r>
          </w:p>
        </w:tc>
        <w:tc>
          <w:tcPr>
            <w:tcW w:w="623" w:type="dxa"/>
            <w:tcBorders>
              <w:top w:val="single" w:sz="4" w:space="0" w:color="000000"/>
              <w:left w:val="single" w:sz="4" w:space="0" w:color="000000"/>
              <w:bottom w:val="single" w:sz="8" w:space="0" w:color="000000"/>
              <w:right w:val="single" w:sz="3" w:space="0" w:color="000000"/>
            </w:tcBorders>
          </w:tcPr>
          <w:p>
            <w:pPr>
              <w:pStyle w:val="TableParagraph"/>
              <w:spacing w:before="4"/>
              <w:jc w:val="left"/>
              <w:rPr>
                <w:b/>
                <w:sz w:val="12"/>
              </w:rPr>
            </w:pPr>
          </w:p>
          <w:p>
            <w:pPr>
              <w:pStyle w:val="TableParagraph"/>
              <w:spacing w:before="0"/>
              <w:ind w:left="165" w:right="40"/>
              <w:jc w:val="center"/>
              <w:rPr>
                <w:sz w:val="14"/>
              </w:rPr>
            </w:pPr>
            <w:r>
              <w:rPr>
                <w:w w:val="105"/>
                <w:sz w:val="14"/>
              </w:rPr>
              <w:t>359.5</w:t>
            </w:r>
          </w:p>
        </w:tc>
        <w:tc>
          <w:tcPr>
            <w:tcW w:w="623" w:type="dxa"/>
            <w:tcBorders>
              <w:top w:val="single" w:sz="4" w:space="0" w:color="000000"/>
              <w:left w:val="single" w:sz="3" w:space="0" w:color="000000"/>
              <w:bottom w:val="single" w:sz="8" w:space="0" w:color="000000"/>
              <w:right w:val="single" w:sz="4" w:space="0" w:color="000000"/>
            </w:tcBorders>
          </w:tcPr>
          <w:p>
            <w:pPr>
              <w:pStyle w:val="TableParagraph"/>
              <w:spacing w:before="4"/>
              <w:jc w:val="left"/>
              <w:rPr>
                <w:b/>
                <w:sz w:val="12"/>
              </w:rPr>
            </w:pPr>
          </w:p>
          <w:p>
            <w:pPr>
              <w:pStyle w:val="TableParagraph"/>
              <w:spacing w:before="0"/>
              <w:ind w:right="57"/>
              <w:rPr>
                <w:sz w:val="14"/>
              </w:rPr>
            </w:pPr>
            <w:r>
              <w:rPr>
                <w:w w:val="105"/>
                <w:sz w:val="14"/>
              </w:rPr>
              <w:t>367.0</w:t>
            </w:r>
          </w:p>
        </w:tc>
        <w:tc>
          <w:tcPr>
            <w:tcW w:w="624" w:type="dxa"/>
            <w:tcBorders>
              <w:top w:val="single" w:sz="4" w:space="0" w:color="000000"/>
              <w:left w:val="single" w:sz="4" w:space="0" w:color="000000"/>
              <w:bottom w:val="single" w:sz="8" w:space="0" w:color="000000"/>
              <w:right w:val="single" w:sz="4" w:space="0" w:color="000000"/>
            </w:tcBorders>
          </w:tcPr>
          <w:p>
            <w:pPr>
              <w:pStyle w:val="TableParagraph"/>
              <w:spacing w:before="4"/>
              <w:jc w:val="left"/>
              <w:rPr>
                <w:b/>
                <w:sz w:val="12"/>
              </w:rPr>
            </w:pPr>
          </w:p>
          <w:p>
            <w:pPr>
              <w:pStyle w:val="TableParagraph"/>
              <w:spacing w:before="0"/>
              <w:ind w:right="57"/>
              <w:rPr>
                <w:sz w:val="14"/>
              </w:rPr>
            </w:pPr>
            <w:r>
              <w:rPr>
                <w:w w:val="105"/>
                <w:sz w:val="14"/>
              </w:rPr>
              <w:t>458.0</w:t>
            </w:r>
          </w:p>
        </w:tc>
        <w:tc>
          <w:tcPr>
            <w:tcW w:w="624" w:type="dxa"/>
            <w:tcBorders>
              <w:top w:val="single" w:sz="4" w:space="0" w:color="000000"/>
              <w:left w:val="single" w:sz="4" w:space="0" w:color="000000"/>
              <w:bottom w:val="single" w:sz="8" w:space="0" w:color="000000"/>
              <w:right w:val="single" w:sz="4" w:space="0" w:color="000000"/>
            </w:tcBorders>
          </w:tcPr>
          <w:p>
            <w:pPr>
              <w:pStyle w:val="TableParagraph"/>
              <w:spacing w:before="4"/>
              <w:jc w:val="left"/>
              <w:rPr>
                <w:b/>
                <w:sz w:val="12"/>
              </w:rPr>
            </w:pPr>
          </w:p>
          <w:p>
            <w:pPr>
              <w:pStyle w:val="TableParagraph"/>
              <w:spacing w:before="0"/>
              <w:ind w:right="57"/>
              <w:rPr>
                <w:sz w:val="14"/>
              </w:rPr>
            </w:pPr>
            <w:r>
              <w:rPr>
                <w:w w:val="105"/>
                <w:sz w:val="14"/>
              </w:rPr>
              <w:t>602.5</w:t>
            </w:r>
          </w:p>
        </w:tc>
        <w:tc>
          <w:tcPr>
            <w:tcW w:w="624" w:type="dxa"/>
            <w:tcBorders>
              <w:top w:val="single" w:sz="4" w:space="0" w:color="000000"/>
              <w:left w:val="single" w:sz="4" w:space="0" w:color="000000"/>
              <w:bottom w:val="single" w:sz="8" w:space="0" w:color="000000"/>
              <w:right w:val="single" w:sz="4" w:space="0" w:color="000000"/>
            </w:tcBorders>
          </w:tcPr>
          <w:p>
            <w:pPr>
              <w:pStyle w:val="TableParagraph"/>
              <w:spacing w:before="4"/>
              <w:jc w:val="left"/>
              <w:rPr>
                <w:b/>
                <w:sz w:val="12"/>
              </w:rPr>
            </w:pPr>
          </w:p>
          <w:p>
            <w:pPr>
              <w:pStyle w:val="TableParagraph"/>
              <w:spacing w:before="0"/>
              <w:ind w:right="57"/>
              <w:rPr>
                <w:sz w:val="14"/>
              </w:rPr>
            </w:pPr>
            <w:r>
              <w:rPr>
                <w:w w:val="105"/>
                <w:sz w:val="14"/>
              </w:rPr>
              <w:t>772.7</w:t>
            </w:r>
          </w:p>
        </w:tc>
        <w:tc>
          <w:tcPr>
            <w:tcW w:w="706" w:type="dxa"/>
            <w:tcBorders>
              <w:top w:val="single" w:sz="4" w:space="0" w:color="000000"/>
              <w:left w:val="single" w:sz="4" w:space="0" w:color="000000"/>
              <w:bottom w:val="single" w:sz="8" w:space="0" w:color="000000"/>
              <w:right w:val="single" w:sz="4" w:space="0" w:color="000000"/>
            </w:tcBorders>
          </w:tcPr>
          <w:p>
            <w:pPr>
              <w:pStyle w:val="TableParagraph"/>
              <w:spacing w:before="4"/>
              <w:jc w:val="left"/>
              <w:rPr>
                <w:b/>
                <w:sz w:val="12"/>
              </w:rPr>
            </w:pPr>
          </w:p>
          <w:p>
            <w:pPr>
              <w:pStyle w:val="TableParagraph"/>
              <w:spacing w:before="0"/>
              <w:ind w:right="62"/>
              <w:rPr>
                <w:sz w:val="14"/>
              </w:rPr>
            </w:pPr>
            <w:r>
              <w:rPr>
                <w:w w:val="105"/>
                <w:sz w:val="14"/>
              </w:rPr>
              <w:t>1,134.7</w:t>
            </w:r>
          </w:p>
        </w:tc>
        <w:tc>
          <w:tcPr>
            <w:tcW w:w="703" w:type="dxa"/>
            <w:tcBorders>
              <w:top w:val="single" w:sz="4" w:space="0" w:color="000000"/>
              <w:left w:val="single" w:sz="4" w:space="0" w:color="000000"/>
              <w:bottom w:val="single" w:sz="8" w:space="0" w:color="000000"/>
              <w:right w:val="single" w:sz="4" w:space="0" w:color="000000"/>
            </w:tcBorders>
          </w:tcPr>
          <w:p>
            <w:pPr>
              <w:pStyle w:val="TableParagraph"/>
              <w:spacing w:before="4"/>
              <w:jc w:val="left"/>
              <w:rPr>
                <w:b/>
                <w:sz w:val="12"/>
              </w:rPr>
            </w:pPr>
          </w:p>
          <w:p>
            <w:pPr>
              <w:pStyle w:val="TableParagraph"/>
              <w:spacing w:before="0"/>
              <w:ind w:right="60"/>
              <w:rPr>
                <w:sz w:val="14"/>
              </w:rPr>
            </w:pPr>
            <w:r>
              <w:rPr>
                <w:w w:val="105"/>
                <w:sz w:val="14"/>
              </w:rPr>
              <w:t>1,324.9</w:t>
            </w:r>
          </w:p>
        </w:tc>
        <w:tc>
          <w:tcPr>
            <w:tcW w:w="706" w:type="dxa"/>
            <w:tcBorders>
              <w:top w:val="single" w:sz="4" w:space="0" w:color="000000"/>
              <w:left w:val="single" w:sz="4" w:space="0" w:color="000000"/>
              <w:bottom w:val="single" w:sz="8" w:space="0" w:color="000000"/>
              <w:right w:val="single" w:sz="4" w:space="0" w:color="000000"/>
            </w:tcBorders>
          </w:tcPr>
          <w:p>
            <w:pPr>
              <w:pStyle w:val="TableParagraph"/>
              <w:spacing w:before="4"/>
              <w:jc w:val="left"/>
              <w:rPr>
                <w:b/>
                <w:sz w:val="12"/>
              </w:rPr>
            </w:pPr>
          </w:p>
          <w:p>
            <w:pPr>
              <w:pStyle w:val="TableParagraph"/>
              <w:spacing w:before="0"/>
              <w:ind w:right="62"/>
              <w:rPr>
                <w:sz w:val="14"/>
              </w:rPr>
            </w:pPr>
            <w:r>
              <w:rPr>
                <w:w w:val="105"/>
                <w:sz w:val="14"/>
              </w:rPr>
              <w:t>1,688.7</w:t>
            </w:r>
          </w:p>
        </w:tc>
        <w:tc>
          <w:tcPr>
            <w:tcW w:w="706" w:type="dxa"/>
            <w:tcBorders>
              <w:top w:val="single" w:sz="4" w:space="0" w:color="000000"/>
              <w:left w:val="single" w:sz="4" w:space="0" w:color="000000"/>
              <w:bottom w:val="single" w:sz="8" w:space="0" w:color="000000"/>
              <w:right w:val="single" w:sz="4" w:space="0" w:color="000000"/>
            </w:tcBorders>
          </w:tcPr>
          <w:p>
            <w:pPr>
              <w:pStyle w:val="TableParagraph"/>
              <w:spacing w:before="4"/>
              <w:jc w:val="left"/>
              <w:rPr>
                <w:b/>
                <w:sz w:val="12"/>
              </w:rPr>
            </w:pPr>
          </w:p>
          <w:p>
            <w:pPr>
              <w:pStyle w:val="TableParagraph"/>
              <w:spacing w:before="0"/>
              <w:ind w:right="62"/>
              <w:rPr>
                <w:sz w:val="14"/>
              </w:rPr>
            </w:pPr>
            <w:r>
              <w:rPr>
                <w:w w:val="105"/>
                <w:sz w:val="14"/>
              </w:rPr>
              <w:t>1,776.3</w:t>
            </w:r>
          </w:p>
        </w:tc>
        <w:tc>
          <w:tcPr>
            <w:tcW w:w="703" w:type="dxa"/>
            <w:tcBorders>
              <w:top w:val="single" w:sz="4" w:space="0" w:color="000000"/>
              <w:left w:val="single" w:sz="4" w:space="0" w:color="000000"/>
              <w:bottom w:val="single" w:sz="8" w:space="0" w:color="000000"/>
              <w:right w:val="single" w:sz="4" w:space="0" w:color="000000"/>
            </w:tcBorders>
          </w:tcPr>
          <w:p>
            <w:pPr>
              <w:pStyle w:val="TableParagraph"/>
              <w:spacing w:before="4"/>
              <w:jc w:val="left"/>
              <w:rPr>
                <w:b/>
                <w:sz w:val="12"/>
              </w:rPr>
            </w:pPr>
          </w:p>
          <w:p>
            <w:pPr>
              <w:pStyle w:val="TableParagraph"/>
              <w:spacing w:before="0"/>
              <w:ind w:right="60"/>
              <w:rPr>
                <w:sz w:val="14"/>
              </w:rPr>
            </w:pPr>
            <w:r>
              <w:rPr>
                <w:w w:val="105"/>
                <w:sz w:val="14"/>
              </w:rPr>
              <w:t>1,847.4</w:t>
            </w:r>
          </w:p>
        </w:tc>
        <w:tc>
          <w:tcPr>
            <w:tcW w:w="706" w:type="dxa"/>
            <w:tcBorders>
              <w:top w:val="single" w:sz="4" w:space="0" w:color="000000"/>
              <w:left w:val="single" w:sz="4" w:space="0" w:color="000000"/>
              <w:bottom w:val="single" w:sz="8" w:space="0" w:color="000000"/>
              <w:right w:val="single" w:sz="4" w:space="0" w:color="000000"/>
            </w:tcBorders>
          </w:tcPr>
          <w:p>
            <w:pPr>
              <w:pStyle w:val="TableParagraph"/>
              <w:spacing w:before="4"/>
              <w:jc w:val="left"/>
              <w:rPr>
                <w:b/>
                <w:sz w:val="12"/>
              </w:rPr>
            </w:pPr>
          </w:p>
          <w:p>
            <w:pPr>
              <w:pStyle w:val="TableParagraph"/>
              <w:spacing w:before="0"/>
              <w:ind w:right="62"/>
              <w:rPr>
                <w:sz w:val="14"/>
              </w:rPr>
            </w:pPr>
            <w:r>
              <w:rPr>
                <w:w w:val="105"/>
                <w:sz w:val="14"/>
              </w:rPr>
              <w:t>1,667.3</w:t>
            </w:r>
          </w:p>
        </w:tc>
        <w:tc>
          <w:tcPr>
            <w:tcW w:w="706" w:type="dxa"/>
            <w:tcBorders>
              <w:top w:val="single" w:sz="4" w:space="0" w:color="000000"/>
              <w:left w:val="single" w:sz="4" w:space="0" w:color="000000"/>
              <w:bottom w:val="single" w:sz="8" w:space="0" w:color="000000"/>
              <w:right w:val="single" w:sz="4" w:space="0" w:color="000000"/>
            </w:tcBorders>
          </w:tcPr>
          <w:p>
            <w:pPr>
              <w:pStyle w:val="TableParagraph"/>
              <w:spacing w:before="4"/>
              <w:jc w:val="left"/>
              <w:rPr>
                <w:b/>
                <w:sz w:val="12"/>
              </w:rPr>
            </w:pPr>
          </w:p>
          <w:p>
            <w:pPr>
              <w:pStyle w:val="TableParagraph"/>
              <w:spacing w:before="0"/>
              <w:ind w:right="62"/>
              <w:rPr>
                <w:sz w:val="14"/>
              </w:rPr>
            </w:pPr>
            <w:r>
              <w:rPr>
                <w:w w:val="105"/>
                <w:sz w:val="14"/>
              </w:rPr>
              <w:t>1,477.1</w:t>
            </w:r>
          </w:p>
        </w:tc>
        <w:tc>
          <w:tcPr>
            <w:tcW w:w="773" w:type="dxa"/>
            <w:tcBorders>
              <w:top w:val="single" w:sz="4" w:space="0" w:color="000000"/>
              <w:left w:val="single" w:sz="4" w:space="0" w:color="000000"/>
              <w:bottom w:val="single" w:sz="8" w:space="0" w:color="000000"/>
              <w:right w:val="single" w:sz="4" w:space="0" w:color="000000"/>
            </w:tcBorders>
          </w:tcPr>
          <w:p>
            <w:pPr>
              <w:pStyle w:val="TableParagraph"/>
              <w:spacing w:before="4"/>
              <w:jc w:val="left"/>
              <w:rPr>
                <w:b/>
                <w:sz w:val="12"/>
              </w:rPr>
            </w:pPr>
          </w:p>
          <w:p>
            <w:pPr>
              <w:pStyle w:val="TableParagraph"/>
              <w:spacing w:before="0"/>
              <w:ind w:right="60"/>
              <w:rPr>
                <w:sz w:val="14"/>
              </w:rPr>
            </w:pPr>
            <w:r>
              <w:rPr>
                <w:w w:val="105"/>
                <w:sz w:val="14"/>
              </w:rPr>
              <w:t>931.5</w:t>
            </w:r>
          </w:p>
        </w:tc>
        <w:tc>
          <w:tcPr>
            <w:tcW w:w="571" w:type="dxa"/>
            <w:tcBorders>
              <w:top w:val="single" w:sz="4" w:space="0" w:color="000000"/>
              <w:left w:val="single" w:sz="4" w:space="0" w:color="000000"/>
              <w:bottom w:val="single" w:sz="8" w:space="0" w:color="000000"/>
              <w:right w:val="single" w:sz="4" w:space="0" w:color="000000"/>
            </w:tcBorders>
          </w:tcPr>
          <w:p>
            <w:pPr>
              <w:pStyle w:val="TableParagraph"/>
              <w:spacing w:before="4"/>
              <w:jc w:val="left"/>
              <w:rPr>
                <w:b/>
                <w:sz w:val="12"/>
              </w:rPr>
            </w:pPr>
          </w:p>
          <w:p>
            <w:pPr>
              <w:pStyle w:val="TableParagraph"/>
              <w:spacing w:before="0"/>
              <w:ind w:right="60"/>
              <w:rPr>
                <w:sz w:val="14"/>
              </w:rPr>
            </w:pPr>
            <w:r>
              <w:rPr>
                <w:w w:val="105"/>
                <w:sz w:val="14"/>
              </w:rPr>
              <w:t>7.9</w:t>
            </w:r>
          </w:p>
        </w:tc>
        <w:tc>
          <w:tcPr>
            <w:tcW w:w="562" w:type="dxa"/>
            <w:tcBorders>
              <w:top w:val="single" w:sz="4" w:space="0" w:color="000000"/>
              <w:left w:val="single" w:sz="4" w:space="0" w:color="000000"/>
              <w:bottom w:val="single" w:sz="8" w:space="0" w:color="000000"/>
              <w:right w:val="single" w:sz="8" w:space="0" w:color="000000"/>
            </w:tcBorders>
          </w:tcPr>
          <w:p>
            <w:pPr>
              <w:pStyle w:val="TableParagraph"/>
              <w:spacing w:before="4"/>
              <w:jc w:val="left"/>
              <w:rPr>
                <w:b/>
                <w:sz w:val="12"/>
              </w:rPr>
            </w:pPr>
          </w:p>
          <w:p>
            <w:pPr>
              <w:pStyle w:val="TableParagraph"/>
              <w:spacing w:before="0"/>
              <w:ind w:right="57"/>
              <w:rPr>
                <w:sz w:val="14"/>
              </w:rPr>
            </w:pPr>
            <w:r>
              <w:rPr>
                <w:w w:val="105"/>
                <w:sz w:val="14"/>
              </w:rPr>
              <w:t>20.1</w:t>
            </w:r>
          </w:p>
        </w:tc>
      </w:tr>
    </w:tbl>
    <w:p>
      <w:pPr>
        <w:spacing w:before="2"/>
        <w:ind w:left="195" w:right="0" w:firstLine="0"/>
        <w:jc w:val="both"/>
        <w:rPr>
          <w:sz w:val="21"/>
        </w:rPr>
      </w:pPr>
      <w:r>
        <w:rPr>
          <w:sz w:val="21"/>
        </w:rPr>
        <w:t>Fuente: Elaboración propia con información estadística del Banco de México.   1995-2009.</w:t>
      </w:r>
    </w:p>
    <w:p>
      <w:pPr>
        <w:spacing w:before="3"/>
        <w:ind w:left="195" w:right="0" w:firstLine="0"/>
        <w:jc w:val="both"/>
        <w:rPr>
          <w:sz w:val="21"/>
        </w:rPr>
      </w:pPr>
      <w:r>
        <w:rPr>
          <w:sz w:val="21"/>
        </w:rPr>
        <w:t>TCMA: Tasa de crecimiento media anual. FAA: frecuencia absoluta acumulada. FRA: Frecuencia relativa    acumulada.</w:t>
      </w:r>
    </w:p>
    <w:p>
      <w:pPr>
        <w:pStyle w:val="BodyText"/>
        <w:rPr>
          <w:sz w:val="20"/>
        </w:rPr>
      </w:pPr>
    </w:p>
    <w:p>
      <w:pPr>
        <w:pStyle w:val="BodyText"/>
        <w:spacing w:line="364" w:lineRule="auto" w:before="179"/>
        <w:ind w:left="195" w:right="203"/>
        <w:jc w:val="both"/>
      </w:pPr>
      <w:r>
        <w:rPr/>
        <w:t>A través de ésta forma de envío, según la información estadística que presenta Banco de México indica que es el mes de mayo (9.4% del total nacional) de en donde se manda el mayor volumen de divisas y presentó una tasa de crecimiento media anual 19.5%, seguido de los meses de agosto y octubre con 9.1% con respectivamente con incrementos del 19.0% para el primer mes y del 21.2% para el segundo  mes.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8"/>
        </w:rPr>
      </w:pPr>
    </w:p>
    <w:p>
      <w:pPr>
        <w:spacing w:before="62"/>
        <w:ind w:left="0" w:right="204" w:firstLine="0"/>
        <w:jc w:val="right"/>
        <w:rPr>
          <w:rFonts w:ascii="Calibri"/>
          <w:sz w:val="21"/>
        </w:rPr>
      </w:pPr>
      <w:r>
        <w:rPr>
          <w:rFonts w:ascii="Calibri"/>
          <w:sz w:val="21"/>
        </w:rPr>
        <w:t>184</w:t>
      </w:r>
    </w:p>
    <w:p>
      <w:pPr>
        <w:spacing w:after="0"/>
        <w:jc w:val="right"/>
        <w:rPr>
          <w:rFonts w:ascii="Calibri"/>
          <w:sz w:val="21"/>
        </w:rPr>
        <w:sectPr>
          <w:footerReference w:type="default" r:id="rId274"/>
          <w:pgSz w:w="16840" w:h="11900" w:orient="landscape"/>
          <w:pgMar w:footer="0" w:header="0" w:top="1100" w:bottom="280" w:left="1900" w:right="1880"/>
        </w:sectPr>
      </w:pPr>
    </w:p>
    <w:p>
      <w:pPr>
        <w:pStyle w:val="BodyText"/>
        <w:rPr>
          <w:rFonts w:ascii="Calibri"/>
          <w:sz w:val="20"/>
        </w:rPr>
      </w:pPr>
    </w:p>
    <w:p>
      <w:pPr>
        <w:pStyle w:val="BodyText"/>
        <w:spacing w:before="4"/>
        <w:rPr>
          <w:rFonts w:ascii="Calibri"/>
          <w:sz w:val="16"/>
        </w:rPr>
      </w:pPr>
    </w:p>
    <w:p>
      <w:pPr>
        <w:pStyle w:val="Heading4"/>
        <w:numPr>
          <w:ilvl w:val="2"/>
          <w:numId w:val="12"/>
        </w:numPr>
        <w:tabs>
          <w:tab w:pos="830" w:val="left" w:leader="none"/>
        </w:tabs>
        <w:spacing w:line="240" w:lineRule="auto" w:before="73" w:after="0"/>
        <w:ind w:left="829" w:right="0" w:hanging="648"/>
        <w:jc w:val="both"/>
      </w:pPr>
      <w:r>
        <w:rPr/>
        <w:t>Distribución de las remesas familiares por entidades </w:t>
      </w:r>
      <w:r>
        <w:rPr>
          <w:spacing w:val="16"/>
        </w:rPr>
        <w:t> </w:t>
      </w:r>
      <w:r>
        <w:rPr/>
        <w:t>federativas</w:t>
      </w:r>
    </w:p>
    <w:p>
      <w:pPr>
        <w:pStyle w:val="BodyText"/>
        <w:rPr>
          <w:b/>
          <w:sz w:val="22"/>
        </w:rPr>
      </w:pPr>
    </w:p>
    <w:p>
      <w:pPr>
        <w:pStyle w:val="BodyText"/>
        <w:spacing w:before="1"/>
        <w:rPr>
          <w:b/>
          <w:sz w:val="25"/>
        </w:rPr>
      </w:pPr>
    </w:p>
    <w:p>
      <w:pPr>
        <w:pStyle w:val="BodyText"/>
        <w:spacing w:line="364" w:lineRule="auto"/>
        <w:ind w:left="181" w:right="185"/>
        <w:jc w:val="both"/>
      </w:pPr>
      <w:r>
        <w:rPr/>
        <w:t>Según la información estadística que reporta el Banco de México que es el organismo encargado de contabilizar las remesas familiares que entran a nuestro país, se tuvo en promedio 21,859.2 millones de dólares en el  periodo de 2003-2009 y, presentó una   tasa de crecimiento media anual de 5.9% (Cuadro</w:t>
      </w:r>
      <w:r>
        <w:rPr>
          <w:spacing w:val="58"/>
        </w:rPr>
        <w:t> </w:t>
      </w:r>
      <w:r>
        <w:rPr/>
        <w:t>5).</w:t>
      </w:r>
    </w:p>
    <w:p>
      <w:pPr>
        <w:pStyle w:val="BodyText"/>
        <w:rPr>
          <w:sz w:val="22"/>
        </w:rPr>
      </w:pPr>
    </w:p>
    <w:p>
      <w:pPr>
        <w:pStyle w:val="Heading4"/>
        <w:spacing w:line="244" w:lineRule="auto" w:before="148" w:after="4"/>
        <w:ind w:left="2303" w:right="334" w:hanging="1661"/>
      </w:pPr>
      <w:r>
        <w:rPr/>
        <w:t>Cuadro 5. Distribución de las remesas familiares en México por entidades federativas, 2003-2009 (Millones de</w:t>
      </w:r>
      <w:r>
        <w:rPr>
          <w:spacing w:val="50"/>
        </w:rPr>
        <w:t> </w:t>
      </w:r>
      <w:r>
        <w:rPr/>
        <w:t>dólares)</w:t>
      </w:r>
    </w:p>
    <w:tbl>
      <w:tblPr>
        <w:tblW w:w="0" w:type="auto"/>
        <w:jc w:val="left"/>
        <w:tblInd w:w="104"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382"/>
        <w:gridCol w:w="686"/>
        <w:gridCol w:w="684"/>
        <w:gridCol w:w="685"/>
        <w:gridCol w:w="688"/>
        <w:gridCol w:w="684"/>
        <w:gridCol w:w="684"/>
        <w:gridCol w:w="682"/>
        <w:gridCol w:w="685"/>
        <w:gridCol w:w="721"/>
        <w:gridCol w:w="547"/>
        <w:gridCol w:w="684"/>
        <w:gridCol w:w="432"/>
      </w:tblGrid>
      <w:tr>
        <w:trPr>
          <w:trHeight w:val="167" w:hRule="exact"/>
        </w:trPr>
        <w:tc>
          <w:tcPr>
            <w:tcW w:w="1382" w:type="dxa"/>
            <w:tcBorders>
              <w:left w:val="single" w:sz="8" w:space="0" w:color="000000"/>
              <w:bottom w:val="single" w:sz="8" w:space="0" w:color="000000"/>
              <w:right w:val="single" w:sz="8" w:space="0" w:color="000000"/>
            </w:tcBorders>
          </w:tcPr>
          <w:p>
            <w:pPr>
              <w:pStyle w:val="TableParagraph"/>
              <w:ind w:left="57"/>
              <w:jc w:val="left"/>
              <w:rPr>
                <w:b/>
                <w:sz w:val="12"/>
              </w:rPr>
            </w:pPr>
            <w:r>
              <w:rPr>
                <w:b/>
                <w:w w:val="105"/>
                <w:sz w:val="12"/>
              </w:rPr>
              <w:t>ESTADOS/AÑO</w:t>
            </w:r>
          </w:p>
        </w:tc>
        <w:tc>
          <w:tcPr>
            <w:tcW w:w="686" w:type="dxa"/>
            <w:tcBorders>
              <w:left w:val="single" w:sz="8" w:space="0" w:color="000000"/>
              <w:bottom w:val="single" w:sz="8" w:space="0" w:color="000000"/>
              <w:right w:val="single" w:sz="8" w:space="0" w:color="000000"/>
            </w:tcBorders>
          </w:tcPr>
          <w:p>
            <w:pPr>
              <w:pStyle w:val="TableParagraph"/>
              <w:ind w:left="194"/>
              <w:jc w:val="left"/>
              <w:rPr>
                <w:b/>
                <w:sz w:val="12"/>
              </w:rPr>
            </w:pPr>
            <w:r>
              <w:rPr>
                <w:b/>
                <w:w w:val="105"/>
                <w:sz w:val="12"/>
              </w:rPr>
              <w:t>2003</w:t>
            </w:r>
          </w:p>
        </w:tc>
        <w:tc>
          <w:tcPr>
            <w:tcW w:w="684" w:type="dxa"/>
            <w:tcBorders>
              <w:left w:val="single" w:sz="8" w:space="0" w:color="000000"/>
              <w:bottom w:val="single" w:sz="8" w:space="0" w:color="000000"/>
              <w:right w:val="single" w:sz="8" w:space="0" w:color="000000"/>
            </w:tcBorders>
          </w:tcPr>
          <w:p>
            <w:pPr>
              <w:pStyle w:val="TableParagraph"/>
              <w:ind w:left="191"/>
              <w:jc w:val="left"/>
              <w:rPr>
                <w:b/>
                <w:sz w:val="12"/>
              </w:rPr>
            </w:pPr>
            <w:r>
              <w:rPr>
                <w:b/>
                <w:w w:val="105"/>
                <w:sz w:val="12"/>
              </w:rPr>
              <w:t>2004</w:t>
            </w:r>
          </w:p>
        </w:tc>
        <w:tc>
          <w:tcPr>
            <w:tcW w:w="685" w:type="dxa"/>
            <w:tcBorders>
              <w:left w:val="single" w:sz="8" w:space="0" w:color="000000"/>
              <w:bottom w:val="single" w:sz="8" w:space="0" w:color="000000"/>
            </w:tcBorders>
          </w:tcPr>
          <w:p>
            <w:pPr>
              <w:pStyle w:val="TableParagraph"/>
              <w:ind w:left="191"/>
              <w:jc w:val="left"/>
              <w:rPr>
                <w:b/>
                <w:sz w:val="12"/>
              </w:rPr>
            </w:pPr>
            <w:r>
              <w:rPr>
                <w:b/>
                <w:w w:val="105"/>
                <w:sz w:val="12"/>
              </w:rPr>
              <w:t>2005</w:t>
            </w:r>
          </w:p>
        </w:tc>
        <w:tc>
          <w:tcPr>
            <w:tcW w:w="688" w:type="dxa"/>
            <w:tcBorders>
              <w:bottom w:val="single" w:sz="8" w:space="0" w:color="000000"/>
              <w:right w:val="single" w:sz="8" w:space="0" w:color="000000"/>
            </w:tcBorders>
          </w:tcPr>
          <w:p>
            <w:pPr>
              <w:pStyle w:val="TableParagraph"/>
              <w:ind w:left="191"/>
              <w:jc w:val="left"/>
              <w:rPr>
                <w:b/>
                <w:sz w:val="12"/>
              </w:rPr>
            </w:pPr>
            <w:r>
              <w:rPr>
                <w:b/>
                <w:w w:val="105"/>
                <w:sz w:val="12"/>
              </w:rPr>
              <w:t>2006</w:t>
            </w:r>
          </w:p>
        </w:tc>
        <w:tc>
          <w:tcPr>
            <w:tcW w:w="684" w:type="dxa"/>
            <w:tcBorders>
              <w:left w:val="single" w:sz="8" w:space="0" w:color="000000"/>
              <w:bottom w:val="single" w:sz="8" w:space="0" w:color="000000"/>
              <w:right w:val="single" w:sz="8" w:space="0" w:color="000000"/>
            </w:tcBorders>
          </w:tcPr>
          <w:p>
            <w:pPr>
              <w:pStyle w:val="TableParagraph"/>
              <w:ind w:left="189"/>
              <w:jc w:val="left"/>
              <w:rPr>
                <w:b/>
                <w:sz w:val="12"/>
              </w:rPr>
            </w:pPr>
            <w:r>
              <w:rPr>
                <w:b/>
                <w:w w:val="105"/>
                <w:sz w:val="12"/>
              </w:rPr>
              <w:t>2007</w:t>
            </w:r>
          </w:p>
        </w:tc>
        <w:tc>
          <w:tcPr>
            <w:tcW w:w="684" w:type="dxa"/>
            <w:tcBorders>
              <w:left w:val="single" w:sz="8" w:space="0" w:color="000000"/>
              <w:bottom w:val="single" w:sz="8" w:space="0" w:color="000000"/>
              <w:right w:val="single" w:sz="8" w:space="0" w:color="000000"/>
            </w:tcBorders>
          </w:tcPr>
          <w:p>
            <w:pPr>
              <w:pStyle w:val="TableParagraph"/>
              <w:ind w:left="191"/>
              <w:jc w:val="left"/>
              <w:rPr>
                <w:b/>
                <w:sz w:val="12"/>
              </w:rPr>
            </w:pPr>
            <w:r>
              <w:rPr>
                <w:b/>
                <w:w w:val="105"/>
                <w:sz w:val="12"/>
              </w:rPr>
              <w:t>2008</w:t>
            </w:r>
          </w:p>
        </w:tc>
        <w:tc>
          <w:tcPr>
            <w:tcW w:w="682" w:type="dxa"/>
            <w:tcBorders>
              <w:left w:val="single" w:sz="8" w:space="0" w:color="000000"/>
              <w:bottom w:val="single" w:sz="8" w:space="0" w:color="000000"/>
              <w:right w:val="single" w:sz="8" w:space="0" w:color="000000"/>
            </w:tcBorders>
          </w:tcPr>
          <w:p>
            <w:pPr>
              <w:pStyle w:val="TableParagraph"/>
              <w:ind w:left="191"/>
              <w:jc w:val="left"/>
              <w:rPr>
                <w:b/>
                <w:sz w:val="12"/>
              </w:rPr>
            </w:pPr>
            <w:r>
              <w:rPr>
                <w:b/>
                <w:w w:val="105"/>
                <w:sz w:val="12"/>
              </w:rPr>
              <w:t>2009</w:t>
            </w:r>
          </w:p>
        </w:tc>
        <w:tc>
          <w:tcPr>
            <w:tcW w:w="685" w:type="dxa"/>
            <w:tcBorders>
              <w:left w:val="single" w:sz="8" w:space="0" w:color="000000"/>
              <w:bottom w:val="single" w:sz="8" w:space="0" w:color="000000"/>
            </w:tcBorders>
          </w:tcPr>
          <w:p>
            <w:pPr>
              <w:pStyle w:val="TableParagraph"/>
              <w:ind w:left="127"/>
              <w:jc w:val="left"/>
              <w:rPr>
                <w:b/>
                <w:sz w:val="12"/>
              </w:rPr>
            </w:pPr>
            <w:r>
              <w:rPr>
                <w:b/>
                <w:w w:val="105"/>
                <w:sz w:val="12"/>
              </w:rPr>
              <w:t>PROM.</w:t>
            </w:r>
          </w:p>
        </w:tc>
        <w:tc>
          <w:tcPr>
            <w:tcW w:w="721" w:type="dxa"/>
            <w:tcBorders>
              <w:bottom w:val="single" w:sz="8" w:space="0" w:color="000000"/>
              <w:right w:val="single" w:sz="4" w:space="0" w:color="000000"/>
            </w:tcBorders>
          </w:tcPr>
          <w:p>
            <w:pPr>
              <w:pStyle w:val="TableParagraph"/>
              <w:ind w:right="89"/>
              <w:rPr>
                <w:b/>
                <w:sz w:val="12"/>
              </w:rPr>
            </w:pPr>
            <w:r>
              <w:rPr>
                <w:b/>
                <w:w w:val="105"/>
                <w:sz w:val="12"/>
              </w:rPr>
              <w:t>PART. %</w:t>
            </w:r>
          </w:p>
        </w:tc>
        <w:tc>
          <w:tcPr>
            <w:tcW w:w="547" w:type="dxa"/>
            <w:tcBorders>
              <w:left w:val="single" w:sz="4" w:space="0" w:color="000000"/>
              <w:bottom w:val="single" w:sz="8" w:space="0" w:color="000000"/>
              <w:right w:val="single" w:sz="8" w:space="0" w:color="000000"/>
            </w:tcBorders>
          </w:tcPr>
          <w:p>
            <w:pPr>
              <w:pStyle w:val="TableParagraph"/>
              <w:ind w:right="79"/>
              <w:rPr>
                <w:b/>
                <w:sz w:val="12"/>
              </w:rPr>
            </w:pPr>
            <w:r>
              <w:rPr>
                <w:b/>
                <w:w w:val="105"/>
                <w:sz w:val="12"/>
              </w:rPr>
              <w:t>TCMA</w:t>
            </w:r>
          </w:p>
        </w:tc>
        <w:tc>
          <w:tcPr>
            <w:tcW w:w="684" w:type="dxa"/>
            <w:tcBorders>
              <w:left w:val="single" w:sz="8" w:space="0" w:color="000000"/>
              <w:bottom w:val="single" w:sz="8" w:space="0" w:color="000000"/>
              <w:right w:val="single" w:sz="8" w:space="0" w:color="000000"/>
            </w:tcBorders>
          </w:tcPr>
          <w:p>
            <w:pPr>
              <w:pStyle w:val="TableParagraph"/>
              <w:ind w:left="203"/>
              <w:jc w:val="left"/>
              <w:rPr>
                <w:b/>
                <w:sz w:val="12"/>
              </w:rPr>
            </w:pPr>
            <w:r>
              <w:rPr>
                <w:b/>
                <w:w w:val="105"/>
                <w:sz w:val="12"/>
              </w:rPr>
              <w:t>FAA</w:t>
            </w:r>
          </w:p>
        </w:tc>
        <w:tc>
          <w:tcPr>
            <w:tcW w:w="432" w:type="dxa"/>
            <w:tcBorders>
              <w:left w:val="single" w:sz="8" w:space="0" w:color="000000"/>
              <w:bottom w:val="single" w:sz="8" w:space="0" w:color="000000"/>
              <w:right w:val="single" w:sz="8" w:space="0" w:color="000000"/>
            </w:tcBorders>
          </w:tcPr>
          <w:p>
            <w:pPr>
              <w:pStyle w:val="TableParagraph"/>
              <w:ind w:left="56" w:right="56"/>
              <w:jc w:val="center"/>
              <w:rPr>
                <w:b/>
                <w:sz w:val="12"/>
              </w:rPr>
            </w:pPr>
            <w:r>
              <w:rPr>
                <w:b/>
                <w:w w:val="105"/>
                <w:sz w:val="12"/>
              </w:rPr>
              <w:t>FRA</w:t>
            </w:r>
          </w:p>
        </w:tc>
      </w:tr>
      <w:tr>
        <w:trPr>
          <w:trHeight w:val="166" w:hRule="exact"/>
        </w:trPr>
        <w:tc>
          <w:tcPr>
            <w:tcW w:w="138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before="0"/>
              <w:ind w:left="57"/>
              <w:jc w:val="left"/>
              <w:rPr>
                <w:b/>
                <w:sz w:val="12"/>
              </w:rPr>
            </w:pPr>
            <w:r>
              <w:rPr>
                <w:b/>
                <w:w w:val="105"/>
                <w:sz w:val="12"/>
              </w:rPr>
              <w:t>NACIONAL</w:t>
            </w:r>
          </w:p>
        </w:tc>
        <w:tc>
          <w:tcPr>
            <w:tcW w:w="686"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before="0"/>
              <w:ind w:right="57"/>
              <w:rPr>
                <w:b/>
                <w:sz w:val="12"/>
              </w:rPr>
            </w:pPr>
            <w:r>
              <w:rPr>
                <w:b/>
                <w:w w:val="105"/>
                <w:sz w:val="12"/>
              </w:rPr>
              <w:t>15,040.4</w:t>
            </w:r>
          </w:p>
        </w:tc>
        <w:tc>
          <w:tcPr>
            <w:tcW w:w="684"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before="0"/>
              <w:ind w:right="57"/>
              <w:rPr>
                <w:b/>
                <w:sz w:val="12"/>
              </w:rPr>
            </w:pPr>
            <w:r>
              <w:rPr>
                <w:b/>
                <w:w w:val="105"/>
                <w:sz w:val="12"/>
              </w:rPr>
              <w:t>18,331.8</w:t>
            </w:r>
          </w:p>
        </w:tc>
        <w:tc>
          <w:tcPr>
            <w:tcW w:w="685" w:type="dxa"/>
            <w:tcBorders>
              <w:top w:val="single" w:sz="8" w:space="0" w:color="000000"/>
              <w:left w:val="single" w:sz="8" w:space="0" w:color="000000"/>
              <w:bottom w:val="single" w:sz="8" w:space="0" w:color="000000"/>
            </w:tcBorders>
          </w:tcPr>
          <w:p>
            <w:pPr>
              <w:pStyle w:val="TableParagraph"/>
              <w:spacing w:line="136" w:lineRule="exact" w:before="0"/>
              <w:ind w:right="59"/>
              <w:rPr>
                <w:b/>
                <w:sz w:val="12"/>
              </w:rPr>
            </w:pPr>
            <w:r>
              <w:rPr>
                <w:b/>
                <w:w w:val="105"/>
                <w:sz w:val="12"/>
              </w:rPr>
              <w:t>21,688.8</w:t>
            </w:r>
          </w:p>
        </w:tc>
        <w:tc>
          <w:tcPr>
            <w:tcW w:w="688" w:type="dxa"/>
            <w:tcBorders>
              <w:top w:val="single" w:sz="8" w:space="0" w:color="000000"/>
              <w:bottom w:val="single" w:sz="8" w:space="0" w:color="000000"/>
              <w:right w:val="single" w:sz="8" w:space="0" w:color="000000"/>
            </w:tcBorders>
          </w:tcPr>
          <w:p>
            <w:pPr>
              <w:pStyle w:val="TableParagraph"/>
              <w:spacing w:line="136" w:lineRule="exact" w:before="0"/>
              <w:ind w:right="62"/>
              <w:rPr>
                <w:b/>
                <w:sz w:val="12"/>
              </w:rPr>
            </w:pPr>
            <w:r>
              <w:rPr>
                <w:b/>
                <w:w w:val="105"/>
                <w:sz w:val="12"/>
              </w:rPr>
              <w:t>25,566.5</w:t>
            </w:r>
          </w:p>
        </w:tc>
        <w:tc>
          <w:tcPr>
            <w:tcW w:w="684"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before="0"/>
              <w:ind w:right="59"/>
              <w:rPr>
                <w:b/>
                <w:sz w:val="12"/>
              </w:rPr>
            </w:pPr>
            <w:r>
              <w:rPr>
                <w:b/>
                <w:w w:val="105"/>
                <w:sz w:val="12"/>
              </w:rPr>
              <w:t>26,068.5</w:t>
            </w:r>
          </w:p>
        </w:tc>
        <w:tc>
          <w:tcPr>
            <w:tcW w:w="684"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before="0"/>
              <w:ind w:right="57"/>
              <w:rPr>
                <w:b/>
                <w:sz w:val="12"/>
              </w:rPr>
            </w:pPr>
            <w:r>
              <w:rPr>
                <w:b/>
                <w:w w:val="105"/>
                <w:sz w:val="12"/>
              </w:rPr>
              <w:t>25,137.6</w:t>
            </w:r>
          </w:p>
        </w:tc>
        <w:tc>
          <w:tcPr>
            <w:tcW w:w="68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before="0"/>
              <w:ind w:right="55"/>
              <w:rPr>
                <w:b/>
                <w:sz w:val="12"/>
              </w:rPr>
            </w:pPr>
            <w:r>
              <w:rPr>
                <w:b/>
                <w:w w:val="105"/>
                <w:sz w:val="12"/>
              </w:rPr>
              <w:t>21,180.9</w:t>
            </w:r>
          </w:p>
        </w:tc>
        <w:tc>
          <w:tcPr>
            <w:tcW w:w="685" w:type="dxa"/>
            <w:tcBorders>
              <w:top w:val="single" w:sz="8" w:space="0" w:color="000000"/>
              <w:left w:val="single" w:sz="8" w:space="0" w:color="000000"/>
              <w:bottom w:val="single" w:sz="8" w:space="0" w:color="000000"/>
            </w:tcBorders>
          </w:tcPr>
          <w:p>
            <w:pPr>
              <w:pStyle w:val="TableParagraph"/>
              <w:spacing w:line="136" w:lineRule="exact" w:before="0"/>
              <w:ind w:right="57"/>
              <w:rPr>
                <w:b/>
                <w:sz w:val="12"/>
              </w:rPr>
            </w:pPr>
            <w:r>
              <w:rPr>
                <w:b/>
                <w:w w:val="105"/>
                <w:sz w:val="12"/>
              </w:rPr>
              <w:t>21,859.2</w:t>
            </w:r>
          </w:p>
        </w:tc>
        <w:tc>
          <w:tcPr>
            <w:tcW w:w="721" w:type="dxa"/>
            <w:tcBorders>
              <w:top w:val="single" w:sz="8" w:space="0" w:color="000000"/>
              <w:bottom w:val="single" w:sz="8" w:space="0" w:color="000000"/>
              <w:right w:val="single" w:sz="8" w:space="0" w:color="000000"/>
            </w:tcBorders>
          </w:tcPr>
          <w:p>
            <w:pPr>
              <w:pStyle w:val="TableParagraph"/>
              <w:spacing w:line="136" w:lineRule="exact" w:before="0"/>
              <w:ind w:right="55"/>
              <w:rPr>
                <w:b/>
                <w:sz w:val="12"/>
              </w:rPr>
            </w:pPr>
            <w:r>
              <w:rPr>
                <w:b/>
                <w:w w:val="105"/>
                <w:sz w:val="12"/>
              </w:rPr>
              <w:t>100</w:t>
            </w:r>
          </w:p>
        </w:tc>
        <w:tc>
          <w:tcPr>
            <w:tcW w:w="547"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before="0"/>
              <w:ind w:right="57"/>
              <w:rPr>
                <w:b/>
                <w:sz w:val="12"/>
              </w:rPr>
            </w:pPr>
            <w:r>
              <w:rPr>
                <w:b/>
                <w:w w:val="105"/>
                <w:sz w:val="12"/>
              </w:rPr>
              <w:t>5.9</w:t>
            </w:r>
          </w:p>
        </w:tc>
        <w:tc>
          <w:tcPr>
            <w:tcW w:w="684" w:type="dxa"/>
            <w:tcBorders>
              <w:top w:val="single" w:sz="8" w:space="0" w:color="000000"/>
              <w:left w:val="single" w:sz="8" w:space="0" w:color="000000"/>
              <w:bottom w:val="single" w:sz="8" w:space="0" w:color="000000"/>
              <w:right w:val="single" w:sz="8" w:space="0" w:color="000000"/>
            </w:tcBorders>
          </w:tcPr>
          <w:p>
            <w:pPr/>
          </w:p>
        </w:tc>
        <w:tc>
          <w:tcPr>
            <w:tcW w:w="432" w:type="dxa"/>
            <w:tcBorders>
              <w:top w:val="single" w:sz="8" w:space="0" w:color="000000"/>
              <w:left w:val="single" w:sz="8" w:space="0" w:color="000000"/>
              <w:bottom w:val="single" w:sz="8" w:space="0" w:color="000000"/>
              <w:right w:val="single" w:sz="8" w:space="0" w:color="000000"/>
            </w:tcBorders>
          </w:tcPr>
          <w:p>
            <w:pPr/>
          </w:p>
        </w:tc>
      </w:tr>
      <w:tr>
        <w:trPr>
          <w:trHeight w:val="158" w:hRule="exact"/>
        </w:trPr>
        <w:tc>
          <w:tcPr>
            <w:tcW w:w="1382" w:type="dxa"/>
            <w:tcBorders>
              <w:top w:val="single" w:sz="8" w:space="0" w:color="000000"/>
              <w:left w:val="single" w:sz="8" w:space="0" w:color="000000"/>
              <w:bottom w:val="single" w:sz="4" w:space="0" w:color="000000"/>
              <w:right w:val="single" w:sz="8" w:space="0" w:color="000000"/>
            </w:tcBorders>
          </w:tcPr>
          <w:p>
            <w:pPr>
              <w:pStyle w:val="TableParagraph"/>
              <w:spacing w:line="136" w:lineRule="exact" w:before="0"/>
              <w:ind w:left="57"/>
              <w:jc w:val="left"/>
              <w:rPr>
                <w:b/>
                <w:sz w:val="12"/>
              </w:rPr>
            </w:pPr>
            <w:r>
              <w:rPr>
                <w:b/>
                <w:w w:val="105"/>
                <w:sz w:val="12"/>
              </w:rPr>
              <w:t>Michoacán</w:t>
            </w:r>
          </w:p>
        </w:tc>
        <w:tc>
          <w:tcPr>
            <w:tcW w:w="686" w:type="dxa"/>
            <w:tcBorders>
              <w:top w:val="single" w:sz="8" w:space="0" w:color="000000"/>
              <w:left w:val="single" w:sz="8" w:space="0" w:color="000000"/>
              <w:bottom w:val="single" w:sz="4" w:space="0" w:color="000000"/>
              <w:right w:val="single" w:sz="4" w:space="0" w:color="000000"/>
            </w:tcBorders>
          </w:tcPr>
          <w:p>
            <w:pPr>
              <w:pStyle w:val="TableParagraph"/>
              <w:spacing w:before="0"/>
              <w:ind w:right="62"/>
              <w:rPr>
                <w:sz w:val="12"/>
              </w:rPr>
            </w:pPr>
            <w:r>
              <w:rPr>
                <w:w w:val="105"/>
                <w:sz w:val="12"/>
              </w:rPr>
              <w:t>1,778.9</w:t>
            </w:r>
          </w:p>
        </w:tc>
        <w:tc>
          <w:tcPr>
            <w:tcW w:w="684" w:type="dxa"/>
            <w:tcBorders>
              <w:top w:val="single" w:sz="8"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2,298.9</w:t>
            </w:r>
          </w:p>
        </w:tc>
        <w:tc>
          <w:tcPr>
            <w:tcW w:w="685" w:type="dxa"/>
            <w:tcBorders>
              <w:top w:val="single" w:sz="8" w:space="0" w:color="000000"/>
              <w:left w:val="single" w:sz="4" w:space="0" w:color="000000"/>
              <w:bottom w:val="single" w:sz="4" w:space="0" w:color="000000"/>
              <w:right w:val="single" w:sz="3" w:space="0" w:color="000000"/>
            </w:tcBorders>
          </w:tcPr>
          <w:p>
            <w:pPr>
              <w:pStyle w:val="TableParagraph"/>
              <w:spacing w:before="0"/>
              <w:ind w:right="64"/>
              <w:rPr>
                <w:sz w:val="12"/>
              </w:rPr>
            </w:pPr>
            <w:r>
              <w:rPr>
                <w:w w:val="105"/>
                <w:sz w:val="12"/>
              </w:rPr>
              <w:t>2,461.8</w:t>
            </w:r>
          </w:p>
        </w:tc>
        <w:tc>
          <w:tcPr>
            <w:tcW w:w="688" w:type="dxa"/>
            <w:tcBorders>
              <w:top w:val="single" w:sz="8" w:space="0" w:color="000000"/>
              <w:left w:val="single" w:sz="3" w:space="0" w:color="000000"/>
              <w:bottom w:val="single" w:sz="4" w:space="0" w:color="000000"/>
              <w:right w:val="single" w:sz="4" w:space="0" w:color="000000"/>
            </w:tcBorders>
          </w:tcPr>
          <w:p>
            <w:pPr>
              <w:pStyle w:val="TableParagraph"/>
              <w:spacing w:before="0"/>
              <w:ind w:right="67"/>
              <w:rPr>
                <w:sz w:val="12"/>
              </w:rPr>
            </w:pPr>
            <w:r>
              <w:rPr>
                <w:w w:val="105"/>
                <w:sz w:val="12"/>
              </w:rPr>
              <w:t>2,520.4</w:t>
            </w:r>
          </w:p>
        </w:tc>
        <w:tc>
          <w:tcPr>
            <w:tcW w:w="684" w:type="dxa"/>
            <w:tcBorders>
              <w:top w:val="single" w:sz="8" w:space="0" w:color="000000"/>
              <w:left w:val="single" w:sz="4" w:space="0" w:color="000000"/>
              <w:bottom w:val="single" w:sz="4" w:space="0" w:color="000000"/>
              <w:right w:val="single" w:sz="4" w:space="0" w:color="000000"/>
            </w:tcBorders>
          </w:tcPr>
          <w:p>
            <w:pPr>
              <w:pStyle w:val="TableParagraph"/>
              <w:spacing w:before="0"/>
              <w:ind w:right="64"/>
              <w:rPr>
                <w:sz w:val="12"/>
              </w:rPr>
            </w:pPr>
            <w:r>
              <w:rPr>
                <w:w w:val="105"/>
                <w:sz w:val="12"/>
              </w:rPr>
              <w:t>2,392.0</w:t>
            </w:r>
          </w:p>
        </w:tc>
        <w:tc>
          <w:tcPr>
            <w:tcW w:w="684" w:type="dxa"/>
            <w:tcBorders>
              <w:top w:val="single" w:sz="8"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2,457.2</w:t>
            </w:r>
          </w:p>
        </w:tc>
        <w:tc>
          <w:tcPr>
            <w:tcW w:w="682" w:type="dxa"/>
            <w:tcBorders>
              <w:top w:val="single" w:sz="8" w:space="0" w:color="000000"/>
              <w:left w:val="single" w:sz="4" w:space="0" w:color="000000"/>
              <w:bottom w:val="single" w:sz="4" w:space="0" w:color="000000"/>
              <w:right w:val="single" w:sz="4" w:space="0" w:color="000000"/>
            </w:tcBorders>
          </w:tcPr>
          <w:p>
            <w:pPr>
              <w:pStyle w:val="TableParagraph"/>
              <w:spacing w:before="0"/>
              <w:ind w:right="59"/>
              <w:rPr>
                <w:sz w:val="12"/>
              </w:rPr>
            </w:pPr>
            <w:r>
              <w:rPr>
                <w:w w:val="105"/>
                <w:sz w:val="12"/>
              </w:rPr>
              <w:t>2,133.1</w:t>
            </w:r>
          </w:p>
        </w:tc>
        <w:tc>
          <w:tcPr>
            <w:tcW w:w="685" w:type="dxa"/>
            <w:tcBorders>
              <w:top w:val="single" w:sz="8" w:space="0" w:color="000000"/>
              <w:left w:val="single" w:sz="4" w:space="0" w:color="000000"/>
              <w:bottom w:val="single" w:sz="4" w:space="0" w:color="000000"/>
              <w:right w:val="single" w:sz="3" w:space="0" w:color="000000"/>
            </w:tcBorders>
          </w:tcPr>
          <w:p>
            <w:pPr>
              <w:pStyle w:val="TableParagraph"/>
              <w:spacing w:before="0"/>
              <w:ind w:right="62"/>
              <w:rPr>
                <w:sz w:val="12"/>
              </w:rPr>
            </w:pPr>
            <w:r>
              <w:rPr>
                <w:w w:val="105"/>
                <w:sz w:val="12"/>
              </w:rPr>
              <w:t>2,291.8</w:t>
            </w:r>
          </w:p>
        </w:tc>
        <w:tc>
          <w:tcPr>
            <w:tcW w:w="721" w:type="dxa"/>
            <w:tcBorders>
              <w:top w:val="single" w:sz="8" w:space="0" w:color="000000"/>
              <w:left w:val="single" w:sz="3" w:space="0" w:color="000000"/>
              <w:bottom w:val="single" w:sz="4" w:space="0" w:color="000000"/>
              <w:right w:val="single" w:sz="4" w:space="0" w:color="000000"/>
            </w:tcBorders>
          </w:tcPr>
          <w:p>
            <w:pPr>
              <w:pStyle w:val="TableParagraph"/>
              <w:spacing w:before="0"/>
              <w:ind w:right="59"/>
              <w:rPr>
                <w:sz w:val="12"/>
              </w:rPr>
            </w:pPr>
            <w:r>
              <w:rPr>
                <w:w w:val="105"/>
                <w:sz w:val="12"/>
              </w:rPr>
              <w:t>10.5</w:t>
            </w:r>
          </w:p>
        </w:tc>
        <w:tc>
          <w:tcPr>
            <w:tcW w:w="547" w:type="dxa"/>
            <w:tcBorders>
              <w:top w:val="single" w:sz="8"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3.1</w:t>
            </w:r>
          </w:p>
        </w:tc>
        <w:tc>
          <w:tcPr>
            <w:tcW w:w="684" w:type="dxa"/>
            <w:tcBorders>
              <w:top w:val="single" w:sz="8"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2,291.8</w:t>
            </w:r>
          </w:p>
        </w:tc>
        <w:tc>
          <w:tcPr>
            <w:tcW w:w="432" w:type="dxa"/>
            <w:tcBorders>
              <w:top w:val="single" w:sz="8" w:space="0" w:color="000000"/>
              <w:left w:val="single" w:sz="4" w:space="0" w:color="000000"/>
              <w:bottom w:val="single" w:sz="4" w:space="0" w:color="000000"/>
              <w:right w:val="single" w:sz="8" w:space="0" w:color="000000"/>
            </w:tcBorders>
          </w:tcPr>
          <w:p>
            <w:pPr>
              <w:pStyle w:val="TableParagraph"/>
              <w:spacing w:before="0"/>
              <w:ind w:left="95" w:right="37"/>
              <w:jc w:val="center"/>
              <w:rPr>
                <w:sz w:val="12"/>
              </w:rPr>
            </w:pPr>
            <w:r>
              <w:rPr>
                <w:w w:val="105"/>
                <w:sz w:val="12"/>
              </w:rPr>
              <w:t>10.5</w:t>
            </w:r>
          </w:p>
        </w:tc>
      </w:tr>
      <w:tr>
        <w:trPr>
          <w:trHeight w:val="156"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Guanajuato</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ind w:right="62"/>
              <w:rPr>
                <w:sz w:val="12"/>
              </w:rPr>
            </w:pPr>
            <w:r>
              <w:rPr>
                <w:w w:val="105"/>
                <w:sz w:val="12"/>
              </w:rPr>
              <w:t>1,403.2</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1,734.1</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4"/>
              <w:rPr>
                <w:sz w:val="12"/>
              </w:rPr>
            </w:pPr>
            <w:r>
              <w:rPr>
                <w:w w:val="105"/>
                <w:sz w:val="12"/>
              </w:rPr>
              <w:t>1,904.8</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ind w:right="67"/>
              <w:rPr>
                <w:sz w:val="12"/>
              </w:rPr>
            </w:pPr>
            <w:r>
              <w:rPr>
                <w:w w:val="105"/>
                <w:sz w:val="12"/>
              </w:rPr>
              <w:t>2,319.4</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4"/>
              <w:rPr>
                <w:sz w:val="12"/>
              </w:rPr>
            </w:pPr>
            <w:r>
              <w:rPr>
                <w:w w:val="105"/>
                <w:sz w:val="12"/>
              </w:rPr>
              <w:t>2,353.6</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2,324.5</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1,944.8</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2"/>
              <w:rPr>
                <w:sz w:val="12"/>
              </w:rPr>
            </w:pPr>
            <w:r>
              <w:rPr>
                <w:w w:val="105"/>
                <w:sz w:val="12"/>
              </w:rPr>
              <w:t>1,997.8</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ind w:right="59"/>
              <w:rPr>
                <w:sz w:val="12"/>
              </w:rPr>
            </w:pPr>
            <w:r>
              <w:rPr>
                <w:w w:val="105"/>
                <w:sz w:val="12"/>
              </w:rPr>
              <w:t>9.1</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5.6</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4,289.5</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ind w:left="95" w:right="37"/>
              <w:jc w:val="center"/>
              <w:rPr>
                <w:sz w:val="12"/>
              </w:rPr>
            </w:pPr>
            <w:r>
              <w:rPr>
                <w:w w:val="105"/>
                <w:sz w:val="12"/>
              </w:rPr>
              <w:t>19.6</w:t>
            </w:r>
          </w:p>
        </w:tc>
      </w:tr>
      <w:tr>
        <w:trPr>
          <w:trHeight w:val="154"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Edo de México</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ind w:right="62"/>
              <w:rPr>
                <w:sz w:val="12"/>
              </w:rPr>
            </w:pPr>
            <w:r>
              <w:rPr>
                <w:w w:val="105"/>
                <w:sz w:val="12"/>
              </w:rPr>
              <w:t>1,112.1</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1,466.1</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4"/>
              <w:rPr>
                <w:sz w:val="12"/>
              </w:rPr>
            </w:pPr>
            <w:r>
              <w:rPr>
                <w:w w:val="105"/>
                <w:sz w:val="12"/>
              </w:rPr>
              <w:t>1,791.6</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ind w:right="67"/>
              <w:rPr>
                <w:sz w:val="12"/>
              </w:rPr>
            </w:pPr>
            <w:r>
              <w:rPr>
                <w:w w:val="105"/>
                <w:sz w:val="12"/>
              </w:rPr>
              <w:t>2,110.8</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4"/>
              <w:rPr>
                <w:sz w:val="12"/>
              </w:rPr>
            </w:pPr>
            <w:r>
              <w:rPr>
                <w:w w:val="105"/>
                <w:sz w:val="12"/>
              </w:rPr>
              <w:t>2,171.4</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2,095.6</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1,714.9</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2"/>
              <w:rPr>
                <w:sz w:val="12"/>
              </w:rPr>
            </w:pPr>
            <w:r>
              <w:rPr>
                <w:w w:val="105"/>
                <w:sz w:val="12"/>
              </w:rPr>
              <w:t>1,780.4</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ind w:right="59"/>
              <w:rPr>
                <w:sz w:val="12"/>
              </w:rPr>
            </w:pPr>
            <w:r>
              <w:rPr>
                <w:w w:val="105"/>
                <w:sz w:val="12"/>
              </w:rPr>
              <w:t>8.1</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7.5</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6,069.9</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ind w:left="95" w:right="37"/>
              <w:jc w:val="center"/>
              <w:rPr>
                <w:sz w:val="12"/>
              </w:rPr>
            </w:pPr>
            <w:r>
              <w:rPr>
                <w:w w:val="105"/>
                <w:sz w:val="12"/>
              </w:rPr>
              <w:t>27.8</w:t>
            </w:r>
          </w:p>
        </w:tc>
      </w:tr>
      <w:tr>
        <w:trPr>
          <w:trHeight w:val="158"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Jalisco</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ind w:right="62"/>
              <w:rPr>
                <w:sz w:val="12"/>
              </w:rPr>
            </w:pPr>
            <w:r>
              <w:rPr>
                <w:w w:val="105"/>
                <w:sz w:val="12"/>
              </w:rPr>
              <w:t>1,345.4</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1,485.7</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4"/>
              <w:rPr>
                <w:sz w:val="12"/>
              </w:rPr>
            </w:pPr>
            <w:r>
              <w:rPr>
                <w:w w:val="105"/>
                <w:sz w:val="12"/>
              </w:rPr>
              <w:t>1,723.1</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ind w:right="67"/>
              <w:rPr>
                <w:sz w:val="12"/>
              </w:rPr>
            </w:pPr>
            <w:r>
              <w:rPr>
                <w:w w:val="105"/>
                <w:sz w:val="12"/>
              </w:rPr>
              <w:t>2,009.0</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4"/>
              <w:rPr>
                <w:sz w:val="12"/>
              </w:rPr>
            </w:pPr>
            <w:r>
              <w:rPr>
                <w:w w:val="105"/>
                <w:sz w:val="12"/>
              </w:rPr>
              <w:t>2,008.7</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1,942.4</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1,716.4</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2"/>
              <w:rPr>
                <w:sz w:val="12"/>
              </w:rPr>
            </w:pPr>
            <w:r>
              <w:rPr>
                <w:w w:val="105"/>
                <w:sz w:val="12"/>
              </w:rPr>
              <w:t>1,747.2</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ind w:right="59"/>
              <w:rPr>
                <w:sz w:val="12"/>
              </w:rPr>
            </w:pPr>
            <w:r>
              <w:rPr>
                <w:w w:val="105"/>
                <w:sz w:val="12"/>
              </w:rPr>
              <w:t>8.0</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4.1</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7,817.1</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ind w:left="95" w:right="37"/>
              <w:jc w:val="center"/>
              <w:rPr>
                <w:sz w:val="12"/>
              </w:rPr>
            </w:pPr>
            <w:r>
              <w:rPr>
                <w:w w:val="105"/>
                <w:sz w:val="12"/>
              </w:rPr>
              <w:t>35.8</w:t>
            </w:r>
          </w:p>
        </w:tc>
      </w:tr>
      <w:tr>
        <w:trPr>
          <w:trHeight w:val="154"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line="136" w:lineRule="exact" w:before="0"/>
              <w:ind w:left="57"/>
              <w:jc w:val="left"/>
              <w:rPr>
                <w:b/>
                <w:sz w:val="12"/>
              </w:rPr>
            </w:pPr>
            <w:r>
              <w:rPr>
                <w:b/>
                <w:w w:val="105"/>
                <w:sz w:val="12"/>
              </w:rPr>
              <w:t>Veracruz</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spacing w:before="0"/>
              <w:ind w:right="62"/>
              <w:rPr>
                <w:sz w:val="12"/>
              </w:rPr>
            </w:pPr>
            <w:r>
              <w:rPr>
                <w:w w:val="105"/>
                <w:sz w:val="12"/>
              </w:rPr>
              <w:t>989.6</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1,162.6</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spacing w:before="0"/>
              <w:ind w:right="64"/>
              <w:rPr>
                <w:sz w:val="12"/>
              </w:rPr>
            </w:pPr>
            <w:r>
              <w:rPr>
                <w:w w:val="105"/>
                <w:sz w:val="12"/>
              </w:rPr>
              <w:t>1,364.4</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spacing w:before="0"/>
              <w:ind w:right="67"/>
              <w:rPr>
                <w:sz w:val="12"/>
              </w:rPr>
            </w:pPr>
            <w:r>
              <w:rPr>
                <w:w w:val="105"/>
                <w:sz w:val="12"/>
              </w:rPr>
              <w:t>1,672.4</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4"/>
              <w:rPr>
                <w:sz w:val="12"/>
              </w:rPr>
            </w:pPr>
            <w:r>
              <w:rPr>
                <w:w w:val="105"/>
                <w:sz w:val="12"/>
              </w:rPr>
              <w:t>1,736.2</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1,620.4</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before="0"/>
              <w:ind w:right="59"/>
              <w:rPr>
                <w:sz w:val="12"/>
              </w:rPr>
            </w:pPr>
            <w:r>
              <w:rPr>
                <w:w w:val="105"/>
                <w:sz w:val="12"/>
              </w:rPr>
              <w:t>1,294.1</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spacing w:before="0"/>
              <w:ind w:right="62"/>
              <w:rPr>
                <w:sz w:val="12"/>
              </w:rPr>
            </w:pPr>
            <w:r>
              <w:rPr>
                <w:w w:val="105"/>
                <w:sz w:val="12"/>
              </w:rPr>
              <w:t>1,405.7</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spacing w:before="0"/>
              <w:ind w:right="59"/>
              <w:rPr>
                <w:sz w:val="12"/>
              </w:rPr>
            </w:pPr>
            <w:r>
              <w:rPr>
                <w:w w:val="105"/>
                <w:sz w:val="12"/>
              </w:rPr>
              <w:t>6.4</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4.6</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9,222.8</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spacing w:before="0"/>
              <w:ind w:left="95" w:right="37"/>
              <w:jc w:val="center"/>
              <w:rPr>
                <w:sz w:val="12"/>
              </w:rPr>
            </w:pPr>
            <w:r>
              <w:rPr>
                <w:w w:val="105"/>
                <w:sz w:val="12"/>
              </w:rPr>
              <w:t>42.2</w:t>
            </w:r>
          </w:p>
        </w:tc>
      </w:tr>
      <w:tr>
        <w:trPr>
          <w:trHeight w:val="156"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Puebla</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ind w:right="62"/>
              <w:rPr>
                <w:sz w:val="12"/>
              </w:rPr>
            </w:pPr>
            <w:r>
              <w:rPr>
                <w:w w:val="105"/>
                <w:sz w:val="12"/>
              </w:rPr>
              <w:t>804.9</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963.0</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4"/>
              <w:rPr>
                <w:sz w:val="12"/>
              </w:rPr>
            </w:pPr>
            <w:r>
              <w:rPr>
                <w:w w:val="105"/>
                <w:sz w:val="12"/>
              </w:rPr>
              <w:t>1,133.3</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ind w:right="67"/>
              <w:rPr>
                <w:sz w:val="12"/>
              </w:rPr>
            </w:pPr>
            <w:r>
              <w:rPr>
                <w:w w:val="105"/>
                <w:sz w:val="12"/>
              </w:rPr>
              <w:t>1,425.9</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4"/>
              <w:rPr>
                <w:sz w:val="12"/>
              </w:rPr>
            </w:pPr>
            <w:r>
              <w:rPr>
                <w:w w:val="105"/>
                <w:sz w:val="12"/>
              </w:rPr>
              <w:t>1,555.4</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1,567.5</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1,304.7</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2"/>
              <w:rPr>
                <w:sz w:val="12"/>
              </w:rPr>
            </w:pPr>
            <w:r>
              <w:rPr>
                <w:w w:val="105"/>
                <w:sz w:val="12"/>
              </w:rPr>
              <w:t>1,250.7</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ind w:right="59"/>
              <w:rPr>
                <w:sz w:val="12"/>
              </w:rPr>
            </w:pPr>
            <w:r>
              <w:rPr>
                <w:w w:val="105"/>
                <w:sz w:val="12"/>
              </w:rPr>
              <w:t>5.7</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8.4</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10,473.5</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ind w:left="95" w:right="37"/>
              <w:jc w:val="center"/>
              <w:rPr>
                <w:sz w:val="12"/>
              </w:rPr>
            </w:pPr>
            <w:r>
              <w:rPr>
                <w:w w:val="105"/>
                <w:sz w:val="12"/>
              </w:rPr>
              <w:t>47.9</w:t>
            </w:r>
          </w:p>
        </w:tc>
      </w:tr>
      <w:tr>
        <w:trPr>
          <w:trHeight w:val="154"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Guerrero</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ind w:right="62"/>
              <w:rPr>
                <w:sz w:val="12"/>
              </w:rPr>
            </w:pPr>
            <w:r>
              <w:rPr>
                <w:w w:val="105"/>
                <w:sz w:val="12"/>
              </w:rPr>
              <w:t>845.5</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982.7</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4"/>
              <w:rPr>
                <w:sz w:val="12"/>
              </w:rPr>
            </w:pPr>
            <w:r>
              <w:rPr>
                <w:w w:val="105"/>
                <w:sz w:val="12"/>
              </w:rPr>
              <w:t>1,117.3</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ind w:right="67"/>
              <w:rPr>
                <w:sz w:val="12"/>
              </w:rPr>
            </w:pPr>
            <w:r>
              <w:rPr>
                <w:w w:val="105"/>
                <w:sz w:val="12"/>
              </w:rPr>
              <w:t>1,378.0</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4"/>
              <w:rPr>
                <w:sz w:val="12"/>
              </w:rPr>
            </w:pPr>
            <w:r>
              <w:rPr>
                <w:w w:val="105"/>
                <w:sz w:val="12"/>
              </w:rPr>
              <w:t>1,418.2</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1,401.6</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1,149.1</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2"/>
              <w:rPr>
                <w:sz w:val="12"/>
              </w:rPr>
            </w:pPr>
            <w:r>
              <w:rPr>
                <w:w w:val="105"/>
                <w:sz w:val="12"/>
              </w:rPr>
              <w:t>1,184.6</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ind w:right="59"/>
              <w:rPr>
                <w:sz w:val="12"/>
              </w:rPr>
            </w:pPr>
            <w:r>
              <w:rPr>
                <w:w w:val="105"/>
                <w:sz w:val="12"/>
              </w:rPr>
              <w:t>5.4</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5.2</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11,658.1</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ind w:left="95" w:right="37"/>
              <w:jc w:val="center"/>
              <w:rPr>
                <w:sz w:val="12"/>
              </w:rPr>
            </w:pPr>
            <w:r>
              <w:rPr>
                <w:w w:val="105"/>
                <w:sz w:val="12"/>
              </w:rPr>
              <w:t>53.3</w:t>
            </w:r>
          </w:p>
        </w:tc>
      </w:tr>
      <w:tr>
        <w:trPr>
          <w:trHeight w:val="156"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Oaxaca</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ind w:right="62"/>
              <w:rPr>
                <w:sz w:val="12"/>
              </w:rPr>
            </w:pPr>
            <w:r>
              <w:rPr>
                <w:w w:val="105"/>
                <w:sz w:val="12"/>
              </w:rPr>
              <w:t>770.8</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929.6</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4"/>
              <w:rPr>
                <w:sz w:val="12"/>
              </w:rPr>
            </w:pPr>
            <w:r>
              <w:rPr>
                <w:w w:val="105"/>
                <w:sz w:val="12"/>
              </w:rPr>
              <w:t>1,053.6</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ind w:right="67"/>
              <w:rPr>
                <w:sz w:val="12"/>
              </w:rPr>
            </w:pPr>
            <w:r>
              <w:rPr>
                <w:w w:val="105"/>
                <w:sz w:val="12"/>
              </w:rPr>
              <w:t>1,321.0</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4"/>
              <w:rPr>
                <w:sz w:val="12"/>
              </w:rPr>
            </w:pPr>
            <w:r>
              <w:rPr>
                <w:w w:val="105"/>
                <w:sz w:val="12"/>
              </w:rPr>
              <w:t>1,420.3</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1,456.5</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1,203.6</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2"/>
              <w:rPr>
                <w:sz w:val="12"/>
              </w:rPr>
            </w:pPr>
            <w:r>
              <w:rPr>
                <w:w w:val="105"/>
                <w:sz w:val="12"/>
              </w:rPr>
              <w:t>1,165.1</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ind w:right="59"/>
              <w:rPr>
                <w:sz w:val="12"/>
              </w:rPr>
            </w:pPr>
            <w:r>
              <w:rPr>
                <w:w w:val="105"/>
                <w:sz w:val="12"/>
              </w:rPr>
              <w:t>5.3</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7.7</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12,823.2</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ind w:left="95" w:right="37"/>
              <w:jc w:val="center"/>
              <w:rPr>
                <w:sz w:val="12"/>
              </w:rPr>
            </w:pPr>
            <w:r>
              <w:rPr>
                <w:w w:val="105"/>
                <w:sz w:val="12"/>
              </w:rPr>
              <w:t>58.7</w:t>
            </w:r>
          </w:p>
        </w:tc>
      </w:tr>
      <w:tr>
        <w:trPr>
          <w:trHeight w:val="156"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Distrito Federal</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ind w:right="62"/>
              <w:rPr>
                <w:sz w:val="12"/>
              </w:rPr>
            </w:pPr>
            <w:r>
              <w:rPr>
                <w:w w:val="105"/>
                <w:sz w:val="12"/>
              </w:rPr>
              <w:t>826.8</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928.8</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4"/>
              <w:rPr>
                <w:sz w:val="12"/>
              </w:rPr>
            </w:pPr>
            <w:r>
              <w:rPr>
                <w:w w:val="105"/>
                <w:sz w:val="12"/>
              </w:rPr>
              <w:t>1,333.9</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ind w:right="67"/>
              <w:rPr>
                <w:sz w:val="12"/>
              </w:rPr>
            </w:pPr>
            <w:r>
              <w:rPr>
                <w:w w:val="105"/>
                <w:sz w:val="12"/>
              </w:rPr>
              <w:t>1,524.6</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4"/>
              <w:rPr>
                <w:sz w:val="12"/>
              </w:rPr>
            </w:pPr>
            <w:r>
              <w:rPr>
                <w:w w:val="105"/>
                <w:sz w:val="12"/>
              </w:rPr>
              <w:t>1,374.8</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1,105.3</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980.6</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2"/>
              <w:rPr>
                <w:sz w:val="12"/>
              </w:rPr>
            </w:pPr>
            <w:r>
              <w:rPr>
                <w:w w:val="105"/>
                <w:sz w:val="12"/>
              </w:rPr>
              <w:t>1,153.5</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ind w:right="59"/>
              <w:rPr>
                <w:sz w:val="12"/>
              </w:rPr>
            </w:pPr>
            <w:r>
              <w:rPr>
                <w:w w:val="105"/>
                <w:sz w:val="12"/>
              </w:rPr>
              <w:t>5.3</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2.9</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13,976.7</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ind w:left="95" w:right="37"/>
              <w:jc w:val="center"/>
              <w:rPr>
                <w:sz w:val="12"/>
              </w:rPr>
            </w:pPr>
            <w:r>
              <w:rPr>
                <w:w w:val="105"/>
                <w:sz w:val="12"/>
              </w:rPr>
              <w:t>63.9</w:t>
            </w:r>
          </w:p>
        </w:tc>
      </w:tr>
      <w:tr>
        <w:trPr>
          <w:trHeight w:val="154"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line="136" w:lineRule="exact" w:before="0"/>
              <w:ind w:left="57"/>
              <w:jc w:val="left"/>
              <w:rPr>
                <w:b/>
                <w:sz w:val="12"/>
              </w:rPr>
            </w:pPr>
            <w:r>
              <w:rPr>
                <w:b/>
                <w:w w:val="105"/>
                <w:sz w:val="12"/>
              </w:rPr>
              <w:t>Hidalgo</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spacing w:before="0"/>
              <w:ind w:right="62"/>
              <w:rPr>
                <w:sz w:val="12"/>
              </w:rPr>
            </w:pPr>
            <w:r>
              <w:rPr>
                <w:w w:val="105"/>
                <w:sz w:val="12"/>
              </w:rPr>
              <w:t>589.1</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698.1</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spacing w:before="0"/>
              <w:ind w:right="64"/>
              <w:rPr>
                <w:sz w:val="12"/>
              </w:rPr>
            </w:pPr>
            <w:r>
              <w:rPr>
                <w:w w:val="105"/>
                <w:sz w:val="12"/>
              </w:rPr>
              <w:t>782.1</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spacing w:before="0"/>
              <w:ind w:right="67"/>
              <w:rPr>
                <w:sz w:val="12"/>
              </w:rPr>
            </w:pPr>
            <w:r>
              <w:rPr>
                <w:w w:val="105"/>
                <w:sz w:val="12"/>
              </w:rPr>
              <w:t>945.5</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4"/>
              <w:rPr>
                <w:sz w:val="12"/>
              </w:rPr>
            </w:pPr>
            <w:r>
              <w:rPr>
                <w:w w:val="105"/>
                <w:sz w:val="12"/>
              </w:rPr>
              <w:t>1,085.6</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939.5</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before="0"/>
              <w:ind w:right="59"/>
              <w:rPr>
                <w:sz w:val="12"/>
              </w:rPr>
            </w:pPr>
            <w:r>
              <w:rPr>
                <w:w w:val="105"/>
                <w:sz w:val="12"/>
              </w:rPr>
              <w:t>736.7</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spacing w:before="0"/>
              <w:ind w:right="62"/>
              <w:rPr>
                <w:sz w:val="12"/>
              </w:rPr>
            </w:pPr>
            <w:r>
              <w:rPr>
                <w:w w:val="105"/>
                <w:sz w:val="12"/>
              </w:rPr>
              <w:t>825.2</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spacing w:before="0"/>
              <w:ind w:right="59"/>
              <w:rPr>
                <w:sz w:val="12"/>
              </w:rPr>
            </w:pPr>
            <w:r>
              <w:rPr>
                <w:w w:val="105"/>
                <w:sz w:val="12"/>
              </w:rPr>
              <w:t>3.8</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3.8</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14,801.9</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spacing w:before="0"/>
              <w:ind w:left="95" w:right="37"/>
              <w:jc w:val="center"/>
              <w:rPr>
                <w:sz w:val="12"/>
              </w:rPr>
            </w:pPr>
            <w:r>
              <w:rPr>
                <w:w w:val="105"/>
                <w:sz w:val="12"/>
              </w:rPr>
              <w:t>67.7</w:t>
            </w:r>
          </w:p>
        </w:tc>
      </w:tr>
      <w:tr>
        <w:trPr>
          <w:trHeight w:val="156"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Chiapas</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ind w:right="62"/>
              <w:rPr>
                <w:sz w:val="12"/>
              </w:rPr>
            </w:pPr>
            <w:r>
              <w:rPr>
                <w:w w:val="105"/>
                <w:sz w:val="12"/>
              </w:rPr>
              <w:t>439.3</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595.6</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4"/>
              <w:rPr>
                <w:sz w:val="12"/>
              </w:rPr>
            </w:pPr>
            <w:r>
              <w:rPr>
                <w:w w:val="105"/>
                <w:sz w:val="12"/>
              </w:rPr>
              <w:t>772.1</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ind w:right="67"/>
              <w:rPr>
                <w:sz w:val="12"/>
              </w:rPr>
            </w:pPr>
            <w:r>
              <w:rPr>
                <w:w w:val="105"/>
                <w:sz w:val="12"/>
              </w:rPr>
              <w:t>943.6</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4"/>
              <w:rPr>
                <w:sz w:val="12"/>
              </w:rPr>
            </w:pPr>
            <w:r>
              <w:rPr>
                <w:w w:val="105"/>
                <w:sz w:val="12"/>
              </w:rPr>
              <w:t>906.3</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799.9</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605.9</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2"/>
              <w:rPr>
                <w:sz w:val="12"/>
              </w:rPr>
            </w:pPr>
            <w:r>
              <w:rPr>
                <w:w w:val="105"/>
                <w:sz w:val="12"/>
              </w:rPr>
              <w:t>723.2</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ind w:right="59"/>
              <w:rPr>
                <w:sz w:val="12"/>
              </w:rPr>
            </w:pPr>
            <w:r>
              <w:rPr>
                <w:w w:val="105"/>
                <w:sz w:val="12"/>
              </w:rPr>
              <w:t>3.3</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5.5</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15,525.2</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ind w:left="95" w:right="37"/>
              <w:jc w:val="center"/>
              <w:rPr>
                <w:sz w:val="12"/>
              </w:rPr>
            </w:pPr>
            <w:r>
              <w:rPr>
                <w:w w:val="105"/>
                <w:sz w:val="12"/>
              </w:rPr>
              <w:t>71.0</w:t>
            </w:r>
          </w:p>
        </w:tc>
      </w:tr>
      <w:tr>
        <w:trPr>
          <w:trHeight w:val="155" w:hRule="exact"/>
        </w:trPr>
        <w:tc>
          <w:tcPr>
            <w:tcW w:w="1382" w:type="dxa"/>
            <w:tcBorders>
              <w:top w:val="single" w:sz="4" w:space="0" w:color="000000"/>
              <w:left w:val="single" w:sz="8" w:space="0" w:color="000000"/>
              <w:bottom w:val="single" w:sz="3" w:space="0" w:color="000000"/>
              <w:right w:val="single" w:sz="8" w:space="0" w:color="000000"/>
            </w:tcBorders>
          </w:tcPr>
          <w:p>
            <w:pPr>
              <w:pStyle w:val="TableParagraph"/>
              <w:spacing w:before="0"/>
              <w:ind w:left="57"/>
              <w:jc w:val="left"/>
              <w:rPr>
                <w:b/>
                <w:sz w:val="12"/>
              </w:rPr>
            </w:pPr>
            <w:r>
              <w:rPr>
                <w:b/>
                <w:w w:val="105"/>
                <w:sz w:val="12"/>
              </w:rPr>
              <w:t>San Luís Potosí</w:t>
            </w:r>
          </w:p>
        </w:tc>
        <w:tc>
          <w:tcPr>
            <w:tcW w:w="686" w:type="dxa"/>
            <w:tcBorders>
              <w:top w:val="single" w:sz="4" w:space="0" w:color="000000"/>
              <w:left w:val="single" w:sz="8" w:space="0" w:color="000000"/>
              <w:bottom w:val="single" w:sz="3" w:space="0" w:color="000000"/>
              <w:right w:val="single" w:sz="4" w:space="0" w:color="000000"/>
            </w:tcBorders>
          </w:tcPr>
          <w:p>
            <w:pPr>
              <w:pStyle w:val="TableParagraph"/>
              <w:ind w:right="62"/>
              <w:rPr>
                <w:sz w:val="12"/>
              </w:rPr>
            </w:pPr>
            <w:r>
              <w:rPr>
                <w:w w:val="105"/>
                <w:sz w:val="12"/>
              </w:rPr>
              <w:t>397.7</w:t>
            </w:r>
          </w:p>
        </w:tc>
        <w:tc>
          <w:tcPr>
            <w:tcW w:w="684" w:type="dxa"/>
            <w:tcBorders>
              <w:top w:val="single" w:sz="4" w:space="0" w:color="000000"/>
              <w:left w:val="single" w:sz="4" w:space="0" w:color="000000"/>
              <w:bottom w:val="single" w:sz="3" w:space="0" w:color="000000"/>
              <w:right w:val="single" w:sz="4" w:space="0" w:color="000000"/>
            </w:tcBorders>
          </w:tcPr>
          <w:p>
            <w:pPr>
              <w:pStyle w:val="TableParagraph"/>
              <w:ind w:right="62"/>
              <w:rPr>
                <w:sz w:val="12"/>
              </w:rPr>
            </w:pPr>
            <w:r>
              <w:rPr>
                <w:w w:val="105"/>
                <w:sz w:val="12"/>
              </w:rPr>
              <w:t>465.3</w:t>
            </w:r>
          </w:p>
        </w:tc>
        <w:tc>
          <w:tcPr>
            <w:tcW w:w="685" w:type="dxa"/>
            <w:tcBorders>
              <w:top w:val="single" w:sz="4" w:space="0" w:color="000000"/>
              <w:left w:val="single" w:sz="4" w:space="0" w:color="000000"/>
              <w:bottom w:val="single" w:sz="3" w:space="0" w:color="000000"/>
              <w:right w:val="single" w:sz="3" w:space="0" w:color="000000"/>
            </w:tcBorders>
          </w:tcPr>
          <w:p>
            <w:pPr>
              <w:pStyle w:val="TableParagraph"/>
              <w:ind w:right="64"/>
              <w:rPr>
                <w:sz w:val="12"/>
              </w:rPr>
            </w:pPr>
            <w:r>
              <w:rPr>
                <w:w w:val="105"/>
                <w:sz w:val="12"/>
              </w:rPr>
              <w:t>557.5</w:t>
            </w:r>
          </w:p>
        </w:tc>
        <w:tc>
          <w:tcPr>
            <w:tcW w:w="688" w:type="dxa"/>
            <w:tcBorders>
              <w:top w:val="single" w:sz="4" w:space="0" w:color="000000"/>
              <w:left w:val="single" w:sz="3" w:space="0" w:color="000000"/>
              <w:bottom w:val="single" w:sz="3" w:space="0" w:color="000000"/>
              <w:right w:val="single" w:sz="4" w:space="0" w:color="000000"/>
            </w:tcBorders>
          </w:tcPr>
          <w:p>
            <w:pPr>
              <w:pStyle w:val="TableParagraph"/>
              <w:ind w:right="67"/>
              <w:rPr>
                <w:sz w:val="12"/>
              </w:rPr>
            </w:pPr>
            <w:r>
              <w:rPr>
                <w:w w:val="105"/>
                <w:sz w:val="12"/>
              </w:rPr>
              <w:t>710.0</w:t>
            </w:r>
          </w:p>
        </w:tc>
        <w:tc>
          <w:tcPr>
            <w:tcW w:w="684" w:type="dxa"/>
            <w:tcBorders>
              <w:top w:val="single" w:sz="4" w:space="0" w:color="000000"/>
              <w:left w:val="single" w:sz="4" w:space="0" w:color="000000"/>
              <w:bottom w:val="single" w:sz="3" w:space="0" w:color="000000"/>
              <w:right w:val="single" w:sz="4" w:space="0" w:color="000000"/>
            </w:tcBorders>
          </w:tcPr>
          <w:p>
            <w:pPr>
              <w:pStyle w:val="TableParagraph"/>
              <w:ind w:right="64"/>
              <w:rPr>
                <w:sz w:val="12"/>
              </w:rPr>
            </w:pPr>
            <w:r>
              <w:rPr>
                <w:w w:val="105"/>
                <w:sz w:val="12"/>
              </w:rPr>
              <w:t>760.6</w:t>
            </w:r>
          </w:p>
        </w:tc>
        <w:tc>
          <w:tcPr>
            <w:tcW w:w="684" w:type="dxa"/>
            <w:tcBorders>
              <w:top w:val="single" w:sz="4" w:space="0" w:color="000000"/>
              <w:left w:val="single" w:sz="4" w:space="0" w:color="000000"/>
              <w:bottom w:val="single" w:sz="3" w:space="0" w:color="000000"/>
              <w:right w:val="single" w:sz="4" w:space="0" w:color="000000"/>
            </w:tcBorders>
          </w:tcPr>
          <w:p>
            <w:pPr>
              <w:pStyle w:val="TableParagraph"/>
              <w:ind w:right="62"/>
              <w:rPr>
                <w:sz w:val="12"/>
              </w:rPr>
            </w:pPr>
            <w:r>
              <w:rPr>
                <w:w w:val="105"/>
                <w:sz w:val="12"/>
              </w:rPr>
              <w:t>758.3</w:t>
            </w:r>
          </w:p>
        </w:tc>
        <w:tc>
          <w:tcPr>
            <w:tcW w:w="682" w:type="dxa"/>
            <w:tcBorders>
              <w:top w:val="single" w:sz="4" w:space="0" w:color="000000"/>
              <w:left w:val="single" w:sz="4" w:space="0" w:color="000000"/>
              <w:bottom w:val="single" w:sz="3" w:space="0" w:color="000000"/>
              <w:right w:val="single" w:sz="4" w:space="0" w:color="000000"/>
            </w:tcBorders>
          </w:tcPr>
          <w:p>
            <w:pPr>
              <w:pStyle w:val="TableParagraph"/>
              <w:ind w:right="59"/>
              <w:rPr>
                <w:sz w:val="12"/>
              </w:rPr>
            </w:pPr>
            <w:r>
              <w:rPr>
                <w:w w:val="105"/>
                <w:sz w:val="12"/>
              </w:rPr>
              <w:t>630.9</w:t>
            </w:r>
          </w:p>
        </w:tc>
        <w:tc>
          <w:tcPr>
            <w:tcW w:w="685" w:type="dxa"/>
            <w:tcBorders>
              <w:top w:val="single" w:sz="4" w:space="0" w:color="000000"/>
              <w:left w:val="single" w:sz="4" w:space="0" w:color="000000"/>
              <w:bottom w:val="single" w:sz="3" w:space="0" w:color="000000"/>
              <w:right w:val="single" w:sz="3" w:space="0" w:color="000000"/>
            </w:tcBorders>
          </w:tcPr>
          <w:p>
            <w:pPr>
              <w:pStyle w:val="TableParagraph"/>
              <w:ind w:right="62"/>
              <w:rPr>
                <w:sz w:val="12"/>
              </w:rPr>
            </w:pPr>
            <w:r>
              <w:rPr>
                <w:w w:val="105"/>
                <w:sz w:val="12"/>
              </w:rPr>
              <w:t>611.5</w:t>
            </w:r>
          </w:p>
        </w:tc>
        <w:tc>
          <w:tcPr>
            <w:tcW w:w="721" w:type="dxa"/>
            <w:tcBorders>
              <w:top w:val="single" w:sz="4" w:space="0" w:color="000000"/>
              <w:left w:val="single" w:sz="3" w:space="0" w:color="000000"/>
              <w:bottom w:val="single" w:sz="3" w:space="0" w:color="000000"/>
              <w:right w:val="single" w:sz="4" w:space="0" w:color="000000"/>
            </w:tcBorders>
          </w:tcPr>
          <w:p>
            <w:pPr>
              <w:pStyle w:val="TableParagraph"/>
              <w:ind w:right="59"/>
              <w:rPr>
                <w:sz w:val="12"/>
              </w:rPr>
            </w:pPr>
            <w:r>
              <w:rPr>
                <w:w w:val="105"/>
                <w:sz w:val="12"/>
              </w:rPr>
              <w:t>2.8</w:t>
            </w:r>
          </w:p>
        </w:tc>
        <w:tc>
          <w:tcPr>
            <w:tcW w:w="547" w:type="dxa"/>
            <w:tcBorders>
              <w:top w:val="single" w:sz="4" w:space="0" w:color="000000"/>
              <w:left w:val="single" w:sz="4" w:space="0" w:color="000000"/>
              <w:bottom w:val="single" w:sz="3" w:space="0" w:color="000000"/>
              <w:right w:val="single" w:sz="4" w:space="0" w:color="000000"/>
            </w:tcBorders>
          </w:tcPr>
          <w:p>
            <w:pPr>
              <w:pStyle w:val="TableParagraph"/>
              <w:ind w:right="62"/>
              <w:rPr>
                <w:sz w:val="12"/>
              </w:rPr>
            </w:pPr>
            <w:r>
              <w:rPr>
                <w:w w:val="105"/>
                <w:sz w:val="12"/>
              </w:rPr>
              <w:t>8.0</w:t>
            </w:r>
          </w:p>
        </w:tc>
        <w:tc>
          <w:tcPr>
            <w:tcW w:w="684" w:type="dxa"/>
            <w:tcBorders>
              <w:top w:val="single" w:sz="4" w:space="0" w:color="000000"/>
              <w:left w:val="single" w:sz="4" w:space="0" w:color="000000"/>
              <w:bottom w:val="single" w:sz="3" w:space="0" w:color="000000"/>
              <w:right w:val="single" w:sz="4" w:space="0" w:color="000000"/>
            </w:tcBorders>
          </w:tcPr>
          <w:p>
            <w:pPr>
              <w:pStyle w:val="TableParagraph"/>
              <w:ind w:right="62"/>
              <w:rPr>
                <w:sz w:val="12"/>
              </w:rPr>
            </w:pPr>
            <w:r>
              <w:rPr>
                <w:w w:val="105"/>
                <w:sz w:val="12"/>
              </w:rPr>
              <w:t>16,136.6</w:t>
            </w:r>
          </w:p>
        </w:tc>
        <w:tc>
          <w:tcPr>
            <w:tcW w:w="432" w:type="dxa"/>
            <w:tcBorders>
              <w:top w:val="single" w:sz="4" w:space="0" w:color="000000"/>
              <w:left w:val="single" w:sz="4" w:space="0" w:color="000000"/>
              <w:bottom w:val="single" w:sz="3" w:space="0" w:color="000000"/>
              <w:right w:val="single" w:sz="8" w:space="0" w:color="000000"/>
            </w:tcBorders>
          </w:tcPr>
          <w:p>
            <w:pPr>
              <w:pStyle w:val="TableParagraph"/>
              <w:ind w:left="95" w:right="37"/>
              <w:jc w:val="center"/>
              <w:rPr>
                <w:sz w:val="12"/>
              </w:rPr>
            </w:pPr>
            <w:r>
              <w:rPr>
                <w:w w:val="105"/>
                <w:sz w:val="12"/>
              </w:rPr>
              <w:t>73.8</w:t>
            </w:r>
          </w:p>
        </w:tc>
      </w:tr>
      <w:tr>
        <w:trPr>
          <w:trHeight w:val="157" w:hRule="exact"/>
        </w:trPr>
        <w:tc>
          <w:tcPr>
            <w:tcW w:w="1382" w:type="dxa"/>
            <w:tcBorders>
              <w:top w:val="single" w:sz="3"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Zacatecas</w:t>
            </w:r>
          </w:p>
        </w:tc>
        <w:tc>
          <w:tcPr>
            <w:tcW w:w="686" w:type="dxa"/>
            <w:tcBorders>
              <w:top w:val="single" w:sz="3" w:space="0" w:color="000000"/>
              <w:left w:val="single" w:sz="8" w:space="0" w:color="000000"/>
              <w:bottom w:val="single" w:sz="4" w:space="0" w:color="000000"/>
              <w:right w:val="single" w:sz="4" w:space="0" w:color="000000"/>
            </w:tcBorders>
          </w:tcPr>
          <w:p>
            <w:pPr>
              <w:pStyle w:val="TableParagraph"/>
              <w:ind w:right="62"/>
              <w:rPr>
                <w:sz w:val="12"/>
              </w:rPr>
            </w:pPr>
            <w:r>
              <w:rPr>
                <w:w w:val="105"/>
                <w:sz w:val="12"/>
              </w:rPr>
              <w:t>400.5</w:t>
            </w:r>
          </w:p>
        </w:tc>
        <w:tc>
          <w:tcPr>
            <w:tcW w:w="684" w:type="dxa"/>
            <w:tcBorders>
              <w:top w:val="single" w:sz="3"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485.3</w:t>
            </w:r>
          </w:p>
        </w:tc>
        <w:tc>
          <w:tcPr>
            <w:tcW w:w="685" w:type="dxa"/>
            <w:tcBorders>
              <w:top w:val="single" w:sz="3" w:space="0" w:color="000000"/>
              <w:left w:val="single" w:sz="4" w:space="0" w:color="000000"/>
              <w:bottom w:val="single" w:sz="4" w:space="0" w:color="000000"/>
              <w:right w:val="single" w:sz="3" w:space="0" w:color="000000"/>
            </w:tcBorders>
          </w:tcPr>
          <w:p>
            <w:pPr>
              <w:pStyle w:val="TableParagraph"/>
              <w:ind w:right="64"/>
              <w:rPr>
                <w:sz w:val="12"/>
              </w:rPr>
            </w:pPr>
            <w:r>
              <w:rPr>
                <w:w w:val="105"/>
                <w:sz w:val="12"/>
              </w:rPr>
              <w:t>541.0</w:t>
            </w:r>
          </w:p>
        </w:tc>
        <w:tc>
          <w:tcPr>
            <w:tcW w:w="688" w:type="dxa"/>
            <w:tcBorders>
              <w:top w:val="single" w:sz="3" w:space="0" w:color="000000"/>
              <w:left w:val="single" w:sz="3" w:space="0" w:color="000000"/>
              <w:bottom w:val="single" w:sz="4" w:space="0" w:color="000000"/>
              <w:right w:val="single" w:sz="4" w:space="0" w:color="000000"/>
            </w:tcBorders>
          </w:tcPr>
          <w:p>
            <w:pPr>
              <w:pStyle w:val="TableParagraph"/>
              <w:ind w:right="67"/>
              <w:rPr>
                <w:sz w:val="12"/>
              </w:rPr>
            </w:pPr>
            <w:r>
              <w:rPr>
                <w:w w:val="105"/>
                <w:sz w:val="12"/>
              </w:rPr>
              <w:t>670.0</w:t>
            </w:r>
          </w:p>
        </w:tc>
        <w:tc>
          <w:tcPr>
            <w:tcW w:w="684" w:type="dxa"/>
            <w:tcBorders>
              <w:top w:val="single" w:sz="3" w:space="0" w:color="000000"/>
              <w:left w:val="single" w:sz="4" w:space="0" w:color="000000"/>
              <w:bottom w:val="single" w:sz="4" w:space="0" w:color="000000"/>
              <w:right w:val="single" w:sz="4" w:space="0" w:color="000000"/>
            </w:tcBorders>
          </w:tcPr>
          <w:p>
            <w:pPr>
              <w:pStyle w:val="TableParagraph"/>
              <w:ind w:right="64"/>
              <w:rPr>
                <w:sz w:val="12"/>
              </w:rPr>
            </w:pPr>
            <w:r>
              <w:rPr>
                <w:w w:val="105"/>
                <w:sz w:val="12"/>
              </w:rPr>
              <w:t>757.5</w:t>
            </w:r>
          </w:p>
        </w:tc>
        <w:tc>
          <w:tcPr>
            <w:tcW w:w="684" w:type="dxa"/>
            <w:tcBorders>
              <w:top w:val="single" w:sz="3"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677.7</w:t>
            </w:r>
          </w:p>
        </w:tc>
        <w:tc>
          <w:tcPr>
            <w:tcW w:w="682" w:type="dxa"/>
            <w:tcBorders>
              <w:top w:val="single" w:sz="3"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569.6</w:t>
            </w:r>
          </w:p>
        </w:tc>
        <w:tc>
          <w:tcPr>
            <w:tcW w:w="685" w:type="dxa"/>
            <w:tcBorders>
              <w:top w:val="single" w:sz="3" w:space="0" w:color="000000"/>
              <w:left w:val="single" w:sz="4" w:space="0" w:color="000000"/>
              <w:bottom w:val="single" w:sz="4" w:space="0" w:color="000000"/>
              <w:right w:val="single" w:sz="3" w:space="0" w:color="000000"/>
            </w:tcBorders>
          </w:tcPr>
          <w:p>
            <w:pPr>
              <w:pStyle w:val="TableParagraph"/>
              <w:ind w:right="62"/>
              <w:rPr>
                <w:sz w:val="12"/>
              </w:rPr>
            </w:pPr>
            <w:r>
              <w:rPr>
                <w:w w:val="105"/>
                <w:sz w:val="12"/>
              </w:rPr>
              <w:t>585.9</w:t>
            </w:r>
          </w:p>
        </w:tc>
        <w:tc>
          <w:tcPr>
            <w:tcW w:w="721" w:type="dxa"/>
            <w:tcBorders>
              <w:top w:val="single" w:sz="3" w:space="0" w:color="000000"/>
              <w:left w:val="single" w:sz="3" w:space="0" w:color="000000"/>
              <w:bottom w:val="single" w:sz="4" w:space="0" w:color="000000"/>
              <w:right w:val="single" w:sz="4" w:space="0" w:color="000000"/>
            </w:tcBorders>
          </w:tcPr>
          <w:p>
            <w:pPr>
              <w:pStyle w:val="TableParagraph"/>
              <w:ind w:right="59"/>
              <w:rPr>
                <w:sz w:val="12"/>
              </w:rPr>
            </w:pPr>
            <w:r>
              <w:rPr>
                <w:w w:val="105"/>
                <w:sz w:val="12"/>
              </w:rPr>
              <w:t>2.7</w:t>
            </w:r>
          </w:p>
        </w:tc>
        <w:tc>
          <w:tcPr>
            <w:tcW w:w="547" w:type="dxa"/>
            <w:tcBorders>
              <w:top w:val="single" w:sz="3"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6.0</w:t>
            </w:r>
          </w:p>
        </w:tc>
        <w:tc>
          <w:tcPr>
            <w:tcW w:w="684" w:type="dxa"/>
            <w:tcBorders>
              <w:top w:val="single" w:sz="3"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16,722.6</w:t>
            </w:r>
          </w:p>
        </w:tc>
        <w:tc>
          <w:tcPr>
            <w:tcW w:w="432" w:type="dxa"/>
            <w:tcBorders>
              <w:top w:val="single" w:sz="3" w:space="0" w:color="000000"/>
              <w:left w:val="single" w:sz="4" w:space="0" w:color="000000"/>
              <w:bottom w:val="single" w:sz="4" w:space="0" w:color="000000"/>
              <w:right w:val="single" w:sz="8" w:space="0" w:color="000000"/>
            </w:tcBorders>
          </w:tcPr>
          <w:p>
            <w:pPr>
              <w:pStyle w:val="TableParagraph"/>
              <w:ind w:left="95" w:right="37"/>
              <w:jc w:val="center"/>
              <w:rPr>
                <w:sz w:val="12"/>
              </w:rPr>
            </w:pPr>
            <w:r>
              <w:rPr>
                <w:w w:val="105"/>
                <w:sz w:val="12"/>
              </w:rPr>
              <w:t>76.5</w:t>
            </w:r>
          </w:p>
        </w:tc>
      </w:tr>
      <w:tr>
        <w:trPr>
          <w:trHeight w:val="154"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line="136" w:lineRule="exact" w:before="0"/>
              <w:ind w:left="57"/>
              <w:jc w:val="left"/>
              <w:rPr>
                <w:b/>
                <w:sz w:val="12"/>
              </w:rPr>
            </w:pPr>
            <w:r>
              <w:rPr>
                <w:b/>
                <w:w w:val="105"/>
                <w:sz w:val="12"/>
              </w:rPr>
              <w:t>Morelos</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spacing w:before="0"/>
              <w:ind w:right="62"/>
              <w:rPr>
                <w:sz w:val="12"/>
              </w:rPr>
            </w:pPr>
            <w:r>
              <w:rPr>
                <w:w w:val="105"/>
                <w:sz w:val="12"/>
              </w:rPr>
              <w:t>368.5</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429.8</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spacing w:before="0"/>
              <w:ind w:right="64"/>
              <w:rPr>
                <w:sz w:val="12"/>
              </w:rPr>
            </w:pPr>
            <w:r>
              <w:rPr>
                <w:w w:val="105"/>
                <w:sz w:val="12"/>
              </w:rPr>
              <w:t>504.9</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spacing w:before="0"/>
              <w:ind w:right="67"/>
              <w:rPr>
                <w:sz w:val="12"/>
              </w:rPr>
            </w:pPr>
            <w:r>
              <w:rPr>
                <w:w w:val="105"/>
                <w:sz w:val="12"/>
              </w:rPr>
              <w:t>588.7</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4"/>
              <w:rPr>
                <w:sz w:val="12"/>
              </w:rPr>
            </w:pPr>
            <w:r>
              <w:rPr>
                <w:w w:val="105"/>
                <w:sz w:val="12"/>
              </w:rPr>
              <w:t>614.9</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621.2</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before="0"/>
              <w:ind w:right="59"/>
              <w:rPr>
                <w:sz w:val="12"/>
              </w:rPr>
            </w:pPr>
            <w:r>
              <w:rPr>
                <w:w w:val="105"/>
                <w:sz w:val="12"/>
              </w:rPr>
              <w:t>541.9</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spacing w:before="0"/>
              <w:ind w:right="62"/>
              <w:rPr>
                <w:sz w:val="12"/>
              </w:rPr>
            </w:pPr>
            <w:r>
              <w:rPr>
                <w:w w:val="105"/>
                <w:sz w:val="12"/>
              </w:rPr>
              <w:t>524.3</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spacing w:before="0"/>
              <w:ind w:right="59"/>
              <w:rPr>
                <w:sz w:val="12"/>
              </w:rPr>
            </w:pPr>
            <w:r>
              <w:rPr>
                <w:w w:val="105"/>
                <w:sz w:val="12"/>
              </w:rPr>
              <w:t>2.4</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6.6</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17,246.9</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spacing w:before="0"/>
              <w:ind w:left="95" w:right="37"/>
              <w:jc w:val="center"/>
              <w:rPr>
                <w:sz w:val="12"/>
              </w:rPr>
            </w:pPr>
            <w:r>
              <w:rPr>
                <w:w w:val="105"/>
                <w:sz w:val="12"/>
              </w:rPr>
              <w:t>78.9</w:t>
            </w:r>
          </w:p>
        </w:tc>
      </w:tr>
      <w:tr>
        <w:trPr>
          <w:trHeight w:val="156"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Sinaloa</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ind w:right="62"/>
              <w:rPr>
                <w:sz w:val="12"/>
              </w:rPr>
            </w:pPr>
            <w:r>
              <w:rPr>
                <w:w w:val="105"/>
                <w:sz w:val="12"/>
              </w:rPr>
              <w:t>319.4</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377.4</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4"/>
              <w:rPr>
                <w:sz w:val="12"/>
              </w:rPr>
            </w:pPr>
            <w:r>
              <w:rPr>
                <w:w w:val="105"/>
                <w:sz w:val="12"/>
              </w:rPr>
              <w:t>455.4</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ind w:right="67"/>
              <w:rPr>
                <w:sz w:val="12"/>
              </w:rPr>
            </w:pPr>
            <w:r>
              <w:rPr>
                <w:w w:val="105"/>
                <w:sz w:val="12"/>
              </w:rPr>
              <w:t>507.3</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4"/>
              <w:rPr>
                <w:sz w:val="12"/>
              </w:rPr>
            </w:pPr>
            <w:r>
              <w:rPr>
                <w:w w:val="105"/>
                <w:sz w:val="12"/>
              </w:rPr>
              <w:t>516.4</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489.1</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457.7</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2"/>
              <w:rPr>
                <w:sz w:val="12"/>
              </w:rPr>
            </w:pPr>
            <w:r>
              <w:rPr>
                <w:w w:val="105"/>
                <w:sz w:val="12"/>
              </w:rPr>
              <w:t>446.1</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ind w:right="59"/>
              <w:rPr>
                <w:sz w:val="12"/>
              </w:rPr>
            </w:pPr>
            <w:r>
              <w:rPr>
                <w:w w:val="105"/>
                <w:sz w:val="12"/>
              </w:rPr>
              <w:t>2.0</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6.2</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17,693.0</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ind w:left="95" w:right="37"/>
              <w:jc w:val="center"/>
              <w:rPr>
                <w:sz w:val="12"/>
              </w:rPr>
            </w:pPr>
            <w:r>
              <w:rPr>
                <w:w w:val="105"/>
                <w:sz w:val="12"/>
              </w:rPr>
              <w:t>80.9</w:t>
            </w:r>
          </w:p>
        </w:tc>
      </w:tr>
      <w:tr>
        <w:trPr>
          <w:trHeight w:val="154"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Tamaulipas</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ind w:right="62"/>
              <w:rPr>
                <w:sz w:val="12"/>
              </w:rPr>
            </w:pPr>
            <w:r>
              <w:rPr>
                <w:w w:val="105"/>
                <w:sz w:val="12"/>
              </w:rPr>
              <w:t>238.1</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290.9</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4"/>
              <w:rPr>
                <w:sz w:val="12"/>
              </w:rPr>
            </w:pPr>
            <w:r>
              <w:rPr>
                <w:w w:val="105"/>
                <w:sz w:val="12"/>
              </w:rPr>
              <w:t>435.6</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ind w:right="67"/>
              <w:rPr>
                <w:sz w:val="12"/>
              </w:rPr>
            </w:pPr>
            <w:r>
              <w:rPr>
                <w:w w:val="105"/>
                <w:sz w:val="12"/>
              </w:rPr>
              <w:t>508.0</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4"/>
              <w:rPr>
                <w:sz w:val="12"/>
              </w:rPr>
            </w:pPr>
            <w:r>
              <w:rPr>
                <w:w w:val="105"/>
                <w:sz w:val="12"/>
              </w:rPr>
              <w:t>521.2</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511.4</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423.7</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2"/>
              <w:rPr>
                <w:sz w:val="12"/>
              </w:rPr>
            </w:pPr>
            <w:r>
              <w:rPr>
                <w:w w:val="105"/>
                <w:sz w:val="12"/>
              </w:rPr>
              <w:t>418.4</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ind w:right="59"/>
              <w:rPr>
                <w:sz w:val="12"/>
              </w:rPr>
            </w:pPr>
            <w:r>
              <w:rPr>
                <w:w w:val="105"/>
                <w:sz w:val="12"/>
              </w:rPr>
              <w:t>1.9</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10.1</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18,111.4</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ind w:left="95" w:right="37"/>
              <w:jc w:val="center"/>
              <w:rPr>
                <w:sz w:val="12"/>
              </w:rPr>
            </w:pPr>
            <w:r>
              <w:rPr>
                <w:w w:val="105"/>
                <w:sz w:val="12"/>
              </w:rPr>
              <w:t>82.9</w:t>
            </w:r>
          </w:p>
        </w:tc>
      </w:tr>
      <w:tr>
        <w:trPr>
          <w:trHeight w:val="156"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Querétaro</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ind w:right="62"/>
              <w:rPr>
                <w:sz w:val="12"/>
              </w:rPr>
            </w:pPr>
            <w:r>
              <w:rPr>
                <w:w w:val="105"/>
                <w:sz w:val="12"/>
              </w:rPr>
              <w:t>283.2</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357.7</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4"/>
              <w:rPr>
                <w:sz w:val="12"/>
              </w:rPr>
            </w:pPr>
            <w:r>
              <w:rPr>
                <w:w w:val="105"/>
                <w:sz w:val="12"/>
              </w:rPr>
              <w:t>412.4</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ind w:right="67"/>
              <w:rPr>
                <w:sz w:val="12"/>
              </w:rPr>
            </w:pPr>
            <w:r>
              <w:rPr>
                <w:w w:val="105"/>
                <w:sz w:val="12"/>
              </w:rPr>
              <w:t>492.4</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4"/>
              <w:rPr>
                <w:sz w:val="12"/>
              </w:rPr>
            </w:pPr>
            <w:r>
              <w:rPr>
                <w:w w:val="105"/>
                <w:sz w:val="12"/>
              </w:rPr>
              <w:t>474.7</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442.3</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363.6</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2"/>
              <w:rPr>
                <w:sz w:val="12"/>
              </w:rPr>
            </w:pPr>
            <w:r>
              <w:rPr>
                <w:w w:val="105"/>
                <w:sz w:val="12"/>
              </w:rPr>
              <w:t>403.8</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ind w:right="59"/>
              <w:rPr>
                <w:sz w:val="12"/>
              </w:rPr>
            </w:pPr>
            <w:r>
              <w:rPr>
                <w:w w:val="105"/>
                <w:sz w:val="12"/>
              </w:rPr>
              <w:t>1.8</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4.3</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18,515.1</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ind w:left="95" w:right="37"/>
              <w:jc w:val="center"/>
              <w:rPr>
                <w:sz w:val="12"/>
              </w:rPr>
            </w:pPr>
            <w:r>
              <w:rPr>
                <w:w w:val="105"/>
                <w:sz w:val="12"/>
              </w:rPr>
              <w:t>84.7</w:t>
            </w:r>
          </w:p>
        </w:tc>
      </w:tr>
      <w:tr>
        <w:trPr>
          <w:trHeight w:val="156"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Chihuahua</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ind w:right="62"/>
              <w:rPr>
                <w:sz w:val="12"/>
              </w:rPr>
            </w:pPr>
            <w:r>
              <w:rPr>
                <w:w w:val="105"/>
                <w:sz w:val="12"/>
              </w:rPr>
              <w:t>240.5</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286.0</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4"/>
              <w:rPr>
                <w:sz w:val="12"/>
              </w:rPr>
            </w:pPr>
            <w:r>
              <w:rPr>
                <w:w w:val="105"/>
                <w:sz w:val="12"/>
              </w:rPr>
              <w:t>398.7</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ind w:right="67"/>
              <w:rPr>
                <w:sz w:val="12"/>
              </w:rPr>
            </w:pPr>
            <w:r>
              <w:rPr>
                <w:w w:val="105"/>
                <w:sz w:val="12"/>
              </w:rPr>
              <w:t>485.3</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4"/>
              <w:rPr>
                <w:sz w:val="12"/>
              </w:rPr>
            </w:pPr>
            <w:r>
              <w:rPr>
                <w:w w:val="105"/>
                <w:sz w:val="12"/>
              </w:rPr>
              <w:t>471.9</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475.3</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410.4</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2"/>
              <w:rPr>
                <w:sz w:val="12"/>
              </w:rPr>
            </w:pPr>
            <w:r>
              <w:rPr>
                <w:w w:val="105"/>
                <w:sz w:val="12"/>
              </w:rPr>
              <w:t>395.4</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ind w:right="59"/>
              <w:rPr>
                <w:sz w:val="12"/>
              </w:rPr>
            </w:pPr>
            <w:r>
              <w:rPr>
                <w:w w:val="105"/>
                <w:sz w:val="12"/>
              </w:rPr>
              <w:t>1.8</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9.3</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18,910.6</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ind w:left="95" w:right="37"/>
              <w:jc w:val="center"/>
              <w:rPr>
                <w:sz w:val="12"/>
              </w:rPr>
            </w:pPr>
            <w:r>
              <w:rPr>
                <w:w w:val="105"/>
                <w:sz w:val="12"/>
              </w:rPr>
              <w:t>86.5</w:t>
            </w:r>
          </w:p>
        </w:tc>
      </w:tr>
      <w:tr>
        <w:trPr>
          <w:trHeight w:val="154"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Durango</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ind w:right="62"/>
              <w:rPr>
                <w:sz w:val="12"/>
              </w:rPr>
            </w:pPr>
            <w:r>
              <w:rPr>
                <w:w w:val="105"/>
                <w:sz w:val="12"/>
              </w:rPr>
              <w:t>265.3</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336.2</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4"/>
              <w:rPr>
                <w:sz w:val="12"/>
              </w:rPr>
            </w:pPr>
            <w:r>
              <w:rPr>
                <w:w w:val="105"/>
                <w:sz w:val="12"/>
              </w:rPr>
              <w:t>392.5</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ind w:right="67"/>
              <w:rPr>
                <w:sz w:val="12"/>
              </w:rPr>
            </w:pPr>
            <w:r>
              <w:rPr>
                <w:w w:val="105"/>
                <w:sz w:val="12"/>
              </w:rPr>
              <w:t>437.2</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4"/>
              <w:rPr>
                <w:sz w:val="12"/>
              </w:rPr>
            </w:pPr>
            <w:r>
              <w:rPr>
                <w:w w:val="105"/>
                <w:sz w:val="12"/>
              </w:rPr>
              <w:t>450.6</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450.4</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381.2</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2"/>
              <w:rPr>
                <w:sz w:val="12"/>
              </w:rPr>
            </w:pPr>
            <w:r>
              <w:rPr>
                <w:w w:val="105"/>
                <w:sz w:val="12"/>
              </w:rPr>
              <w:t>387.6</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ind w:right="59"/>
              <w:rPr>
                <w:sz w:val="12"/>
              </w:rPr>
            </w:pPr>
            <w:r>
              <w:rPr>
                <w:w w:val="105"/>
                <w:sz w:val="12"/>
              </w:rPr>
              <w:t>1.8</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6.2</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19,298.2</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ind w:left="95" w:right="37"/>
              <w:jc w:val="center"/>
              <w:rPr>
                <w:sz w:val="12"/>
              </w:rPr>
            </w:pPr>
            <w:r>
              <w:rPr>
                <w:w w:val="105"/>
                <w:sz w:val="12"/>
              </w:rPr>
              <w:t>88.3</w:t>
            </w:r>
          </w:p>
        </w:tc>
      </w:tr>
      <w:tr>
        <w:trPr>
          <w:trHeight w:val="156"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ind w:left="57"/>
              <w:jc w:val="left"/>
              <w:rPr>
                <w:b/>
                <w:sz w:val="12"/>
              </w:rPr>
            </w:pPr>
            <w:r>
              <w:rPr>
                <w:b/>
                <w:w w:val="105"/>
                <w:sz w:val="12"/>
              </w:rPr>
              <w:t>Nayarit</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spacing w:before="5"/>
              <w:ind w:right="62"/>
              <w:rPr>
                <w:sz w:val="12"/>
              </w:rPr>
            </w:pPr>
            <w:r>
              <w:rPr>
                <w:w w:val="105"/>
                <w:sz w:val="12"/>
              </w:rPr>
              <w:t>229.6</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2"/>
              </w:rPr>
            </w:pPr>
            <w:r>
              <w:rPr>
                <w:w w:val="105"/>
                <w:sz w:val="12"/>
              </w:rPr>
              <w:t>267.2</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spacing w:before="5"/>
              <w:ind w:right="64"/>
              <w:rPr>
                <w:sz w:val="12"/>
              </w:rPr>
            </w:pPr>
            <w:r>
              <w:rPr>
                <w:w w:val="105"/>
                <w:sz w:val="12"/>
              </w:rPr>
              <w:t>308.3</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spacing w:before="5"/>
              <w:ind w:right="67"/>
              <w:rPr>
                <w:sz w:val="12"/>
              </w:rPr>
            </w:pPr>
            <w:r>
              <w:rPr>
                <w:w w:val="105"/>
                <w:sz w:val="12"/>
              </w:rPr>
              <w:t>355.0</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5"/>
              <w:ind w:right="64"/>
              <w:rPr>
                <w:sz w:val="12"/>
              </w:rPr>
            </w:pPr>
            <w:r>
              <w:rPr>
                <w:w w:val="105"/>
                <w:sz w:val="12"/>
              </w:rPr>
              <w:t>376.9</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2"/>
              </w:rPr>
            </w:pPr>
            <w:r>
              <w:rPr>
                <w:w w:val="105"/>
                <w:sz w:val="12"/>
              </w:rPr>
              <w:t>383.6</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before="5"/>
              <w:ind w:right="59"/>
              <w:rPr>
                <w:sz w:val="12"/>
              </w:rPr>
            </w:pPr>
            <w:r>
              <w:rPr>
                <w:w w:val="105"/>
                <w:sz w:val="12"/>
              </w:rPr>
              <w:t>347.5</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spacing w:before="5"/>
              <w:ind w:right="62"/>
              <w:rPr>
                <w:sz w:val="12"/>
              </w:rPr>
            </w:pPr>
            <w:r>
              <w:rPr>
                <w:w w:val="105"/>
                <w:sz w:val="12"/>
              </w:rPr>
              <w:t>324.0</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spacing w:before="5"/>
              <w:ind w:right="59"/>
              <w:rPr>
                <w:sz w:val="12"/>
              </w:rPr>
            </w:pPr>
            <w:r>
              <w:rPr>
                <w:w w:val="105"/>
                <w:sz w:val="12"/>
              </w:rPr>
              <w:t>1.5</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2"/>
              </w:rPr>
            </w:pPr>
            <w:r>
              <w:rPr>
                <w:w w:val="105"/>
                <w:sz w:val="12"/>
              </w:rPr>
              <w:t>7.2</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2"/>
              </w:rPr>
            </w:pPr>
            <w:r>
              <w:rPr>
                <w:w w:val="105"/>
                <w:sz w:val="12"/>
              </w:rPr>
              <w:t>19,622.2</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spacing w:before="5"/>
              <w:ind w:left="95" w:right="37"/>
              <w:jc w:val="center"/>
              <w:rPr>
                <w:sz w:val="12"/>
              </w:rPr>
            </w:pPr>
            <w:r>
              <w:rPr>
                <w:w w:val="105"/>
                <w:sz w:val="12"/>
              </w:rPr>
              <w:t>89.8</w:t>
            </w:r>
          </w:p>
        </w:tc>
      </w:tr>
      <w:tr>
        <w:trPr>
          <w:trHeight w:val="155" w:hRule="exact"/>
        </w:trPr>
        <w:tc>
          <w:tcPr>
            <w:tcW w:w="1382" w:type="dxa"/>
            <w:tcBorders>
              <w:top w:val="single" w:sz="4" w:space="0" w:color="000000"/>
              <w:left w:val="single" w:sz="8" w:space="0" w:color="000000"/>
              <w:bottom w:val="single" w:sz="3" w:space="0" w:color="000000"/>
              <w:right w:val="single" w:sz="8" w:space="0" w:color="000000"/>
            </w:tcBorders>
          </w:tcPr>
          <w:p>
            <w:pPr>
              <w:pStyle w:val="TableParagraph"/>
              <w:spacing w:before="0"/>
              <w:ind w:left="57"/>
              <w:jc w:val="left"/>
              <w:rPr>
                <w:b/>
                <w:sz w:val="12"/>
              </w:rPr>
            </w:pPr>
            <w:r>
              <w:rPr>
                <w:b/>
                <w:w w:val="105"/>
                <w:sz w:val="12"/>
              </w:rPr>
              <w:t>Aguascalientes</w:t>
            </w:r>
          </w:p>
        </w:tc>
        <w:tc>
          <w:tcPr>
            <w:tcW w:w="686" w:type="dxa"/>
            <w:tcBorders>
              <w:top w:val="single" w:sz="4" w:space="0" w:color="000000"/>
              <w:left w:val="single" w:sz="8" w:space="0" w:color="000000"/>
              <w:bottom w:val="single" w:sz="3" w:space="0" w:color="000000"/>
              <w:right w:val="single" w:sz="4" w:space="0" w:color="000000"/>
            </w:tcBorders>
          </w:tcPr>
          <w:p>
            <w:pPr>
              <w:pStyle w:val="TableParagraph"/>
              <w:ind w:right="62"/>
              <w:rPr>
                <w:sz w:val="12"/>
              </w:rPr>
            </w:pPr>
            <w:r>
              <w:rPr>
                <w:w w:val="105"/>
                <w:sz w:val="12"/>
              </w:rPr>
              <w:t>260.9</w:t>
            </w:r>
          </w:p>
        </w:tc>
        <w:tc>
          <w:tcPr>
            <w:tcW w:w="684" w:type="dxa"/>
            <w:tcBorders>
              <w:top w:val="single" w:sz="4" w:space="0" w:color="000000"/>
              <w:left w:val="single" w:sz="4" w:space="0" w:color="000000"/>
              <w:bottom w:val="single" w:sz="3" w:space="0" w:color="000000"/>
              <w:right w:val="single" w:sz="4" w:space="0" w:color="000000"/>
            </w:tcBorders>
          </w:tcPr>
          <w:p>
            <w:pPr>
              <w:pStyle w:val="TableParagraph"/>
              <w:ind w:right="62"/>
              <w:rPr>
                <w:sz w:val="12"/>
              </w:rPr>
            </w:pPr>
            <w:r>
              <w:rPr>
                <w:w w:val="105"/>
                <w:sz w:val="12"/>
              </w:rPr>
              <w:t>318.6</w:t>
            </w:r>
          </w:p>
        </w:tc>
        <w:tc>
          <w:tcPr>
            <w:tcW w:w="685" w:type="dxa"/>
            <w:tcBorders>
              <w:top w:val="single" w:sz="4" w:space="0" w:color="000000"/>
              <w:left w:val="single" w:sz="4" w:space="0" w:color="000000"/>
              <w:bottom w:val="single" w:sz="3" w:space="0" w:color="000000"/>
              <w:right w:val="single" w:sz="3" w:space="0" w:color="000000"/>
            </w:tcBorders>
          </w:tcPr>
          <w:p>
            <w:pPr>
              <w:pStyle w:val="TableParagraph"/>
              <w:ind w:right="64"/>
              <w:rPr>
                <w:sz w:val="12"/>
              </w:rPr>
            </w:pPr>
            <w:r>
              <w:rPr>
                <w:w w:val="105"/>
                <w:sz w:val="12"/>
              </w:rPr>
              <w:t>324.8</w:t>
            </w:r>
          </w:p>
        </w:tc>
        <w:tc>
          <w:tcPr>
            <w:tcW w:w="688" w:type="dxa"/>
            <w:tcBorders>
              <w:top w:val="single" w:sz="4" w:space="0" w:color="000000"/>
              <w:left w:val="single" w:sz="3" w:space="0" w:color="000000"/>
              <w:bottom w:val="single" w:sz="3" w:space="0" w:color="000000"/>
              <w:right w:val="single" w:sz="4" w:space="0" w:color="000000"/>
            </w:tcBorders>
          </w:tcPr>
          <w:p>
            <w:pPr>
              <w:pStyle w:val="TableParagraph"/>
              <w:ind w:right="67"/>
              <w:rPr>
                <w:sz w:val="12"/>
              </w:rPr>
            </w:pPr>
            <w:r>
              <w:rPr>
                <w:w w:val="105"/>
                <w:sz w:val="12"/>
              </w:rPr>
              <w:t>382.0</w:t>
            </w:r>
          </w:p>
        </w:tc>
        <w:tc>
          <w:tcPr>
            <w:tcW w:w="684" w:type="dxa"/>
            <w:tcBorders>
              <w:top w:val="single" w:sz="4" w:space="0" w:color="000000"/>
              <w:left w:val="single" w:sz="4" w:space="0" w:color="000000"/>
              <w:bottom w:val="single" w:sz="3" w:space="0" w:color="000000"/>
              <w:right w:val="single" w:sz="4" w:space="0" w:color="000000"/>
            </w:tcBorders>
          </w:tcPr>
          <w:p>
            <w:pPr>
              <w:pStyle w:val="TableParagraph"/>
              <w:ind w:right="64"/>
              <w:rPr>
                <w:sz w:val="12"/>
              </w:rPr>
            </w:pPr>
            <w:r>
              <w:rPr>
                <w:w w:val="105"/>
                <w:sz w:val="12"/>
              </w:rPr>
              <w:t>355.5</w:t>
            </w:r>
          </w:p>
        </w:tc>
        <w:tc>
          <w:tcPr>
            <w:tcW w:w="684" w:type="dxa"/>
            <w:tcBorders>
              <w:top w:val="single" w:sz="4" w:space="0" w:color="000000"/>
              <w:left w:val="single" w:sz="4" w:space="0" w:color="000000"/>
              <w:bottom w:val="single" w:sz="3" w:space="0" w:color="000000"/>
              <w:right w:val="single" w:sz="4" w:space="0" w:color="000000"/>
            </w:tcBorders>
          </w:tcPr>
          <w:p>
            <w:pPr>
              <w:pStyle w:val="TableParagraph"/>
              <w:ind w:right="62"/>
              <w:rPr>
                <w:sz w:val="12"/>
              </w:rPr>
            </w:pPr>
            <w:r>
              <w:rPr>
                <w:w w:val="105"/>
                <w:sz w:val="12"/>
              </w:rPr>
              <w:t>331.8</w:t>
            </w:r>
          </w:p>
        </w:tc>
        <w:tc>
          <w:tcPr>
            <w:tcW w:w="682" w:type="dxa"/>
            <w:tcBorders>
              <w:top w:val="single" w:sz="4" w:space="0" w:color="000000"/>
              <w:left w:val="single" w:sz="4" w:space="0" w:color="000000"/>
              <w:bottom w:val="single" w:sz="3" w:space="0" w:color="000000"/>
              <w:right w:val="single" w:sz="4" w:space="0" w:color="000000"/>
            </w:tcBorders>
          </w:tcPr>
          <w:p>
            <w:pPr>
              <w:pStyle w:val="TableParagraph"/>
              <w:ind w:right="59"/>
              <w:rPr>
                <w:sz w:val="12"/>
              </w:rPr>
            </w:pPr>
            <w:r>
              <w:rPr>
                <w:w w:val="105"/>
                <w:sz w:val="12"/>
              </w:rPr>
              <w:t>280.9</w:t>
            </w:r>
          </w:p>
        </w:tc>
        <w:tc>
          <w:tcPr>
            <w:tcW w:w="685" w:type="dxa"/>
            <w:tcBorders>
              <w:top w:val="single" w:sz="4" w:space="0" w:color="000000"/>
              <w:left w:val="single" w:sz="4" w:space="0" w:color="000000"/>
              <w:bottom w:val="single" w:sz="3" w:space="0" w:color="000000"/>
              <w:right w:val="single" w:sz="3" w:space="0" w:color="000000"/>
            </w:tcBorders>
          </w:tcPr>
          <w:p>
            <w:pPr>
              <w:pStyle w:val="TableParagraph"/>
              <w:ind w:right="62"/>
              <w:rPr>
                <w:sz w:val="12"/>
              </w:rPr>
            </w:pPr>
            <w:r>
              <w:rPr>
                <w:w w:val="105"/>
                <w:sz w:val="12"/>
              </w:rPr>
              <w:t>322.1</w:t>
            </w:r>
          </w:p>
        </w:tc>
        <w:tc>
          <w:tcPr>
            <w:tcW w:w="721" w:type="dxa"/>
            <w:tcBorders>
              <w:top w:val="single" w:sz="4" w:space="0" w:color="000000"/>
              <w:left w:val="single" w:sz="3" w:space="0" w:color="000000"/>
              <w:bottom w:val="single" w:sz="3" w:space="0" w:color="000000"/>
              <w:right w:val="single" w:sz="4" w:space="0" w:color="000000"/>
            </w:tcBorders>
          </w:tcPr>
          <w:p>
            <w:pPr>
              <w:pStyle w:val="TableParagraph"/>
              <w:ind w:right="59"/>
              <w:rPr>
                <w:sz w:val="12"/>
              </w:rPr>
            </w:pPr>
            <w:r>
              <w:rPr>
                <w:w w:val="105"/>
                <w:sz w:val="12"/>
              </w:rPr>
              <w:t>1.5</w:t>
            </w:r>
          </w:p>
        </w:tc>
        <w:tc>
          <w:tcPr>
            <w:tcW w:w="547" w:type="dxa"/>
            <w:tcBorders>
              <w:top w:val="single" w:sz="4" w:space="0" w:color="000000"/>
              <w:left w:val="single" w:sz="4" w:space="0" w:color="000000"/>
              <w:bottom w:val="single" w:sz="3" w:space="0" w:color="000000"/>
              <w:right w:val="single" w:sz="4" w:space="0" w:color="000000"/>
            </w:tcBorders>
          </w:tcPr>
          <w:p>
            <w:pPr>
              <w:pStyle w:val="TableParagraph"/>
              <w:ind w:right="62"/>
              <w:rPr>
                <w:sz w:val="12"/>
              </w:rPr>
            </w:pPr>
            <w:r>
              <w:rPr>
                <w:w w:val="105"/>
                <w:sz w:val="12"/>
              </w:rPr>
              <w:t>1.2</w:t>
            </w:r>
          </w:p>
        </w:tc>
        <w:tc>
          <w:tcPr>
            <w:tcW w:w="684" w:type="dxa"/>
            <w:tcBorders>
              <w:top w:val="single" w:sz="4" w:space="0" w:color="000000"/>
              <w:left w:val="single" w:sz="4" w:space="0" w:color="000000"/>
              <w:bottom w:val="single" w:sz="3" w:space="0" w:color="000000"/>
              <w:right w:val="single" w:sz="4" w:space="0" w:color="000000"/>
            </w:tcBorders>
          </w:tcPr>
          <w:p>
            <w:pPr>
              <w:pStyle w:val="TableParagraph"/>
              <w:ind w:right="62"/>
              <w:rPr>
                <w:sz w:val="12"/>
              </w:rPr>
            </w:pPr>
            <w:r>
              <w:rPr>
                <w:w w:val="105"/>
                <w:sz w:val="12"/>
              </w:rPr>
              <w:t>19,944.3</w:t>
            </w:r>
          </w:p>
        </w:tc>
        <w:tc>
          <w:tcPr>
            <w:tcW w:w="432" w:type="dxa"/>
            <w:tcBorders>
              <w:top w:val="single" w:sz="4" w:space="0" w:color="000000"/>
              <w:left w:val="single" w:sz="4" w:space="0" w:color="000000"/>
              <w:bottom w:val="single" w:sz="3" w:space="0" w:color="000000"/>
              <w:right w:val="single" w:sz="8" w:space="0" w:color="000000"/>
            </w:tcBorders>
          </w:tcPr>
          <w:p>
            <w:pPr>
              <w:pStyle w:val="TableParagraph"/>
              <w:ind w:left="95" w:right="37"/>
              <w:jc w:val="center"/>
              <w:rPr>
                <w:sz w:val="12"/>
              </w:rPr>
            </w:pPr>
            <w:r>
              <w:rPr>
                <w:w w:val="105"/>
                <w:sz w:val="12"/>
              </w:rPr>
              <w:t>91.2</w:t>
            </w:r>
          </w:p>
        </w:tc>
      </w:tr>
      <w:tr>
        <w:trPr>
          <w:trHeight w:val="157" w:hRule="exact"/>
        </w:trPr>
        <w:tc>
          <w:tcPr>
            <w:tcW w:w="1382" w:type="dxa"/>
            <w:tcBorders>
              <w:top w:val="single" w:sz="3"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Nuevo León</w:t>
            </w:r>
          </w:p>
        </w:tc>
        <w:tc>
          <w:tcPr>
            <w:tcW w:w="686" w:type="dxa"/>
            <w:tcBorders>
              <w:top w:val="single" w:sz="3" w:space="0" w:color="000000"/>
              <w:left w:val="single" w:sz="8" w:space="0" w:color="000000"/>
              <w:bottom w:val="single" w:sz="4" w:space="0" w:color="000000"/>
              <w:right w:val="single" w:sz="4" w:space="0" w:color="000000"/>
            </w:tcBorders>
          </w:tcPr>
          <w:p>
            <w:pPr>
              <w:pStyle w:val="TableParagraph"/>
              <w:ind w:right="62"/>
              <w:rPr>
                <w:sz w:val="12"/>
              </w:rPr>
            </w:pPr>
            <w:r>
              <w:rPr>
                <w:w w:val="105"/>
                <w:sz w:val="12"/>
              </w:rPr>
              <w:t>193.3</w:t>
            </w:r>
          </w:p>
        </w:tc>
        <w:tc>
          <w:tcPr>
            <w:tcW w:w="684" w:type="dxa"/>
            <w:tcBorders>
              <w:top w:val="single" w:sz="3"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303.0</w:t>
            </w:r>
          </w:p>
        </w:tc>
        <w:tc>
          <w:tcPr>
            <w:tcW w:w="685" w:type="dxa"/>
            <w:tcBorders>
              <w:top w:val="single" w:sz="3" w:space="0" w:color="000000"/>
              <w:left w:val="single" w:sz="4" w:space="0" w:color="000000"/>
              <w:bottom w:val="single" w:sz="4" w:space="0" w:color="000000"/>
              <w:right w:val="single" w:sz="3" w:space="0" w:color="000000"/>
            </w:tcBorders>
          </w:tcPr>
          <w:p>
            <w:pPr>
              <w:pStyle w:val="TableParagraph"/>
              <w:ind w:right="64"/>
              <w:rPr>
                <w:sz w:val="12"/>
              </w:rPr>
            </w:pPr>
            <w:r>
              <w:rPr>
                <w:w w:val="105"/>
                <w:sz w:val="12"/>
              </w:rPr>
              <w:t>291.4</w:t>
            </w:r>
          </w:p>
        </w:tc>
        <w:tc>
          <w:tcPr>
            <w:tcW w:w="688" w:type="dxa"/>
            <w:tcBorders>
              <w:top w:val="single" w:sz="3" w:space="0" w:color="000000"/>
              <w:left w:val="single" w:sz="3" w:space="0" w:color="000000"/>
              <w:bottom w:val="single" w:sz="4" w:space="0" w:color="000000"/>
              <w:right w:val="single" w:sz="4" w:space="0" w:color="000000"/>
            </w:tcBorders>
          </w:tcPr>
          <w:p>
            <w:pPr>
              <w:pStyle w:val="TableParagraph"/>
              <w:ind w:right="67"/>
              <w:rPr>
                <w:sz w:val="12"/>
              </w:rPr>
            </w:pPr>
            <w:r>
              <w:rPr>
                <w:w w:val="105"/>
                <w:sz w:val="12"/>
              </w:rPr>
              <w:t>351.5</w:t>
            </w:r>
          </w:p>
        </w:tc>
        <w:tc>
          <w:tcPr>
            <w:tcW w:w="684" w:type="dxa"/>
            <w:tcBorders>
              <w:top w:val="single" w:sz="3" w:space="0" w:color="000000"/>
              <w:left w:val="single" w:sz="4" w:space="0" w:color="000000"/>
              <w:bottom w:val="single" w:sz="4" w:space="0" w:color="000000"/>
              <w:right w:val="single" w:sz="4" w:space="0" w:color="000000"/>
            </w:tcBorders>
          </w:tcPr>
          <w:p>
            <w:pPr>
              <w:pStyle w:val="TableParagraph"/>
              <w:ind w:right="64"/>
              <w:rPr>
                <w:sz w:val="12"/>
              </w:rPr>
            </w:pPr>
            <w:r>
              <w:rPr>
                <w:w w:val="105"/>
                <w:sz w:val="12"/>
              </w:rPr>
              <w:t>358.6</w:t>
            </w:r>
          </w:p>
        </w:tc>
        <w:tc>
          <w:tcPr>
            <w:tcW w:w="684" w:type="dxa"/>
            <w:tcBorders>
              <w:top w:val="single" w:sz="3"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331.1</w:t>
            </w:r>
          </w:p>
        </w:tc>
        <w:tc>
          <w:tcPr>
            <w:tcW w:w="682" w:type="dxa"/>
            <w:tcBorders>
              <w:top w:val="single" w:sz="3"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299.3</w:t>
            </w:r>
          </w:p>
        </w:tc>
        <w:tc>
          <w:tcPr>
            <w:tcW w:w="685" w:type="dxa"/>
            <w:tcBorders>
              <w:top w:val="single" w:sz="3" w:space="0" w:color="000000"/>
              <w:left w:val="single" w:sz="4" w:space="0" w:color="000000"/>
              <w:bottom w:val="single" w:sz="4" w:space="0" w:color="000000"/>
              <w:right w:val="single" w:sz="3" w:space="0" w:color="000000"/>
            </w:tcBorders>
          </w:tcPr>
          <w:p>
            <w:pPr>
              <w:pStyle w:val="TableParagraph"/>
              <w:ind w:right="62"/>
              <w:rPr>
                <w:sz w:val="12"/>
              </w:rPr>
            </w:pPr>
            <w:r>
              <w:rPr>
                <w:w w:val="105"/>
                <w:sz w:val="12"/>
              </w:rPr>
              <w:t>304.0</w:t>
            </w:r>
          </w:p>
        </w:tc>
        <w:tc>
          <w:tcPr>
            <w:tcW w:w="721" w:type="dxa"/>
            <w:tcBorders>
              <w:top w:val="single" w:sz="3" w:space="0" w:color="000000"/>
              <w:left w:val="single" w:sz="3" w:space="0" w:color="000000"/>
              <w:bottom w:val="single" w:sz="4" w:space="0" w:color="000000"/>
              <w:right w:val="single" w:sz="4" w:space="0" w:color="000000"/>
            </w:tcBorders>
          </w:tcPr>
          <w:p>
            <w:pPr>
              <w:pStyle w:val="TableParagraph"/>
              <w:ind w:right="59"/>
              <w:rPr>
                <w:sz w:val="12"/>
              </w:rPr>
            </w:pPr>
            <w:r>
              <w:rPr>
                <w:w w:val="105"/>
                <w:sz w:val="12"/>
              </w:rPr>
              <w:t>1.4</w:t>
            </w:r>
          </w:p>
        </w:tc>
        <w:tc>
          <w:tcPr>
            <w:tcW w:w="547" w:type="dxa"/>
            <w:tcBorders>
              <w:top w:val="single" w:sz="3"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7.6</w:t>
            </w:r>
          </w:p>
        </w:tc>
        <w:tc>
          <w:tcPr>
            <w:tcW w:w="684" w:type="dxa"/>
            <w:tcBorders>
              <w:top w:val="single" w:sz="3"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20,248.3</w:t>
            </w:r>
          </w:p>
        </w:tc>
        <w:tc>
          <w:tcPr>
            <w:tcW w:w="432" w:type="dxa"/>
            <w:tcBorders>
              <w:top w:val="single" w:sz="3" w:space="0" w:color="000000"/>
              <w:left w:val="single" w:sz="4" w:space="0" w:color="000000"/>
              <w:bottom w:val="single" w:sz="4" w:space="0" w:color="000000"/>
              <w:right w:val="single" w:sz="8" w:space="0" w:color="000000"/>
            </w:tcBorders>
          </w:tcPr>
          <w:p>
            <w:pPr>
              <w:pStyle w:val="TableParagraph"/>
              <w:ind w:left="95" w:right="37"/>
              <w:jc w:val="center"/>
              <w:rPr>
                <w:sz w:val="12"/>
              </w:rPr>
            </w:pPr>
            <w:r>
              <w:rPr>
                <w:w w:val="105"/>
                <w:sz w:val="12"/>
              </w:rPr>
              <w:t>92.6</w:t>
            </w:r>
          </w:p>
        </w:tc>
      </w:tr>
      <w:tr>
        <w:trPr>
          <w:trHeight w:val="154"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line="136" w:lineRule="exact" w:before="0"/>
              <w:ind w:left="57"/>
              <w:jc w:val="left"/>
              <w:rPr>
                <w:b/>
                <w:sz w:val="12"/>
              </w:rPr>
            </w:pPr>
            <w:r>
              <w:rPr>
                <w:b/>
                <w:w w:val="105"/>
                <w:sz w:val="12"/>
              </w:rPr>
              <w:t>Baja California</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spacing w:before="0"/>
              <w:ind w:right="62"/>
              <w:rPr>
                <w:sz w:val="12"/>
              </w:rPr>
            </w:pPr>
            <w:r>
              <w:rPr>
                <w:w w:val="105"/>
                <w:sz w:val="12"/>
              </w:rPr>
              <w:t>144.4</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168.8</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spacing w:before="0"/>
              <w:ind w:right="64"/>
              <w:rPr>
                <w:sz w:val="12"/>
              </w:rPr>
            </w:pPr>
            <w:r>
              <w:rPr>
                <w:w w:val="105"/>
                <w:sz w:val="12"/>
              </w:rPr>
              <w:t>263.2</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spacing w:before="0"/>
              <w:ind w:right="67"/>
              <w:rPr>
                <w:sz w:val="12"/>
              </w:rPr>
            </w:pPr>
            <w:r>
              <w:rPr>
                <w:w w:val="105"/>
                <w:sz w:val="12"/>
              </w:rPr>
              <w:t>309.6</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4"/>
              <w:rPr>
                <w:sz w:val="12"/>
              </w:rPr>
            </w:pPr>
            <w:r>
              <w:rPr>
                <w:w w:val="105"/>
                <w:sz w:val="12"/>
              </w:rPr>
              <w:t>336.1</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342.1</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before="0"/>
              <w:ind w:right="59"/>
              <w:rPr>
                <w:sz w:val="12"/>
              </w:rPr>
            </w:pPr>
            <w:r>
              <w:rPr>
                <w:w w:val="105"/>
                <w:sz w:val="12"/>
              </w:rPr>
              <w:t>329.1</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spacing w:before="0"/>
              <w:ind w:right="62"/>
              <w:rPr>
                <w:sz w:val="12"/>
              </w:rPr>
            </w:pPr>
            <w:r>
              <w:rPr>
                <w:w w:val="105"/>
                <w:sz w:val="12"/>
              </w:rPr>
              <w:t>270.5</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spacing w:before="0"/>
              <w:ind w:right="59"/>
              <w:rPr>
                <w:sz w:val="12"/>
              </w:rPr>
            </w:pPr>
            <w:r>
              <w:rPr>
                <w:w w:val="105"/>
                <w:sz w:val="12"/>
              </w:rPr>
              <w:t>1.2</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14.7</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20,518.8</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spacing w:before="0"/>
              <w:ind w:left="95" w:right="37"/>
              <w:jc w:val="center"/>
              <w:rPr>
                <w:sz w:val="12"/>
              </w:rPr>
            </w:pPr>
            <w:r>
              <w:rPr>
                <w:w w:val="105"/>
                <w:sz w:val="12"/>
              </w:rPr>
              <w:t>93.9</w:t>
            </w:r>
          </w:p>
        </w:tc>
      </w:tr>
      <w:tr>
        <w:trPr>
          <w:trHeight w:val="156"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Sonora</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ind w:right="62"/>
              <w:rPr>
                <w:sz w:val="12"/>
              </w:rPr>
            </w:pPr>
            <w:r>
              <w:rPr>
                <w:w w:val="105"/>
                <w:sz w:val="12"/>
              </w:rPr>
              <w:t>130.5</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174.6</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4"/>
              <w:rPr>
                <w:sz w:val="12"/>
              </w:rPr>
            </w:pPr>
            <w:r>
              <w:rPr>
                <w:w w:val="105"/>
                <w:sz w:val="12"/>
              </w:rPr>
              <w:t>302.5</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ind w:right="67"/>
              <w:rPr>
                <w:sz w:val="12"/>
              </w:rPr>
            </w:pPr>
            <w:r>
              <w:rPr>
                <w:w w:val="105"/>
                <w:sz w:val="12"/>
              </w:rPr>
              <w:t>334.4</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4"/>
              <w:rPr>
                <w:sz w:val="12"/>
              </w:rPr>
            </w:pPr>
            <w:r>
              <w:rPr>
                <w:w w:val="105"/>
                <w:sz w:val="12"/>
              </w:rPr>
              <w:t>335.7</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318.3</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284.6</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2"/>
              <w:rPr>
                <w:sz w:val="12"/>
              </w:rPr>
            </w:pPr>
            <w:r>
              <w:rPr>
                <w:w w:val="105"/>
                <w:sz w:val="12"/>
              </w:rPr>
              <w:t>268.7</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ind w:right="59"/>
              <w:rPr>
                <w:sz w:val="12"/>
              </w:rPr>
            </w:pPr>
            <w:r>
              <w:rPr>
                <w:w w:val="105"/>
                <w:sz w:val="12"/>
              </w:rPr>
              <w:t>1.2</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13.9</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20,787.4</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ind w:left="95" w:right="37"/>
              <w:jc w:val="center"/>
              <w:rPr>
                <w:sz w:val="12"/>
              </w:rPr>
            </w:pPr>
            <w:r>
              <w:rPr>
                <w:w w:val="105"/>
                <w:sz w:val="12"/>
              </w:rPr>
              <w:t>95.1</w:t>
            </w:r>
          </w:p>
        </w:tc>
      </w:tr>
      <w:tr>
        <w:trPr>
          <w:trHeight w:val="154"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Coahuila</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ind w:right="62"/>
              <w:rPr>
                <w:sz w:val="12"/>
              </w:rPr>
            </w:pPr>
            <w:r>
              <w:rPr>
                <w:w w:val="105"/>
                <w:sz w:val="12"/>
              </w:rPr>
              <w:t>142.2</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184.3</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4"/>
              <w:rPr>
                <w:sz w:val="12"/>
              </w:rPr>
            </w:pPr>
            <w:r>
              <w:rPr>
                <w:w w:val="105"/>
                <w:sz w:val="12"/>
              </w:rPr>
              <w:t>247.0</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ind w:right="67"/>
              <w:rPr>
                <w:sz w:val="12"/>
              </w:rPr>
            </w:pPr>
            <w:r>
              <w:rPr>
                <w:w w:val="105"/>
                <w:sz w:val="12"/>
              </w:rPr>
              <w:t>282.3</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4"/>
              <w:rPr>
                <w:sz w:val="12"/>
              </w:rPr>
            </w:pPr>
            <w:r>
              <w:rPr>
                <w:w w:val="105"/>
                <w:sz w:val="12"/>
              </w:rPr>
              <w:t>294.2</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299.6</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246.0</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2"/>
              <w:rPr>
                <w:sz w:val="12"/>
              </w:rPr>
            </w:pPr>
            <w:r>
              <w:rPr>
                <w:w w:val="105"/>
                <w:sz w:val="12"/>
              </w:rPr>
              <w:t>242.2</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ind w:right="59"/>
              <w:rPr>
                <w:sz w:val="12"/>
              </w:rPr>
            </w:pPr>
            <w:r>
              <w:rPr>
                <w:w w:val="105"/>
                <w:sz w:val="12"/>
              </w:rPr>
              <w:t>1.1</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9.6</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21,029.7</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ind w:left="95" w:right="37"/>
              <w:jc w:val="center"/>
              <w:rPr>
                <w:sz w:val="12"/>
              </w:rPr>
            </w:pPr>
            <w:r>
              <w:rPr>
                <w:w w:val="105"/>
                <w:sz w:val="12"/>
              </w:rPr>
              <w:t>96.2</w:t>
            </w:r>
          </w:p>
        </w:tc>
      </w:tr>
      <w:tr>
        <w:trPr>
          <w:trHeight w:val="158"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Tlaxcala</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ind w:right="62"/>
              <w:rPr>
                <w:sz w:val="12"/>
              </w:rPr>
            </w:pPr>
            <w:r>
              <w:rPr>
                <w:w w:val="105"/>
                <w:sz w:val="12"/>
              </w:rPr>
              <w:t>143.1</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181.3</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4"/>
              <w:rPr>
                <w:sz w:val="12"/>
              </w:rPr>
            </w:pPr>
            <w:r>
              <w:rPr>
                <w:w w:val="105"/>
                <w:sz w:val="12"/>
              </w:rPr>
              <w:t>218.0</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ind w:right="67"/>
              <w:rPr>
                <w:sz w:val="12"/>
              </w:rPr>
            </w:pPr>
            <w:r>
              <w:rPr>
                <w:w w:val="105"/>
                <w:sz w:val="12"/>
              </w:rPr>
              <w:t>268.0</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4"/>
              <w:rPr>
                <w:sz w:val="12"/>
              </w:rPr>
            </w:pPr>
            <w:r>
              <w:rPr>
                <w:w w:val="105"/>
                <w:sz w:val="12"/>
              </w:rPr>
              <w:t>293.5</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299.3</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257.2</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2"/>
              <w:rPr>
                <w:sz w:val="12"/>
              </w:rPr>
            </w:pPr>
            <w:r>
              <w:rPr>
                <w:w w:val="105"/>
                <w:sz w:val="12"/>
              </w:rPr>
              <w:t>237.2</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ind w:right="59"/>
              <w:rPr>
                <w:sz w:val="12"/>
              </w:rPr>
            </w:pPr>
            <w:r>
              <w:rPr>
                <w:w w:val="105"/>
                <w:sz w:val="12"/>
              </w:rPr>
              <w:t>1.1</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10.3</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21,266.9</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ind w:left="95" w:right="37"/>
              <w:jc w:val="center"/>
              <w:rPr>
                <w:sz w:val="12"/>
              </w:rPr>
            </w:pPr>
            <w:r>
              <w:rPr>
                <w:w w:val="105"/>
                <w:sz w:val="12"/>
              </w:rPr>
              <w:t>97.3</w:t>
            </w:r>
          </w:p>
        </w:tc>
      </w:tr>
      <w:tr>
        <w:trPr>
          <w:trHeight w:val="154"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line="136" w:lineRule="exact" w:before="0"/>
              <w:ind w:left="57"/>
              <w:jc w:val="left"/>
              <w:rPr>
                <w:b/>
                <w:sz w:val="12"/>
              </w:rPr>
            </w:pPr>
            <w:r>
              <w:rPr>
                <w:b/>
                <w:w w:val="105"/>
                <w:sz w:val="12"/>
              </w:rPr>
              <w:t>Colima</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spacing w:before="0"/>
              <w:ind w:right="62"/>
              <w:rPr>
                <w:sz w:val="12"/>
              </w:rPr>
            </w:pPr>
            <w:r>
              <w:rPr>
                <w:w w:val="105"/>
                <w:sz w:val="12"/>
              </w:rPr>
              <w:t>105.2</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137.6</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spacing w:before="0"/>
              <w:ind w:right="64"/>
              <w:rPr>
                <w:sz w:val="12"/>
              </w:rPr>
            </w:pPr>
            <w:r>
              <w:rPr>
                <w:w w:val="105"/>
                <w:sz w:val="12"/>
              </w:rPr>
              <w:t>169.1</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spacing w:before="0"/>
              <w:ind w:right="67"/>
              <w:rPr>
                <w:sz w:val="12"/>
              </w:rPr>
            </w:pPr>
            <w:r>
              <w:rPr>
                <w:w w:val="105"/>
                <w:sz w:val="12"/>
              </w:rPr>
              <w:t>187.5</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4"/>
              <w:rPr>
                <w:sz w:val="12"/>
              </w:rPr>
            </w:pPr>
            <w:r>
              <w:rPr>
                <w:w w:val="105"/>
                <w:sz w:val="12"/>
              </w:rPr>
              <w:t>196.3</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197.9</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before="0"/>
              <w:ind w:right="59"/>
              <w:rPr>
                <w:sz w:val="12"/>
              </w:rPr>
            </w:pPr>
            <w:r>
              <w:rPr>
                <w:w w:val="105"/>
                <w:sz w:val="12"/>
              </w:rPr>
              <w:t>173.3</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spacing w:before="0"/>
              <w:ind w:right="62"/>
              <w:rPr>
                <w:sz w:val="12"/>
              </w:rPr>
            </w:pPr>
            <w:r>
              <w:rPr>
                <w:w w:val="105"/>
                <w:sz w:val="12"/>
              </w:rPr>
              <w:t>166.7</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spacing w:before="0"/>
              <w:ind w:right="59"/>
              <w:rPr>
                <w:sz w:val="12"/>
              </w:rPr>
            </w:pPr>
            <w:r>
              <w:rPr>
                <w:w w:val="105"/>
                <w:sz w:val="12"/>
              </w:rPr>
              <w:t>0.8</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8.7</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2"/>
              </w:rPr>
            </w:pPr>
            <w:r>
              <w:rPr>
                <w:w w:val="105"/>
                <w:sz w:val="12"/>
              </w:rPr>
              <w:t>21,433.6</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spacing w:before="0"/>
              <w:ind w:left="95" w:right="37"/>
              <w:jc w:val="center"/>
              <w:rPr>
                <w:sz w:val="12"/>
              </w:rPr>
            </w:pPr>
            <w:r>
              <w:rPr>
                <w:w w:val="105"/>
                <w:sz w:val="12"/>
              </w:rPr>
              <w:t>98.1</w:t>
            </w:r>
          </w:p>
        </w:tc>
      </w:tr>
      <w:tr>
        <w:trPr>
          <w:trHeight w:val="154"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Tabasco</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ind w:right="59"/>
              <w:rPr>
                <w:sz w:val="12"/>
              </w:rPr>
            </w:pPr>
            <w:r>
              <w:rPr>
                <w:w w:val="105"/>
                <w:sz w:val="12"/>
              </w:rPr>
              <w:t>87.3</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107.8</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4"/>
              <w:rPr>
                <w:sz w:val="12"/>
              </w:rPr>
            </w:pPr>
            <w:r>
              <w:rPr>
                <w:w w:val="105"/>
                <w:sz w:val="12"/>
              </w:rPr>
              <w:t>160.3</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ind w:right="67"/>
              <w:rPr>
                <w:sz w:val="12"/>
              </w:rPr>
            </w:pPr>
            <w:r>
              <w:rPr>
                <w:w w:val="105"/>
                <w:sz w:val="12"/>
              </w:rPr>
              <w:t>192.5</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4"/>
              <w:rPr>
                <w:sz w:val="12"/>
              </w:rPr>
            </w:pPr>
            <w:r>
              <w:rPr>
                <w:w w:val="105"/>
                <w:sz w:val="12"/>
              </w:rPr>
              <w:t>185.2</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159.4</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116.8</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2"/>
              <w:rPr>
                <w:sz w:val="12"/>
              </w:rPr>
            </w:pPr>
            <w:r>
              <w:rPr>
                <w:w w:val="105"/>
                <w:sz w:val="12"/>
              </w:rPr>
              <w:t>144.2</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ind w:right="59"/>
              <w:rPr>
                <w:sz w:val="12"/>
              </w:rPr>
            </w:pPr>
            <w:r>
              <w:rPr>
                <w:w w:val="105"/>
                <w:sz w:val="12"/>
              </w:rPr>
              <w:t>0.7</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5.0</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21,577.8</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ind w:left="95" w:right="37"/>
              <w:jc w:val="center"/>
              <w:rPr>
                <w:sz w:val="12"/>
              </w:rPr>
            </w:pPr>
            <w:r>
              <w:rPr>
                <w:w w:val="105"/>
                <w:sz w:val="12"/>
              </w:rPr>
              <w:t>98.7</w:t>
            </w:r>
          </w:p>
        </w:tc>
      </w:tr>
      <w:tr>
        <w:trPr>
          <w:trHeight w:val="156"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ind w:left="57"/>
              <w:jc w:val="left"/>
              <w:rPr>
                <w:b/>
                <w:sz w:val="12"/>
              </w:rPr>
            </w:pPr>
            <w:r>
              <w:rPr>
                <w:b/>
                <w:w w:val="105"/>
                <w:sz w:val="12"/>
              </w:rPr>
              <w:t>Yucatán</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spacing w:before="5"/>
              <w:ind w:right="59"/>
              <w:rPr>
                <w:sz w:val="12"/>
              </w:rPr>
            </w:pPr>
            <w:r>
              <w:rPr>
                <w:w w:val="105"/>
                <w:sz w:val="12"/>
              </w:rPr>
              <w:t>59.5</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5"/>
              <w:ind w:right="59"/>
              <w:rPr>
                <w:sz w:val="12"/>
              </w:rPr>
            </w:pPr>
            <w:r>
              <w:rPr>
                <w:w w:val="105"/>
                <w:sz w:val="12"/>
              </w:rPr>
              <w:t>73.0</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spacing w:before="5"/>
              <w:ind w:right="62"/>
              <w:rPr>
                <w:sz w:val="12"/>
              </w:rPr>
            </w:pPr>
            <w:r>
              <w:rPr>
                <w:w w:val="105"/>
                <w:sz w:val="12"/>
              </w:rPr>
              <w:t>88.8</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spacing w:before="5"/>
              <w:ind w:right="67"/>
              <w:rPr>
                <w:sz w:val="12"/>
              </w:rPr>
            </w:pPr>
            <w:r>
              <w:rPr>
                <w:w w:val="105"/>
                <w:sz w:val="12"/>
              </w:rPr>
              <w:t>119.0</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5"/>
              <w:ind w:right="64"/>
              <w:rPr>
                <w:sz w:val="12"/>
              </w:rPr>
            </w:pPr>
            <w:r>
              <w:rPr>
                <w:w w:val="105"/>
                <w:sz w:val="12"/>
              </w:rPr>
              <w:t>133.4</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2"/>
              </w:rPr>
            </w:pPr>
            <w:r>
              <w:rPr>
                <w:w w:val="105"/>
                <w:sz w:val="12"/>
              </w:rPr>
              <w:t>129.0</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before="5"/>
              <w:ind w:right="59"/>
              <w:rPr>
                <w:sz w:val="12"/>
              </w:rPr>
            </w:pPr>
            <w:r>
              <w:rPr>
                <w:w w:val="105"/>
                <w:sz w:val="12"/>
              </w:rPr>
              <w:t>106.2</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spacing w:before="5"/>
              <w:ind w:right="62"/>
              <w:rPr>
                <w:sz w:val="12"/>
              </w:rPr>
            </w:pPr>
            <w:r>
              <w:rPr>
                <w:w w:val="105"/>
                <w:sz w:val="12"/>
              </w:rPr>
              <w:t>101.3</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spacing w:before="5"/>
              <w:ind w:right="59"/>
              <w:rPr>
                <w:sz w:val="12"/>
              </w:rPr>
            </w:pPr>
            <w:r>
              <w:rPr>
                <w:w w:val="105"/>
                <w:sz w:val="12"/>
              </w:rPr>
              <w:t>0.5</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2"/>
              </w:rPr>
            </w:pPr>
            <w:r>
              <w:rPr>
                <w:w w:val="105"/>
                <w:sz w:val="12"/>
              </w:rPr>
              <w:t>10.1</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2"/>
              </w:rPr>
            </w:pPr>
            <w:r>
              <w:rPr>
                <w:w w:val="105"/>
                <w:sz w:val="12"/>
              </w:rPr>
              <w:t>21,679.0</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spacing w:before="5"/>
              <w:ind w:left="95" w:right="37"/>
              <w:jc w:val="center"/>
              <w:rPr>
                <w:sz w:val="12"/>
              </w:rPr>
            </w:pPr>
            <w:r>
              <w:rPr>
                <w:w w:val="105"/>
                <w:sz w:val="12"/>
              </w:rPr>
              <w:t>99.2</w:t>
            </w:r>
          </w:p>
        </w:tc>
      </w:tr>
      <w:tr>
        <w:trPr>
          <w:trHeight w:val="156"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Quintana Roo</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ind w:right="59"/>
              <w:rPr>
                <w:sz w:val="12"/>
              </w:rPr>
            </w:pPr>
            <w:r>
              <w:rPr>
                <w:w w:val="105"/>
                <w:sz w:val="12"/>
              </w:rPr>
              <w:t>53.7</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68.9</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2"/>
              <w:rPr>
                <w:sz w:val="12"/>
              </w:rPr>
            </w:pPr>
            <w:r>
              <w:rPr>
                <w:w w:val="105"/>
                <w:sz w:val="12"/>
              </w:rPr>
              <w:t>86.9</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ind w:right="67"/>
              <w:rPr>
                <w:sz w:val="12"/>
              </w:rPr>
            </w:pPr>
            <w:r>
              <w:rPr>
                <w:w w:val="105"/>
                <w:sz w:val="12"/>
              </w:rPr>
              <w:t>102.0</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99.4</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99.5</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right="57"/>
              <w:rPr>
                <w:sz w:val="12"/>
              </w:rPr>
            </w:pPr>
            <w:r>
              <w:rPr>
                <w:w w:val="105"/>
                <w:sz w:val="12"/>
              </w:rPr>
              <w:t>87.5</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59"/>
              <w:rPr>
                <w:sz w:val="12"/>
              </w:rPr>
            </w:pPr>
            <w:r>
              <w:rPr>
                <w:w w:val="105"/>
                <w:sz w:val="12"/>
              </w:rPr>
              <w:t>85.4</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ind w:right="59"/>
              <w:rPr>
                <w:sz w:val="12"/>
              </w:rPr>
            </w:pPr>
            <w:r>
              <w:rPr>
                <w:w w:val="105"/>
                <w:sz w:val="12"/>
              </w:rPr>
              <w:t>0.4</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8.5</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21,764.4</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ind w:left="95" w:right="37"/>
              <w:jc w:val="center"/>
              <w:rPr>
                <w:sz w:val="12"/>
              </w:rPr>
            </w:pPr>
            <w:r>
              <w:rPr>
                <w:w w:val="105"/>
                <w:sz w:val="12"/>
              </w:rPr>
              <w:t>99.6</w:t>
            </w:r>
          </w:p>
        </w:tc>
      </w:tr>
      <w:tr>
        <w:trPr>
          <w:trHeight w:val="156" w:hRule="exact"/>
        </w:trPr>
        <w:tc>
          <w:tcPr>
            <w:tcW w:w="1382" w:type="dxa"/>
            <w:tcBorders>
              <w:top w:val="single" w:sz="4" w:space="0" w:color="000000"/>
              <w:left w:val="single" w:sz="8" w:space="0" w:color="000000"/>
              <w:bottom w:val="single" w:sz="4" w:space="0" w:color="000000"/>
              <w:right w:val="single" w:sz="8" w:space="0" w:color="000000"/>
            </w:tcBorders>
          </w:tcPr>
          <w:p>
            <w:pPr>
              <w:pStyle w:val="TableParagraph"/>
              <w:spacing w:before="0"/>
              <w:ind w:left="57"/>
              <w:jc w:val="left"/>
              <w:rPr>
                <w:b/>
                <w:sz w:val="12"/>
              </w:rPr>
            </w:pPr>
            <w:r>
              <w:rPr>
                <w:b/>
                <w:w w:val="105"/>
                <w:sz w:val="12"/>
              </w:rPr>
              <w:t>Campeche</w:t>
            </w:r>
          </w:p>
        </w:tc>
        <w:tc>
          <w:tcPr>
            <w:tcW w:w="686" w:type="dxa"/>
            <w:tcBorders>
              <w:top w:val="single" w:sz="4" w:space="0" w:color="000000"/>
              <w:left w:val="single" w:sz="8" w:space="0" w:color="000000"/>
              <w:bottom w:val="single" w:sz="4" w:space="0" w:color="000000"/>
              <w:right w:val="single" w:sz="4" w:space="0" w:color="000000"/>
            </w:tcBorders>
          </w:tcPr>
          <w:p>
            <w:pPr>
              <w:pStyle w:val="TableParagraph"/>
              <w:ind w:right="59"/>
              <w:rPr>
                <w:sz w:val="12"/>
              </w:rPr>
            </w:pPr>
            <w:r>
              <w:rPr>
                <w:w w:val="105"/>
                <w:sz w:val="12"/>
              </w:rPr>
              <w:t>52.5</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54.6</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62"/>
              <w:rPr>
                <w:sz w:val="12"/>
              </w:rPr>
            </w:pPr>
            <w:r>
              <w:rPr>
                <w:w w:val="105"/>
                <w:sz w:val="12"/>
              </w:rPr>
              <w:t>67.4</w:t>
            </w:r>
          </w:p>
        </w:tc>
        <w:tc>
          <w:tcPr>
            <w:tcW w:w="688" w:type="dxa"/>
            <w:tcBorders>
              <w:top w:val="single" w:sz="4" w:space="0" w:color="000000"/>
              <w:left w:val="single" w:sz="3" w:space="0" w:color="000000"/>
              <w:bottom w:val="single" w:sz="4" w:space="0" w:color="000000"/>
              <w:right w:val="single" w:sz="4" w:space="0" w:color="000000"/>
            </w:tcBorders>
          </w:tcPr>
          <w:p>
            <w:pPr>
              <w:pStyle w:val="TableParagraph"/>
              <w:ind w:right="64"/>
              <w:rPr>
                <w:sz w:val="12"/>
              </w:rPr>
            </w:pPr>
            <w:r>
              <w:rPr>
                <w:w w:val="105"/>
                <w:sz w:val="12"/>
              </w:rPr>
              <w:t>84.0</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81.0</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59"/>
              <w:rPr>
                <w:sz w:val="12"/>
              </w:rPr>
            </w:pPr>
            <w:r>
              <w:rPr>
                <w:w w:val="105"/>
                <w:sz w:val="12"/>
              </w:rPr>
              <w:t>74.4</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ind w:right="57"/>
              <w:rPr>
                <w:sz w:val="12"/>
              </w:rPr>
            </w:pPr>
            <w:r>
              <w:rPr>
                <w:w w:val="105"/>
                <w:sz w:val="12"/>
              </w:rPr>
              <w:t>57.0</w:t>
            </w:r>
          </w:p>
        </w:tc>
        <w:tc>
          <w:tcPr>
            <w:tcW w:w="685" w:type="dxa"/>
            <w:tcBorders>
              <w:top w:val="single" w:sz="4" w:space="0" w:color="000000"/>
              <w:left w:val="single" w:sz="4" w:space="0" w:color="000000"/>
              <w:bottom w:val="single" w:sz="4" w:space="0" w:color="000000"/>
              <w:right w:val="single" w:sz="3" w:space="0" w:color="000000"/>
            </w:tcBorders>
          </w:tcPr>
          <w:p>
            <w:pPr>
              <w:pStyle w:val="TableParagraph"/>
              <w:ind w:right="59"/>
              <w:rPr>
                <w:sz w:val="12"/>
              </w:rPr>
            </w:pPr>
            <w:r>
              <w:rPr>
                <w:w w:val="105"/>
                <w:sz w:val="12"/>
              </w:rPr>
              <w:t>67.3</w:t>
            </w:r>
          </w:p>
        </w:tc>
        <w:tc>
          <w:tcPr>
            <w:tcW w:w="721" w:type="dxa"/>
            <w:tcBorders>
              <w:top w:val="single" w:sz="4" w:space="0" w:color="000000"/>
              <w:left w:val="single" w:sz="3" w:space="0" w:color="000000"/>
              <w:bottom w:val="single" w:sz="4" w:space="0" w:color="000000"/>
              <w:right w:val="single" w:sz="4" w:space="0" w:color="000000"/>
            </w:tcBorders>
          </w:tcPr>
          <w:p>
            <w:pPr>
              <w:pStyle w:val="TableParagraph"/>
              <w:ind w:right="59"/>
              <w:rPr>
                <w:sz w:val="12"/>
              </w:rPr>
            </w:pPr>
            <w:r>
              <w:rPr>
                <w:w w:val="105"/>
                <w:sz w:val="12"/>
              </w:rPr>
              <w:t>0.3</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1.4</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62"/>
              <w:rPr>
                <w:sz w:val="12"/>
              </w:rPr>
            </w:pPr>
            <w:r>
              <w:rPr>
                <w:w w:val="105"/>
                <w:sz w:val="12"/>
              </w:rPr>
              <w:t>21,831.7</w:t>
            </w:r>
          </w:p>
        </w:tc>
        <w:tc>
          <w:tcPr>
            <w:tcW w:w="432" w:type="dxa"/>
            <w:tcBorders>
              <w:top w:val="single" w:sz="4" w:space="0" w:color="000000"/>
              <w:left w:val="single" w:sz="4" w:space="0" w:color="000000"/>
              <w:bottom w:val="single" w:sz="4" w:space="0" w:color="000000"/>
              <w:right w:val="single" w:sz="8" w:space="0" w:color="000000"/>
            </w:tcBorders>
          </w:tcPr>
          <w:p>
            <w:pPr>
              <w:pStyle w:val="TableParagraph"/>
              <w:ind w:left="95" w:right="37"/>
              <w:jc w:val="center"/>
              <w:rPr>
                <w:sz w:val="12"/>
              </w:rPr>
            </w:pPr>
            <w:r>
              <w:rPr>
                <w:w w:val="105"/>
                <w:sz w:val="12"/>
              </w:rPr>
              <w:t>99.9</w:t>
            </w:r>
          </w:p>
        </w:tc>
      </w:tr>
      <w:tr>
        <w:trPr>
          <w:trHeight w:val="161" w:hRule="exact"/>
        </w:trPr>
        <w:tc>
          <w:tcPr>
            <w:tcW w:w="1382" w:type="dxa"/>
            <w:tcBorders>
              <w:top w:val="single" w:sz="4" w:space="0" w:color="000000"/>
              <w:left w:val="single" w:sz="8" w:space="0" w:color="000000"/>
              <w:bottom w:val="single" w:sz="8" w:space="0" w:color="000000"/>
              <w:right w:val="single" w:sz="8" w:space="0" w:color="000000"/>
            </w:tcBorders>
          </w:tcPr>
          <w:p>
            <w:pPr>
              <w:pStyle w:val="TableParagraph"/>
              <w:spacing w:line="136" w:lineRule="exact" w:before="0"/>
              <w:ind w:left="57"/>
              <w:jc w:val="left"/>
              <w:rPr>
                <w:b/>
                <w:sz w:val="12"/>
              </w:rPr>
            </w:pPr>
            <w:r>
              <w:rPr>
                <w:b/>
                <w:w w:val="105"/>
                <w:sz w:val="12"/>
              </w:rPr>
              <w:t>Baja California Sur</w:t>
            </w:r>
          </w:p>
        </w:tc>
        <w:tc>
          <w:tcPr>
            <w:tcW w:w="686" w:type="dxa"/>
            <w:tcBorders>
              <w:top w:val="single" w:sz="4" w:space="0" w:color="000000"/>
              <w:left w:val="single" w:sz="8" w:space="0" w:color="000000"/>
              <w:bottom w:val="single" w:sz="8" w:space="0" w:color="000000"/>
              <w:right w:val="single" w:sz="4" w:space="0" w:color="000000"/>
            </w:tcBorders>
          </w:tcPr>
          <w:p>
            <w:pPr>
              <w:pStyle w:val="TableParagraph"/>
              <w:spacing w:before="0"/>
              <w:ind w:right="59"/>
              <w:rPr>
                <w:sz w:val="12"/>
              </w:rPr>
            </w:pPr>
            <w:r>
              <w:rPr>
                <w:w w:val="105"/>
                <w:sz w:val="12"/>
              </w:rPr>
              <w:t>19.4</w:t>
            </w:r>
          </w:p>
        </w:tc>
        <w:tc>
          <w:tcPr>
            <w:tcW w:w="684" w:type="dxa"/>
            <w:tcBorders>
              <w:top w:val="single" w:sz="4" w:space="0" w:color="000000"/>
              <w:left w:val="single" w:sz="4" w:space="0" w:color="000000"/>
              <w:bottom w:val="single" w:sz="8" w:space="0" w:color="000000"/>
              <w:right w:val="single" w:sz="4" w:space="0" w:color="000000"/>
            </w:tcBorders>
          </w:tcPr>
          <w:p>
            <w:pPr>
              <w:pStyle w:val="TableParagraph"/>
              <w:spacing w:before="0"/>
              <w:ind w:right="59"/>
              <w:rPr>
                <w:sz w:val="12"/>
              </w:rPr>
            </w:pPr>
            <w:r>
              <w:rPr>
                <w:w w:val="105"/>
                <w:sz w:val="12"/>
              </w:rPr>
              <w:t>18.3</w:t>
            </w:r>
          </w:p>
        </w:tc>
        <w:tc>
          <w:tcPr>
            <w:tcW w:w="685" w:type="dxa"/>
            <w:tcBorders>
              <w:top w:val="single" w:sz="4" w:space="0" w:color="000000"/>
              <w:left w:val="single" w:sz="4" w:space="0" w:color="000000"/>
              <w:bottom w:val="single" w:sz="8" w:space="0" w:color="000000"/>
              <w:right w:val="single" w:sz="3" w:space="0" w:color="000000"/>
            </w:tcBorders>
          </w:tcPr>
          <w:p>
            <w:pPr>
              <w:pStyle w:val="TableParagraph"/>
              <w:spacing w:before="0"/>
              <w:ind w:right="62"/>
              <w:rPr>
                <w:sz w:val="12"/>
              </w:rPr>
            </w:pPr>
            <w:r>
              <w:rPr>
                <w:w w:val="105"/>
                <w:sz w:val="12"/>
              </w:rPr>
              <w:t>25.1</w:t>
            </w:r>
          </w:p>
        </w:tc>
        <w:tc>
          <w:tcPr>
            <w:tcW w:w="688" w:type="dxa"/>
            <w:tcBorders>
              <w:top w:val="single" w:sz="4" w:space="0" w:color="000000"/>
              <w:left w:val="single" w:sz="3" w:space="0" w:color="000000"/>
              <w:bottom w:val="single" w:sz="8" w:space="0" w:color="000000"/>
              <w:right w:val="single" w:sz="4" w:space="0" w:color="000000"/>
            </w:tcBorders>
          </w:tcPr>
          <w:p>
            <w:pPr>
              <w:pStyle w:val="TableParagraph"/>
              <w:spacing w:before="0"/>
              <w:ind w:right="64"/>
              <w:rPr>
                <w:sz w:val="12"/>
              </w:rPr>
            </w:pPr>
            <w:r>
              <w:rPr>
                <w:w w:val="105"/>
                <w:sz w:val="12"/>
              </w:rPr>
              <w:t>29.2</w:t>
            </w:r>
          </w:p>
        </w:tc>
        <w:tc>
          <w:tcPr>
            <w:tcW w:w="684" w:type="dxa"/>
            <w:tcBorders>
              <w:top w:val="single" w:sz="4" w:space="0" w:color="000000"/>
              <w:left w:val="single" w:sz="4" w:space="0" w:color="000000"/>
              <w:bottom w:val="single" w:sz="8" w:space="0" w:color="000000"/>
              <w:right w:val="single" w:sz="4" w:space="0" w:color="000000"/>
            </w:tcBorders>
          </w:tcPr>
          <w:p>
            <w:pPr>
              <w:pStyle w:val="TableParagraph"/>
              <w:spacing w:before="0"/>
              <w:ind w:right="62"/>
              <w:rPr>
                <w:sz w:val="12"/>
              </w:rPr>
            </w:pPr>
            <w:r>
              <w:rPr>
                <w:w w:val="105"/>
                <w:sz w:val="12"/>
              </w:rPr>
              <w:t>32.4</w:t>
            </w:r>
          </w:p>
        </w:tc>
        <w:tc>
          <w:tcPr>
            <w:tcW w:w="684" w:type="dxa"/>
            <w:tcBorders>
              <w:top w:val="single" w:sz="4" w:space="0" w:color="000000"/>
              <w:left w:val="single" w:sz="4" w:space="0" w:color="000000"/>
              <w:bottom w:val="single" w:sz="8" w:space="0" w:color="000000"/>
              <w:right w:val="single" w:sz="4" w:space="0" w:color="000000"/>
            </w:tcBorders>
          </w:tcPr>
          <w:p>
            <w:pPr>
              <w:pStyle w:val="TableParagraph"/>
              <w:spacing w:before="0"/>
              <w:ind w:right="59"/>
              <w:rPr>
                <w:sz w:val="12"/>
              </w:rPr>
            </w:pPr>
            <w:r>
              <w:rPr>
                <w:w w:val="105"/>
                <w:sz w:val="12"/>
              </w:rPr>
              <w:t>35.5</w:t>
            </w:r>
          </w:p>
        </w:tc>
        <w:tc>
          <w:tcPr>
            <w:tcW w:w="682" w:type="dxa"/>
            <w:tcBorders>
              <w:top w:val="single" w:sz="4" w:space="0" w:color="000000"/>
              <w:left w:val="single" w:sz="4" w:space="0" w:color="000000"/>
              <w:bottom w:val="single" w:sz="8" w:space="0" w:color="000000"/>
              <w:right w:val="single" w:sz="4" w:space="0" w:color="000000"/>
            </w:tcBorders>
          </w:tcPr>
          <w:p>
            <w:pPr>
              <w:pStyle w:val="TableParagraph"/>
              <w:spacing w:before="0"/>
              <w:ind w:right="57"/>
              <w:rPr>
                <w:sz w:val="12"/>
              </w:rPr>
            </w:pPr>
            <w:r>
              <w:rPr>
                <w:w w:val="105"/>
                <w:sz w:val="12"/>
              </w:rPr>
              <w:t>32.6</w:t>
            </w:r>
          </w:p>
        </w:tc>
        <w:tc>
          <w:tcPr>
            <w:tcW w:w="685" w:type="dxa"/>
            <w:tcBorders>
              <w:top w:val="single" w:sz="4" w:space="0" w:color="000000"/>
              <w:left w:val="single" w:sz="4" w:space="0" w:color="000000"/>
              <w:bottom w:val="single" w:sz="8" w:space="0" w:color="000000"/>
              <w:right w:val="single" w:sz="3" w:space="0" w:color="000000"/>
            </w:tcBorders>
          </w:tcPr>
          <w:p>
            <w:pPr>
              <w:pStyle w:val="TableParagraph"/>
              <w:spacing w:before="0"/>
              <w:ind w:right="59"/>
              <w:rPr>
                <w:sz w:val="12"/>
              </w:rPr>
            </w:pPr>
            <w:r>
              <w:rPr>
                <w:w w:val="105"/>
                <w:sz w:val="12"/>
              </w:rPr>
              <w:t>27.5</w:t>
            </w:r>
          </w:p>
        </w:tc>
        <w:tc>
          <w:tcPr>
            <w:tcW w:w="721" w:type="dxa"/>
            <w:tcBorders>
              <w:top w:val="single" w:sz="4" w:space="0" w:color="000000"/>
              <w:left w:val="single" w:sz="3" w:space="0" w:color="000000"/>
              <w:bottom w:val="single" w:sz="8" w:space="0" w:color="000000"/>
              <w:right w:val="single" w:sz="4" w:space="0" w:color="000000"/>
            </w:tcBorders>
          </w:tcPr>
          <w:p>
            <w:pPr>
              <w:pStyle w:val="TableParagraph"/>
              <w:spacing w:before="0"/>
              <w:ind w:right="59"/>
              <w:rPr>
                <w:sz w:val="12"/>
              </w:rPr>
            </w:pPr>
            <w:r>
              <w:rPr>
                <w:w w:val="105"/>
                <w:sz w:val="12"/>
              </w:rPr>
              <w:t>0.1</w:t>
            </w:r>
          </w:p>
        </w:tc>
        <w:tc>
          <w:tcPr>
            <w:tcW w:w="547" w:type="dxa"/>
            <w:tcBorders>
              <w:top w:val="single" w:sz="4" w:space="0" w:color="000000"/>
              <w:left w:val="single" w:sz="4" w:space="0" w:color="000000"/>
              <w:bottom w:val="single" w:sz="8" w:space="0" w:color="000000"/>
              <w:right w:val="single" w:sz="4" w:space="0" w:color="000000"/>
            </w:tcBorders>
          </w:tcPr>
          <w:p>
            <w:pPr>
              <w:pStyle w:val="TableParagraph"/>
              <w:spacing w:before="0"/>
              <w:ind w:right="62"/>
              <w:rPr>
                <w:sz w:val="12"/>
              </w:rPr>
            </w:pPr>
            <w:r>
              <w:rPr>
                <w:w w:val="105"/>
                <w:sz w:val="12"/>
              </w:rPr>
              <w:t>9.0</w:t>
            </w:r>
          </w:p>
        </w:tc>
        <w:tc>
          <w:tcPr>
            <w:tcW w:w="684" w:type="dxa"/>
            <w:tcBorders>
              <w:top w:val="single" w:sz="4" w:space="0" w:color="000000"/>
              <w:left w:val="single" w:sz="4" w:space="0" w:color="000000"/>
              <w:bottom w:val="single" w:sz="8" w:space="0" w:color="000000"/>
              <w:right w:val="single" w:sz="4" w:space="0" w:color="000000"/>
            </w:tcBorders>
          </w:tcPr>
          <w:p>
            <w:pPr>
              <w:pStyle w:val="TableParagraph"/>
              <w:spacing w:line="136" w:lineRule="exact" w:before="0"/>
              <w:ind w:right="62"/>
              <w:rPr>
                <w:b/>
                <w:sz w:val="12"/>
              </w:rPr>
            </w:pPr>
            <w:r>
              <w:rPr>
                <w:b/>
                <w:w w:val="105"/>
                <w:sz w:val="12"/>
              </w:rPr>
              <w:t>21,859.2</w:t>
            </w:r>
          </w:p>
        </w:tc>
        <w:tc>
          <w:tcPr>
            <w:tcW w:w="432" w:type="dxa"/>
            <w:tcBorders>
              <w:top w:val="single" w:sz="4" w:space="0" w:color="000000"/>
              <w:left w:val="single" w:sz="4" w:space="0" w:color="000000"/>
              <w:bottom w:val="single" w:sz="8" w:space="0" w:color="000000"/>
              <w:right w:val="single" w:sz="8" w:space="0" w:color="000000"/>
            </w:tcBorders>
          </w:tcPr>
          <w:p>
            <w:pPr>
              <w:pStyle w:val="TableParagraph"/>
              <w:spacing w:line="136" w:lineRule="exact" w:before="0"/>
              <w:ind w:left="95" w:right="4"/>
              <w:jc w:val="center"/>
              <w:rPr>
                <w:b/>
                <w:sz w:val="12"/>
              </w:rPr>
            </w:pPr>
            <w:r>
              <w:rPr>
                <w:b/>
                <w:w w:val="105"/>
                <w:sz w:val="12"/>
              </w:rPr>
              <w:t>100</w:t>
            </w:r>
          </w:p>
        </w:tc>
      </w:tr>
    </w:tbl>
    <w:p>
      <w:pPr>
        <w:spacing w:line="242" w:lineRule="auto" w:before="2"/>
        <w:ind w:left="181" w:right="334" w:firstLine="0"/>
        <w:jc w:val="left"/>
        <w:rPr>
          <w:sz w:val="21"/>
        </w:rPr>
      </w:pPr>
      <w:r>
        <w:rPr>
          <w:sz w:val="21"/>
        </w:rPr>
        <w:t>Fuente: Elaboración propia con información estadística del Banco de México. 2003-2009.   TCMA: Tasa de crecimiento media anual, FAA: Frecuencia absoluta acumulada  FRA:  Frecuencia relativa</w:t>
      </w:r>
      <w:r>
        <w:rPr>
          <w:spacing w:val="47"/>
          <w:sz w:val="21"/>
        </w:rPr>
        <w:t> </w:t>
      </w:r>
      <w:r>
        <w:rPr>
          <w:sz w:val="21"/>
        </w:rPr>
        <w:t>acumulada.</w:t>
      </w:r>
    </w:p>
    <w:p>
      <w:pPr>
        <w:pStyle w:val="BodyText"/>
        <w:rPr>
          <w:sz w:val="20"/>
        </w:rPr>
      </w:pPr>
    </w:p>
    <w:p>
      <w:pPr>
        <w:pStyle w:val="BodyText"/>
        <w:spacing w:line="364" w:lineRule="auto" w:before="174"/>
        <w:ind w:left="181" w:right="183"/>
        <w:jc w:val="both"/>
      </w:pPr>
      <w:r>
        <w:rPr/>
        <w:t>Al realizarse el análisis a nivel de entidades federativas, es Michoacán el mayor  captador de remesas familiares en el país al absorber el 10.5% de las remesas nacionales y que significan 2,291.8 millones de dólares el cual presentó una tasa de crecimiento media anual de 3.1%; en orden de importancia le siguen  Guanajuato, Estado de México, Jalisco y Veracruz, dentro de los cinco estados más importantes, y captan</w:t>
      </w:r>
      <w:r>
        <w:rPr>
          <w:spacing w:val="44"/>
        </w:rPr>
        <w:t> </w:t>
      </w:r>
      <w:r>
        <w:rPr/>
        <w:t>de</w:t>
      </w:r>
      <w:r>
        <w:rPr>
          <w:spacing w:val="44"/>
        </w:rPr>
        <w:t> </w:t>
      </w:r>
      <w:r>
        <w:rPr/>
        <w:t>manera</w:t>
      </w:r>
      <w:r>
        <w:rPr>
          <w:spacing w:val="44"/>
        </w:rPr>
        <w:t> </w:t>
      </w:r>
      <w:r>
        <w:rPr/>
        <w:t>individual</w:t>
      </w:r>
      <w:r>
        <w:rPr>
          <w:spacing w:val="46"/>
        </w:rPr>
        <w:t> </w:t>
      </w:r>
      <w:r>
        <w:rPr/>
        <w:t>1,997.8</w:t>
      </w:r>
      <w:r>
        <w:rPr>
          <w:spacing w:val="44"/>
        </w:rPr>
        <w:t> </w:t>
      </w:r>
      <w:r>
        <w:rPr/>
        <w:t>(9.1%),</w:t>
      </w:r>
      <w:r>
        <w:rPr>
          <w:spacing w:val="48"/>
        </w:rPr>
        <w:t> </w:t>
      </w:r>
      <w:r>
        <w:rPr/>
        <w:t>1,780.4</w:t>
      </w:r>
      <w:r>
        <w:rPr>
          <w:spacing w:val="41"/>
        </w:rPr>
        <w:t> </w:t>
      </w:r>
      <w:r>
        <w:rPr/>
        <w:t>(8.1%),</w:t>
      </w:r>
      <w:r>
        <w:rPr>
          <w:spacing w:val="48"/>
        </w:rPr>
        <w:t> </w:t>
      </w:r>
      <w:r>
        <w:rPr/>
        <w:t>1,747.2</w:t>
      </w:r>
      <w:r>
        <w:rPr>
          <w:spacing w:val="44"/>
        </w:rPr>
        <w:t> </w:t>
      </w:r>
      <w:r>
        <w:rPr/>
        <w:t>(8.0%),</w:t>
      </w:r>
      <w:r>
        <w:rPr>
          <w:spacing w:val="44"/>
        </w:rPr>
        <w:t> </w:t>
      </w:r>
      <w:r>
        <w:rPr/>
        <w:t>1,405.7</w:t>
      </w:r>
    </w:p>
    <w:p>
      <w:pPr>
        <w:spacing w:after="0" w:line="364" w:lineRule="auto"/>
        <w:jc w:val="both"/>
        <w:sectPr>
          <w:footerReference w:type="default" r:id="rId275"/>
          <w:pgSz w:w="11900" w:h="16840"/>
          <w:pgMar w:footer="1676" w:header="0" w:top="1600" w:bottom="1860" w:left="1220" w:right="1200"/>
          <w:pgNumType w:start="185"/>
        </w:sectPr>
      </w:pPr>
    </w:p>
    <w:p>
      <w:pPr>
        <w:pStyle w:val="BodyText"/>
        <w:rPr>
          <w:sz w:val="20"/>
        </w:rPr>
      </w:pPr>
    </w:p>
    <w:p>
      <w:pPr>
        <w:pStyle w:val="BodyText"/>
        <w:spacing w:before="8"/>
        <w:rPr>
          <w:sz w:val="18"/>
        </w:rPr>
      </w:pPr>
    </w:p>
    <w:p>
      <w:pPr>
        <w:pStyle w:val="BodyText"/>
        <w:tabs>
          <w:tab w:pos="1020" w:val="left" w:leader="none"/>
          <w:tab w:pos="2105" w:val="left" w:leader="none"/>
          <w:tab w:pos="2597" w:val="left" w:leader="none"/>
          <w:tab w:pos="3591" w:val="left" w:leader="none"/>
          <w:tab w:pos="5597" w:val="left" w:leader="none"/>
          <w:tab w:pos="7411" w:val="left" w:leader="none"/>
          <w:tab w:pos="8199" w:val="left" w:leader="none"/>
        </w:tabs>
        <w:spacing w:line="364" w:lineRule="auto" w:before="74"/>
        <w:ind w:left="103" w:right="106"/>
      </w:pPr>
      <w:r>
        <w:rPr/>
        <w:t>(6.4%)</w:t>
        <w:tab/>
        <w:t>millones</w:t>
        <w:tab/>
        <w:t>de</w:t>
        <w:tab/>
        <w:t>dólares</w:t>
        <w:tab/>
        <w:t>respectivamente.</w:t>
        <w:tab/>
        <w:t>Conjuntamente</w:t>
        <w:tab/>
        <w:t>estas</w:t>
        <w:tab/>
        <w:t>entidades federativas absorben el 42.2% de remesas nacionales (Cuadro </w:t>
      </w:r>
      <w:r>
        <w:rPr>
          <w:spacing w:val="9"/>
        </w:rPr>
        <w:t> </w:t>
      </w:r>
      <w:r>
        <w:rPr/>
        <w:t>5).</w:t>
      </w:r>
    </w:p>
    <w:p>
      <w:pPr>
        <w:pStyle w:val="BodyText"/>
        <w:spacing w:before="1"/>
        <w:rPr>
          <w:sz w:val="29"/>
        </w:rPr>
      </w:pPr>
    </w:p>
    <w:p>
      <w:pPr>
        <w:pStyle w:val="BodyText"/>
        <w:spacing w:before="74"/>
        <w:ind w:left="103" w:right="102"/>
      </w:pPr>
      <w:r>
        <w:rPr/>
        <w:t>Es  importante  señalar  en  esta  parte  que  la  migración  internacional  mexicana</w:t>
      </w:r>
      <w:r>
        <w:rPr>
          <w:spacing w:val="55"/>
        </w:rPr>
        <w:t> </w:t>
      </w:r>
      <w:r>
        <w:rPr/>
        <w:t>tiene</w:t>
      </w:r>
    </w:p>
    <w:p>
      <w:pPr>
        <w:pStyle w:val="BodyText"/>
        <w:spacing w:line="364" w:lineRule="auto" w:before="138"/>
        <w:ind w:left="103" w:right="102"/>
      </w:pPr>
      <w:r>
        <w:rPr/>
        <w:t>como principal destino Estados Unidos, que generalmente se migra por cuestiones laborales, aunque cabe destacar que también se hace por reunificación familiar (Para</w:t>
      </w:r>
    </w:p>
    <w:p>
      <w:pPr>
        <w:pStyle w:val="BodyText"/>
        <w:spacing w:before="7"/>
        <w:ind w:left="103" w:right="102"/>
      </w:pPr>
      <w:r>
        <w:rPr/>
        <w:t>juntarse  toda  o  parte  de  la  familia),  el  migrante  prototipo  se  ubica  en  un mercado</w:t>
      </w:r>
    </w:p>
    <w:p>
      <w:pPr>
        <w:pStyle w:val="BodyText"/>
        <w:spacing w:before="136"/>
        <w:ind w:left="103" w:right="102"/>
      </w:pPr>
      <w:r>
        <w:rPr/>
        <w:t>laboral de baja remuneración económica donde se carecen de prestaciones  sociales.</w:t>
      </w:r>
    </w:p>
    <w:p>
      <w:pPr>
        <w:pStyle w:val="BodyText"/>
        <w:rPr>
          <w:sz w:val="20"/>
        </w:rPr>
      </w:pPr>
    </w:p>
    <w:p>
      <w:pPr>
        <w:pStyle w:val="BodyText"/>
        <w:spacing w:before="3"/>
        <w:rPr>
          <w:sz w:val="20"/>
        </w:rPr>
      </w:pPr>
    </w:p>
    <w:p>
      <w:pPr>
        <w:pStyle w:val="Heading4"/>
        <w:spacing w:line="244" w:lineRule="auto" w:before="74"/>
        <w:ind w:left="4198" w:right="102" w:hanging="3903"/>
        <w:rPr>
          <w:sz w:val="21"/>
        </w:rPr>
      </w:pPr>
      <w:r>
        <w:rPr/>
        <w:t>Figura 5. Tasas de crecimiento de las remesas familiares en los estados, 2003- 2009 </w:t>
      </w:r>
      <w:r>
        <w:rPr>
          <w:sz w:val="21"/>
        </w:rPr>
        <w:t>(%)</w:t>
      </w:r>
    </w:p>
    <w:p>
      <w:pPr>
        <w:pStyle w:val="BodyText"/>
        <w:ind w:left="552"/>
        <w:rPr>
          <w:sz w:val="20"/>
        </w:rPr>
      </w:pPr>
      <w:r>
        <w:rPr>
          <w:sz w:val="20"/>
        </w:rPr>
        <w:pict>
          <v:group style="width:410.4pt;height:226pt;mso-position-horizontal-relative:char;mso-position-vertical-relative:line" coordorigin="0,0" coordsize="8208,4520">
            <v:shape style="position:absolute;left:1932;top:58;width:406;height:3883" type="#_x0000_t75" stroked="false">
              <v:imagedata r:id="rId276" o:title=""/>
            </v:shape>
            <v:line style="position:absolute" from="1939,3962" to="1954,3962" stroked="true" strokeweight="3.12pt" strokecolor="#858585"/>
            <v:line style="position:absolute" from="1882,3931" to="1946,3931" stroked="true" strokeweight=".72pt" strokecolor="#858585"/>
            <v:line style="position:absolute" from="1882,3557" to="1946,3557" stroked="true" strokeweight=".72pt" strokecolor="#858585"/>
            <v:line style="position:absolute" from="1882,3180" to="1946,3180" stroked="true" strokeweight=".72pt" strokecolor="#858585"/>
            <v:line style="position:absolute" from="1882,2801" to="1946,2801" stroked="true" strokeweight=".72pt" strokecolor="#858585"/>
            <v:line style="position:absolute" from="1882,2426" to="1946,2426" stroked="true" strokeweight=".72pt" strokecolor="#858585"/>
            <v:line style="position:absolute" from="1882,2050" to="1946,2050" stroked="true" strokeweight=".72pt" strokecolor="#858585"/>
            <v:line style="position:absolute" from="1882,1673" to="1946,1673" stroked="true" strokeweight=".72pt" strokecolor="#858585"/>
            <v:line style="position:absolute" from="1882,1296" to="1946,1296" stroked="true" strokeweight=".72pt" strokecolor="#858585"/>
            <v:line style="position:absolute" from="1882,919" to="1946,919" stroked="true" strokeweight=".72pt" strokecolor="#858585"/>
            <v:line style="position:absolute" from="1882,542" to="1946,542" stroked="true" strokeweight=".72pt" strokecolor="#858585"/>
            <v:line style="position:absolute" from="1882,166" to="1946,166" stroked="true" strokeweight=".72pt" strokecolor="#858585"/>
            <v:shape style="position:absolute;left:0;top:0;width:2338;height:4520" coordorigin="0,0" coordsize="2338,4520" path="m2338,0l2,0,0,2,0,4512,5,4519,2338,4519,2338,4505,29,4505,14,4490,29,4490,29,24,14,24,29,10,2338,10,2338,0xm29,4490l14,4490,29,4505,29,4490xm2338,4490l29,4490,29,4505,2338,4505,2338,4490xm29,10l14,24,29,24,29,10xm2338,10l29,10,29,24,2338,24,2338,10xe" filled="true" fillcolor="#0c0c0c" stroked="false">
              <v:path arrowok="t"/>
              <v:fill type="solid"/>
            </v:shape>
            <v:shape style="position:absolute;left:2338;top:58;width:4188;height:3883" type="#_x0000_t75" stroked="false">
              <v:imagedata r:id="rId277" o:title=""/>
            </v:shape>
            <v:line style="position:absolute" from="2580,3962" to="2594,3962" stroked="true" strokeweight="3.12pt" strokecolor="#858585"/>
            <v:line style="position:absolute" from="3221,3962" to="3235,3962" stroked="true" strokeweight="3.12pt" strokecolor="#858585"/>
            <v:line style="position:absolute" from="3864,3962" to="3878,3962" stroked="true" strokeweight="3.12pt" strokecolor="#858585"/>
            <v:line style="position:absolute" from="4505,3962" to="4522,3962" stroked="true" strokeweight="3.12pt" strokecolor="#858585"/>
            <v:line style="position:absolute" from="5148,3962" to="5162,3962" stroked="true" strokeweight="3.12pt" strokecolor="#858585"/>
            <v:line style="position:absolute" from="5791,3962" to="5806,3962" stroked="true" strokeweight="3.12pt" strokecolor="#858585"/>
            <v:line style="position:absolute" from="6434,3962" to="6449,3962" stroked="true" strokeweight="3.12pt" strokecolor="#858585"/>
            <v:line style="position:absolute" from="2338,4505" to="6526,4505" stroked="true" strokeweight="1.44pt" strokecolor="#0c0c0c"/>
            <v:line style="position:absolute" from="2338,12" to="6526,12" stroked="true" strokeweight="1.199968pt" strokecolor="#0c0c0c"/>
            <v:shape style="position:absolute;left:6526;top:58;width:1337;height:3883" type="#_x0000_t75" stroked="false">
              <v:imagedata r:id="rId278" o:title=""/>
            </v:shape>
            <v:line style="position:absolute" from="7075,3962" to="7090,3962" stroked="true" strokeweight="3.12pt" strokecolor="#858585"/>
            <v:line style="position:absolute" from="7716,3962" to="7730,3962" stroked="true" strokeweight="3.12pt" strokecolor="#858585"/>
            <v:shape style="position:absolute;left:6526;top:0;width:1683;height:4520" coordorigin="6526,0" coordsize="1683,4520" path="m8179,4490l6526,4490,6526,4519,8201,4519,8208,4512,8208,4505,8179,4505,8179,4490xm8179,10l8179,4505,8194,4490,8208,4490,8208,24,8194,24,8179,10xm8208,4490l8194,4490,8179,4505,8208,4505,8208,4490xm8206,0l6526,0,6526,24,8179,24,8179,10,8208,10,8208,2,8206,0xm8208,10l8179,10,8194,24,8208,24,8208,10xe" filled="true" fillcolor="#0c0c0c" stroked="false">
              <v:path arrowok="t"/>
              <v:fill type="solid"/>
            </v:shape>
            <v:shape style="position:absolute;left:338;top:277;width:1427;height:3583" type="#_x0000_t202" filled="false" stroked="false">
              <v:textbox inset="0,0,0,0">
                <w:txbxContent>
                  <w:p>
                    <w:pPr>
                      <w:spacing w:line="196" w:lineRule="exact" w:before="0"/>
                      <w:ind w:left="0" w:right="1" w:firstLine="0"/>
                      <w:jc w:val="right"/>
                      <w:rPr>
                        <w:rFonts w:ascii="Calibri"/>
                        <w:b/>
                        <w:sz w:val="19"/>
                      </w:rPr>
                    </w:pPr>
                    <w:r>
                      <w:rPr>
                        <w:rFonts w:ascii="Calibri"/>
                        <w:b/>
                        <w:sz w:val="19"/>
                      </w:rPr>
                      <w:t>Hidalgo</w:t>
                    </w:r>
                  </w:p>
                  <w:p>
                    <w:pPr>
                      <w:spacing w:before="142"/>
                      <w:ind w:left="0" w:right="1" w:firstLine="0"/>
                      <w:jc w:val="right"/>
                      <w:rPr>
                        <w:rFonts w:ascii="Calibri"/>
                        <w:b/>
                        <w:sz w:val="19"/>
                      </w:rPr>
                    </w:pPr>
                    <w:r>
                      <w:rPr>
                        <w:rFonts w:ascii="Calibri"/>
                        <w:b/>
                        <w:sz w:val="19"/>
                      </w:rPr>
                      <w:t>Distrito Federal</w:t>
                    </w:r>
                  </w:p>
                  <w:p>
                    <w:pPr>
                      <w:spacing w:line="388" w:lineRule="auto" w:before="145"/>
                      <w:ind w:left="686" w:right="0" w:firstLine="151"/>
                      <w:jc w:val="right"/>
                      <w:rPr>
                        <w:rFonts w:ascii="Calibri"/>
                        <w:b/>
                        <w:sz w:val="19"/>
                      </w:rPr>
                    </w:pPr>
                    <w:r>
                      <w:rPr>
                        <w:rFonts w:ascii="Calibri"/>
                        <w:b/>
                        <w:sz w:val="19"/>
                      </w:rPr>
                      <w:t>Oaxaca Guerrero Puebla Veracruz Jalisco</w:t>
                    </w:r>
                  </w:p>
                  <w:p>
                    <w:pPr>
                      <w:spacing w:before="1"/>
                      <w:ind w:left="0" w:right="0" w:firstLine="0"/>
                      <w:jc w:val="right"/>
                      <w:rPr>
                        <w:rFonts w:ascii="Calibri" w:hAnsi="Calibri"/>
                        <w:b/>
                        <w:sz w:val="19"/>
                      </w:rPr>
                    </w:pPr>
                    <w:r>
                      <w:rPr>
                        <w:rFonts w:ascii="Calibri" w:hAnsi="Calibri"/>
                        <w:b/>
                        <w:sz w:val="19"/>
                      </w:rPr>
                      <w:t>Estado de México</w:t>
                    </w:r>
                  </w:p>
                  <w:p>
                    <w:pPr>
                      <w:spacing w:line="370" w:lineRule="atLeast" w:before="6"/>
                      <w:ind w:left="539" w:right="0" w:hanging="63"/>
                      <w:jc w:val="right"/>
                      <w:rPr>
                        <w:rFonts w:ascii="Calibri" w:hAnsi="Calibri"/>
                        <w:b/>
                        <w:sz w:val="19"/>
                      </w:rPr>
                    </w:pPr>
                    <w:r>
                      <w:rPr>
                        <w:rFonts w:ascii="Calibri" w:hAnsi="Calibri"/>
                        <w:b/>
                        <w:sz w:val="19"/>
                      </w:rPr>
                      <w:t>Guanajuato Michoacán</w:t>
                    </w:r>
                  </w:p>
                </w:txbxContent>
              </v:textbox>
              <w10:wrap type="none"/>
            </v:shape>
            <v:shape style="position:absolute;left:4567;top:235;width:305;height:205" type="#_x0000_t202" filled="false" stroked="false">
              <v:textbox inset="0,0,0,0">
                <w:txbxContent>
                  <w:p>
                    <w:pPr>
                      <w:spacing w:line="204" w:lineRule="exact" w:before="0"/>
                      <w:ind w:left="0" w:right="-5" w:firstLine="0"/>
                      <w:jc w:val="left"/>
                      <w:rPr>
                        <w:rFonts w:ascii="Calibri"/>
                        <w:sz w:val="19"/>
                      </w:rPr>
                    </w:pPr>
                    <w:r>
                      <w:rPr>
                        <w:rFonts w:ascii="Times New Roman"/>
                        <w:w w:val="102"/>
                        <w:sz w:val="19"/>
                        <w:shd w:fill="FCD5B4" w:color="auto" w:val="clear"/>
                      </w:rPr>
                      <w:t> </w:t>
                    </w:r>
                    <w:r>
                      <w:rPr>
                        <w:rFonts w:ascii="Calibri"/>
                        <w:sz w:val="19"/>
                        <w:shd w:fill="FCD5B4" w:color="auto" w:val="clear"/>
                      </w:rPr>
                      <w:t>3.8</w:t>
                    </w:r>
                  </w:p>
                </w:txbxContent>
              </v:textbox>
              <w10:wrap type="none"/>
            </v:shape>
            <v:shape style="position:absolute;left:3955;top:629;width:305;height:205" type="#_x0000_t202" filled="false" stroked="false">
              <v:textbox inset="0,0,0,0">
                <w:txbxContent>
                  <w:p>
                    <w:pPr>
                      <w:spacing w:line="204" w:lineRule="exact" w:before="0"/>
                      <w:ind w:left="0" w:right="-5" w:firstLine="0"/>
                      <w:jc w:val="left"/>
                      <w:rPr>
                        <w:rFonts w:ascii="Calibri"/>
                        <w:sz w:val="19"/>
                      </w:rPr>
                    </w:pPr>
                    <w:r>
                      <w:rPr>
                        <w:rFonts w:ascii="Times New Roman"/>
                        <w:w w:val="102"/>
                        <w:sz w:val="19"/>
                        <w:shd w:fill="FCD5B4" w:color="auto" w:val="clear"/>
                      </w:rPr>
                      <w:t> </w:t>
                    </w:r>
                    <w:r>
                      <w:rPr>
                        <w:rFonts w:ascii="Calibri"/>
                        <w:sz w:val="19"/>
                        <w:shd w:fill="FCD5B4" w:color="auto" w:val="clear"/>
                      </w:rPr>
                      <w:t>2.9</w:t>
                    </w:r>
                  </w:p>
                </w:txbxContent>
              </v:textbox>
              <w10:wrap type="none"/>
            </v:shape>
            <v:shape style="position:absolute;left:7152;top:955;width:303;height:205" type="#_x0000_t202" filled="false" stroked="false">
              <v:textbox inset="0,0,0,0">
                <w:txbxContent>
                  <w:p>
                    <w:pPr>
                      <w:spacing w:line="204" w:lineRule="exact" w:before="0"/>
                      <w:ind w:left="0" w:right="-7" w:firstLine="0"/>
                      <w:jc w:val="left"/>
                      <w:rPr>
                        <w:rFonts w:ascii="Calibri"/>
                        <w:sz w:val="19"/>
                      </w:rPr>
                    </w:pPr>
                    <w:r>
                      <w:rPr>
                        <w:rFonts w:ascii="Times New Roman"/>
                        <w:w w:val="102"/>
                        <w:sz w:val="19"/>
                        <w:shd w:fill="FCD5B4" w:color="auto" w:val="clear"/>
                      </w:rPr>
                      <w:t> </w:t>
                    </w:r>
                    <w:r>
                      <w:rPr>
                        <w:rFonts w:ascii="Calibri"/>
                        <w:sz w:val="19"/>
                        <w:shd w:fill="FCD5B4" w:color="auto" w:val="clear"/>
                      </w:rPr>
                      <w:t>7.7</w:t>
                    </w:r>
                  </w:p>
                </w:txbxContent>
              </v:textbox>
              <w10:wrap type="none"/>
            </v:shape>
            <v:shape style="position:absolute;left:5554;top:1366;width:305;height:205" type="#_x0000_t202" filled="false" stroked="false">
              <v:textbox inset="0,0,0,0">
                <w:txbxContent>
                  <w:p>
                    <w:pPr>
                      <w:spacing w:line="204" w:lineRule="exact" w:before="0"/>
                      <w:ind w:left="0" w:right="-5" w:firstLine="0"/>
                      <w:jc w:val="left"/>
                      <w:rPr>
                        <w:rFonts w:ascii="Calibri"/>
                        <w:sz w:val="19"/>
                      </w:rPr>
                    </w:pPr>
                    <w:r>
                      <w:rPr>
                        <w:rFonts w:ascii="Times New Roman"/>
                        <w:w w:val="102"/>
                        <w:sz w:val="19"/>
                        <w:shd w:fill="FCD5B4" w:color="auto" w:val="clear"/>
                      </w:rPr>
                      <w:t> </w:t>
                    </w:r>
                    <w:r>
                      <w:rPr>
                        <w:rFonts w:ascii="Calibri"/>
                        <w:sz w:val="19"/>
                        <w:shd w:fill="FCD5B4" w:color="auto" w:val="clear"/>
                      </w:rPr>
                      <w:t>5.2</w:t>
                    </w:r>
                  </w:p>
                </w:txbxContent>
              </v:textbox>
              <w10:wrap type="none"/>
            </v:shape>
            <v:shape style="position:absolute;left:7570;top:1742;width:303;height:205" type="#_x0000_t202" filled="false" stroked="false">
              <v:textbox inset="0,0,0,0">
                <w:txbxContent>
                  <w:p>
                    <w:pPr>
                      <w:spacing w:line="204" w:lineRule="exact" w:before="0"/>
                      <w:ind w:left="0" w:right="-7" w:firstLine="0"/>
                      <w:jc w:val="left"/>
                      <w:rPr>
                        <w:rFonts w:ascii="Calibri"/>
                        <w:sz w:val="19"/>
                      </w:rPr>
                    </w:pPr>
                    <w:r>
                      <w:rPr>
                        <w:rFonts w:ascii="Times New Roman"/>
                        <w:w w:val="102"/>
                        <w:sz w:val="19"/>
                        <w:shd w:fill="FCD5B4" w:color="auto" w:val="clear"/>
                      </w:rPr>
                      <w:t> </w:t>
                    </w:r>
                    <w:r>
                      <w:rPr>
                        <w:rFonts w:ascii="Calibri"/>
                        <w:sz w:val="19"/>
                        <w:shd w:fill="FCD5B4" w:color="auto" w:val="clear"/>
                      </w:rPr>
                      <w:t>8.4</w:t>
                    </w:r>
                  </w:p>
                </w:txbxContent>
              </v:textbox>
              <w10:wrap type="none"/>
            </v:shape>
            <v:shape style="position:absolute;left:4795;top:2102;width:576;height:599" type="#_x0000_t202" filled="false" stroked="false">
              <v:textbox inset="0,0,0,0">
                <w:txbxContent>
                  <w:p>
                    <w:pPr>
                      <w:spacing w:line="207" w:lineRule="exact" w:before="0"/>
                      <w:ind w:left="273" w:right="-7" w:firstLine="0"/>
                      <w:jc w:val="left"/>
                      <w:rPr>
                        <w:rFonts w:ascii="Calibri"/>
                        <w:sz w:val="19"/>
                      </w:rPr>
                    </w:pPr>
                    <w:r>
                      <w:rPr>
                        <w:rFonts w:ascii="Times New Roman"/>
                        <w:w w:val="102"/>
                        <w:sz w:val="19"/>
                        <w:shd w:fill="FCD5B4" w:color="auto" w:val="clear"/>
                      </w:rPr>
                      <w:t> </w:t>
                    </w:r>
                    <w:r>
                      <w:rPr>
                        <w:rFonts w:ascii="Calibri"/>
                        <w:sz w:val="19"/>
                        <w:shd w:fill="FCD5B4" w:color="auto" w:val="clear"/>
                      </w:rPr>
                      <w:t>4.6</w:t>
                    </w:r>
                  </w:p>
                  <w:p>
                    <w:pPr>
                      <w:spacing w:line="229" w:lineRule="exact" w:before="161"/>
                      <w:ind w:left="0" w:right="-5" w:firstLine="0"/>
                      <w:jc w:val="left"/>
                      <w:rPr>
                        <w:rFonts w:ascii="Calibri"/>
                        <w:sz w:val="19"/>
                      </w:rPr>
                    </w:pPr>
                    <w:r>
                      <w:rPr>
                        <w:rFonts w:ascii="Times New Roman"/>
                        <w:w w:val="102"/>
                        <w:sz w:val="19"/>
                        <w:shd w:fill="FCD5B4" w:color="auto" w:val="clear"/>
                      </w:rPr>
                      <w:t> </w:t>
                    </w:r>
                    <w:r>
                      <w:rPr>
                        <w:rFonts w:ascii="Calibri"/>
                        <w:sz w:val="19"/>
                        <w:shd w:fill="FCD5B4" w:color="auto" w:val="clear"/>
                      </w:rPr>
                      <w:t>4.1</w:t>
                    </w:r>
                  </w:p>
                </w:txbxContent>
              </v:textbox>
              <w10:wrap type="none"/>
            </v:shape>
            <v:shape style="position:absolute;left:7013;top:2873;width:303;height:205" type="#_x0000_t202" filled="false" stroked="false">
              <v:textbox inset="0,0,0,0">
                <w:txbxContent>
                  <w:p>
                    <w:pPr>
                      <w:spacing w:line="204" w:lineRule="exact" w:before="0"/>
                      <w:ind w:left="0" w:right="-7" w:firstLine="0"/>
                      <w:jc w:val="left"/>
                      <w:rPr>
                        <w:rFonts w:ascii="Calibri"/>
                        <w:sz w:val="19"/>
                      </w:rPr>
                    </w:pPr>
                    <w:r>
                      <w:rPr>
                        <w:rFonts w:ascii="Times New Roman"/>
                        <w:w w:val="102"/>
                        <w:sz w:val="19"/>
                        <w:shd w:fill="FCD5B4" w:color="auto" w:val="clear"/>
                      </w:rPr>
                      <w:t> </w:t>
                    </w:r>
                    <w:r>
                      <w:rPr>
                        <w:rFonts w:ascii="Calibri"/>
                        <w:sz w:val="19"/>
                        <w:shd w:fill="FCD5B4" w:color="auto" w:val="clear"/>
                      </w:rPr>
                      <w:t>7.5</w:t>
                    </w:r>
                  </w:p>
                </w:txbxContent>
              </v:textbox>
              <w10:wrap type="none"/>
            </v:shape>
            <v:shape style="position:absolute;left:5782;top:3247;width:305;height:205" type="#_x0000_t202" filled="false" stroked="false">
              <v:textbox inset="0,0,0,0">
                <w:txbxContent>
                  <w:p>
                    <w:pPr>
                      <w:spacing w:line="204" w:lineRule="exact" w:before="0"/>
                      <w:ind w:left="0" w:right="-5" w:firstLine="0"/>
                      <w:jc w:val="left"/>
                      <w:rPr>
                        <w:rFonts w:ascii="Calibri"/>
                        <w:sz w:val="19"/>
                      </w:rPr>
                    </w:pPr>
                    <w:r>
                      <w:rPr>
                        <w:rFonts w:ascii="Times New Roman"/>
                        <w:w w:val="102"/>
                        <w:sz w:val="19"/>
                        <w:shd w:fill="FCD5B4" w:color="auto" w:val="clear"/>
                      </w:rPr>
                      <w:t> </w:t>
                    </w:r>
                    <w:r>
                      <w:rPr>
                        <w:rFonts w:ascii="Calibri"/>
                        <w:sz w:val="19"/>
                        <w:shd w:fill="FCD5B4" w:color="auto" w:val="clear"/>
                      </w:rPr>
                      <w:t>5.6</w:t>
                    </w:r>
                  </w:p>
                </w:txbxContent>
              </v:textbox>
              <w10:wrap type="none"/>
            </v:shape>
            <v:shape style="position:absolute;left:4099;top:3624;width:305;height:205" type="#_x0000_t202" filled="false" stroked="false">
              <v:textbox inset="0,0,0,0">
                <w:txbxContent>
                  <w:p>
                    <w:pPr>
                      <w:spacing w:line="204" w:lineRule="exact" w:before="0"/>
                      <w:ind w:left="0" w:right="-5" w:firstLine="0"/>
                      <w:jc w:val="left"/>
                      <w:rPr>
                        <w:rFonts w:ascii="Calibri"/>
                        <w:sz w:val="19"/>
                      </w:rPr>
                    </w:pPr>
                    <w:r>
                      <w:rPr>
                        <w:rFonts w:ascii="Times New Roman"/>
                        <w:w w:val="102"/>
                        <w:sz w:val="19"/>
                        <w:shd w:fill="FCD5B4" w:color="auto" w:val="clear"/>
                      </w:rPr>
                      <w:t> </w:t>
                    </w:r>
                    <w:r>
                      <w:rPr>
                        <w:rFonts w:ascii="Calibri"/>
                        <w:sz w:val="19"/>
                        <w:shd w:fill="FCD5B4" w:color="auto" w:val="clear"/>
                      </w:rPr>
                      <w:t>3.1</w:t>
                    </w:r>
                  </w:p>
                </w:txbxContent>
              </v:textbox>
              <w10:wrap type="none"/>
            </v:shape>
            <v:shape style="position:absolute;left:1824;top:4153;width:248;height:194" type="#_x0000_t202" filled="false" stroked="false">
              <v:textbox inset="0,0,0,0">
                <w:txbxContent>
                  <w:p>
                    <w:pPr>
                      <w:spacing w:line="194" w:lineRule="exact" w:before="0"/>
                      <w:ind w:left="0" w:right="-16" w:firstLine="0"/>
                      <w:jc w:val="left"/>
                      <w:rPr>
                        <w:rFonts w:ascii="Calibri"/>
                        <w:b/>
                        <w:sz w:val="19"/>
                      </w:rPr>
                    </w:pPr>
                    <w:r>
                      <w:rPr>
                        <w:rFonts w:ascii="Calibri"/>
                        <w:b/>
                        <w:sz w:val="19"/>
                      </w:rPr>
                      <w:t>0.0</w:t>
                    </w:r>
                  </w:p>
                </w:txbxContent>
              </v:textbox>
              <w10:wrap type="none"/>
            </v:shape>
            <v:shape style="position:absolute;left:2465;top:4153;width:248;height:194" type="#_x0000_t202" filled="false" stroked="false">
              <v:textbox inset="0,0,0,0">
                <w:txbxContent>
                  <w:p>
                    <w:pPr>
                      <w:spacing w:line="194" w:lineRule="exact" w:before="0"/>
                      <w:ind w:left="0" w:right="-16" w:firstLine="0"/>
                      <w:jc w:val="left"/>
                      <w:rPr>
                        <w:rFonts w:ascii="Calibri"/>
                        <w:b/>
                        <w:sz w:val="19"/>
                      </w:rPr>
                    </w:pPr>
                    <w:r>
                      <w:rPr>
                        <w:rFonts w:ascii="Calibri"/>
                        <w:b/>
                        <w:sz w:val="19"/>
                      </w:rPr>
                      <w:t>1.0</w:t>
                    </w:r>
                  </w:p>
                </w:txbxContent>
              </v:textbox>
              <w10:wrap type="none"/>
            </v:shape>
            <v:shape style="position:absolute;left:3106;top:4153;width:250;height:194" type="#_x0000_t202" filled="false" stroked="false">
              <v:textbox inset="0,0,0,0">
                <w:txbxContent>
                  <w:p>
                    <w:pPr>
                      <w:spacing w:line="194" w:lineRule="exact" w:before="0"/>
                      <w:ind w:left="0" w:right="-14" w:firstLine="0"/>
                      <w:jc w:val="left"/>
                      <w:rPr>
                        <w:rFonts w:ascii="Calibri"/>
                        <w:b/>
                        <w:sz w:val="19"/>
                      </w:rPr>
                    </w:pPr>
                    <w:r>
                      <w:rPr>
                        <w:rFonts w:ascii="Calibri"/>
                        <w:b/>
                        <w:sz w:val="19"/>
                      </w:rPr>
                      <w:t>2.0</w:t>
                    </w:r>
                  </w:p>
                </w:txbxContent>
              </v:textbox>
              <w10:wrap type="none"/>
            </v:shape>
            <v:shape style="position:absolute;left:3749;top:4153;width:248;height:194" type="#_x0000_t202" filled="false" stroked="false">
              <v:textbox inset="0,0,0,0">
                <w:txbxContent>
                  <w:p>
                    <w:pPr>
                      <w:spacing w:line="194" w:lineRule="exact" w:before="0"/>
                      <w:ind w:left="0" w:right="-16" w:firstLine="0"/>
                      <w:jc w:val="left"/>
                      <w:rPr>
                        <w:rFonts w:ascii="Calibri"/>
                        <w:b/>
                        <w:sz w:val="19"/>
                      </w:rPr>
                    </w:pPr>
                    <w:r>
                      <w:rPr>
                        <w:rFonts w:ascii="Calibri"/>
                        <w:b/>
                        <w:sz w:val="19"/>
                      </w:rPr>
                      <w:t>3.0</w:t>
                    </w:r>
                  </w:p>
                </w:txbxContent>
              </v:textbox>
              <w10:wrap type="none"/>
            </v:shape>
            <v:shape style="position:absolute;left:4392;top:4153;width:248;height:194" type="#_x0000_t202" filled="false" stroked="false">
              <v:textbox inset="0,0,0,0">
                <w:txbxContent>
                  <w:p>
                    <w:pPr>
                      <w:spacing w:line="194" w:lineRule="exact" w:before="0"/>
                      <w:ind w:left="0" w:right="-16" w:firstLine="0"/>
                      <w:jc w:val="left"/>
                      <w:rPr>
                        <w:rFonts w:ascii="Calibri"/>
                        <w:b/>
                        <w:sz w:val="19"/>
                      </w:rPr>
                    </w:pPr>
                    <w:r>
                      <w:rPr>
                        <w:rFonts w:ascii="Calibri"/>
                        <w:b/>
                        <w:sz w:val="19"/>
                      </w:rPr>
                      <w:t>4.0</w:t>
                    </w:r>
                  </w:p>
                </w:txbxContent>
              </v:textbox>
              <w10:wrap type="none"/>
            </v:shape>
            <v:shape style="position:absolute;left:5033;top:4153;width:248;height:194" type="#_x0000_t202" filled="false" stroked="false">
              <v:textbox inset="0,0,0,0">
                <w:txbxContent>
                  <w:p>
                    <w:pPr>
                      <w:spacing w:line="194" w:lineRule="exact" w:before="0"/>
                      <w:ind w:left="0" w:right="-16" w:firstLine="0"/>
                      <w:jc w:val="left"/>
                      <w:rPr>
                        <w:rFonts w:ascii="Calibri"/>
                        <w:b/>
                        <w:sz w:val="19"/>
                      </w:rPr>
                    </w:pPr>
                    <w:r>
                      <w:rPr>
                        <w:rFonts w:ascii="Calibri"/>
                        <w:b/>
                        <w:sz w:val="19"/>
                      </w:rPr>
                      <w:t>5.0</w:t>
                    </w:r>
                  </w:p>
                </w:txbxContent>
              </v:textbox>
              <w10:wrap type="none"/>
            </v:shape>
            <v:shape style="position:absolute;left:5676;top:4153;width:248;height:194" type="#_x0000_t202" filled="false" stroked="false">
              <v:textbox inset="0,0,0,0">
                <w:txbxContent>
                  <w:p>
                    <w:pPr>
                      <w:spacing w:line="194" w:lineRule="exact" w:before="0"/>
                      <w:ind w:left="0" w:right="-16" w:firstLine="0"/>
                      <w:jc w:val="left"/>
                      <w:rPr>
                        <w:rFonts w:ascii="Calibri"/>
                        <w:b/>
                        <w:sz w:val="19"/>
                      </w:rPr>
                    </w:pPr>
                    <w:r>
                      <w:rPr>
                        <w:rFonts w:ascii="Calibri"/>
                        <w:b/>
                        <w:sz w:val="19"/>
                      </w:rPr>
                      <w:t>6.0</w:t>
                    </w:r>
                  </w:p>
                </w:txbxContent>
              </v:textbox>
              <w10:wrap type="none"/>
            </v:shape>
            <v:shape style="position:absolute;left:6317;top:4153;width:248;height:194" type="#_x0000_t202" filled="false" stroked="false">
              <v:textbox inset="0,0,0,0">
                <w:txbxContent>
                  <w:p>
                    <w:pPr>
                      <w:spacing w:line="194" w:lineRule="exact" w:before="0"/>
                      <w:ind w:left="0" w:right="-16" w:firstLine="0"/>
                      <w:jc w:val="left"/>
                      <w:rPr>
                        <w:rFonts w:ascii="Calibri"/>
                        <w:b/>
                        <w:sz w:val="19"/>
                      </w:rPr>
                    </w:pPr>
                    <w:r>
                      <w:rPr>
                        <w:rFonts w:ascii="Calibri"/>
                        <w:b/>
                        <w:sz w:val="19"/>
                      </w:rPr>
                      <w:t>7.0</w:t>
                    </w:r>
                  </w:p>
                </w:txbxContent>
              </v:textbox>
              <w10:wrap type="none"/>
            </v:shape>
            <v:shape style="position:absolute;left:6958;top:4153;width:250;height:194" type="#_x0000_t202" filled="false" stroked="false">
              <v:textbox inset="0,0,0,0">
                <w:txbxContent>
                  <w:p>
                    <w:pPr>
                      <w:spacing w:line="194" w:lineRule="exact" w:before="0"/>
                      <w:ind w:left="0" w:right="-14" w:firstLine="0"/>
                      <w:jc w:val="left"/>
                      <w:rPr>
                        <w:rFonts w:ascii="Calibri"/>
                        <w:b/>
                        <w:sz w:val="19"/>
                      </w:rPr>
                    </w:pPr>
                    <w:r>
                      <w:rPr>
                        <w:rFonts w:ascii="Calibri"/>
                        <w:b/>
                        <w:sz w:val="19"/>
                      </w:rPr>
                      <w:t>8.0</w:t>
                    </w:r>
                  </w:p>
                </w:txbxContent>
              </v:textbox>
              <w10:wrap type="none"/>
            </v:shape>
            <v:shape style="position:absolute;left:7601;top:4153;width:248;height:194" type="#_x0000_t202" filled="false" stroked="false">
              <v:textbox inset="0,0,0,0">
                <w:txbxContent>
                  <w:p>
                    <w:pPr>
                      <w:spacing w:line="194" w:lineRule="exact" w:before="0"/>
                      <w:ind w:left="0" w:right="-16" w:firstLine="0"/>
                      <w:jc w:val="left"/>
                      <w:rPr>
                        <w:rFonts w:ascii="Calibri"/>
                        <w:b/>
                        <w:sz w:val="19"/>
                      </w:rPr>
                    </w:pPr>
                    <w:r>
                      <w:rPr>
                        <w:rFonts w:ascii="Calibri"/>
                        <w:b/>
                        <w:sz w:val="19"/>
                      </w:rPr>
                      <w:t>9.0</w:t>
                    </w:r>
                  </w:p>
                </w:txbxContent>
              </v:textbox>
              <w10:wrap type="none"/>
            </v:shape>
          </v:group>
        </w:pict>
      </w:r>
      <w:r>
        <w:rPr>
          <w:sz w:val="20"/>
        </w:rPr>
      </w:r>
    </w:p>
    <w:p>
      <w:pPr>
        <w:spacing w:before="103"/>
        <w:ind w:left="103" w:right="102" w:firstLine="0"/>
        <w:jc w:val="left"/>
        <w:rPr>
          <w:sz w:val="21"/>
        </w:rPr>
      </w:pPr>
      <w:r>
        <w:rPr>
          <w:sz w:val="21"/>
        </w:rPr>
        <w:t>Fuente: Elaboración propia con información estadística del Banco de México.   2003-2009.</w:t>
      </w:r>
    </w:p>
    <w:p>
      <w:pPr>
        <w:pStyle w:val="BodyText"/>
        <w:rPr>
          <w:sz w:val="20"/>
        </w:rPr>
      </w:pPr>
    </w:p>
    <w:p>
      <w:pPr>
        <w:pStyle w:val="BodyText"/>
        <w:spacing w:before="9"/>
        <w:rPr>
          <w:sz w:val="19"/>
        </w:rPr>
      </w:pPr>
    </w:p>
    <w:p>
      <w:pPr>
        <w:pStyle w:val="BodyText"/>
        <w:spacing w:line="364" w:lineRule="auto" w:before="74"/>
        <w:ind w:left="103" w:right="104"/>
        <w:jc w:val="both"/>
      </w:pPr>
      <w:r>
        <w:rPr/>
        <w:t>En la figura 5, se muestra las tasas de crecimiento de las remesas de  las  diez  entidades federativas más importantes en la captación de remesas en el país. En este sentido, se resalta que a pesar de ser Michoacán y Guanajuato los estados que </w:t>
      </w:r>
      <w:r>
        <w:rPr>
          <w:spacing w:val="54"/>
        </w:rPr>
        <w:t> </w:t>
      </w:r>
      <w:r>
        <w:rPr/>
        <w:t>reciben</w:t>
      </w:r>
    </w:p>
    <w:p>
      <w:pPr>
        <w:pStyle w:val="BodyText"/>
        <w:spacing w:before="2"/>
        <w:ind w:left="103" w:right="102"/>
      </w:pPr>
      <w:r>
        <w:rPr/>
        <w:t>los  mayores  monto  de  remesas,  sus  tasas  de  crecimiento  que  son  de  3.1  y 5.6%</w:t>
      </w:r>
    </w:p>
    <w:p>
      <w:pPr>
        <w:pStyle w:val="BodyText"/>
        <w:spacing w:line="364" w:lineRule="auto" w:before="141"/>
        <w:ind w:left="103" w:right="102"/>
      </w:pPr>
      <w:r>
        <w:rPr/>
        <w:t>respectivamente, son menores a entidades federativas tales como Puebla (8.4%), Oaxaca   (7.7%)   y   Estado   de   México   (7.5%)   los   cuales   demuestran   un</w:t>
      </w:r>
      <w:r>
        <w:rPr>
          <w:spacing w:val="62"/>
        </w:rPr>
        <w:t> </w:t>
      </w:r>
      <w:r>
        <w:rPr/>
        <w:t>mayor</w:t>
      </w:r>
    </w:p>
    <w:p>
      <w:pPr>
        <w:spacing w:after="0" w:line="364" w:lineRule="auto"/>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2"/>
        <w:jc w:val="both"/>
      </w:pPr>
      <w:r>
        <w:rPr/>
        <w:t>crecimiento en el envío de remesas  en términos  porcentuales, lo puede indicar que  está habiendo mayor migración de estas entidades </w:t>
      </w:r>
      <w:r>
        <w:rPr>
          <w:spacing w:val="6"/>
        </w:rPr>
        <w:t> </w:t>
      </w:r>
      <w:r>
        <w:rPr/>
        <w:t>federativas.</w:t>
      </w:r>
    </w:p>
    <w:p>
      <w:pPr>
        <w:pStyle w:val="BodyText"/>
        <w:rPr>
          <w:sz w:val="22"/>
        </w:rPr>
      </w:pPr>
    </w:p>
    <w:p>
      <w:pPr>
        <w:pStyle w:val="BodyText"/>
        <w:spacing w:line="364" w:lineRule="auto" w:before="155"/>
        <w:ind w:left="101" w:right="105"/>
        <w:jc w:val="both"/>
      </w:pPr>
      <w:r>
        <w:rPr/>
        <w:t>Es importante recalcar que las remesas familiares que mandan los mexicanos que    viven en Estados Unidos a la República Mexicana llegan a todos los niveles de la sociedad y a todos los rincones de la Nación. Alrededor de la quinta parte de los mexicanos que han llegado a la edad adulta reportan que ha recibido remesas personalmente. Puesto que la gran mayoría de estos fondos se desembolsa para sufragar los gastos de subsistencia del clan familiar, el impacto se prolonga hasta una franja mayor de la población según reporta el Fondo Multilateral de Inversiones  (FOMIN).</w:t>
      </w:r>
    </w:p>
    <w:p>
      <w:pPr>
        <w:pStyle w:val="BodyText"/>
        <w:rPr>
          <w:sz w:val="22"/>
        </w:rPr>
      </w:pPr>
    </w:p>
    <w:p>
      <w:pPr>
        <w:pStyle w:val="BodyText"/>
        <w:spacing w:line="364" w:lineRule="auto" w:before="153"/>
        <w:ind w:left="101" w:right="105"/>
        <w:jc w:val="both"/>
      </w:pPr>
      <w:r>
        <w:rPr/>
        <w:t>La jerarquía del flujo de remesas y la cobertura que tiene en la población mexicana sugieren éxitos importantes en el carácter de la emigración de México a  Estados  Unidos. Anteriormente, la emigración se había descrito con regularidad como  una “válvula de escape” que les brindaba otras oportunidades a los trabajadores que no lograban conseguir un espacio en el mercado laboral en nuestro país. Si bien esto    sigue siendo un aspecto importante de la emigración, el desplazamiento de personas desde México también se ha convertido en una fuente importante de sustento de los mexicanos que se quedan atrás y una fuente importante de ingresos en favor de la economía mexicana. Actualmente, la emigración no sólo le representa a México una “válvula de escape”, sino también una “bomba de combustible” debido a que un gran porcentaje de las remesas se han destinado generalmente al mercado del consumo de bienes y</w:t>
      </w:r>
      <w:r>
        <w:rPr>
          <w:spacing w:val="20"/>
        </w:rPr>
        <w:t> </w:t>
      </w:r>
      <w:r>
        <w:rPr/>
        <w:t>servicios.</w:t>
      </w:r>
    </w:p>
    <w:p>
      <w:pPr>
        <w:pStyle w:val="BodyText"/>
        <w:rPr>
          <w:sz w:val="22"/>
        </w:rPr>
      </w:pPr>
    </w:p>
    <w:p>
      <w:pPr>
        <w:pStyle w:val="BodyText"/>
        <w:spacing w:line="364" w:lineRule="auto" w:before="155"/>
        <w:ind w:left="101" w:right="105"/>
        <w:jc w:val="both"/>
      </w:pPr>
      <w:r>
        <w:rPr/>
        <w:t>En los lugares más pobres el uso que se les da a las remesas familiares por lo regular  es para costear la adquisición de artículos de consumo básico, la  vivienda,  la  educación y el cuidado de la salud de los niños. </w:t>
      </w:r>
      <w:r>
        <w:rPr>
          <w:spacing w:val="2"/>
        </w:rPr>
        <w:t>En </w:t>
      </w:r>
      <w:r>
        <w:rPr/>
        <w:t>hogares más prósperos puede ser utilizado como capital para pequeños negocios y desde luego que también para actividades</w:t>
      </w:r>
      <w:r>
        <w:rPr>
          <w:spacing w:val="28"/>
        </w:rPr>
        <w:t> </w:t>
      </w:r>
      <w:r>
        <w:rPr/>
        <w:t>empresariales.</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6"/>
        <w:rPr>
          <w:sz w:val="18"/>
        </w:rPr>
      </w:pPr>
    </w:p>
    <w:p>
      <w:pPr>
        <w:pStyle w:val="Heading4"/>
        <w:numPr>
          <w:ilvl w:val="2"/>
          <w:numId w:val="12"/>
        </w:numPr>
        <w:tabs>
          <w:tab w:pos="830" w:val="left" w:leader="none"/>
        </w:tabs>
        <w:spacing w:line="240" w:lineRule="auto" w:before="74" w:after="0"/>
        <w:ind w:left="829" w:right="0" w:hanging="648"/>
        <w:jc w:val="both"/>
      </w:pPr>
      <w:r>
        <w:rPr/>
        <w:t>Regiones socioeconómicas receptoras de remesas familiares en </w:t>
      </w:r>
      <w:r>
        <w:rPr>
          <w:spacing w:val="28"/>
        </w:rPr>
        <w:t> </w:t>
      </w:r>
      <w:r>
        <w:rPr/>
        <w:t>México</w:t>
      </w:r>
    </w:p>
    <w:p>
      <w:pPr>
        <w:pStyle w:val="BodyText"/>
        <w:rPr>
          <w:b/>
          <w:sz w:val="22"/>
        </w:rPr>
      </w:pPr>
    </w:p>
    <w:p>
      <w:pPr>
        <w:pStyle w:val="BodyText"/>
        <w:spacing w:before="1"/>
        <w:rPr>
          <w:b/>
          <w:sz w:val="25"/>
        </w:rPr>
      </w:pPr>
    </w:p>
    <w:p>
      <w:pPr>
        <w:pStyle w:val="BodyText"/>
        <w:spacing w:line="364" w:lineRule="auto"/>
        <w:ind w:left="181" w:right="185"/>
        <w:jc w:val="both"/>
      </w:pPr>
      <w:r>
        <w:rPr/>
        <w:t>La República Mexicana está integrada por 8 regiones socioeconómicas, las cuales describen fundamentalmente los tipos de actividad económica que se desarrollan en cada una de ellas. Se utiliza este contexto para realizar un análisis del comportamiento de las remesas familiares a nivel de estas regiones para tener un panorama más claro acerca del peso de la migración y trascendencia de las remesas familiares en cada una de las regiones.</w:t>
      </w:r>
    </w:p>
    <w:p>
      <w:pPr>
        <w:pStyle w:val="BodyText"/>
        <w:rPr>
          <w:sz w:val="22"/>
        </w:rPr>
      </w:pPr>
    </w:p>
    <w:p>
      <w:pPr>
        <w:pStyle w:val="BodyText"/>
        <w:spacing w:line="364" w:lineRule="auto" w:before="155"/>
        <w:ind w:left="181" w:right="185"/>
        <w:jc w:val="both"/>
      </w:pPr>
      <w:r>
        <w:rPr/>
        <w:t>Las tres primeras regiones socioeconómicas absorben el 72.2% de las remesas que significan 15,773.5 millones de dólares para el país. En estas regiones están incluidas   la mayoría de las entidades federativas que tienen una tradición migratoria, por lo que también se ve reflejado el flujo de remesas que tienen estos </w:t>
      </w:r>
      <w:r>
        <w:rPr>
          <w:spacing w:val="11"/>
        </w:rPr>
        <w:t> </w:t>
      </w:r>
      <w:r>
        <w:rPr/>
        <w:t>estados.</w:t>
      </w:r>
    </w:p>
    <w:p>
      <w:pPr>
        <w:pStyle w:val="BodyText"/>
        <w:rPr>
          <w:sz w:val="22"/>
        </w:rPr>
      </w:pPr>
    </w:p>
    <w:p>
      <w:pPr>
        <w:pStyle w:val="Heading4"/>
        <w:spacing w:line="244" w:lineRule="auto" w:before="150"/>
        <w:ind w:left="3282" w:right="334" w:hanging="2921"/>
      </w:pPr>
      <w:r>
        <w:rPr/>
        <w:t>Cuadro 6. Remesas familiares por regiones socioeconómicas en México, 2003- 2009 (Millones de dólares)</w:t>
      </w: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891"/>
        <w:gridCol w:w="624"/>
        <w:gridCol w:w="626"/>
        <w:gridCol w:w="624"/>
        <w:gridCol w:w="626"/>
        <w:gridCol w:w="623"/>
        <w:gridCol w:w="625"/>
        <w:gridCol w:w="624"/>
        <w:gridCol w:w="847"/>
        <w:gridCol w:w="653"/>
        <w:gridCol w:w="480"/>
        <w:gridCol w:w="625"/>
        <w:gridCol w:w="376"/>
      </w:tblGrid>
      <w:tr>
        <w:trPr>
          <w:trHeight w:val="242" w:hRule="exact"/>
        </w:trPr>
        <w:tc>
          <w:tcPr>
            <w:tcW w:w="1891" w:type="dxa"/>
          </w:tcPr>
          <w:p>
            <w:pPr>
              <w:pStyle w:val="TableParagraph"/>
              <w:spacing w:before="89"/>
              <w:ind w:left="57"/>
              <w:jc w:val="left"/>
              <w:rPr>
                <w:b/>
                <w:sz w:val="11"/>
              </w:rPr>
            </w:pPr>
            <w:r>
              <w:rPr>
                <w:b/>
                <w:w w:val="105"/>
                <w:sz w:val="11"/>
              </w:rPr>
              <w:t>REGIONES/AÑOS</w:t>
            </w:r>
          </w:p>
        </w:tc>
        <w:tc>
          <w:tcPr>
            <w:tcW w:w="624" w:type="dxa"/>
          </w:tcPr>
          <w:p>
            <w:pPr>
              <w:pStyle w:val="TableParagraph"/>
              <w:spacing w:before="89"/>
              <w:ind w:right="53"/>
              <w:rPr>
                <w:b/>
                <w:sz w:val="11"/>
              </w:rPr>
            </w:pPr>
            <w:r>
              <w:rPr>
                <w:b/>
                <w:w w:val="105"/>
                <w:sz w:val="11"/>
              </w:rPr>
              <w:t>2003</w:t>
            </w:r>
          </w:p>
        </w:tc>
        <w:tc>
          <w:tcPr>
            <w:tcW w:w="626" w:type="dxa"/>
          </w:tcPr>
          <w:p>
            <w:pPr>
              <w:pStyle w:val="TableParagraph"/>
              <w:spacing w:before="89"/>
              <w:ind w:right="55"/>
              <w:rPr>
                <w:b/>
                <w:sz w:val="11"/>
              </w:rPr>
            </w:pPr>
            <w:r>
              <w:rPr>
                <w:b/>
                <w:w w:val="105"/>
                <w:sz w:val="11"/>
              </w:rPr>
              <w:t>2004</w:t>
            </w:r>
          </w:p>
        </w:tc>
        <w:tc>
          <w:tcPr>
            <w:tcW w:w="624" w:type="dxa"/>
          </w:tcPr>
          <w:p>
            <w:pPr>
              <w:pStyle w:val="TableParagraph"/>
              <w:spacing w:before="89"/>
              <w:ind w:right="55"/>
              <w:rPr>
                <w:b/>
                <w:sz w:val="11"/>
              </w:rPr>
            </w:pPr>
            <w:r>
              <w:rPr>
                <w:b/>
                <w:w w:val="105"/>
                <w:sz w:val="11"/>
              </w:rPr>
              <w:t>2005</w:t>
            </w:r>
          </w:p>
        </w:tc>
        <w:tc>
          <w:tcPr>
            <w:tcW w:w="626" w:type="dxa"/>
          </w:tcPr>
          <w:p>
            <w:pPr>
              <w:pStyle w:val="TableParagraph"/>
              <w:spacing w:before="89"/>
              <w:ind w:right="55"/>
              <w:rPr>
                <w:b/>
                <w:sz w:val="11"/>
              </w:rPr>
            </w:pPr>
            <w:r>
              <w:rPr>
                <w:b/>
                <w:w w:val="105"/>
                <w:sz w:val="11"/>
              </w:rPr>
              <w:t>2006</w:t>
            </w:r>
          </w:p>
        </w:tc>
        <w:tc>
          <w:tcPr>
            <w:tcW w:w="623" w:type="dxa"/>
            <w:tcBorders>
              <w:right w:val="single" w:sz="7" w:space="0" w:color="000000"/>
            </w:tcBorders>
          </w:tcPr>
          <w:p>
            <w:pPr>
              <w:pStyle w:val="TableParagraph"/>
              <w:spacing w:before="89"/>
              <w:ind w:right="55"/>
              <w:rPr>
                <w:b/>
                <w:sz w:val="11"/>
              </w:rPr>
            </w:pPr>
            <w:r>
              <w:rPr>
                <w:b/>
                <w:w w:val="105"/>
                <w:sz w:val="11"/>
              </w:rPr>
              <w:t>2007</w:t>
            </w:r>
          </w:p>
        </w:tc>
        <w:tc>
          <w:tcPr>
            <w:tcW w:w="625" w:type="dxa"/>
            <w:tcBorders>
              <w:left w:val="single" w:sz="7" w:space="0" w:color="000000"/>
            </w:tcBorders>
          </w:tcPr>
          <w:p>
            <w:pPr>
              <w:pStyle w:val="TableParagraph"/>
              <w:spacing w:before="89"/>
              <w:ind w:right="55"/>
              <w:rPr>
                <w:b/>
                <w:sz w:val="11"/>
              </w:rPr>
            </w:pPr>
            <w:r>
              <w:rPr>
                <w:b/>
                <w:w w:val="105"/>
                <w:sz w:val="11"/>
              </w:rPr>
              <w:t>2008</w:t>
            </w:r>
          </w:p>
        </w:tc>
        <w:tc>
          <w:tcPr>
            <w:tcW w:w="624" w:type="dxa"/>
          </w:tcPr>
          <w:p>
            <w:pPr>
              <w:pStyle w:val="TableParagraph"/>
              <w:spacing w:before="89"/>
              <w:ind w:right="53"/>
              <w:rPr>
                <w:b/>
                <w:sz w:val="11"/>
              </w:rPr>
            </w:pPr>
            <w:r>
              <w:rPr>
                <w:b/>
                <w:w w:val="105"/>
                <w:sz w:val="11"/>
              </w:rPr>
              <w:t>2009</w:t>
            </w:r>
          </w:p>
        </w:tc>
        <w:tc>
          <w:tcPr>
            <w:tcW w:w="847" w:type="dxa"/>
            <w:tcBorders>
              <w:right w:val="single" w:sz="7" w:space="0" w:color="000000"/>
            </w:tcBorders>
          </w:tcPr>
          <w:p>
            <w:pPr>
              <w:pStyle w:val="TableParagraph"/>
              <w:spacing w:before="89"/>
              <w:ind w:left="60"/>
              <w:jc w:val="left"/>
              <w:rPr>
                <w:b/>
                <w:sz w:val="11"/>
              </w:rPr>
            </w:pPr>
            <w:r>
              <w:rPr>
                <w:b/>
                <w:w w:val="105"/>
                <w:sz w:val="11"/>
              </w:rPr>
              <w:t>PROM.</w:t>
            </w:r>
          </w:p>
        </w:tc>
        <w:tc>
          <w:tcPr>
            <w:tcW w:w="653" w:type="dxa"/>
            <w:tcBorders>
              <w:left w:val="single" w:sz="7" w:space="0" w:color="000000"/>
            </w:tcBorders>
          </w:tcPr>
          <w:p>
            <w:pPr>
              <w:pStyle w:val="TableParagraph"/>
              <w:spacing w:before="89"/>
              <w:ind w:right="86"/>
              <w:rPr>
                <w:b/>
                <w:sz w:val="11"/>
              </w:rPr>
            </w:pPr>
            <w:r>
              <w:rPr>
                <w:b/>
                <w:w w:val="105"/>
                <w:sz w:val="11"/>
              </w:rPr>
              <w:t>PART. %</w:t>
            </w:r>
          </w:p>
        </w:tc>
        <w:tc>
          <w:tcPr>
            <w:tcW w:w="480" w:type="dxa"/>
          </w:tcPr>
          <w:p>
            <w:pPr>
              <w:pStyle w:val="TableParagraph"/>
              <w:spacing w:before="89"/>
              <w:ind w:right="62"/>
              <w:rPr>
                <w:b/>
                <w:sz w:val="11"/>
              </w:rPr>
            </w:pPr>
            <w:r>
              <w:rPr>
                <w:b/>
                <w:w w:val="105"/>
                <w:sz w:val="11"/>
              </w:rPr>
              <w:t>TCMA</w:t>
            </w:r>
          </w:p>
        </w:tc>
        <w:tc>
          <w:tcPr>
            <w:tcW w:w="625" w:type="dxa"/>
            <w:tcBorders>
              <w:right w:val="single" w:sz="7" w:space="0" w:color="000000"/>
            </w:tcBorders>
          </w:tcPr>
          <w:p>
            <w:pPr>
              <w:pStyle w:val="TableParagraph"/>
              <w:spacing w:before="89"/>
              <w:ind w:left="57"/>
              <w:jc w:val="left"/>
              <w:rPr>
                <w:b/>
                <w:sz w:val="11"/>
              </w:rPr>
            </w:pPr>
            <w:r>
              <w:rPr>
                <w:b/>
                <w:w w:val="105"/>
                <w:sz w:val="11"/>
              </w:rPr>
              <w:t>FAA</w:t>
            </w:r>
          </w:p>
        </w:tc>
        <w:tc>
          <w:tcPr>
            <w:tcW w:w="376" w:type="dxa"/>
            <w:tcBorders>
              <w:left w:val="single" w:sz="7" w:space="0" w:color="000000"/>
            </w:tcBorders>
          </w:tcPr>
          <w:p>
            <w:pPr>
              <w:pStyle w:val="TableParagraph"/>
              <w:spacing w:before="89"/>
              <w:ind w:left="59"/>
              <w:jc w:val="left"/>
              <w:rPr>
                <w:b/>
                <w:sz w:val="11"/>
              </w:rPr>
            </w:pPr>
            <w:r>
              <w:rPr>
                <w:b/>
                <w:w w:val="105"/>
                <w:sz w:val="11"/>
              </w:rPr>
              <w:t>FRA</w:t>
            </w:r>
          </w:p>
        </w:tc>
      </w:tr>
      <w:tr>
        <w:trPr>
          <w:trHeight w:val="240" w:hRule="exact"/>
        </w:trPr>
        <w:tc>
          <w:tcPr>
            <w:tcW w:w="1891" w:type="dxa"/>
          </w:tcPr>
          <w:p>
            <w:pPr>
              <w:pStyle w:val="TableParagraph"/>
              <w:spacing w:before="86"/>
              <w:ind w:left="57"/>
              <w:jc w:val="left"/>
              <w:rPr>
                <w:b/>
                <w:sz w:val="11"/>
              </w:rPr>
            </w:pPr>
            <w:r>
              <w:rPr>
                <w:b/>
                <w:w w:val="105"/>
                <w:sz w:val="11"/>
              </w:rPr>
              <w:t>NACIONAL</w:t>
            </w:r>
          </w:p>
        </w:tc>
        <w:tc>
          <w:tcPr>
            <w:tcW w:w="624" w:type="dxa"/>
          </w:tcPr>
          <w:p>
            <w:pPr>
              <w:pStyle w:val="TableParagraph"/>
              <w:spacing w:before="86"/>
              <w:ind w:right="53"/>
              <w:rPr>
                <w:b/>
                <w:sz w:val="11"/>
              </w:rPr>
            </w:pPr>
            <w:r>
              <w:rPr>
                <w:b/>
                <w:w w:val="105"/>
                <w:sz w:val="11"/>
              </w:rPr>
              <w:t>15,040.4</w:t>
            </w:r>
          </w:p>
        </w:tc>
        <w:tc>
          <w:tcPr>
            <w:tcW w:w="626" w:type="dxa"/>
          </w:tcPr>
          <w:p>
            <w:pPr>
              <w:pStyle w:val="TableParagraph"/>
              <w:spacing w:before="86"/>
              <w:ind w:right="55"/>
              <w:rPr>
                <w:b/>
                <w:sz w:val="11"/>
              </w:rPr>
            </w:pPr>
            <w:r>
              <w:rPr>
                <w:b/>
                <w:w w:val="105"/>
                <w:sz w:val="11"/>
              </w:rPr>
              <w:t>18,331.8</w:t>
            </w:r>
          </w:p>
        </w:tc>
        <w:tc>
          <w:tcPr>
            <w:tcW w:w="624" w:type="dxa"/>
          </w:tcPr>
          <w:p>
            <w:pPr>
              <w:pStyle w:val="TableParagraph"/>
              <w:spacing w:before="86"/>
              <w:ind w:right="55"/>
              <w:rPr>
                <w:b/>
                <w:sz w:val="11"/>
              </w:rPr>
            </w:pPr>
            <w:r>
              <w:rPr>
                <w:b/>
                <w:w w:val="105"/>
                <w:sz w:val="11"/>
              </w:rPr>
              <w:t>21,688.8</w:t>
            </w:r>
          </w:p>
        </w:tc>
        <w:tc>
          <w:tcPr>
            <w:tcW w:w="626" w:type="dxa"/>
          </w:tcPr>
          <w:p>
            <w:pPr>
              <w:pStyle w:val="TableParagraph"/>
              <w:spacing w:before="86"/>
              <w:ind w:right="55"/>
              <w:rPr>
                <w:b/>
                <w:sz w:val="11"/>
              </w:rPr>
            </w:pPr>
            <w:r>
              <w:rPr>
                <w:b/>
                <w:w w:val="105"/>
                <w:sz w:val="11"/>
              </w:rPr>
              <w:t>25,566.5</w:t>
            </w:r>
          </w:p>
        </w:tc>
        <w:tc>
          <w:tcPr>
            <w:tcW w:w="623" w:type="dxa"/>
            <w:tcBorders>
              <w:right w:val="single" w:sz="7" w:space="0" w:color="000000"/>
            </w:tcBorders>
          </w:tcPr>
          <w:p>
            <w:pPr>
              <w:pStyle w:val="TableParagraph"/>
              <w:spacing w:before="86"/>
              <w:ind w:right="55"/>
              <w:rPr>
                <w:b/>
                <w:sz w:val="11"/>
              </w:rPr>
            </w:pPr>
            <w:r>
              <w:rPr>
                <w:b/>
                <w:w w:val="105"/>
                <w:sz w:val="11"/>
              </w:rPr>
              <w:t>26,068.5</w:t>
            </w:r>
          </w:p>
        </w:tc>
        <w:tc>
          <w:tcPr>
            <w:tcW w:w="625" w:type="dxa"/>
            <w:tcBorders>
              <w:left w:val="single" w:sz="7" w:space="0" w:color="000000"/>
            </w:tcBorders>
          </w:tcPr>
          <w:p>
            <w:pPr>
              <w:pStyle w:val="TableParagraph"/>
              <w:spacing w:before="86"/>
              <w:ind w:right="55"/>
              <w:rPr>
                <w:b/>
                <w:sz w:val="11"/>
              </w:rPr>
            </w:pPr>
            <w:r>
              <w:rPr>
                <w:b/>
                <w:w w:val="105"/>
                <w:sz w:val="11"/>
              </w:rPr>
              <w:t>25,137.6</w:t>
            </w:r>
          </w:p>
        </w:tc>
        <w:tc>
          <w:tcPr>
            <w:tcW w:w="624" w:type="dxa"/>
          </w:tcPr>
          <w:p>
            <w:pPr>
              <w:pStyle w:val="TableParagraph"/>
              <w:spacing w:before="86"/>
              <w:ind w:right="53"/>
              <w:rPr>
                <w:b/>
                <w:sz w:val="11"/>
              </w:rPr>
            </w:pPr>
            <w:r>
              <w:rPr>
                <w:b/>
                <w:w w:val="105"/>
                <w:sz w:val="11"/>
              </w:rPr>
              <w:t>21,180.9</w:t>
            </w:r>
          </w:p>
        </w:tc>
        <w:tc>
          <w:tcPr>
            <w:tcW w:w="847" w:type="dxa"/>
            <w:tcBorders>
              <w:right w:val="single" w:sz="7" w:space="0" w:color="000000"/>
            </w:tcBorders>
          </w:tcPr>
          <w:p>
            <w:pPr>
              <w:pStyle w:val="TableParagraph"/>
              <w:spacing w:before="86"/>
              <w:ind w:right="60"/>
              <w:rPr>
                <w:b/>
                <w:sz w:val="11"/>
              </w:rPr>
            </w:pPr>
            <w:r>
              <w:rPr>
                <w:b/>
                <w:w w:val="105"/>
                <w:sz w:val="11"/>
              </w:rPr>
              <w:t>21,859.2</w:t>
            </w:r>
          </w:p>
        </w:tc>
        <w:tc>
          <w:tcPr>
            <w:tcW w:w="653" w:type="dxa"/>
            <w:tcBorders>
              <w:left w:val="single" w:sz="7" w:space="0" w:color="000000"/>
            </w:tcBorders>
          </w:tcPr>
          <w:p>
            <w:pPr>
              <w:pStyle w:val="TableParagraph"/>
              <w:spacing w:before="86"/>
              <w:ind w:right="53"/>
              <w:rPr>
                <w:b/>
                <w:sz w:val="11"/>
              </w:rPr>
            </w:pPr>
            <w:r>
              <w:rPr>
                <w:b/>
                <w:w w:val="105"/>
                <w:sz w:val="11"/>
              </w:rPr>
              <w:t>100</w:t>
            </w:r>
          </w:p>
        </w:tc>
        <w:tc>
          <w:tcPr>
            <w:tcW w:w="480" w:type="dxa"/>
          </w:tcPr>
          <w:p>
            <w:pPr>
              <w:pStyle w:val="TableParagraph"/>
              <w:spacing w:before="86"/>
              <w:ind w:right="57"/>
              <w:rPr>
                <w:b/>
                <w:sz w:val="11"/>
              </w:rPr>
            </w:pPr>
            <w:r>
              <w:rPr>
                <w:b/>
                <w:w w:val="105"/>
                <w:sz w:val="11"/>
              </w:rPr>
              <w:t>5.9</w:t>
            </w:r>
          </w:p>
        </w:tc>
        <w:tc>
          <w:tcPr>
            <w:tcW w:w="625" w:type="dxa"/>
            <w:tcBorders>
              <w:right w:val="single" w:sz="7" w:space="0" w:color="000000"/>
            </w:tcBorders>
          </w:tcPr>
          <w:p>
            <w:pPr/>
          </w:p>
        </w:tc>
        <w:tc>
          <w:tcPr>
            <w:tcW w:w="376" w:type="dxa"/>
            <w:tcBorders>
              <w:left w:val="single" w:sz="7" w:space="0" w:color="000000"/>
            </w:tcBorders>
          </w:tcPr>
          <w:p>
            <w:pPr/>
          </w:p>
        </w:tc>
      </w:tr>
      <w:tr>
        <w:trPr>
          <w:trHeight w:val="235" w:hRule="exact"/>
        </w:trPr>
        <w:tc>
          <w:tcPr>
            <w:tcW w:w="1891" w:type="dxa"/>
            <w:tcBorders>
              <w:bottom w:val="single" w:sz="4" w:space="0" w:color="000000"/>
            </w:tcBorders>
          </w:tcPr>
          <w:p>
            <w:pPr>
              <w:pStyle w:val="TableParagraph"/>
              <w:spacing w:before="89"/>
              <w:ind w:left="57"/>
              <w:jc w:val="left"/>
              <w:rPr>
                <w:sz w:val="11"/>
              </w:rPr>
            </w:pPr>
            <w:r>
              <w:rPr>
                <w:w w:val="105"/>
                <w:sz w:val="11"/>
              </w:rPr>
              <w:t>CENTRO OCCIDENTE</w:t>
            </w:r>
          </w:p>
        </w:tc>
        <w:tc>
          <w:tcPr>
            <w:tcW w:w="624" w:type="dxa"/>
            <w:tcBorders>
              <w:bottom w:val="single" w:sz="4" w:space="0" w:color="000000"/>
              <w:right w:val="single" w:sz="4" w:space="0" w:color="000000"/>
            </w:tcBorders>
          </w:tcPr>
          <w:p>
            <w:pPr>
              <w:pStyle w:val="TableParagraph"/>
              <w:spacing w:before="89"/>
              <w:ind w:right="57"/>
              <w:rPr>
                <w:sz w:val="11"/>
              </w:rPr>
            </w:pPr>
            <w:r>
              <w:rPr>
                <w:w w:val="105"/>
                <w:sz w:val="11"/>
              </w:rPr>
              <w:t>4,893.6</w:t>
            </w:r>
          </w:p>
        </w:tc>
        <w:tc>
          <w:tcPr>
            <w:tcW w:w="626" w:type="dxa"/>
            <w:tcBorders>
              <w:left w:val="single" w:sz="4" w:space="0" w:color="000000"/>
              <w:bottom w:val="single" w:sz="4" w:space="0" w:color="000000"/>
              <w:right w:val="single" w:sz="4" w:space="0" w:color="000000"/>
            </w:tcBorders>
          </w:tcPr>
          <w:p>
            <w:pPr>
              <w:pStyle w:val="TableParagraph"/>
              <w:spacing w:before="89"/>
              <w:ind w:right="60"/>
              <w:rPr>
                <w:sz w:val="11"/>
              </w:rPr>
            </w:pPr>
            <w:r>
              <w:rPr>
                <w:w w:val="105"/>
                <w:sz w:val="11"/>
              </w:rPr>
              <w:t>5,974.9</w:t>
            </w:r>
          </w:p>
        </w:tc>
        <w:tc>
          <w:tcPr>
            <w:tcW w:w="624" w:type="dxa"/>
            <w:tcBorders>
              <w:left w:val="single" w:sz="4" w:space="0" w:color="000000"/>
              <w:bottom w:val="single" w:sz="4" w:space="0" w:color="000000"/>
              <w:right w:val="single" w:sz="4" w:space="0" w:color="000000"/>
            </w:tcBorders>
          </w:tcPr>
          <w:p>
            <w:pPr>
              <w:pStyle w:val="TableParagraph"/>
              <w:spacing w:before="89"/>
              <w:ind w:right="60"/>
              <w:rPr>
                <w:sz w:val="11"/>
              </w:rPr>
            </w:pPr>
            <w:r>
              <w:rPr>
                <w:w w:val="105"/>
                <w:sz w:val="11"/>
              </w:rPr>
              <w:t>6,583.6</w:t>
            </w:r>
          </w:p>
        </w:tc>
        <w:tc>
          <w:tcPr>
            <w:tcW w:w="626" w:type="dxa"/>
            <w:tcBorders>
              <w:left w:val="single" w:sz="4" w:space="0" w:color="000000"/>
              <w:bottom w:val="single" w:sz="4" w:space="0" w:color="000000"/>
              <w:right w:val="single" w:sz="4" w:space="0" w:color="000000"/>
            </w:tcBorders>
          </w:tcPr>
          <w:p>
            <w:pPr>
              <w:pStyle w:val="TableParagraph"/>
              <w:spacing w:before="89"/>
              <w:ind w:right="60"/>
              <w:rPr>
                <w:sz w:val="11"/>
              </w:rPr>
            </w:pPr>
            <w:r>
              <w:rPr>
                <w:w w:val="105"/>
                <w:sz w:val="11"/>
              </w:rPr>
              <w:t>7,418.3</w:t>
            </w:r>
          </w:p>
        </w:tc>
        <w:tc>
          <w:tcPr>
            <w:tcW w:w="623" w:type="dxa"/>
            <w:tcBorders>
              <w:left w:val="single" w:sz="4" w:space="0" w:color="000000"/>
              <w:bottom w:val="single" w:sz="4" w:space="0" w:color="000000"/>
              <w:right w:val="single" w:sz="3" w:space="0" w:color="000000"/>
            </w:tcBorders>
          </w:tcPr>
          <w:p>
            <w:pPr>
              <w:pStyle w:val="TableParagraph"/>
              <w:spacing w:before="89"/>
              <w:ind w:right="60"/>
              <w:rPr>
                <w:sz w:val="11"/>
              </w:rPr>
            </w:pPr>
            <w:r>
              <w:rPr>
                <w:w w:val="105"/>
                <w:sz w:val="11"/>
              </w:rPr>
              <w:t>7,306.1</w:t>
            </w:r>
          </w:p>
        </w:tc>
        <w:tc>
          <w:tcPr>
            <w:tcW w:w="625" w:type="dxa"/>
            <w:tcBorders>
              <w:left w:val="single" w:sz="3" w:space="0" w:color="000000"/>
              <w:bottom w:val="single" w:sz="4" w:space="0" w:color="000000"/>
              <w:right w:val="single" w:sz="4" w:space="0" w:color="000000"/>
            </w:tcBorders>
          </w:tcPr>
          <w:p>
            <w:pPr>
              <w:pStyle w:val="TableParagraph"/>
              <w:spacing w:before="89"/>
              <w:ind w:right="60"/>
              <w:rPr>
                <w:sz w:val="11"/>
              </w:rPr>
            </w:pPr>
            <w:r>
              <w:rPr>
                <w:w w:val="105"/>
                <w:sz w:val="11"/>
              </w:rPr>
              <w:t>7,253.8</w:t>
            </w:r>
          </w:p>
        </w:tc>
        <w:tc>
          <w:tcPr>
            <w:tcW w:w="624" w:type="dxa"/>
            <w:tcBorders>
              <w:left w:val="single" w:sz="4" w:space="0" w:color="000000"/>
              <w:bottom w:val="single" w:sz="4" w:space="0" w:color="000000"/>
              <w:right w:val="single" w:sz="4" w:space="0" w:color="000000"/>
            </w:tcBorders>
          </w:tcPr>
          <w:p>
            <w:pPr>
              <w:pStyle w:val="TableParagraph"/>
              <w:spacing w:before="89"/>
              <w:ind w:right="57"/>
              <w:rPr>
                <w:sz w:val="11"/>
              </w:rPr>
            </w:pPr>
            <w:r>
              <w:rPr>
                <w:w w:val="105"/>
                <w:sz w:val="11"/>
              </w:rPr>
              <w:t>6,248.5</w:t>
            </w:r>
          </w:p>
        </w:tc>
        <w:tc>
          <w:tcPr>
            <w:tcW w:w="847" w:type="dxa"/>
            <w:tcBorders>
              <w:left w:val="single" w:sz="4" w:space="0" w:color="000000"/>
              <w:bottom w:val="single" w:sz="4" w:space="0" w:color="000000"/>
              <w:right w:val="single" w:sz="4" w:space="0" w:color="000000"/>
            </w:tcBorders>
          </w:tcPr>
          <w:p>
            <w:pPr>
              <w:pStyle w:val="TableParagraph"/>
              <w:spacing w:before="89"/>
              <w:ind w:right="62"/>
              <w:rPr>
                <w:sz w:val="11"/>
              </w:rPr>
            </w:pPr>
            <w:r>
              <w:rPr>
                <w:w w:val="105"/>
                <w:sz w:val="11"/>
              </w:rPr>
              <w:t>6,525.5</w:t>
            </w:r>
          </w:p>
        </w:tc>
        <w:tc>
          <w:tcPr>
            <w:tcW w:w="653" w:type="dxa"/>
            <w:tcBorders>
              <w:left w:val="single" w:sz="4" w:space="0" w:color="000000"/>
              <w:bottom w:val="single" w:sz="4" w:space="0" w:color="000000"/>
              <w:right w:val="single" w:sz="4" w:space="0" w:color="000000"/>
            </w:tcBorders>
          </w:tcPr>
          <w:p>
            <w:pPr>
              <w:pStyle w:val="TableParagraph"/>
              <w:spacing w:before="89"/>
              <w:ind w:right="57"/>
              <w:rPr>
                <w:sz w:val="11"/>
              </w:rPr>
            </w:pPr>
            <w:r>
              <w:rPr>
                <w:w w:val="105"/>
                <w:sz w:val="11"/>
              </w:rPr>
              <w:t>29.9</w:t>
            </w:r>
          </w:p>
        </w:tc>
        <w:tc>
          <w:tcPr>
            <w:tcW w:w="480" w:type="dxa"/>
            <w:tcBorders>
              <w:left w:val="single" w:sz="4" w:space="0" w:color="000000"/>
              <w:bottom w:val="single" w:sz="4" w:space="0" w:color="000000"/>
              <w:right w:val="single" w:sz="4" w:space="0" w:color="000000"/>
            </w:tcBorders>
          </w:tcPr>
          <w:p>
            <w:pPr>
              <w:pStyle w:val="TableParagraph"/>
              <w:spacing w:before="89"/>
              <w:ind w:right="62"/>
              <w:rPr>
                <w:sz w:val="11"/>
              </w:rPr>
            </w:pPr>
            <w:r>
              <w:rPr>
                <w:w w:val="105"/>
                <w:sz w:val="11"/>
              </w:rPr>
              <w:t>4.2</w:t>
            </w:r>
          </w:p>
        </w:tc>
        <w:tc>
          <w:tcPr>
            <w:tcW w:w="625" w:type="dxa"/>
            <w:tcBorders>
              <w:left w:val="single" w:sz="4" w:space="0" w:color="000000"/>
              <w:bottom w:val="single" w:sz="4" w:space="0" w:color="000000"/>
              <w:right w:val="single" w:sz="3" w:space="0" w:color="000000"/>
            </w:tcBorders>
          </w:tcPr>
          <w:p>
            <w:pPr>
              <w:pStyle w:val="TableParagraph"/>
              <w:spacing w:before="89"/>
              <w:ind w:left="163"/>
              <w:jc w:val="left"/>
              <w:rPr>
                <w:sz w:val="11"/>
              </w:rPr>
            </w:pPr>
            <w:r>
              <w:rPr>
                <w:w w:val="105"/>
                <w:sz w:val="11"/>
              </w:rPr>
              <w:t>6,525.5</w:t>
            </w:r>
          </w:p>
        </w:tc>
        <w:tc>
          <w:tcPr>
            <w:tcW w:w="376" w:type="dxa"/>
            <w:tcBorders>
              <w:left w:val="single" w:sz="3" w:space="0" w:color="000000"/>
              <w:bottom w:val="single" w:sz="4" w:space="0" w:color="000000"/>
            </w:tcBorders>
          </w:tcPr>
          <w:p>
            <w:pPr>
              <w:pStyle w:val="TableParagraph"/>
              <w:spacing w:before="89"/>
              <w:ind w:left="79"/>
              <w:jc w:val="left"/>
              <w:rPr>
                <w:sz w:val="11"/>
              </w:rPr>
            </w:pPr>
            <w:r>
              <w:rPr>
                <w:w w:val="105"/>
                <w:sz w:val="11"/>
              </w:rPr>
              <w:t>29.9</w:t>
            </w:r>
          </w:p>
        </w:tc>
      </w:tr>
      <w:tr>
        <w:trPr>
          <w:trHeight w:val="230" w:hRule="exact"/>
        </w:trPr>
        <w:tc>
          <w:tcPr>
            <w:tcW w:w="1891" w:type="dxa"/>
            <w:tcBorders>
              <w:top w:val="single" w:sz="4" w:space="0" w:color="000000"/>
              <w:bottom w:val="single" w:sz="4" w:space="0" w:color="000000"/>
            </w:tcBorders>
          </w:tcPr>
          <w:p>
            <w:pPr>
              <w:pStyle w:val="TableParagraph"/>
              <w:spacing w:before="89"/>
              <w:ind w:left="57"/>
              <w:jc w:val="left"/>
              <w:rPr>
                <w:sz w:val="11"/>
              </w:rPr>
            </w:pPr>
            <w:r>
              <w:rPr>
                <w:w w:val="105"/>
                <w:sz w:val="11"/>
              </w:rPr>
              <w:t>CENTRO ESTE (SUR)</w:t>
            </w:r>
          </w:p>
        </w:tc>
        <w:tc>
          <w:tcPr>
            <w:tcW w:w="624" w:type="dxa"/>
            <w:tcBorders>
              <w:top w:val="single" w:sz="4" w:space="0" w:color="000000"/>
              <w:bottom w:val="single" w:sz="4" w:space="0" w:color="000000"/>
              <w:right w:val="single" w:sz="4" w:space="0" w:color="000000"/>
            </w:tcBorders>
          </w:tcPr>
          <w:p>
            <w:pPr>
              <w:pStyle w:val="TableParagraph"/>
              <w:spacing w:before="89"/>
              <w:ind w:right="57"/>
              <w:rPr>
                <w:sz w:val="11"/>
              </w:rPr>
            </w:pPr>
            <w:r>
              <w:rPr>
                <w:w w:val="105"/>
                <w:sz w:val="11"/>
              </w:rPr>
              <w:t>4,127.7</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before="89"/>
              <w:ind w:right="60"/>
              <w:rPr>
                <w:sz w:val="11"/>
              </w:rPr>
            </w:pPr>
            <w:r>
              <w:rPr>
                <w:w w:val="105"/>
                <w:sz w:val="11"/>
              </w:rPr>
              <w:t>5,024.8</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89"/>
              <w:ind w:right="60"/>
              <w:rPr>
                <w:sz w:val="11"/>
              </w:rPr>
            </w:pPr>
            <w:r>
              <w:rPr>
                <w:w w:val="105"/>
                <w:sz w:val="11"/>
              </w:rPr>
              <w:t>6,176.2</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before="89"/>
              <w:ind w:right="60"/>
              <w:rPr>
                <w:sz w:val="11"/>
              </w:rPr>
            </w:pPr>
            <w:r>
              <w:rPr>
                <w:w w:val="105"/>
                <w:sz w:val="11"/>
              </w:rPr>
              <w:t>7,355.9</w:t>
            </w:r>
          </w:p>
        </w:tc>
        <w:tc>
          <w:tcPr>
            <w:tcW w:w="623" w:type="dxa"/>
            <w:tcBorders>
              <w:top w:val="single" w:sz="4" w:space="0" w:color="000000"/>
              <w:left w:val="single" w:sz="4" w:space="0" w:color="000000"/>
              <w:bottom w:val="single" w:sz="4" w:space="0" w:color="000000"/>
              <w:right w:val="single" w:sz="3" w:space="0" w:color="000000"/>
            </w:tcBorders>
          </w:tcPr>
          <w:p>
            <w:pPr>
              <w:pStyle w:val="TableParagraph"/>
              <w:spacing w:before="89"/>
              <w:ind w:right="60"/>
              <w:rPr>
                <w:sz w:val="11"/>
              </w:rPr>
            </w:pPr>
            <w:r>
              <w:rPr>
                <w:w w:val="105"/>
                <w:sz w:val="11"/>
              </w:rPr>
              <w:t>7,570.3</w:t>
            </w:r>
          </w:p>
        </w:tc>
        <w:tc>
          <w:tcPr>
            <w:tcW w:w="625" w:type="dxa"/>
            <w:tcBorders>
              <w:top w:val="single" w:sz="4" w:space="0" w:color="000000"/>
              <w:left w:val="single" w:sz="3" w:space="0" w:color="000000"/>
              <w:bottom w:val="single" w:sz="4" w:space="0" w:color="000000"/>
              <w:right w:val="single" w:sz="4" w:space="0" w:color="000000"/>
            </w:tcBorders>
          </w:tcPr>
          <w:p>
            <w:pPr>
              <w:pStyle w:val="TableParagraph"/>
              <w:spacing w:before="89"/>
              <w:ind w:right="60"/>
              <w:rPr>
                <w:sz w:val="11"/>
              </w:rPr>
            </w:pPr>
            <w:r>
              <w:rPr>
                <w:w w:val="105"/>
                <w:sz w:val="11"/>
              </w:rPr>
              <w:t>7,070.7</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89"/>
              <w:ind w:right="57"/>
              <w:rPr>
                <w:sz w:val="11"/>
              </w:rPr>
            </w:pPr>
            <w:r>
              <w:rPr>
                <w:w w:val="105"/>
                <w:sz w:val="11"/>
              </w:rPr>
              <w:t>5,899.6</w:t>
            </w:r>
          </w:p>
        </w:tc>
        <w:tc>
          <w:tcPr>
            <w:tcW w:w="847" w:type="dxa"/>
            <w:tcBorders>
              <w:top w:val="single" w:sz="4" w:space="0" w:color="000000"/>
              <w:left w:val="single" w:sz="4" w:space="0" w:color="000000"/>
              <w:bottom w:val="single" w:sz="4" w:space="0" w:color="000000"/>
              <w:right w:val="single" w:sz="4" w:space="0" w:color="000000"/>
            </w:tcBorders>
          </w:tcPr>
          <w:p>
            <w:pPr>
              <w:pStyle w:val="TableParagraph"/>
              <w:spacing w:before="89"/>
              <w:ind w:right="62"/>
              <w:rPr>
                <w:sz w:val="11"/>
              </w:rPr>
            </w:pPr>
            <w:r>
              <w:rPr>
                <w:w w:val="105"/>
                <w:sz w:val="11"/>
              </w:rPr>
              <w:t>6,175.0</w:t>
            </w:r>
          </w:p>
        </w:tc>
        <w:tc>
          <w:tcPr>
            <w:tcW w:w="653" w:type="dxa"/>
            <w:tcBorders>
              <w:top w:val="single" w:sz="4" w:space="0" w:color="000000"/>
              <w:left w:val="single" w:sz="4" w:space="0" w:color="000000"/>
              <w:bottom w:val="single" w:sz="4" w:space="0" w:color="000000"/>
              <w:right w:val="single" w:sz="4" w:space="0" w:color="000000"/>
            </w:tcBorders>
          </w:tcPr>
          <w:p>
            <w:pPr>
              <w:pStyle w:val="TableParagraph"/>
              <w:spacing w:before="89"/>
              <w:ind w:right="57"/>
              <w:rPr>
                <w:sz w:val="11"/>
              </w:rPr>
            </w:pPr>
            <w:r>
              <w:rPr>
                <w:w w:val="105"/>
                <w:sz w:val="11"/>
              </w:rPr>
              <w:t>28.2</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before="89"/>
              <w:ind w:right="62"/>
              <w:rPr>
                <w:sz w:val="11"/>
              </w:rPr>
            </w:pPr>
            <w:r>
              <w:rPr>
                <w:w w:val="105"/>
                <w:sz w:val="11"/>
              </w:rPr>
              <w:t>6.1</w:t>
            </w:r>
          </w:p>
        </w:tc>
        <w:tc>
          <w:tcPr>
            <w:tcW w:w="625" w:type="dxa"/>
            <w:tcBorders>
              <w:top w:val="single" w:sz="4" w:space="0" w:color="000000"/>
              <w:left w:val="single" w:sz="4" w:space="0" w:color="000000"/>
              <w:bottom w:val="single" w:sz="4" w:space="0" w:color="000000"/>
              <w:right w:val="single" w:sz="3" w:space="0" w:color="000000"/>
            </w:tcBorders>
          </w:tcPr>
          <w:p>
            <w:pPr>
              <w:pStyle w:val="TableParagraph"/>
              <w:spacing w:before="89"/>
              <w:ind w:left="98"/>
              <w:jc w:val="left"/>
              <w:rPr>
                <w:sz w:val="11"/>
              </w:rPr>
            </w:pPr>
            <w:r>
              <w:rPr>
                <w:w w:val="105"/>
                <w:sz w:val="11"/>
              </w:rPr>
              <w:t>12,700.6</w:t>
            </w:r>
          </w:p>
        </w:tc>
        <w:tc>
          <w:tcPr>
            <w:tcW w:w="376" w:type="dxa"/>
            <w:tcBorders>
              <w:top w:val="single" w:sz="4" w:space="0" w:color="000000"/>
              <w:left w:val="single" w:sz="3" w:space="0" w:color="000000"/>
              <w:bottom w:val="single" w:sz="4" w:space="0" w:color="000000"/>
            </w:tcBorders>
          </w:tcPr>
          <w:p>
            <w:pPr>
              <w:pStyle w:val="TableParagraph"/>
              <w:spacing w:before="89"/>
              <w:ind w:left="79"/>
              <w:jc w:val="left"/>
              <w:rPr>
                <w:sz w:val="11"/>
              </w:rPr>
            </w:pPr>
            <w:r>
              <w:rPr>
                <w:w w:val="105"/>
                <w:sz w:val="11"/>
              </w:rPr>
              <w:t>58.1</w:t>
            </w:r>
          </w:p>
        </w:tc>
      </w:tr>
      <w:tr>
        <w:trPr>
          <w:trHeight w:val="230" w:hRule="exact"/>
        </w:trPr>
        <w:tc>
          <w:tcPr>
            <w:tcW w:w="1891" w:type="dxa"/>
            <w:tcBorders>
              <w:top w:val="single" w:sz="4" w:space="0" w:color="000000"/>
              <w:bottom w:val="single" w:sz="4" w:space="0" w:color="000000"/>
            </w:tcBorders>
          </w:tcPr>
          <w:p>
            <w:pPr>
              <w:pStyle w:val="TableParagraph"/>
              <w:spacing w:before="89"/>
              <w:ind w:left="57"/>
              <w:jc w:val="left"/>
              <w:rPr>
                <w:sz w:val="11"/>
              </w:rPr>
            </w:pPr>
            <w:r>
              <w:rPr>
                <w:w w:val="105"/>
                <w:sz w:val="11"/>
              </w:rPr>
              <w:t>PACÍFICO SUR</w:t>
            </w:r>
          </w:p>
        </w:tc>
        <w:tc>
          <w:tcPr>
            <w:tcW w:w="624" w:type="dxa"/>
            <w:tcBorders>
              <w:top w:val="single" w:sz="4" w:space="0" w:color="000000"/>
              <w:bottom w:val="single" w:sz="4" w:space="0" w:color="000000"/>
              <w:right w:val="single" w:sz="4" w:space="0" w:color="000000"/>
            </w:tcBorders>
          </w:tcPr>
          <w:p>
            <w:pPr>
              <w:pStyle w:val="TableParagraph"/>
              <w:spacing w:before="89"/>
              <w:ind w:right="57"/>
              <w:rPr>
                <w:sz w:val="11"/>
              </w:rPr>
            </w:pPr>
            <w:r>
              <w:rPr>
                <w:w w:val="105"/>
                <w:sz w:val="11"/>
              </w:rPr>
              <w:t>2,055.6</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before="89"/>
              <w:ind w:right="60"/>
              <w:rPr>
                <w:sz w:val="11"/>
              </w:rPr>
            </w:pPr>
            <w:r>
              <w:rPr>
                <w:w w:val="105"/>
                <w:sz w:val="11"/>
              </w:rPr>
              <w:t>2,507.9</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89"/>
              <w:ind w:right="60"/>
              <w:rPr>
                <w:sz w:val="11"/>
              </w:rPr>
            </w:pPr>
            <w:r>
              <w:rPr>
                <w:w w:val="105"/>
                <w:sz w:val="11"/>
              </w:rPr>
              <w:t>2,943.0</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before="89"/>
              <w:ind w:right="60"/>
              <w:rPr>
                <w:sz w:val="11"/>
              </w:rPr>
            </w:pPr>
            <w:r>
              <w:rPr>
                <w:w w:val="105"/>
                <w:sz w:val="11"/>
              </w:rPr>
              <w:t>3,642.6</w:t>
            </w:r>
          </w:p>
        </w:tc>
        <w:tc>
          <w:tcPr>
            <w:tcW w:w="623" w:type="dxa"/>
            <w:tcBorders>
              <w:top w:val="single" w:sz="4" w:space="0" w:color="000000"/>
              <w:left w:val="single" w:sz="4" w:space="0" w:color="000000"/>
              <w:bottom w:val="single" w:sz="4" w:space="0" w:color="000000"/>
              <w:right w:val="single" w:sz="3" w:space="0" w:color="000000"/>
            </w:tcBorders>
          </w:tcPr>
          <w:p>
            <w:pPr>
              <w:pStyle w:val="TableParagraph"/>
              <w:spacing w:before="89"/>
              <w:ind w:right="60"/>
              <w:rPr>
                <w:sz w:val="11"/>
              </w:rPr>
            </w:pPr>
            <w:r>
              <w:rPr>
                <w:w w:val="105"/>
                <w:sz w:val="11"/>
              </w:rPr>
              <w:t>3,744.8</w:t>
            </w:r>
          </w:p>
        </w:tc>
        <w:tc>
          <w:tcPr>
            <w:tcW w:w="625" w:type="dxa"/>
            <w:tcBorders>
              <w:top w:val="single" w:sz="4" w:space="0" w:color="000000"/>
              <w:left w:val="single" w:sz="3" w:space="0" w:color="000000"/>
              <w:bottom w:val="single" w:sz="4" w:space="0" w:color="000000"/>
              <w:right w:val="single" w:sz="4" w:space="0" w:color="000000"/>
            </w:tcBorders>
          </w:tcPr>
          <w:p>
            <w:pPr>
              <w:pStyle w:val="TableParagraph"/>
              <w:spacing w:before="89"/>
              <w:ind w:right="60"/>
              <w:rPr>
                <w:sz w:val="11"/>
              </w:rPr>
            </w:pPr>
            <w:r>
              <w:rPr>
                <w:w w:val="105"/>
                <w:sz w:val="11"/>
              </w:rPr>
              <w:t>3,658.0</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89"/>
              <w:ind w:right="57"/>
              <w:rPr>
                <w:sz w:val="11"/>
              </w:rPr>
            </w:pPr>
            <w:r>
              <w:rPr>
                <w:w w:val="105"/>
                <w:sz w:val="11"/>
              </w:rPr>
              <w:t>2,958.6</w:t>
            </w:r>
          </w:p>
        </w:tc>
        <w:tc>
          <w:tcPr>
            <w:tcW w:w="847" w:type="dxa"/>
            <w:tcBorders>
              <w:top w:val="single" w:sz="4" w:space="0" w:color="000000"/>
              <w:left w:val="single" w:sz="4" w:space="0" w:color="000000"/>
              <w:bottom w:val="single" w:sz="4" w:space="0" w:color="000000"/>
              <w:right w:val="single" w:sz="4" w:space="0" w:color="000000"/>
            </w:tcBorders>
          </w:tcPr>
          <w:p>
            <w:pPr>
              <w:pStyle w:val="TableParagraph"/>
              <w:spacing w:before="89"/>
              <w:ind w:right="62"/>
              <w:rPr>
                <w:sz w:val="11"/>
              </w:rPr>
            </w:pPr>
            <w:r>
              <w:rPr>
                <w:w w:val="105"/>
                <w:sz w:val="11"/>
              </w:rPr>
              <w:t>3,072.9</w:t>
            </w:r>
          </w:p>
        </w:tc>
        <w:tc>
          <w:tcPr>
            <w:tcW w:w="653" w:type="dxa"/>
            <w:tcBorders>
              <w:top w:val="single" w:sz="4" w:space="0" w:color="000000"/>
              <w:left w:val="single" w:sz="4" w:space="0" w:color="000000"/>
              <w:bottom w:val="single" w:sz="4" w:space="0" w:color="000000"/>
              <w:right w:val="single" w:sz="4" w:space="0" w:color="000000"/>
            </w:tcBorders>
          </w:tcPr>
          <w:p>
            <w:pPr>
              <w:pStyle w:val="TableParagraph"/>
              <w:spacing w:before="89"/>
              <w:ind w:right="57"/>
              <w:rPr>
                <w:sz w:val="11"/>
              </w:rPr>
            </w:pPr>
            <w:r>
              <w:rPr>
                <w:w w:val="105"/>
                <w:sz w:val="11"/>
              </w:rPr>
              <w:t>14.1</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before="89"/>
              <w:ind w:right="62"/>
              <w:rPr>
                <w:sz w:val="11"/>
              </w:rPr>
            </w:pPr>
            <w:r>
              <w:rPr>
                <w:w w:val="105"/>
                <w:sz w:val="11"/>
              </w:rPr>
              <w:t>6.3</w:t>
            </w:r>
          </w:p>
        </w:tc>
        <w:tc>
          <w:tcPr>
            <w:tcW w:w="625" w:type="dxa"/>
            <w:tcBorders>
              <w:top w:val="single" w:sz="4" w:space="0" w:color="000000"/>
              <w:left w:val="single" w:sz="4" w:space="0" w:color="000000"/>
              <w:bottom w:val="single" w:sz="4" w:space="0" w:color="000000"/>
              <w:right w:val="single" w:sz="3" w:space="0" w:color="000000"/>
            </w:tcBorders>
          </w:tcPr>
          <w:p>
            <w:pPr>
              <w:pStyle w:val="TableParagraph"/>
              <w:spacing w:before="89"/>
              <w:ind w:left="98"/>
              <w:jc w:val="left"/>
              <w:rPr>
                <w:sz w:val="11"/>
              </w:rPr>
            </w:pPr>
            <w:r>
              <w:rPr>
                <w:w w:val="105"/>
                <w:sz w:val="11"/>
              </w:rPr>
              <w:t>15,773.5</w:t>
            </w:r>
          </w:p>
        </w:tc>
        <w:tc>
          <w:tcPr>
            <w:tcW w:w="376" w:type="dxa"/>
            <w:tcBorders>
              <w:top w:val="single" w:sz="4" w:space="0" w:color="000000"/>
              <w:left w:val="single" w:sz="3" w:space="0" w:color="000000"/>
              <w:bottom w:val="single" w:sz="4" w:space="0" w:color="000000"/>
            </w:tcBorders>
          </w:tcPr>
          <w:p>
            <w:pPr>
              <w:pStyle w:val="TableParagraph"/>
              <w:spacing w:before="89"/>
              <w:ind w:left="79"/>
              <w:jc w:val="left"/>
              <w:rPr>
                <w:sz w:val="11"/>
              </w:rPr>
            </w:pPr>
            <w:r>
              <w:rPr>
                <w:w w:val="105"/>
                <w:sz w:val="11"/>
              </w:rPr>
              <w:t>72.2</w:t>
            </w:r>
          </w:p>
        </w:tc>
      </w:tr>
      <w:tr>
        <w:trPr>
          <w:trHeight w:val="230" w:hRule="exact"/>
        </w:trPr>
        <w:tc>
          <w:tcPr>
            <w:tcW w:w="1891" w:type="dxa"/>
            <w:tcBorders>
              <w:top w:val="single" w:sz="4" w:space="0" w:color="000000"/>
              <w:bottom w:val="single" w:sz="4" w:space="0" w:color="000000"/>
            </w:tcBorders>
          </w:tcPr>
          <w:p>
            <w:pPr>
              <w:pStyle w:val="TableParagraph"/>
              <w:spacing w:before="89"/>
              <w:ind w:left="57"/>
              <w:jc w:val="left"/>
              <w:rPr>
                <w:sz w:val="11"/>
              </w:rPr>
            </w:pPr>
            <w:r>
              <w:rPr>
                <w:w w:val="105"/>
                <w:sz w:val="11"/>
              </w:rPr>
              <w:t>NORTE</w:t>
            </w:r>
          </w:p>
        </w:tc>
        <w:tc>
          <w:tcPr>
            <w:tcW w:w="624" w:type="dxa"/>
            <w:tcBorders>
              <w:top w:val="single" w:sz="4" w:space="0" w:color="000000"/>
              <w:bottom w:val="single" w:sz="4" w:space="0" w:color="000000"/>
              <w:right w:val="single" w:sz="4" w:space="0" w:color="000000"/>
            </w:tcBorders>
          </w:tcPr>
          <w:p>
            <w:pPr>
              <w:pStyle w:val="TableParagraph"/>
              <w:spacing w:before="89"/>
              <w:ind w:right="57"/>
              <w:rPr>
                <w:sz w:val="11"/>
              </w:rPr>
            </w:pPr>
            <w:r>
              <w:rPr>
                <w:w w:val="105"/>
                <w:sz w:val="11"/>
              </w:rPr>
              <w:t>1,446.2</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before="89"/>
              <w:ind w:right="60"/>
              <w:rPr>
                <w:sz w:val="11"/>
              </w:rPr>
            </w:pPr>
            <w:r>
              <w:rPr>
                <w:w w:val="105"/>
                <w:sz w:val="11"/>
              </w:rPr>
              <w:t>1,757.1</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89"/>
              <w:ind w:right="60"/>
              <w:rPr>
                <w:sz w:val="11"/>
              </w:rPr>
            </w:pPr>
            <w:r>
              <w:rPr>
                <w:w w:val="105"/>
                <w:sz w:val="11"/>
              </w:rPr>
              <w:t>2,136.7</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before="89"/>
              <w:ind w:right="60"/>
              <w:rPr>
                <w:sz w:val="11"/>
              </w:rPr>
            </w:pPr>
            <w:r>
              <w:rPr>
                <w:w w:val="105"/>
                <w:sz w:val="11"/>
              </w:rPr>
              <w:t>2,584.8</w:t>
            </w:r>
          </w:p>
        </w:tc>
        <w:tc>
          <w:tcPr>
            <w:tcW w:w="623" w:type="dxa"/>
            <w:tcBorders>
              <w:top w:val="single" w:sz="4" w:space="0" w:color="000000"/>
              <w:left w:val="single" w:sz="4" w:space="0" w:color="000000"/>
              <w:bottom w:val="single" w:sz="4" w:space="0" w:color="000000"/>
              <w:right w:val="single" w:sz="3" w:space="0" w:color="000000"/>
            </w:tcBorders>
          </w:tcPr>
          <w:p>
            <w:pPr>
              <w:pStyle w:val="TableParagraph"/>
              <w:spacing w:before="89"/>
              <w:ind w:right="60"/>
              <w:rPr>
                <w:sz w:val="11"/>
              </w:rPr>
            </w:pPr>
            <w:r>
              <w:rPr>
                <w:w w:val="105"/>
                <w:sz w:val="11"/>
              </w:rPr>
              <w:t>2,734.8</w:t>
            </w:r>
          </w:p>
        </w:tc>
        <w:tc>
          <w:tcPr>
            <w:tcW w:w="625" w:type="dxa"/>
            <w:tcBorders>
              <w:top w:val="single" w:sz="4" w:space="0" w:color="000000"/>
              <w:left w:val="single" w:sz="3" w:space="0" w:color="000000"/>
              <w:bottom w:val="single" w:sz="4" w:space="0" w:color="000000"/>
              <w:right w:val="single" w:sz="4" w:space="0" w:color="000000"/>
            </w:tcBorders>
          </w:tcPr>
          <w:p>
            <w:pPr>
              <w:pStyle w:val="TableParagraph"/>
              <w:spacing w:before="89"/>
              <w:ind w:right="60"/>
              <w:rPr>
                <w:sz w:val="11"/>
              </w:rPr>
            </w:pPr>
            <w:r>
              <w:rPr>
                <w:w w:val="105"/>
                <w:sz w:val="11"/>
              </w:rPr>
              <w:t>2,661.3</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89"/>
              <w:ind w:right="57"/>
              <w:rPr>
                <w:sz w:val="11"/>
              </w:rPr>
            </w:pPr>
            <w:r>
              <w:rPr>
                <w:w w:val="105"/>
                <w:sz w:val="11"/>
              </w:rPr>
              <w:t>2,238.1</w:t>
            </w:r>
          </w:p>
        </w:tc>
        <w:tc>
          <w:tcPr>
            <w:tcW w:w="847" w:type="dxa"/>
            <w:tcBorders>
              <w:top w:val="single" w:sz="4" w:space="0" w:color="000000"/>
              <w:left w:val="single" w:sz="4" w:space="0" w:color="000000"/>
              <w:bottom w:val="single" w:sz="4" w:space="0" w:color="000000"/>
              <w:right w:val="single" w:sz="4" w:space="0" w:color="000000"/>
            </w:tcBorders>
          </w:tcPr>
          <w:p>
            <w:pPr>
              <w:pStyle w:val="TableParagraph"/>
              <w:spacing w:before="89"/>
              <w:ind w:right="62"/>
              <w:rPr>
                <w:sz w:val="11"/>
              </w:rPr>
            </w:pPr>
            <w:r>
              <w:rPr>
                <w:w w:val="105"/>
                <w:sz w:val="11"/>
              </w:rPr>
              <w:t>2,222.7</w:t>
            </w:r>
          </w:p>
        </w:tc>
        <w:tc>
          <w:tcPr>
            <w:tcW w:w="653" w:type="dxa"/>
            <w:tcBorders>
              <w:top w:val="single" w:sz="4" w:space="0" w:color="000000"/>
              <w:left w:val="single" w:sz="4" w:space="0" w:color="000000"/>
              <w:bottom w:val="single" w:sz="4" w:space="0" w:color="000000"/>
              <w:right w:val="single" w:sz="4" w:space="0" w:color="000000"/>
            </w:tcBorders>
          </w:tcPr>
          <w:p>
            <w:pPr>
              <w:pStyle w:val="TableParagraph"/>
              <w:spacing w:before="89"/>
              <w:ind w:right="57"/>
              <w:rPr>
                <w:sz w:val="11"/>
              </w:rPr>
            </w:pPr>
            <w:r>
              <w:rPr>
                <w:w w:val="105"/>
                <w:sz w:val="11"/>
              </w:rPr>
              <w:t>10.2</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before="89"/>
              <w:ind w:right="62"/>
              <w:rPr>
                <w:sz w:val="11"/>
              </w:rPr>
            </w:pPr>
            <w:r>
              <w:rPr>
                <w:w w:val="105"/>
                <w:sz w:val="11"/>
              </w:rPr>
              <w:t>7.5</w:t>
            </w:r>
          </w:p>
        </w:tc>
        <w:tc>
          <w:tcPr>
            <w:tcW w:w="625" w:type="dxa"/>
            <w:tcBorders>
              <w:top w:val="single" w:sz="4" w:space="0" w:color="000000"/>
              <w:left w:val="single" w:sz="4" w:space="0" w:color="000000"/>
              <w:bottom w:val="single" w:sz="4" w:space="0" w:color="000000"/>
              <w:right w:val="single" w:sz="3" w:space="0" w:color="000000"/>
            </w:tcBorders>
          </w:tcPr>
          <w:p>
            <w:pPr>
              <w:pStyle w:val="TableParagraph"/>
              <w:spacing w:before="89"/>
              <w:ind w:left="98"/>
              <w:jc w:val="left"/>
              <w:rPr>
                <w:sz w:val="11"/>
              </w:rPr>
            </w:pPr>
            <w:r>
              <w:rPr>
                <w:w w:val="105"/>
                <w:sz w:val="11"/>
              </w:rPr>
              <w:t>17,996.2</w:t>
            </w:r>
          </w:p>
        </w:tc>
        <w:tc>
          <w:tcPr>
            <w:tcW w:w="376" w:type="dxa"/>
            <w:tcBorders>
              <w:top w:val="single" w:sz="4" w:space="0" w:color="000000"/>
              <w:left w:val="single" w:sz="3" w:space="0" w:color="000000"/>
              <w:bottom w:val="single" w:sz="4" w:space="0" w:color="000000"/>
            </w:tcBorders>
          </w:tcPr>
          <w:p>
            <w:pPr>
              <w:pStyle w:val="TableParagraph"/>
              <w:spacing w:before="89"/>
              <w:ind w:left="79"/>
              <w:jc w:val="left"/>
              <w:rPr>
                <w:sz w:val="11"/>
              </w:rPr>
            </w:pPr>
            <w:r>
              <w:rPr>
                <w:w w:val="105"/>
                <w:sz w:val="11"/>
              </w:rPr>
              <w:t>82.3</w:t>
            </w:r>
          </w:p>
        </w:tc>
      </w:tr>
      <w:tr>
        <w:trPr>
          <w:trHeight w:val="233" w:hRule="exact"/>
        </w:trPr>
        <w:tc>
          <w:tcPr>
            <w:tcW w:w="1891" w:type="dxa"/>
            <w:tcBorders>
              <w:top w:val="single" w:sz="4" w:space="0" w:color="000000"/>
              <w:bottom w:val="single" w:sz="4" w:space="0" w:color="000000"/>
            </w:tcBorders>
          </w:tcPr>
          <w:p>
            <w:pPr>
              <w:pStyle w:val="TableParagraph"/>
              <w:spacing w:before="89"/>
              <w:ind w:left="57"/>
              <w:jc w:val="left"/>
              <w:rPr>
                <w:sz w:val="11"/>
              </w:rPr>
            </w:pPr>
            <w:r>
              <w:rPr>
                <w:w w:val="105"/>
                <w:sz w:val="11"/>
              </w:rPr>
              <w:t>GOLFO DE MÉXICO</w:t>
            </w:r>
          </w:p>
        </w:tc>
        <w:tc>
          <w:tcPr>
            <w:tcW w:w="624" w:type="dxa"/>
            <w:tcBorders>
              <w:top w:val="single" w:sz="4" w:space="0" w:color="000000"/>
              <w:bottom w:val="single" w:sz="4" w:space="0" w:color="000000"/>
              <w:right w:val="single" w:sz="4" w:space="0" w:color="000000"/>
            </w:tcBorders>
          </w:tcPr>
          <w:p>
            <w:pPr>
              <w:pStyle w:val="TableParagraph"/>
              <w:spacing w:before="89"/>
              <w:ind w:right="57"/>
              <w:rPr>
                <w:sz w:val="11"/>
              </w:rPr>
            </w:pPr>
            <w:r>
              <w:rPr>
                <w:w w:val="105"/>
                <w:sz w:val="11"/>
              </w:rPr>
              <w:t>1,076.9</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before="89"/>
              <w:ind w:right="60"/>
              <w:rPr>
                <w:sz w:val="11"/>
              </w:rPr>
            </w:pPr>
            <w:r>
              <w:rPr>
                <w:w w:val="105"/>
                <w:sz w:val="11"/>
              </w:rPr>
              <w:t>1,270.4</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89"/>
              <w:ind w:right="60"/>
              <w:rPr>
                <w:sz w:val="11"/>
              </w:rPr>
            </w:pPr>
            <w:r>
              <w:rPr>
                <w:w w:val="105"/>
                <w:sz w:val="11"/>
              </w:rPr>
              <w:t>1,524.7</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before="89"/>
              <w:ind w:right="60"/>
              <w:rPr>
                <w:sz w:val="11"/>
              </w:rPr>
            </w:pPr>
            <w:r>
              <w:rPr>
                <w:w w:val="105"/>
                <w:sz w:val="11"/>
              </w:rPr>
              <w:t>1,864.9</w:t>
            </w:r>
          </w:p>
        </w:tc>
        <w:tc>
          <w:tcPr>
            <w:tcW w:w="623" w:type="dxa"/>
            <w:tcBorders>
              <w:top w:val="single" w:sz="4" w:space="0" w:color="000000"/>
              <w:left w:val="single" w:sz="4" w:space="0" w:color="000000"/>
              <w:bottom w:val="single" w:sz="4" w:space="0" w:color="000000"/>
              <w:right w:val="single" w:sz="3" w:space="0" w:color="000000"/>
            </w:tcBorders>
          </w:tcPr>
          <w:p>
            <w:pPr>
              <w:pStyle w:val="TableParagraph"/>
              <w:spacing w:before="89"/>
              <w:ind w:right="60"/>
              <w:rPr>
                <w:sz w:val="11"/>
              </w:rPr>
            </w:pPr>
            <w:r>
              <w:rPr>
                <w:w w:val="105"/>
                <w:sz w:val="11"/>
              </w:rPr>
              <w:t>1,921.4</w:t>
            </w:r>
          </w:p>
        </w:tc>
        <w:tc>
          <w:tcPr>
            <w:tcW w:w="625" w:type="dxa"/>
            <w:tcBorders>
              <w:top w:val="single" w:sz="4" w:space="0" w:color="000000"/>
              <w:left w:val="single" w:sz="3" w:space="0" w:color="000000"/>
              <w:bottom w:val="single" w:sz="4" w:space="0" w:color="000000"/>
              <w:right w:val="single" w:sz="4" w:space="0" w:color="000000"/>
            </w:tcBorders>
          </w:tcPr>
          <w:p>
            <w:pPr>
              <w:pStyle w:val="TableParagraph"/>
              <w:spacing w:before="89"/>
              <w:ind w:right="60"/>
              <w:rPr>
                <w:sz w:val="11"/>
              </w:rPr>
            </w:pPr>
            <w:r>
              <w:rPr>
                <w:w w:val="105"/>
                <w:sz w:val="11"/>
              </w:rPr>
              <w:t>1,779.8</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89"/>
              <w:ind w:right="57"/>
              <w:rPr>
                <w:sz w:val="11"/>
              </w:rPr>
            </w:pPr>
            <w:r>
              <w:rPr>
                <w:w w:val="105"/>
                <w:sz w:val="11"/>
              </w:rPr>
              <w:t>1,410.9</w:t>
            </w:r>
          </w:p>
        </w:tc>
        <w:tc>
          <w:tcPr>
            <w:tcW w:w="847" w:type="dxa"/>
            <w:tcBorders>
              <w:top w:val="single" w:sz="4" w:space="0" w:color="000000"/>
              <w:left w:val="single" w:sz="4" w:space="0" w:color="000000"/>
              <w:bottom w:val="single" w:sz="4" w:space="0" w:color="000000"/>
              <w:right w:val="single" w:sz="4" w:space="0" w:color="000000"/>
            </w:tcBorders>
          </w:tcPr>
          <w:p>
            <w:pPr>
              <w:pStyle w:val="TableParagraph"/>
              <w:spacing w:before="89"/>
              <w:ind w:right="62"/>
              <w:rPr>
                <w:sz w:val="11"/>
              </w:rPr>
            </w:pPr>
            <w:r>
              <w:rPr>
                <w:w w:val="105"/>
                <w:sz w:val="11"/>
              </w:rPr>
              <w:t>1,549.9</w:t>
            </w:r>
          </w:p>
        </w:tc>
        <w:tc>
          <w:tcPr>
            <w:tcW w:w="653" w:type="dxa"/>
            <w:tcBorders>
              <w:top w:val="single" w:sz="4" w:space="0" w:color="000000"/>
              <w:left w:val="single" w:sz="4" w:space="0" w:color="000000"/>
              <w:bottom w:val="single" w:sz="4" w:space="0" w:color="000000"/>
              <w:right w:val="single" w:sz="4" w:space="0" w:color="000000"/>
            </w:tcBorders>
          </w:tcPr>
          <w:p>
            <w:pPr>
              <w:pStyle w:val="TableParagraph"/>
              <w:spacing w:before="89"/>
              <w:ind w:right="60"/>
              <w:rPr>
                <w:sz w:val="11"/>
              </w:rPr>
            </w:pPr>
            <w:r>
              <w:rPr>
                <w:w w:val="105"/>
                <w:sz w:val="11"/>
              </w:rPr>
              <w:t>7.1</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before="89"/>
              <w:ind w:right="62"/>
              <w:rPr>
                <w:sz w:val="11"/>
              </w:rPr>
            </w:pPr>
            <w:r>
              <w:rPr>
                <w:w w:val="105"/>
                <w:sz w:val="11"/>
              </w:rPr>
              <w:t>4.6</w:t>
            </w:r>
          </w:p>
        </w:tc>
        <w:tc>
          <w:tcPr>
            <w:tcW w:w="625" w:type="dxa"/>
            <w:tcBorders>
              <w:top w:val="single" w:sz="4" w:space="0" w:color="000000"/>
              <w:left w:val="single" w:sz="4" w:space="0" w:color="000000"/>
              <w:bottom w:val="single" w:sz="4" w:space="0" w:color="000000"/>
              <w:right w:val="single" w:sz="3" w:space="0" w:color="000000"/>
            </w:tcBorders>
          </w:tcPr>
          <w:p>
            <w:pPr>
              <w:pStyle w:val="TableParagraph"/>
              <w:spacing w:before="89"/>
              <w:ind w:left="98"/>
              <w:jc w:val="left"/>
              <w:rPr>
                <w:sz w:val="11"/>
              </w:rPr>
            </w:pPr>
            <w:r>
              <w:rPr>
                <w:w w:val="105"/>
                <w:sz w:val="11"/>
              </w:rPr>
              <w:t>19,546.1</w:t>
            </w:r>
          </w:p>
        </w:tc>
        <w:tc>
          <w:tcPr>
            <w:tcW w:w="376" w:type="dxa"/>
            <w:tcBorders>
              <w:top w:val="single" w:sz="4" w:space="0" w:color="000000"/>
              <w:left w:val="single" w:sz="3" w:space="0" w:color="000000"/>
              <w:bottom w:val="single" w:sz="4" w:space="0" w:color="000000"/>
            </w:tcBorders>
          </w:tcPr>
          <w:p>
            <w:pPr>
              <w:pStyle w:val="TableParagraph"/>
              <w:spacing w:before="89"/>
              <w:ind w:left="79"/>
              <w:jc w:val="left"/>
              <w:rPr>
                <w:sz w:val="11"/>
              </w:rPr>
            </w:pPr>
            <w:r>
              <w:rPr>
                <w:w w:val="105"/>
                <w:sz w:val="11"/>
              </w:rPr>
              <w:t>89.4</w:t>
            </w:r>
          </w:p>
        </w:tc>
      </w:tr>
      <w:tr>
        <w:trPr>
          <w:trHeight w:val="228" w:hRule="exact"/>
        </w:trPr>
        <w:tc>
          <w:tcPr>
            <w:tcW w:w="1891" w:type="dxa"/>
            <w:tcBorders>
              <w:top w:val="single" w:sz="4" w:space="0" w:color="000000"/>
              <w:bottom w:val="single" w:sz="4" w:space="0" w:color="000000"/>
            </w:tcBorders>
          </w:tcPr>
          <w:p>
            <w:pPr>
              <w:pStyle w:val="TableParagraph"/>
              <w:spacing w:before="86"/>
              <w:ind w:left="57"/>
              <w:jc w:val="left"/>
              <w:rPr>
                <w:sz w:val="11"/>
              </w:rPr>
            </w:pPr>
            <w:r>
              <w:rPr>
                <w:w w:val="105"/>
                <w:sz w:val="11"/>
              </w:rPr>
              <w:t>NOROESTE</w:t>
            </w:r>
          </w:p>
        </w:tc>
        <w:tc>
          <w:tcPr>
            <w:tcW w:w="624" w:type="dxa"/>
            <w:tcBorders>
              <w:top w:val="single" w:sz="4" w:space="0" w:color="000000"/>
              <w:bottom w:val="single" w:sz="4" w:space="0" w:color="000000"/>
              <w:right w:val="single" w:sz="4" w:space="0" w:color="000000"/>
            </w:tcBorders>
          </w:tcPr>
          <w:p>
            <w:pPr>
              <w:pStyle w:val="TableParagraph"/>
              <w:spacing w:before="86"/>
              <w:ind w:right="57"/>
              <w:rPr>
                <w:sz w:val="11"/>
              </w:rPr>
            </w:pPr>
            <w:r>
              <w:rPr>
                <w:w w:val="105"/>
                <w:sz w:val="11"/>
              </w:rPr>
              <w:t>843.3</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before="86"/>
              <w:ind w:right="60"/>
              <w:rPr>
                <w:sz w:val="11"/>
              </w:rPr>
            </w:pPr>
            <w:r>
              <w:rPr>
                <w:w w:val="105"/>
                <w:sz w:val="11"/>
              </w:rPr>
              <w:t>1,006.3</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86"/>
              <w:ind w:right="60"/>
              <w:rPr>
                <w:sz w:val="11"/>
              </w:rPr>
            </w:pPr>
            <w:r>
              <w:rPr>
                <w:w w:val="105"/>
                <w:sz w:val="11"/>
              </w:rPr>
              <w:t>1,354.5</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before="86"/>
              <w:ind w:right="60"/>
              <w:rPr>
                <w:sz w:val="11"/>
              </w:rPr>
            </w:pPr>
            <w:r>
              <w:rPr>
                <w:w w:val="105"/>
                <w:sz w:val="11"/>
              </w:rPr>
              <w:t>1,535.5</w:t>
            </w:r>
          </w:p>
        </w:tc>
        <w:tc>
          <w:tcPr>
            <w:tcW w:w="623" w:type="dxa"/>
            <w:tcBorders>
              <w:top w:val="single" w:sz="4" w:space="0" w:color="000000"/>
              <w:left w:val="single" w:sz="4" w:space="0" w:color="000000"/>
              <w:bottom w:val="single" w:sz="4" w:space="0" w:color="000000"/>
              <w:right w:val="single" w:sz="3" w:space="0" w:color="000000"/>
            </w:tcBorders>
          </w:tcPr>
          <w:p>
            <w:pPr>
              <w:pStyle w:val="TableParagraph"/>
              <w:spacing w:before="86"/>
              <w:ind w:right="60"/>
              <w:rPr>
                <w:sz w:val="11"/>
              </w:rPr>
            </w:pPr>
            <w:r>
              <w:rPr>
                <w:w w:val="105"/>
                <w:sz w:val="11"/>
              </w:rPr>
              <w:t>1,597.5</w:t>
            </w:r>
          </w:p>
        </w:tc>
        <w:tc>
          <w:tcPr>
            <w:tcW w:w="625" w:type="dxa"/>
            <w:tcBorders>
              <w:top w:val="single" w:sz="4" w:space="0" w:color="000000"/>
              <w:left w:val="single" w:sz="3" w:space="0" w:color="000000"/>
              <w:bottom w:val="single" w:sz="4" w:space="0" w:color="000000"/>
              <w:right w:val="single" w:sz="4" w:space="0" w:color="000000"/>
            </w:tcBorders>
          </w:tcPr>
          <w:p>
            <w:pPr>
              <w:pStyle w:val="TableParagraph"/>
              <w:spacing w:before="86"/>
              <w:ind w:right="60"/>
              <w:rPr>
                <w:sz w:val="11"/>
              </w:rPr>
            </w:pPr>
            <w:r>
              <w:rPr>
                <w:w w:val="105"/>
                <w:sz w:val="11"/>
              </w:rPr>
              <w:t>1,568.6</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86"/>
              <w:ind w:right="57"/>
              <w:rPr>
                <w:sz w:val="11"/>
              </w:rPr>
            </w:pPr>
            <w:r>
              <w:rPr>
                <w:w w:val="105"/>
                <w:sz w:val="11"/>
              </w:rPr>
              <w:t>1,451.5</w:t>
            </w:r>
          </w:p>
        </w:tc>
        <w:tc>
          <w:tcPr>
            <w:tcW w:w="847" w:type="dxa"/>
            <w:tcBorders>
              <w:top w:val="single" w:sz="4" w:space="0" w:color="000000"/>
              <w:left w:val="single" w:sz="4" w:space="0" w:color="000000"/>
              <w:bottom w:val="single" w:sz="4" w:space="0" w:color="000000"/>
              <w:right w:val="single" w:sz="4" w:space="0" w:color="000000"/>
            </w:tcBorders>
          </w:tcPr>
          <w:p>
            <w:pPr>
              <w:pStyle w:val="TableParagraph"/>
              <w:spacing w:before="86"/>
              <w:ind w:right="62"/>
              <w:rPr>
                <w:sz w:val="11"/>
              </w:rPr>
            </w:pPr>
            <w:r>
              <w:rPr>
                <w:w w:val="105"/>
                <w:sz w:val="11"/>
              </w:rPr>
              <w:t>1,336.7</w:t>
            </w:r>
          </w:p>
        </w:tc>
        <w:tc>
          <w:tcPr>
            <w:tcW w:w="653" w:type="dxa"/>
            <w:tcBorders>
              <w:top w:val="single" w:sz="4" w:space="0" w:color="000000"/>
              <w:left w:val="single" w:sz="4" w:space="0" w:color="000000"/>
              <w:bottom w:val="single" w:sz="4" w:space="0" w:color="000000"/>
              <w:right w:val="single" w:sz="4" w:space="0" w:color="000000"/>
            </w:tcBorders>
          </w:tcPr>
          <w:p>
            <w:pPr>
              <w:pStyle w:val="TableParagraph"/>
              <w:spacing w:before="86"/>
              <w:ind w:right="60"/>
              <w:rPr>
                <w:sz w:val="11"/>
              </w:rPr>
            </w:pPr>
            <w:r>
              <w:rPr>
                <w:w w:val="105"/>
                <w:sz w:val="11"/>
              </w:rPr>
              <w:t>6.1</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before="86"/>
              <w:ind w:right="62"/>
              <w:rPr>
                <w:sz w:val="11"/>
              </w:rPr>
            </w:pPr>
            <w:r>
              <w:rPr>
                <w:w w:val="105"/>
                <w:sz w:val="11"/>
              </w:rPr>
              <w:t>9.5</w:t>
            </w:r>
          </w:p>
        </w:tc>
        <w:tc>
          <w:tcPr>
            <w:tcW w:w="625" w:type="dxa"/>
            <w:tcBorders>
              <w:top w:val="single" w:sz="4" w:space="0" w:color="000000"/>
              <w:left w:val="single" w:sz="4" w:space="0" w:color="000000"/>
              <w:bottom w:val="single" w:sz="4" w:space="0" w:color="000000"/>
              <w:right w:val="single" w:sz="3" w:space="0" w:color="000000"/>
            </w:tcBorders>
          </w:tcPr>
          <w:p>
            <w:pPr>
              <w:pStyle w:val="TableParagraph"/>
              <w:spacing w:before="86"/>
              <w:ind w:left="98"/>
              <w:jc w:val="left"/>
              <w:rPr>
                <w:sz w:val="11"/>
              </w:rPr>
            </w:pPr>
            <w:r>
              <w:rPr>
                <w:w w:val="105"/>
                <w:sz w:val="11"/>
              </w:rPr>
              <w:t>20,882.8</w:t>
            </w:r>
          </w:p>
        </w:tc>
        <w:tc>
          <w:tcPr>
            <w:tcW w:w="376" w:type="dxa"/>
            <w:tcBorders>
              <w:top w:val="single" w:sz="4" w:space="0" w:color="000000"/>
              <w:left w:val="single" w:sz="3" w:space="0" w:color="000000"/>
              <w:bottom w:val="single" w:sz="4" w:space="0" w:color="000000"/>
            </w:tcBorders>
          </w:tcPr>
          <w:p>
            <w:pPr>
              <w:pStyle w:val="TableParagraph"/>
              <w:spacing w:before="86"/>
              <w:ind w:left="79"/>
              <w:jc w:val="left"/>
              <w:rPr>
                <w:sz w:val="11"/>
              </w:rPr>
            </w:pPr>
            <w:r>
              <w:rPr>
                <w:w w:val="105"/>
                <w:sz w:val="11"/>
              </w:rPr>
              <w:t>95.5</w:t>
            </w:r>
          </w:p>
        </w:tc>
      </w:tr>
      <w:tr>
        <w:trPr>
          <w:trHeight w:val="230" w:hRule="exact"/>
        </w:trPr>
        <w:tc>
          <w:tcPr>
            <w:tcW w:w="1891" w:type="dxa"/>
            <w:tcBorders>
              <w:top w:val="single" w:sz="4" w:space="0" w:color="000000"/>
              <w:bottom w:val="single" w:sz="4" w:space="0" w:color="000000"/>
            </w:tcBorders>
          </w:tcPr>
          <w:p>
            <w:pPr>
              <w:pStyle w:val="TableParagraph"/>
              <w:spacing w:before="91"/>
              <w:ind w:left="57"/>
              <w:jc w:val="left"/>
              <w:rPr>
                <w:sz w:val="11"/>
              </w:rPr>
            </w:pPr>
            <w:r>
              <w:rPr>
                <w:w w:val="105"/>
                <w:sz w:val="11"/>
              </w:rPr>
              <w:t>NORESTE</w:t>
            </w:r>
          </w:p>
        </w:tc>
        <w:tc>
          <w:tcPr>
            <w:tcW w:w="624" w:type="dxa"/>
            <w:tcBorders>
              <w:top w:val="single" w:sz="4" w:space="0" w:color="000000"/>
              <w:bottom w:val="single" w:sz="4" w:space="0" w:color="000000"/>
              <w:right w:val="single" w:sz="4" w:space="0" w:color="000000"/>
            </w:tcBorders>
          </w:tcPr>
          <w:p>
            <w:pPr>
              <w:pStyle w:val="TableParagraph"/>
              <w:spacing w:before="91"/>
              <w:ind w:right="57"/>
              <w:rPr>
                <w:sz w:val="11"/>
              </w:rPr>
            </w:pPr>
            <w:r>
              <w:rPr>
                <w:w w:val="105"/>
                <w:sz w:val="11"/>
              </w:rPr>
              <w:t>431.4</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before="91"/>
              <w:ind w:right="60"/>
              <w:rPr>
                <w:sz w:val="11"/>
              </w:rPr>
            </w:pPr>
            <w:r>
              <w:rPr>
                <w:w w:val="105"/>
                <w:sz w:val="11"/>
              </w:rPr>
              <w:t>593.9</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91"/>
              <w:ind w:right="60"/>
              <w:rPr>
                <w:sz w:val="11"/>
              </w:rPr>
            </w:pPr>
            <w:r>
              <w:rPr>
                <w:w w:val="105"/>
                <w:sz w:val="11"/>
              </w:rPr>
              <w:t>727.0</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before="91"/>
              <w:ind w:right="60"/>
              <w:rPr>
                <w:sz w:val="11"/>
              </w:rPr>
            </w:pPr>
            <w:r>
              <w:rPr>
                <w:w w:val="105"/>
                <w:sz w:val="11"/>
              </w:rPr>
              <w:t>859.5</w:t>
            </w:r>
          </w:p>
        </w:tc>
        <w:tc>
          <w:tcPr>
            <w:tcW w:w="623" w:type="dxa"/>
            <w:tcBorders>
              <w:top w:val="single" w:sz="4" w:space="0" w:color="000000"/>
              <w:left w:val="single" w:sz="4" w:space="0" w:color="000000"/>
              <w:bottom w:val="single" w:sz="4" w:space="0" w:color="000000"/>
              <w:right w:val="single" w:sz="3" w:space="0" w:color="000000"/>
            </w:tcBorders>
          </w:tcPr>
          <w:p>
            <w:pPr>
              <w:pStyle w:val="TableParagraph"/>
              <w:spacing w:before="91"/>
              <w:ind w:right="60"/>
              <w:rPr>
                <w:sz w:val="11"/>
              </w:rPr>
            </w:pPr>
            <w:r>
              <w:rPr>
                <w:w w:val="105"/>
                <w:sz w:val="11"/>
              </w:rPr>
              <w:t>879.8</w:t>
            </w:r>
          </w:p>
        </w:tc>
        <w:tc>
          <w:tcPr>
            <w:tcW w:w="625" w:type="dxa"/>
            <w:tcBorders>
              <w:top w:val="single" w:sz="4" w:space="0" w:color="000000"/>
              <w:left w:val="single" w:sz="3" w:space="0" w:color="000000"/>
              <w:bottom w:val="single" w:sz="4" w:space="0" w:color="000000"/>
              <w:right w:val="single" w:sz="4" w:space="0" w:color="000000"/>
            </w:tcBorders>
          </w:tcPr>
          <w:p>
            <w:pPr>
              <w:pStyle w:val="TableParagraph"/>
              <w:spacing w:before="91"/>
              <w:ind w:right="60"/>
              <w:rPr>
                <w:sz w:val="11"/>
              </w:rPr>
            </w:pPr>
            <w:r>
              <w:rPr>
                <w:w w:val="105"/>
                <w:sz w:val="11"/>
              </w:rPr>
              <w:t>842.5</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91"/>
              <w:ind w:right="57"/>
              <w:rPr>
                <w:sz w:val="11"/>
              </w:rPr>
            </w:pPr>
            <w:r>
              <w:rPr>
                <w:w w:val="105"/>
                <w:sz w:val="11"/>
              </w:rPr>
              <w:t>723.0</w:t>
            </w:r>
          </w:p>
        </w:tc>
        <w:tc>
          <w:tcPr>
            <w:tcW w:w="847" w:type="dxa"/>
            <w:tcBorders>
              <w:top w:val="single" w:sz="4" w:space="0" w:color="000000"/>
              <w:left w:val="single" w:sz="4" w:space="0" w:color="000000"/>
              <w:bottom w:val="single" w:sz="4" w:space="0" w:color="000000"/>
              <w:right w:val="single" w:sz="4" w:space="0" w:color="000000"/>
            </w:tcBorders>
          </w:tcPr>
          <w:p>
            <w:pPr>
              <w:pStyle w:val="TableParagraph"/>
              <w:spacing w:before="91"/>
              <w:ind w:right="62"/>
              <w:rPr>
                <w:sz w:val="11"/>
              </w:rPr>
            </w:pPr>
            <w:r>
              <w:rPr>
                <w:w w:val="105"/>
                <w:sz w:val="11"/>
              </w:rPr>
              <w:t>722.4</w:t>
            </w:r>
          </w:p>
        </w:tc>
        <w:tc>
          <w:tcPr>
            <w:tcW w:w="653" w:type="dxa"/>
            <w:tcBorders>
              <w:top w:val="single" w:sz="4" w:space="0" w:color="000000"/>
              <w:left w:val="single" w:sz="4" w:space="0" w:color="000000"/>
              <w:bottom w:val="single" w:sz="4" w:space="0" w:color="000000"/>
              <w:right w:val="single" w:sz="4" w:space="0" w:color="000000"/>
            </w:tcBorders>
          </w:tcPr>
          <w:p>
            <w:pPr>
              <w:pStyle w:val="TableParagraph"/>
              <w:spacing w:before="91"/>
              <w:ind w:right="60"/>
              <w:rPr>
                <w:sz w:val="11"/>
              </w:rPr>
            </w:pPr>
            <w:r>
              <w:rPr>
                <w:w w:val="105"/>
                <w:sz w:val="11"/>
              </w:rPr>
              <w:t>3.3</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before="91"/>
              <w:ind w:right="62"/>
              <w:rPr>
                <w:sz w:val="11"/>
              </w:rPr>
            </w:pPr>
            <w:r>
              <w:rPr>
                <w:w w:val="105"/>
                <w:sz w:val="11"/>
              </w:rPr>
              <w:t>9.0</w:t>
            </w:r>
          </w:p>
        </w:tc>
        <w:tc>
          <w:tcPr>
            <w:tcW w:w="625" w:type="dxa"/>
            <w:tcBorders>
              <w:top w:val="single" w:sz="4" w:space="0" w:color="000000"/>
              <w:left w:val="single" w:sz="4" w:space="0" w:color="000000"/>
              <w:bottom w:val="single" w:sz="4" w:space="0" w:color="000000"/>
              <w:right w:val="single" w:sz="3" w:space="0" w:color="000000"/>
            </w:tcBorders>
          </w:tcPr>
          <w:p>
            <w:pPr>
              <w:pStyle w:val="TableParagraph"/>
              <w:spacing w:before="91"/>
              <w:ind w:left="98"/>
              <w:jc w:val="left"/>
              <w:rPr>
                <w:sz w:val="11"/>
              </w:rPr>
            </w:pPr>
            <w:r>
              <w:rPr>
                <w:w w:val="105"/>
                <w:sz w:val="11"/>
              </w:rPr>
              <w:t>21,605.3</w:t>
            </w:r>
          </w:p>
        </w:tc>
        <w:tc>
          <w:tcPr>
            <w:tcW w:w="376" w:type="dxa"/>
            <w:tcBorders>
              <w:top w:val="single" w:sz="4" w:space="0" w:color="000000"/>
              <w:left w:val="single" w:sz="3" w:space="0" w:color="000000"/>
              <w:bottom w:val="single" w:sz="4" w:space="0" w:color="000000"/>
            </w:tcBorders>
          </w:tcPr>
          <w:p>
            <w:pPr>
              <w:pStyle w:val="TableParagraph"/>
              <w:spacing w:before="91"/>
              <w:ind w:left="79"/>
              <w:jc w:val="left"/>
              <w:rPr>
                <w:sz w:val="11"/>
              </w:rPr>
            </w:pPr>
            <w:r>
              <w:rPr>
                <w:w w:val="105"/>
                <w:sz w:val="11"/>
              </w:rPr>
              <w:t>98.8</w:t>
            </w:r>
          </w:p>
        </w:tc>
      </w:tr>
      <w:tr>
        <w:trPr>
          <w:trHeight w:val="238" w:hRule="exact"/>
        </w:trPr>
        <w:tc>
          <w:tcPr>
            <w:tcW w:w="1891" w:type="dxa"/>
            <w:tcBorders>
              <w:top w:val="single" w:sz="4" w:space="0" w:color="000000"/>
            </w:tcBorders>
          </w:tcPr>
          <w:p>
            <w:pPr>
              <w:pStyle w:val="TableParagraph"/>
              <w:spacing w:before="89"/>
              <w:ind w:left="57"/>
              <w:jc w:val="left"/>
              <w:rPr>
                <w:sz w:val="11"/>
              </w:rPr>
            </w:pPr>
            <w:r>
              <w:rPr>
                <w:w w:val="105"/>
                <w:sz w:val="11"/>
              </w:rPr>
              <w:t>PENINSULA DE YUCATÁN</w:t>
            </w:r>
          </w:p>
        </w:tc>
        <w:tc>
          <w:tcPr>
            <w:tcW w:w="624" w:type="dxa"/>
            <w:tcBorders>
              <w:top w:val="single" w:sz="4" w:space="0" w:color="000000"/>
              <w:right w:val="single" w:sz="4" w:space="0" w:color="000000"/>
            </w:tcBorders>
          </w:tcPr>
          <w:p>
            <w:pPr>
              <w:pStyle w:val="TableParagraph"/>
              <w:spacing w:before="89"/>
              <w:ind w:right="57"/>
              <w:rPr>
                <w:sz w:val="11"/>
              </w:rPr>
            </w:pPr>
            <w:r>
              <w:rPr>
                <w:w w:val="105"/>
                <w:sz w:val="11"/>
              </w:rPr>
              <w:t>165.7</w:t>
            </w:r>
          </w:p>
        </w:tc>
        <w:tc>
          <w:tcPr>
            <w:tcW w:w="626" w:type="dxa"/>
            <w:tcBorders>
              <w:top w:val="single" w:sz="4" w:space="0" w:color="000000"/>
              <w:left w:val="single" w:sz="4" w:space="0" w:color="000000"/>
              <w:right w:val="single" w:sz="4" w:space="0" w:color="000000"/>
            </w:tcBorders>
          </w:tcPr>
          <w:p>
            <w:pPr>
              <w:pStyle w:val="TableParagraph"/>
              <w:spacing w:before="89"/>
              <w:ind w:right="60"/>
              <w:rPr>
                <w:sz w:val="11"/>
              </w:rPr>
            </w:pPr>
            <w:r>
              <w:rPr>
                <w:w w:val="105"/>
                <w:sz w:val="11"/>
              </w:rPr>
              <w:t>196.5</w:t>
            </w:r>
          </w:p>
        </w:tc>
        <w:tc>
          <w:tcPr>
            <w:tcW w:w="624" w:type="dxa"/>
            <w:tcBorders>
              <w:top w:val="single" w:sz="4" w:space="0" w:color="000000"/>
              <w:left w:val="single" w:sz="4" w:space="0" w:color="000000"/>
              <w:right w:val="single" w:sz="4" w:space="0" w:color="000000"/>
            </w:tcBorders>
          </w:tcPr>
          <w:p>
            <w:pPr>
              <w:pStyle w:val="TableParagraph"/>
              <w:spacing w:before="89"/>
              <w:ind w:right="60"/>
              <w:rPr>
                <w:sz w:val="11"/>
              </w:rPr>
            </w:pPr>
            <w:r>
              <w:rPr>
                <w:w w:val="105"/>
                <w:sz w:val="11"/>
              </w:rPr>
              <w:t>243.1</w:t>
            </w:r>
          </w:p>
        </w:tc>
        <w:tc>
          <w:tcPr>
            <w:tcW w:w="626" w:type="dxa"/>
            <w:tcBorders>
              <w:top w:val="single" w:sz="4" w:space="0" w:color="000000"/>
              <w:left w:val="single" w:sz="4" w:space="0" w:color="000000"/>
              <w:right w:val="single" w:sz="4" w:space="0" w:color="000000"/>
            </w:tcBorders>
          </w:tcPr>
          <w:p>
            <w:pPr>
              <w:pStyle w:val="TableParagraph"/>
              <w:spacing w:before="89"/>
              <w:ind w:right="60"/>
              <w:rPr>
                <w:sz w:val="11"/>
              </w:rPr>
            </w:pPr>
            <w:r>
              <w:rPr>
                <w:w w:val="105"/>
                <w:sz w:val="11"/>
              </w:rPr>
              <w:t>305.0</w:t>
            </w:r>
          </w:p>
        </w:tc>
        <w:tc>
          <w:tcPr>
            <w:tcW w:w="623" w:type="dxa"/>
            <w:tcBorders>
              <w:top w:val="single" w:sz="4" w:space="0" w:color="000000"/>
              <w:left w:val="single" w:sz="4" w:space="0" w:color="000000"/>
              <w:right w:val="single" w:sz="3" w:space="0" w:color="000000"/>
            </w:tcBorders>
          </w:tcPr>
          <w:p>
            <w:pPr>
              <w:pStyle w:val="TableParagraph"/>
              <w:spacing w:before="89"/>
              <w:ind w:right="60"/>
              <w:rPr>
                <w:sz w:val="11"/>
              </w:rPr>
            </w:pPr>
            <w:r>
              <w:rPr>
                <w:w w:val="105"/>
                <w:sz w:val="11"/>
              </w:rPr>
              <w:t>313.8</w:t>
            </w:r>
          </w:p>
        </w:tc>
        <w:tc>
          <w:tcPr>
            <w:tcW w:w="625" w:type="dxa"/>
            <w:tcBorders>
              <w:top w:val="single" w:sz="4" w:space="0" w:color="000000"/>
              <w:left w:val="single" w:sz="3" w:space="0" w:color="000000"/>
              <w:right w:val="single" w:sz="4" w:space="0" w:color="000000"/>
            </w:tcBorders>
          </w:tcPr>
          <w:p>
            <w:pPr>
              <w:pStyle w:val="TableParagraph"/>
              <w:spacing w:before="89"/>
              <w:ind w:right="60"/>
              <w:rPr>
                <w:sz w:val="11"/>
              </w:rPr>
            </w:pPr>
            <w:r>
              <w:rPr>
                <w:w w:val="105"/>
                <w:sz w:val="11"/>
              </w:rPr>
              <w:t>302.9</w:t>
            </w:r>
          </w:p>
        </w:tc>
        <w:tc>
          <w:tcPr>
            <w:tcW w:w="624" w:type="dxa"/>
            <w:tcBorders>
              <w:top w:val="single" w:sz="4" w:space="0" w:color="000000"/>
              <w:left w:val="single" w:sz="4" w:space="0" w:color="000000"/>
              <w:right w:val="single" w:sz="4" w:space="0" w:color="000000"/>
            </w:tcBorders>
          </w:tcPr>
          <w:p>
            <w:pPr>
              <w:pStyle w:val="TableParagraph"/>
              <w:spacing w:before="89"/>
              <w:ind w:right="57"/>
              <w:rPr>
                <w:sz w:val="11"/>
              </w:rPr>
            </w:pPr>
            <w:r>
              <w:rPr>
                <w:w w:val="105"/>
                <w:sz w:val="11"/>
              </w:rPr>
              <w:t>250.7</w:t>
            </w:r>
          </w:p>
        </w:tc>
        <w:tc>
          <w:tcPr>
            <w:tcW w:w="847" w:type="dxa"/>
            <w:tcBorders>
              <w:top w:val="single" w:sz="4" w:space="0" w:color="000000"/>
              <w:left w:val="single" w:sz="4" w:space="0" w:color="000000"/>
              <w:right w:val="single" w:sz="4" w:space="0" w:color="000000"/>
            </w:tcBorders>
          </w:tcPr>
          <w:p>
            <w:pPr>
              <w:pStyle w:val="TableParagraph"/>
              <w:spacing w:before="89"/>
              <w:ind w:right="62"/>
              <w:rPr>
                <w:sz w:val="11"/>
              </w:rPr>
            </w:pPr>
            <w:r>
              <w:rPr>
                <w:w w:val="105"/>
                <w:sz w:val="11"/>
              </w:rPr>
              <w:t>254.0</w:t>
            </w:r>
          </w:p>
        </w:tc>
        <w:tc>
          <w:tcPr>
            <w:tcW w:w="653" w:type="dxa"/>
            <w:tcBorders>
              <w:top w:val="single" w:sz="4" w:space="0" w:color="000000"/>
              <w:left w:val="single" w:sz="4" w:space="0" w:color="000000"/>
              <w:right w:val="single" w:sz="4" w:space="0" w:color="000000"/>
            </w:tcBorders>
          </w:tcPr>
          <w:p>
            <w:pPr>
              <w:pStyle w:val="TableParagraph"/>
              <w:spacing w:before="89"/>
              <w:ind w:right="60"/>
              <w:rPr>
                <w:sz w:val="11"/>
              </w:rPr>
            </w:pPr>
            <w:r>
              <w:rPr>
                <w:w w:val="105"/>
                <w:sz w:val="11"/>
              </w:rPr>
              <w:t>1.2</w:t>
            </w:r>
          </w:p>
        </w:tc>
        <w:tc>
          <w:tcPr>
            <w:tcW w:w="480" w:type="dxa"/>
            <w:tcBorders>
              <w:top w:val="single" w:sz="4" w:space="0" w:color="000000"/>
              <w:left w:val="single" w:sz="4" w:space="0" w:color="000000"/>
              <w:right w:val="single" w:sz="4" w:space="0" w:color="000000"/>
            </w:tcBorders>
          </w:tcPr>
          <w:p>
            <w:pPr>
              <w:pStyle w:val="TableParagraph"/>
              <w:spacing w:before="89"/>
              <w:ind w:right="62"/>
              <w:rPr>
                <w:sz w:val="11"/>
              </w:rPr>
            </w:pPr>
            <w:r>
              <w:rPr>
                <w:w w:val="105"/>
                <w:sz w:val="11"/>
              </w:rPr>
              <w:t>7.1</w:t>
            </w:r>
          </w:p>
        </w:tc>
        <w:tc>
          <w:tcPr>
            <w:tcW w:w="625" w:type="dxa"/>
            <w:tcBorders>
              <w:top w:val="single" w:sz="4" w:space="0" w:color="000000"/>
              <w:left w:val="single" w:sz="4" w:space="0" w:color="000000"/>
              <w:right w:val="single" w:sz="3" w:space="0" w:color="000000"/>
            </w:tcBorders>
          </w:tcPr>
          <w:p>
            <w:pPr>
              <w:pStyle w:val="TableParagraph"/>
              <w:spacing w:before="89"/>
              <w:ind w:left="98"/>
              <w:jc w:val="left"/>
              <w:rPr>
                <w:b/>
                <w:sz w:val="11"/>
              </w:rPr>
            </w:pPr>
            <w:r>
              <w:rPr>
                <w:b/>
                <w:w w:val="105"/>
                <w:sz w:val="11"/>
              </w:rPr>
              <w:t>21,859.2</w:t>
            </w:r>
          </w:p>
        </w:tc>
        <w:tc>
          <w:tcPr>
            <w:tcW w:w="376" w:type="dxa"/>
            <w:tcBorders>
              <w:top w:val="single" w:sz="4" w:space="0" w:color="000000"/>
              <w:left w:val="single" w:sz="3" w:space="0" w:color="000000"/>
            </w:tcBorders>
          </w:tcPr>
          <w:p>
            <w:pPr>
              <w:pStyle w:val="TableParagraph"/>
              <w:spacing w:before="89"/>
              <w:ind w:left="110"/>
              <w:jc w:val="left"/>
              <w:rPr>
                <w:b/>
                <w:sz w:val="11"/>
              </w:rPr>
            </w:pPr>
            <w:r>
              <w:rPr>
                <w:b/>
                <w:w w:val="105"/>
                <w:sz w:val="11"/>
              </w:rPr>
              <w:t>100</w:t>
            </w:r>
          </w:p>
        </w:tc>
      </w:tr>
    </w:tbl>
    <w:p>
      <w:pPr>
        <w:spacing w:line="244" w:lineRule="auto" w:before="0"/>
        <w:ind w:left="181" w:right="334" w:firstLine="0"/>
        <w:jc w:val="left"/>
        <w:rPr>
          <w:sz w:val="21"/>
        </w:rPr>
      </w:pPr>
      <w:r>
        <w:rPr>
          <w:sz w:val="21"/>
        </w:rPr>
        <w:t>Fuente: Elaboración propia con información estadística del Banco de México. 2003-2009.   TCMA: Tasa de crecimiento media anual, FAA: Frecuencia absoluta acumulada  FRA:  Frecuencia relativa</w:t>
      </w:r>
      <w:r>
        <w:rPr>
          <w:spacing w:val="47"/>
          <w:sz w:val="21"/>
        </w:rPr>
        <w:t> </w:t>
      </w:r>
      <w:r>
        <w:rPr>
          <w:sz w:val="21"/>
        </w:rPr>
        <w:t>acumulada.</w:t>
      </w:r>
    </w:p>
    <w:p>
      <w:pPr>
        <w:pStyle w:val="BodyText"/>
        <w:rPr>
          <w:sz w:val="20"/>
        </w:rPr>
      </w:pPr>
    </w:p>
    <w:p>
      <w:pPr>
        <w:pStyle w:val="BodyText"/>
        <w:spacing w:line="364" w:lineRule="auto" w:before="172"/>
        <w:ind w:left="181" w:right="184"/>
        <w:jc w:val="both"/>
      </w:pPr>
      <w:r>
        <w:rPr/>
        <w:t>Como se puede apreciar en el cuadro 6, y de acuerdo al periodo analizado 2003-2009, las remesas en promedio fueron de 21,859.2 millones de dólares, manifestando  una tasa de crecimiento de 5.9% en el ámbito nacional. De acuerdo a  los  datos  estadísticos, es la región Centro Occidente la que capta el mayor volumen de remesas 6,525.5 millones de dólares que representa el 29.9% de las remesas  que entran  al  país. Le sigue la región Centro Este con el 28.8% de las remesas, la Pacífico Sur con 14.1% y la norte con 10.2%, entre las más</w:t>
      </w:r>
      <w:r>
        <w:rPr>
          <w:spacing w:val="62"/>
        </w:rPr>
        <w:t> </w:t>
      </w:r>
      <w:r>
        <w:rPr/>
        <w:t>destacadas.</w:t>
      </w:r>
    </w:p>
    <w:p>
      <w:pPr>
        <w:spacing w:after="0" w:line="364" w:lineRule="auto"/>
        <w:jc w:val="both"/>
        <w:sectPr>
          <w:pgSz w:w="11900" w:h="16840"/>
          <w:pgMar w:header="0" w:footer="1676" w:top="1600" w:bottom="1860" w:left="1220" w:right="1200"/>
        </w:sectPr>
      </w:pPr>
    </w:p>
    <w:p>
      <w:pPr>
        <w:pStyle w:val="BodyText"/>
        <w:rPr>
          <w:sz w:val="20"/>
        </w:rPr>
      </w:pPr>
    </w:p>
    <w:p>
      <w:pPr>
        <w:pStyle w:val="BodyText"/>
        <w:spacing w:before="4"/>
        <w:rPr>
          <w:sz w:val="18"/>
        </w:rPr>
      </w:pPr>
    </w:p>
    <w:p>
      <w:pPr>
        <w:pStyle w:val="Heading4"/>
        <w:spacing w:line="244" w:lineRule="auto" w:before="73"/>
        <w:ind w:left="3572" w:right="334" w:hanging="3010"/>
      </w:pPr>
      <w:r>
        <w:rPr/>
        <w:t>Cuadro 7. Regionalización económica de las remesas familiares, 2003-2009 (Millones de dólares)</w:t>
      </w:r>
    </w:p>
    <w:p>
      <w:pPr>
        <w:pStyle w:val="BodyText"/>
        <w:spacing w:before="3" w:after="1"/>
        <w:rPr>
          <w:b/>
          <w:sz w:val="10"/>
        </w:rPr>
      </w:pPr>
    </w:p>
    <w:tbl>
      <w:tblPr>
        <w:tblW w:w="0" w:type="auto"/>
        <w:jc w:val="left"/>
        <w:tblInd w:w="104"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200"/>
        <w:gridCol w:w="1609"/>
        <w:gridCol w:w="666"/>
        <w:gridCol w:w="666"/>
        <w:gridCol w:w="665"/>
        <w:gridCol w:w="667"/>
        <w:gridCol w:w="665"/>
        <w:gridCol w:w="666"/>
        <w:gridCol w:w="668"/>
        <w:gridCol w:w="773"/>
        <w:gridCol w:w="624"/>
        <w:gridCol w:w="474"/>
        <w:gridCol w:w="526"/>
        <w:gridCol w:w="376"/>
      </w:tblGrid>
      <w:tr>
        <w:trPr>
          <w:trHeight w:val="155" w:hRule="exact"/>
        </w:trPr>
        <w:tc>
          <w:tcPr>
            <w:tcW w:w="200" w:type="dxa"/>
            <w:tcBorders>
              <w:left w:val="single" w:sz="8" w:space="0" w:color="000000"/>
              <w:bottom w:val="single" w:sz="8" w:space="0" w:color="000000"/>
            </w:tcBorders>
          </w:tcPr>
          <w:p>
            <w:pPr>
              <w:pStyle w:val="TableParagraph"/>
              <w:jc w:val="center"/>
              <w:rPr>
                <w:b/>
                <w:sz w:val="11"/>
              </w:rPr>
            </w:pPr>
            <w:r>
              <w:rPr>
                <w:b/>
                <w:w w:val="106"/>
                <w:sz w:val="11"/>
              </w:rPr>
              <w:t>1</w:t>
            </w:r>
          </w:p>
        </w:tc>
        <w:tc>
          <w:tcPr>
            <w:tcW w:w="1609" w:type="dxa"/>
            <w:tcBorders>
              <w:bottom w:val="single" w:sz="8" w:space="0" w:color="000000"/>
              <w:right w:val="single" w:sz="8" w:space="0" w:color="000000"/>
            </w:tcBorders>
          </w:tcPr>
          <w:p>
            <w:pPr>
              <w:pStyle w:val="TableParagraph"/>
              <w:ind w:left="59"/>
              <w:jc w:val="left"/>
              <w:rPr>
                <w:b/>
                <w:sz w:val="11"/>
              </w:rPr>
            </w:pPr>
            <w:r>
              <w:rPr>
                <w:b/>
                <w:w w:val="105"/>
                <w:sz w:val="11"/>
              </w:rPr>
              <w:t>ESTADOS/AÑOS</w:t>
            </w:r>
          </w:p>
        </w:tc>
        <w:tc>
          <w:tcPr>
            <w:tcW w:w="666" w:type="dxa"/>
            <w:tcBorders>
              <w:left w:val="single" w:sz="8" w:space="0" w:color="000000"/>
              <w:bottom w:val="single" w:sz="8" w:space="0" w:color="000000"/>
            </w:tcBorders>
          </w:tcPr>
          <w:p>
            <w:pPr>
              <w:pStyle w:val="TableParagraph"/>
              <w:ind w:right="55"/>
              <w:rPr>
                <w:b/>
                <w:sz w:val="11"/>
              </w:rPr>
            </w:pPr>
            <w:r>
              <w:rPr>
                <w:b/>
                <w:w w:val="105"/>
                <w:sz w:val="11"/>
              </w:rPr>
              <w:t>2003</w:t>
            </w:r>
          </w:p>
        </w:tc>
        <w:tc>
          <w:tcPr>
            <w:tcW w:w="666" w:type="dxa"/>
            <w:tcBorders>
              <w:bottom w:val="single" w:sz="8" w:space="0" w:color="000000"/>
              <w:right w:val="single" w:sz="8" w:space="0" w:color="000000"/>
            </w:tcBorders>
          </w:tcPr>
          <w:p>
            <w:pPr>
              <w:pStyle w:val="TableParagraph"/>
              <w:ind w:right="55"/>
              <w:rPr>
                <w:b/>
                <w:sz w:val="11"/>
              </w:rPr>
            </w:pPr>
            <w:r>
              <w:rPr>
                <w:b/>
                <w:w w:val="105"/>
                <w:sz w:val="11"/>
              </w:rPr>
              <w:t>2004</w:t>
            </w:r>
          </w:p>
        </w:tc>
        <w:tc>
          <w:tcPr>
            <w:tcW w:w="665" w:type="dxa"/>
            <w:tcBorders>
              <w:left w:val="single" w:sz="8" w:space="0" w:color="000000"/>
              <w:bottom w:val="single" w:sz="8" w:space="0" w:color="000000"/>
              <w:right w:val="single" w:sz="8" w:space="0" w:color="000000"/>
            </w:tcBorders>
          </w:tcPr>
          <w:p>
            <w:pPr>
              <w:pStyle w:val="TableParagraph"/>
              <w:ind w:right="53"/>
              <w:rPr>
                <w:b/>
                <w:sz w:val="11"/>
              </w:rPr>
            </w:pPr>
            <w:r>
              <w:rPr>
                <w:b/>
                <w:w w:val="105"/>
                <w:sz w:val="11"/>
              </w:rPr>
              <w:t>2005</w:t>
            </w:r>
          </w:p>
        </w:tc>
        <w:tc>
          <w:tcPr>
            <w:tcW w:w="667" w:type="dxa"/>
            <w:tcBorders>
              <w:left w:val="single" w:sz="8" w:space="0" w:color="000000"/>
              <w:bottom w:val="single" w:sz="8" w:space="0" w:color="000000"/>
              <w:right w:val="single" w:sz="8" w:space="0" w:color="000000"/>
            </w:tcBorders>
          </w:tcPr>
          <w:p>
            <w:pPr>
              <w:pStyle w:val="TableParagraph"/>
              <w:ind w:right="55"/>
              <w:rPr>
                <w:b/>
                <w:sz w:val="11"/>
              </w:rPr>
            </w:pPr>
            <w:r>
              <w:rPr>
                <w:b/>
                <w:w w:val="105"/>
                <w:sz w:val="11"/>
              </w:rPr>
              <w:t>2006</w:t>
            </w:r>
          </w:p>
        </w:tc>
        <w:tc>
          <w:tcPr>
            <w:tcW w:w="665" w:type="dxa"/>
            <w:tcBorders>
              <w:left w:val="single" w:sz="8" w:space="0" w:color="000000"/>
              <w:bottom w:val="single" w:sz="8" w:space="0" w:color="000000"/>
              <w:right w:val="single" w:sz="8" w:space="0" w:color="000000"/>
            </w:tcBorders>
          </w:tcPr>
          <w:p>
            <w:pPr>
              <w:pStyle w:val="TableParagraph"/>
              <w:ind w:right="53"/>
              <w:rPr>
                <w:b/>
                <w:sz w:val="11"/>
              </w:rPr>
            </w:pPr>
            <w:r>
              <w:rPr>
                <w:b/>
                <w:w w:val="105"/>
                <w:sz w:val="11"/>
              </w:rPr>
              <w:t>2007</w:t>
            </w:r>
          </w:p>
        </w:tc>
        <w:tc>
          <w:tcPr>
            <w:tcW w:w="666" w:type="dxa"/>
            <w:tcBorders>
              <w:left w:val="single" w:sz="8" w:space="0" w:color="000000"/>
              <w:bottom w:val="single" w:sz="8" w:space="0" w:color="000000"/>
            </w:tcBorders>
          </w:tcPr>
          <w:p>
            <w:pPr>
              <w:pStyle w:val="TableParagraph"/>
              <w:ind w:right="55"/>
              <w:rPr>
                <w:b/>
                <w:sz w:val="11"/>
              </w:rPr>
            </w:pPr>
            <w:r>
              <w:rPr>
                <w:b/>
                <w:w w:val="105"/>
                <w:sz w:val="11"/>
              </w:rPr>
              <w:t>2008</w:t>
            </w:r>
          </w:p>
        </w:tc>
        <w:tc>
          <w:tcPr>
            <w:tcW w:w="668" w:type="dxa"/>
            <w:tcBorders>
              <w:bottom w:val="single" w:sz="8" w:space="0" w:color="000000"/>
              <w:right w:val="single" w:sz="8" w:space="0" w:color="000000"/>
            </w:tcBorders>
          </w:tcPr>
          <w:p>
            <w:pPr>
              <w:pStyle w:val="TableParagraph"/>
              <w:ind w:right="57"/>
              <w:rPr>
                <w:b/>
                <w:sz w:val="11"/>
              </w:rPr>
            </w:pPr>
            <w:r>
              <w:rPr>
                <w:b/>
                <w:w w:val="105"/>
                <w:sz w:val="11"/>
              </w:rPr>
              <w:t>2009</w:t>
            </w:r>
          </w:p>
        </w:tc>
        <w:tc>
          <w:tcPr>
            <w:tcW w:w="773" w:type="dxa"/>
            <w:tcBorders>
              <w:left w:val="single" w:sz="8" w:space="0" w:color="000000"/>
              <w:bottom w:val="single" w:sz="8" w:space="0" w:color="000000"/>
              <w:right w:val="single" w:sz="8" w:space="0" w:color="000000"/>
            </w:tcBorders>
          </w:tcPr>
          <w:p>
            <w:pPr>
              <w:pStyle w:val="TableParagraph"/>
              <w:ind w:right="58"/>
              <w:rPr>
                <w:b/>
                <w:sz w:val="11"/>
              </w:rPr>
            </w:pPr>
            <w:r>
              <w:rPr>
                <w:b/>
                <w:w w:val="105"/>
                <w:sz w:val="11"/>
              </w:rPr>
              <w:t>PROMEDIO</w:t>
            </w:r>
          </w:p>
        </w:tc>
        <w:tc>
          <w:tcPr>
            <w:tcW w:w="624" w:type="dxa"/>
            <w:tcBorders>
              <w:left w:val="single" w:sz="8" w:space="0" w:color="000000"/>
              <w:bottom w:val="single" w:sz="8" w:space="0" w:color="000000"/>
              <w:right w:val="single" w:sz="8" w:space="0" w:color="000000"/>
            </w:tcBorders>
          </w:tcPr>
          <w:p>
            <w:pPr>
              <w:pStyle w:val="TableParagraph"/>
              <w:ind w:right="55"/>
              <w:rPr>
                <w:b/>
                <w:sz w:val="11"/>
              </w:rPr>
            </w:pPr>
            <w:r>
              <w:rPr>
                <w:b/>
                <w:w w:val="105"/>
                <w:sz w:val="11"/>
              </w:rPr>
              <w:t>PART. %</w:t>
            </w:r>
          </w:p>
        </w:tc>
        <w:tc>
          <w:tcPr>
            <w:tcW w:w="474" w:type="dxa"/>
            <w:tcBorders>
              <w:left w:val="single" w:sz="8" w:space="0" w:color="000000"/>
              <w:bottom w:val="single" w:sz="8" w:space="0" w:color="000000"/>
            </w:tcBorders>
          </w:tcPr>
          <w:p>
            <w:pPr>
              <w:pStyle w:val="TableParagraph"/>
              <w:ind w:right="57"/>
              <w:rPr>
                <w:b/>
                <w:sz w:val="11"/>
              </w:rPr>
            </w:pPr>
            <w:r>
              <w:rPr>
                <w:b/>
                <w:w w:val="105"/>
                <w:sz w:val="11"/>
              </w:rPr>
              <w:t>TCMA</w:t>
            </w:r>
          </w:p>
        </w:tc>
        <w:tc>
          <w:tcPr>
            <w:tcW w:w="526" w:type="dxa"/>
            <w:tcBorders>
              <w:bottom w:val="single" w:sz="8" w:space="0" w:color="000000"/>
            </w:tcBorders>
          </w:tcPr>
          <w:p>
            <w:pPr>
              <w:pStyle w:val="TableParagraph"/>
              <w:ind w:left="59"/>
              <w:jc w:val="left"/>
              <w:rPr>
                <w:b/>
                <w:sz w:val="11"/>
              </w:rPr>
            </w:pPr>
            <w:r>
              <w:rPr>
                <w:b/>
                <w:w w:val="105"/>
                <w:sz w:val="11"/>
              </w:rPr>
              <w:t>FAA</w:t>
            </w:r>
          </w:p>
        </w:tc>
        <w:tc>
          <w:tcPr>
            <w:tcW w:w="376" w:type="dxa"/>
            <w:tcBorders>
              <w:bottom w:val="single" w:sz="8" w:space="0" w:color="000000"/>
              <w:right w:val="single" w:sz="8" w:space="0" w:color="000000"/>
            </w:tcBorders>
          </w:tcPr>
          <w:p>
            <w:pPr>
              <w:pStyle w:val="TableParagraph"/>
              <w:ind w:right="55"/>
              <w:rPr>
                <w:b/>
                <w:sz w:val="11"/>
              </w:rPr>
            </w:pPr>
            <w:r>
              <w:rPr>
                <w:b/>
                <w:w w:val="105"/>
                <w:sz w:val="11"/>
              </w:rPr>
              <w:t>FRA</w:t>
            </w:r>
          </w:p>
        </w:tc>
      </w:tr>
      <w:tr>
        <w:trPr>
          <w:trHeight w:val="154" w:hRule="exact"/>
        </w:trPr>
        <w:tc>
          <w:tcPr>
            <w:tcW w:w="200" w:type="dxa"/>
            <w:tcBorders>
              <w:top w:val="single" w:sz="8" w:space="0" w:color="000000"/>
              <w:left w:val="single" w:sz="8" w:space="0" w:color="000000"/>
              <w:bottom w:val="single" w:sz="8" w:space="0" w:color="000000"/>
            </w:tcBorders>
          </w:tcPr>
          <w:p>
            <w:pPr/>
          </w:p>
        </w:tc>
        <w:tc>
          <w:tcPr>
            <w:tcW w:w="1609" w:type="dxa"/>
            <w:tcBorders>
              <w:top w:val="single" w:sz="8" w:space="0" w:color="000000"/>
              <w:bottom w:val="single" w:sz="8" w:space="0" w:color="000000"/>
              <w:right w:val="single" w:sz="8" w:space="0" w:color="000000"/>
            </w:tcBorders>
          </w:tcPr>
          <w:p>
            <w:pPr>
              <w:pStyle w:val="TableParagraph"/>
              <w:spacing w:before="0"/>
              <w:ind w:left="59"/>
              <w:jc w:val="left"/>
              <w:rPr>
                <w:b/>
                <w:sz w:val="11"/>
              </w:rPr>
            </w:pPr>
            <w:r>
              <w:rPr>
                <w:b/>
                <w:w w:val="105"/>
                <w:sz w:val="11"/>
              </w:rPr>
              <w:t>NOROESTE</w:t>
            </w:r>
          </w:p>
        </w:tc>
        <w:tc>
          <w:tcPr>
            <w:tcW w:w="666" w:type="dxa"/>
            <w:tcBorders>
              <w:top w:val="single" w:sz="8" w:space="0" w:color="000000"/>
              <w:left w:val="single" w:sz="8" w:space="0" w:color="000000"/>
              <w:bottom w:val="single" w:sz="8" w:space="0" w:color="000000"/>
            </w:tcBorders>
          </w:tcPr>
          <w:p>
            <w:pPr>
              <w:pStyle w:val="TableParagraph"/>
              <w:spacing w:before="0"/>
              <w:ind w:right="55"/>
              <w:rPr>
                <w:b/>
                <w:sz w:val="11"/>
              </w:rPr>
            </w:pPr>
            <w:r>
              <w:rPr>
                <w:b/>
                <w:w w:val="105"/>
                <w:sz w:val="11"/>
              </w:rPr>
              <w:t>843.3</w:t>
            </w:r>
          </w:p>
        </w:tc>
        <w:tc>
          <w:tcPr>
            <w:tcW w:w="666" w:type="dxa"/>
            <w:tcBorders>
              <w:top w:val="single" w:sz="8" w:space="0" w:color="000000"/>
              <w:bottom w:val="single" w:sz="8" w:space="0" w:color="000000"/>
              <w:right w:val="single" w:sz="8" w:space="0" w:color="000000"/>
            </w:tcBorders>
          </w:tcPr>
          <w:p>
            <w:pPr>
              <w:pStyle w:val="TableParagraph"/>
              <w:spacing w:before="0"/>
              <w:ind w:right="55"/>
              <w:rPr>
                <w:b/>
                <w:sz w:val="11"/>
              </w:rPr>
            </w:pPr>
            <w:r>
              <w:rPr>
                <w:b/>
                <w:w w:val="105"/>
                <w:sz w:val="11"/>
              </w:rPr>
              <w:t>1,006.3</w:t>
            </w:r>
          </w:p>
        </w:tc>
        <w:tc>
          <w:tcPr>
            <w:tcW w:w="665" w:type="dxa"/>
            <w:tcBorders>
              <w:top w:val="single" w:sz="8" w:space="0" w:color="000000"/>
              <w:left w:val="single" w:sz="8" w:space="0" w:color="000000"/>
              <w:bottom w:val="single" w:sz="8" w:space="0" w:color="000000"/>
              <w:right w:val="single" w:sz="8" w:space="0" w:color="000000"/>
            </w:tcBorders>
          </w:tcPr>
          <w:p>
            <w:pPr>
              <w:pStyle w:val="TableParagraph"/>
              <w:spacing w:before="0"/>
              <w:ind w:right="53"/>
              <w:rPr>
                <w:b/>
                <w:sz w:val="11"/>
              </w:rPr>
            </w:pPr>
            <w:r>
              <w:rPr>
                <w:b/>
                <w:w w:val="105"/>
                <w:sz w:val="11"/>
              </w:rPr>
              <w:t>1,354.5</w:t>
            </w:r>
          </w:p>
        </w:tc>
        <w:tc>
          <w:tcPr>
            <w:tcW w:w="667" w:type="dxa"/>
            <w:tcBorders>
              <w:top w:val="single" w:sz="8" w:space="0" w:color="000000"/>
              <w:left w:val="single" w:sz="8" w:space="0" w:color="000000"/>
              <w:bottom w:val="single" w:sz="8" w:space="0" w:color="000000"/>
              <w:right w:val="single" w:sz="8" w:space="0" w:color="000000"/>
            </w:tcBorders>
          </w:tcPr>
          <w:p>
            <w:pPr>
              <w:pStyle w:val="TableParagraph"/>
              <w:spacing w:before="0"/>
              <w:ind w:right="55"/>
              <w:rPr>
                <w:b/>
                <w:sz w:val="11"/>
              </w:rPr>
            </w:pPr>
            <w:r>
              <w:rPr>
                <w:b/>
                <w:w w:val="105"/>
                <w:sz w:val="11"/>
              </w:rPr>
              <w:t>1,535.5</w:t>
            </w:r>
          </w:p>
        </w:tc>
        <w:tc>
          <w:tcPr>
            <w:tcW w:w="665" w:type="dxa"/>
            <w:tcBorders>
              <w:top w:val="single" w:sz="8" w:space="0" w:color="000000"/>
              <w:left w:val="single" w:sz="8" w:space="0" w:color="000000"/>
              <w:bottom w:val="single" w:sz="8" w:space="0" w:color="000000"/>
              <w:right w:val="single" w:sz="8" w:space="0" w:color="000000"/>
            </w:tcBorders>
          </w:tcPr>
          <w:p>
            <w:pPr>
              <w:pStyle w:val="TableParagraph"/>
              <w:spacing w:before="0"/>
              <w:ind w:right="53"/>
              <w:rPr>
                <w:b/>
                <w:sz w:val="11"/>
              </w:rPr>
            </w:pPr>
            <w:r>
              <w:rPr>
                <w:b/>
                <w:w w:val="105"/>
                <w:sz w:val="11"/>
              </w:rPr>
              <w:t>1,597.5</w:t>
            </w:r>
          </w:p>
        </w:tc>
        <w:tc>
          <w:tcPr>
            <w:tcW w:w="666" w:type="dxa"/>
            <w:tcBorders>
              <w:top w:val="single" w:sz="8" w:space="0" w:color="000000"/>
              <w:left w:val="single" w:sz="8" w:space="0" w:color="000000"/>
              <w:bottom w:val="single" w:sz="8" w:space="0" w:color="000000"/>
            </w:tcBorders>
          </w:tcPr>
          <w:p>
            <w:pPr>
              <w:pStyle w:val="TableParagraph"/>
              <w:spacing w:before="0"/>
              <w:ind w:right="55"/>
              <w:rPr>
                <w:b/>
                <w:sz w:val="11"/>
              </w:rPr>
            </w:pPr>
            <w:r>
              <w:rPr>
                <w:b/>
                <w:w w:val="105"/>
                <w:sz w:val="11"/>
              </w:rPr>
              <w:t>1,568.6</w:t>
            </w:r>
          </w:p>
        </w:tc>
        <w:tc>
          <w:tcPr>
            <w:tcW w:w="668" w:type="dxa"/>
            <w:tcBorders>
              <w:top w:val="single" w:sz="8" w:space="0" w:color="000000"/>
              <w:bottom w:val="single" w:sz="8" w:space="0" w:color="000000"/>
              <w:right w:val="single" w:sz="8" w:space="0" w:color="000000"/>
            </w:tcBorders>
          </w:tcPr>
          <w:p>
            <w:pPr>
              <w:pStyle w:val="TableParagraph"/>
              <w:spacing w:before="0"/>
              <w:ind w:right="57"/>
              <w:rPr>
                <w:b/>
                <w:sz w:val="11"/>
              </w:rPr>
            </w:pPr>
            <w:r>
              <w:rPr>
                <w:b/>
                <w:w w:val="105"/>
                <w:sz w:val="11"/>
              </w:rPr>
              <w:t>1,451.5</w:t>
            </w:r>
          </w:p>
        </w:tc>
        <w:tc>
          <w:tcPr>
            <w:tcW w:w="773" w:type="dxa"/>
            <w:tcBorders>
              <w:top w:val="single" w:sz="8" w:space="0" w:color="000000"/>
              <w:left w:val="single" w:sz="8" w:space="0" w:color="000000"/>
              <w:bottom w:val="single" w:sz="8" w:space="0" w:color="000000"/>
              <w:right w:val="single" w:sz="8" w:space="0" w:color="000000"/>
            </w:tcBorders>
          </w:tcPr>
          <w:p>
            <w:pPr>
              <w:pStyle w:val="TableParagraph"/>
              <w:spacing w:before="0"/>
              <w:ind w:right="55"/>
              <w:rPr>
                <w:b/>
                <w:sz w:val="11"/>
              </w:rPr>
            </w:pPr>
            <w:r>
              <w:rPr>
                <w:b/>
                <w:w w:val="105"/>
                <w:sz w:val="11"/>
              </w:rPr>
              <w:t>1,336.7</w:t>
            </w:r>
          </w:p>
        </w:tc>
        <w:tc>
          <w:tcPr>
            <w:tcW w:w="624" w:type="dxa"/>
            <w:tcBorders>
              <w:top w:val="single" w:sz="8" w:space="0" w:color="000000"/>
              <w:left w:val="single" w:sz="8" w:space="0" w:color="000000"/>
              <w:bottom w:val="single" w:sz="8" w:space="0" w:color="000000"/>
              <w:right w:val="single" w:sz="8" w:space="0" w:color="000000"/>
            </w:tcBorders>
          </w:tcPr>
          <w:p>
            <w:pPr>
              <w:pStyle w:val="TableParagraph"/>
              <w:spacing w:before="0"/>
              <w:ind w:right="55"/>
              <w:rPr>
                <w:b/>
                <w:sz w:val="11"/>
              </w:rPr>
            </w:pPr>
            <w:r>
              <w:rPr>
                <w:b/>
                <w:w w:val="105"/>
                <w:sz w:val="11"/>
              </w:rPr>
              <w:t>100</w:t>
            </w:r>
          </w:p>
        </w:tc>
        <w:tc>
          <w:tcPr>
            <w:tcW w:w="474" w:type="dxa"/>
            <w:tcBorders>
              <w:top w:val="single" w:sz="8" w:space="0" w:color="000000"/>
              <w:left w:val="single" w:sz="8" w:space="0" w:color="000000"/>
              <w:bottom w:val="single" w:sz="8" w:space="0" w:color="000000"/>
            </w:tcBorders>
          </w:tcPr>
          <w:p>
            <w:pPr>
              <w:pStyle w:val="TableParagraph"/>
              <w:spacing w:before="0"/>
              <w:ind w:right="57"/>
              <w:rPr>
                <w:b/>
                <w:sz w:val="11"/>
              </w:rPr>
            </w:pPr>
            <w:r>
              <w:rPr>
                <w:b/>
                <w:w w:val="105"/>
                <w:sz w:val="11"/>
              </w:rPr>
              <w:t>9.5</w:t>
            </w:r>
          </w:p>
        </w:tc>
        <w:tc>
          <w:tcPr>
            <w:tcW w:w="526" w:type="dxa"/>
            <w:tcBorders>
              <w:top w:val="single" w:sz="8" w:space="0" w:color="000000"/>
              <w:bottom w:val="single" w:sz="8" w:space="0" w:color="000000"/>
            </w:tcBorders>
          </w:tcPr>
          <w:p>
            <w:pPr/>
          </w:p>
        </w:tc>
        <w:tc>
          <w:tcPr>
            <w:tcW w:w="376" w:type="dxa"/>
            <w:tcBorders>
              <w:top w:val="single" w:sz="8" w:space="0" w:color="000000"/>
              <w:bottom w:val="single" w:sz="8" w:space="0" w:color="000000"/>
              <w:right w:val="single" w:sz="8" w:space="0" w:color="000000"/>
            </w:tcBorders>
          </w:tcPr>
          <w:p>
            <w:pPr/>
          </w:p>
        </w:tc>
      </w:tr>
      <w:tr>
        <w:trPr>
          <w:trHeight w:val="146" w:hRule="exact"/>
        </w:trPr>
        <w:tc>
          <w:tcPr>
            <w:tcW w:w="200" w:type="dxa"/>
            <w:tcBorders>
              <w:top w:val="single" w:sz="8" w:space="0" w:color="000000"/>
              <w:left w:val="single" w:sz="8" w:space="0" w:color="000000"/>
              <w:bottom w:val="single" w:sz="4" w:space="0" w:color="000000"/>
            </w:tcBorders>
          </w:tcPr>
          <w:p>
            <w:pPr>
              <w:pStyle w:val="TableParagraph"/>
              <w:jc w:val="center"/>
              <w:rPr>
                <w:sz w:val="11"/>
              </w:rPr>
            </w:pPr>
            <w:r>
              <w:rPr>
                <w:w w:val="106"/>
                <w:sz w:val="11"/>
              </w:rPr>
              <w:t>1</w:t>
            </w:r>
          </w:p>
        </w:tc>
        <w:tc>
          <w:tcPr>
            <w:tcW w:w="1609" w:type="dxa"/>
            <w:tcBorders>
              <w:top w:val="single" w:sz="8" w:space="0" w:color="000000"/>
              <w:bottom w:val="single" w:sz="4" w:space="0" w:color="000000"/>
              <w:right w:val="single" w:sz="8" w:space="0" w:color="000000"/>
            </w:tcBorders>
          </w:tcPr>
          <w:p>
            <w:pPr>
              <w:pStyle w:val="TableParagraph"/>
              <w:ind w:left="59"/>
              <w:jc w:val="left"/>
              <w:rPr>
                <w:sz w:val="11"/>
              </w:rPr>
            </w:pPr>
            <w:r>
              <w:rPr>
                <w:w w:val="105"/>
                <w:sz w:val="11"/>
              </w:rPr>
              <w:t>Baja California</w:t>
            </w:r>
          </w:p>
        </w:tc>
        <w:tc>
          <w:tcPr>
            <w:tcW w:w="666" w:type="dxa"/>
            <w:tcBorders>
              <w:top w:val="single" w:sz="8" w:space="0" w:color="000000"/>
              <w:left w:val="single" w:sz="8" w:space="0" w:color="000000"/>
              <w:bottom w:val="single" w:sz="4" w:space="0" w:color="000000"/>
              <w:right w:val="single" w:sz="3" w:space="0" w:color="000000"/>
            </w:tcBorders>
          </w:tcPr>
          <w:p>
            <w:pPr>
              <w:pStyle w:val="TableParagraph"/>
              <w:ind w:right="60"/>
              <w:rPr>
                <w:sz w:val="11"/>
              </w:rPr>
            </w:pPr>
            <w:r>
              <w:rPr>
                <w:w w:val="105"/>
                <w:sz w:val="11"/>
              </w:rPr>
              <w:t>144.4</w:t>
            </w:r>
          </w:p>
        </w:tc>
        <w:tc>
          <w:tcPr>
            <w:tcW w:w="666" w:type="dxa"/>
            <w:tcBorders>
              <w:top w:val="single" w:sz="8" w:space="0" w:color="000000"/>
              <w:left w:val="single" w:sz="3" w:space="0" w:color="000000"/>
              <w:bottom w:val="single" w:sz="4" w:space="0" w:color="000000"/>
              <w:right w:val="single" w:sz="4" w:space="0" w:color="000000"/>
            </w:tcBorders>
          </w:tcPr>
          <w:p>
            <w:pPr>
              <w:pStyle w:val="TableParagraph"/>
              <w:ind w:right="60"/>
              <w:rPr>
                <w:sz w:val="11"/>
              </w:rPr>
            </w:pPr>
            <w:r>
              <w:rPr>
                <w:w w:val="105"/>
                <w:sz w:val="11"/>
              </w:rPr>
              <w:t>168.8</w:t>
            </w:r>
          </w:p>
        </w:tc>
        <w:tc>
          <w:tcPr>
            <w:tcW w:w="665" w:type="dxa"/>
            <w:tcBorders>
              <w:top w:val="single" w:sz="8"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263.2</w:t>
            </w:r>
          </w:p>
        </w:tc>
        <w:tc>
          <w:tcPr>
            <w:tcW w:w="667" w:type="dxa"/>
            <w:tcBorders>
              <w:top w:val="single" w:sz="8"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309.6</w:t>
            </w:r>
          </w:p>
        </w:tc>
        <w:tc>
          <w:tcPr>
            <w:tcW w:w="665" w:type="dxa"/>
            <w:tcBorders>
              <w:top w:val="single" w:sz="8"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336.1</w:t>
            </w:r>
          </w:p>
        </w:tc>
        <w:tc>
          <w:tcPr>
            <w:tcW w:w="666" w:type="dxa"/>
            <w:tcBorders>
              <w:top w:val="single" w:sz="8"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342.1</w:t>
            </w:r>
          </w:p>
        </w:tc>
        <w:tc>
          <w:tcPr>
            <w:tcW w:w="668" w:type="dxa"/>
            <w:tcBorders>
              <w:top w:val="single" w:sz="8"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329.1</w:t>
            </w:r>
          </w:p>
        </w:tc>
        <w:tc>
          <w:tcPr>
            <w:tcW w:w="773" w:type="dxa"/>
            <w:tcBorders>
              <w:top w:val="single" w:sz="8"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270.5</w:t>
            </w:r>
          </w:p>
        </w:tc>
        <w:tc>
          <w:tcPr>
            <w:tcW w:w="624" w:type="dxa"/>
            <w:tcBorders>
              <w:top w:val="single" w:sz="8"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20.2</w:t>
            </w:r>
          </w:p>
        </w:tc>
        <w:tc>
          <w:tcPr>
            <w:tcW w:w="474" w:type="dxa"/>
            <w:tcBorders>
              <w:top w:val="single" w:sz="8"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14.7</w:t>
            </w:r>
          </w:p>
        </w:tc>
        <w:tc>
          <w:tcPr>
            <w:tcW w:w="526" w:type="dxa"/>
            <w:tcBorders>
              <w:top w:val="single" w:sz="8" w:space="0" w:color="000000"/>
              <w:left w:val="single" w:sz="3" w:space="0" w:color="000000"/>
              <w:bottom w:val="single" w:sz="4" w:space="0" w:color="000000"/>
              <w:right w:val="single" w:sz="3" w:space="0" w:color="000000"/>
            </w:tcBorders>
          </w:tcPr>
          <w:p>
            <w:pPr>
              <w:pStyle w:val="TableParagraph"/>
              <w:ind w:right="60"/>
              <w:rPr>
                <w:sz w:val="11"/>
              </w:rPr>
            </w:pPr>
            <w:r>
              <w:rPr>
                <w:w w:val="105"/>
                <w:sz w:val="11"/>
              </w:rPr>
              <w:t>270.5</w:t>
            </w:r>
          </w:p>
        </w:tc>
        <w:tc>
          <w:tcPr>
            <w:tcW w:w="376" w:type="dxa"/>
            <w:tcBorders>
              <w:top w:val="single" w:sz="8" w:space="0" w:color="000000"/>
              <w:left w:val="single" w:sz="3" w:space="0" w:color="000000"/>
              <w:bottom w:val="single" w:sz="4" w:space="0" w:color="000000"/>
              <w:right w:val="single" w:sz="8" w:space="0" w:color="000000"/>
            </w:tcBorders>
          </w:tcPr>
          <w:p>
            <w:pPr>
              <w:pStyle w:val="TableParagraph"/>
              <w:ind w:right="53"/>
              <w:rPr>
                <w:sz w:val="11"/>
              </w:rPr>
            </w:pPr>
            <w:r>
              <w:rPr>
                <w:w w:val="105"/>
                <w:sz w:val="11"/>
              </w:rPr>
              <w:t>20.2</w:t>
            </w:r>
          </w:p>
        </w:tc>
      </w:tr>
      <w:tr>
        <w:trPr>
          <w:trHeight w:val="146" w:hRule="exact"/>
        </w:trPr>
        <w:tc>
          <w:tcPr>
            <w:tcW w:w="200" w:type="dxa"/>
            <w:tcBorders>
              <w:top w:val="single" w:sz="4" w:space="0" w:color="000000"/>
              <w:left w:val="single" w:sz="8" w:space="0" w:color="000000"/>
              <w:bottom w:val="single" w:sz="4" w:space="0" w:color="000000"/>
            </w:tcBorders>
          </w:tcPr>
          <w:p>
            <w:pPr>
              <w:pStyle w:val="TableParagraph"/>
              <w:spacing w:before="5"/>
              <w:jc w:val="center"/>
              <w:rPr>
                <w:sz w:val="11"/>
              </w:rPr>
            </w:pPr>
            <w:r>
              <w:rPr>
                <w:w w:val="106"/>
                <w:sz w:val="11"/>
              </w:rPr>
              <w:t>2</w:t>
            </w:r>
          </w:p>
        </w:tc>
        <w:tc>
          <w:tcPr>
            <w:tcW w:w="1609" w:type="dxa"/>
            <w:tcBorders>
              <w:top w:val="single" w:sz="4" w:space="0" w:color="000000"/>
              <w:bottom w:val="single" w:sz="4" w:space="0" w:color="000000"/>
              <w:right w:val="single" w:sz="8" w:space="0" w:color="000000"/>
            </w:tcBorders>
          </w:tcPr>
          <w:p>
            <w:pPr>
              <w:pStyle w:val="TableParagraph"/>
              <w:spacing w:before="5"/>
              <w:ind w:left="59"/>
              <w:jc w:val="left"/>
              <w:rPr>
                <w:sz w:val="11"/>
              </w:rPr>
            </w:pPr>
            <w:r>
              <w:rPr>
                <w:w w:val="105"/>
                <w:sz w:val="11"/>
              </w:rPr>
              <w:t>Baja California Sur</w:t>
            </w:r>
          </w:p>
        </w:tc>
        <w:tc>
          <w:tcPr>
            <w:tcW w:w="666" w:type="dxa"/>
            <w:tcBorders>
              <w:top w:val="single" w:sz="4" w:space="0" w:color="000000"/>
              <w:left w:val="single" w:sz="8" w:space="0" w:color="000000"/>
              <w:bottom w:val="single" w:sz="4" w:space="0" w:color="000000"/>
              <w:right w:val="single" w:sz="3" w:space="0" w:color="000000"/>
            </w:tcBorders>
          </w:tcPr>
          <w:p>
            <w:pPr>
              <w:pStyle w:val="TableParagraph"/>
              <w:spacing w:before="5"/>
              <w:ind w:right="60"/>
              <w:rPr>
                <w:sz w:val="11"/>
              </w:rPr>
            </w:pPr>
            <w:r>
              <w:rPr>
                <w:w w:val="105"/>
                <w:sz w:val="11"/>
              </w:rPr>
              <w:t>19.4</w:t>
            </w:r>
          </w:p>
        </w:tc>
        <w:tc>
          <w:tcPr>
            <w:tcW w:w="666" w:type="dxa"/>
            <w:tcBorders>
              <w:top w:val="single" w:sz="4" w:space="0" w:color="000000"/>
              <w:left w:val="single" w:sz="3" w:space="0" w:color="000000"/>
              <w:bottom w:val="single" w:sz="4" w:space="0" w:color="000000"/>
              <w:right w:val="single" w:sz="4" w:space="0" w:color="000000"/>
            </w:tcBorders>
          </w:tcPr>
          <w:p>
            <w:pPr>
              <w:pStyle w:val="TableParagraph"/>
              <w:spacing w:before="5"/>
              <w:ind w:right="60"/>
              <w:rPr>
                <w:sz w:val="11"/>
              </w:rPr>
            </w:pPr>
            <w:r>
              <w:rPr>
                <w:w w:val="105"/>
                <w:sz w:val="11"/>
              </w:rPr>
              <w:t>18.3</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spacing w:before="5"/>
              <w:ind w:right="57"/>
              <w:rPr>
                <w:sz w:val="11"/>
              </w:rPr>
            </w:pPr>
            <w:r>
              <w:rPr>
                <w:w w:val="105"/>
                <w:sz w:val="11"/>
              </w:rPr>
              <w:t>25.1</w:t>
            </w:r>
          </w:p>
        </w:tc>
        <w:tc>
          <w:tcPr>
            <w:tcW w:w="667" w:type="dxa"/>
            <w:tcBorders>
              <w:top w:val="single" w:sz="4" w:space="0" w:color="000000"/>
              <w:left w:val="single" w:sz="4" w:space="0" w:color="000000"/>
              <w:bottom w:val="single" w:sz="4" w:space="0" w:color="000000"/>
              <w:right w:val="single" w:sz="4" w:space="0" w:color="000000"/>
            </w:tcBorders>
          </w:tcPr>
          <w:p>
            <w:pPr>
              <w:pStyle w:val="TableParagraph"/>
              <w:spacing w:before="5"/>
              <w:ind w:right="60"/>
              <w:rPr>
                <w:sz w:val="11"/>
              </w:rPr>
            </w:pPr>
            <w:r>
              <w:rPr>
                <w:w w:val="105"/>
                <w:sz w:val="11"/>
              </w:rPr>
              <w:t>29.2</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spacing w:before="5"/>
              <w:ind w:right="57"/>
              <w:rPr>
                <w:sz w:val="11"/>
              </w:rPr>
            </w:pPr>
            <w:r>
              <w:rPr>
                <w:w w:val="105"/>
                <w:sz w:val="11"/>
              </w:rPr>
              <w:t>32.4</w:t>
            </w:r>
          </w:p>
        </w:tc>
        <w:tc>
          <w:tcPr>
            <w:tcW w:w="666" w:type="dxa"/>
            <w:tcBorders>
              <w:top w:val="single" w:sz="4" w:space="0" w:color="000000"/>
              <w:left w:val="single" w:sz="4" w:space="0" w:color="000000"/>
              <w:bottom w:val="single" w:sz="4" w:space="0" w:color="000000"/>
              <w:right w:val="single" w:sz="3" w:space="0" w:color="000000"/>
            </w:tcBorders>
          </w:tcPr>
          <w:p>
            <w:pPr>
              <w:pStyle w:val="TableParagraph"/>
              <w:spacing w:before="5"/>
              <w:ind w:right="60"/>
              <w:rPr>
                <w:sz w:val="11"/>
              </w:rPr>
            </w:pPr>
            <w:r>
              <w:rPr>
                <w:w w:val="105"/>
                <w:sz w:val="11"/>
              </w:rPr>
              <w:t>35.5</w:t>
            </w:r>
          </w:p>
        </w:tc>
        <w:tc>
          <w:tcPr>
            <w:tcW w:w="668" w:type="dxa"/>
            <w:tcBorders>
              <w:top w:val="single" w:sz="4" w:space="0" w:color="000000"/>
              <w:left w:val="single" w:sz="3" w:space="0" w:color="000000"/>
              <w:bottom w:val="single" w:sz="4" w:space="0" w:color="000000"/>
              <w:right w:val="single" w:sz="4" w:space="0" w:color="000000"/>
            </w:tcBorders>
          </w:tcPr>
          <w:p>
            <w:pPr>
              <w:pStyle w:val="TableParagraph"/>
              <w:spacing w:before="5"/>
              <w:ind w:right="62"/>
              <w:rPr>
                <w:sz w:val="11"/>
              </w:rPr>
            </w:pPr>
            <w:r>
              <w:rPr>
                <w:w w:val="105"/>
                <w:sz w:val="11"/>
              </w:rPr>
              <w:t>32.6</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spacing w:before="5"/>
              <w:ind w:right="60"/>
              <w:rPr>
                <w:sz w:val="11"/>
              </w:rPr>
            </w:pPr>
            <w:r>
              <w:rPr>
                <w:w w:val="105"/>
                <w:sz w:val="11"/>
              </w:rPr>
              <w:t>27.5</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5"/>
              <w:ind w:right="62"/>
              <w:rPr>
                <w:sz w:val="11"/>
              </w:rPr>
            </w:pPr>
            <w:r>
              <w:rPr>
                <w:w w:val="105"/>
                <w:sz w:val="11"/>
              </w:rPr>
              <w:t>2.1</w:t>
            </w:r>
          </w:p>
        </w:tc>
        <w:tc>
          <w:tcPr>
            <w:tcW w:w="474" w:type="dxa"/>
            <w:tcBorders>
              <w:top w:val="single" w:sz="4" w:space="0" w:color="000000"/>
              <w:left w:val="single" w:sz="4" w:space="0" w:color="000000"/>
              <w:bottom w:val="single" w:sz="4" w:space="0" w:color="000000"/>
              <w:right w:val="single" w:sz="3" w:space="0" w:color="000000"/>
            </w:tcBorders>
          </w:tcPr>
          <w:p>
            <w:pPr>
              <w:pStyle w:val="TableParagraph"/>
              <w:spacing w:before="5"/>
              <w:ind w:right="62"/>
              <w:rPr>
                <w:sz w:val="11"/>
              </w:rPr>
            </w:pPr>
            <w:r>
              <w:rPr>
                <w:w w:val="105"/>
                <w:sz w:val="11"/>
              </w:rPr>
              <w:t>9.0</w:t>
            </w:r>
          </w:p>
        </w:tc>
        <w:tc>
          <w:tcPr>
            <w:tcW w:w="526" w:type="dxa"/>
            <w:tcBorders>
              <w:top w:val="single" w:sz="4" w:space="0" w:color="000000"/>
              <w:left w:val="single" w:sz="3" w:space="0" w:color="000000"/>
              <w:bottom w:val="single" w:sz="4" w:space="0" w:color="000000"/>
              <w:right w:val="single" w:sz="3" w:space="0" w:color="000000"/>
            </w:tcBorders>
          </w:tcPr>
          <w:p>
            <w:pPr>
              <w:pStyle w:val="TableParagraph"/>
              <w:spacing w:before="5"/>
              <w:ind w:right="60"/>
              <w:rPr>
                <w:sz w:val="11"/>
              </w:rPr>
            </w:pPr>
            <w:r>
              <w:rPr>
                <w:w w:val="105"/>
                <w:sz w:val="11"/>
              </w:rPr>
              <w:t>298.0</w:t>
            </w:r>
          </w:p>
        </w:tc>
        <w:tc>
          <w:tcPr>
            <w:tcW w:w="376" w:type="dxa"/>
            <w:tcBorders>
              <w:top w:val="single" w:sz="4" w:space="0" w:color="000000"/>
              <w:left w:val="single" w:sz="3" w:space="0" w:color="000000"/>
              <w:bottom w:val="single" w:sz="4" w:space="0" w:color="000000"/>
              <w:right w:val="single" w:sz="8" w:space="0" w:color="000000"/>
            </w:tcBorders>
          </w:tcPr>
          <w:p>
            <w:pPr>
              <w:pStyle w:val="TableParagraph"/>
              <w:spacing w:before="5"/>
              <w:ind w:right="53"/>
              <w:rPr>
                <w:sz w:val="11"/>
              </w:rPr>
            </w:pPr>
            <w:r>
              <w:rPr>
                <w:w w:val="105"/>
                <w:sz w:val="11"/>
              </w:rPr>
              <w:t>22.3</w:t>
            </w:r>
          </w:p>
        </w:tc>
      </w:tr>
      <w:tr>
        <w:trPr>
          <w:trHeight w:val="144" w:hRule="exact"/>
        </w:trPr>
        <w:tc>
          <w:tcPr>
            <w:tcW w:w="200" w:type="dxa"/>
            <w:tcBorders>
              <w:top w:val="single" w:sz="4" w:space="0" w:color="000000"/>
              <w:left w:val="single" w:sz="8" w:space="0" w:color="000000"/>
              <w:bottom w:val="single" w:sz="4" w:space="0" w:color="000000"/>
            </w:tcBorders>
          </w:tcPr>
          <w:p>
            <w:pPr>
              <w:pStyle w:val="TableParagraph"/>
              <w:spacing w:before="0"/>
              <w:jc w:val="center"/>
              <w:rPr>
                <w:sz w:val="11"/>
              </w:rPr>
            </w:pPr>
            <w:r>
              <w:rPr>
                <w:w w:val="106"/>
                <w:sz w:val="11"/>
              </w:rPr>
              <w:t>3</w:t>
            </w:r>
          </w:p>
        </w:tc>
        <w:tc>
          <w:tcPr>
            <w:tcW w:w="1609" w:type="dxa"/>
            <w:tcBorders>
              <w:top w:val="single" w:sz="4" w:space="0" w:color="000000"/>
              <w:bottom w:val="single" w:sz="4" w:space="0" w:color="000000"/>
              <w:right w:val="single" w:sz="8" w:space="0" w:color="000000"/>
            </w:tcBorders>
          </w:tcPr>
          <w:p>
            <w:pPr>
              <w:pStyle w:val="TableParagraph"/>
              <w:spacing w:before="0"/>
              <w:ind w:left="59"/>
              <w:jc w:val="left"/>
              <w:rPr>
                <w:sz w:val="11"/>
              </w:rPr>
            </w:pPr>
            <w:r>
              <w:rPr>
                <w:w w:val="105"/>
                <w:sz w:val="11"/>
              </w:rPr>
              <w:t>Nayarit</w:t>
            </w:r>
          </w:p>
        </w:tc>
        <w:tc>
          <w:tcPr>
            <w:tcW w:w="666" w:type="dxa"/>
            <w:tcBorders>
              <w:top w:val="single" w:sz="4" w:space="0" w:color="000000"/>
              <w:left w:val="single" w:sz="8" w:space="0" w:color="000000"/>
              <w:bottom w:val="single" w:sz="4" w:space="0" w:color="000000"/>
              <w:right w:val="single" w:sz="3" w:space="0" w:color="000000"/>
            </w:tcBorders>
          </w:tcPr>
          <w:p>
            <w:pPr>
              <w:pStyle w:val="TableParagraph"/>
              <w:spacing w:before="0"/>
              <w:ind w:right="60"/>
              <w:rPr>
                <w:sz w:val="11"/>
              </w:rPr>
            </w:pPr>
            <w:r>
              <w:rPr>
                <w:w w:val="105"/>
                <w:sz w:val="11"/>
              </w:rPr>
              <w:t>229.6</w:t>
            </w:r>
          </w:p>
        </w:tc>
        <w:tc>
          <w:tcPr>
            <w:tcW w:w="666" w:type="dxa"/>
            <w:tcBorders>
              <w:top w:val="single" w:sz="4" w:space="0" w:color="000000"/>
              <w:left w:val="single" w:sz="3" w:space="0" w:color="000000"/>
              <w:bottom w:val="single" w:sz="4" w:space="0" w:color="000000"/>
              <w:right w:val="single" w:sz="4" w:space="0" w:color="000000"/>
            </w:tcBorders>
          </w:tcPr>
          <w:p>
            <w:pPr>
              <w:pStyle w:val="TableParagraph"/>
              <w:spacing w:before="0"/>
              <w:ind w:right="60"/>
              <w:rPr>
                <w:sz w:val="11"/>
              </w:rPr>
            </w:pPr>
            <w:r>
              <w:rPr>
                <w:w w:val="105"/>
                <w:sz w:val="11"/>
              </w:rPr>
              <w:t>267.2</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spacing w:before="0"/>
              <w:ind w:right="57"/>
              <w:rPr>
                <w:sz w:val="11"/>
              </w:rPr>
            </w:pPr>
            <w:r>
              <w:rPr>
                <w:w w:val="105"/>
                <w:sz w:val="11"/>
              </w:rPr>
              <w:t>308.3</w:t>
            </w:r>
          </w:p>
        </w:tc>
        <w:tc>
          <w:tcPr>
            <w:tcW w:w="667"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355.0</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spacing w:before="0"/>
              <w:ind w:right="57"/>
              <w:rPr>
                <w:sz w:val="11"/>
              </w:rPr>
            </w:pPr>
            <w:r>
              <w:rPr>
                <w:w w:val="105"/>
                <w:sz w:val="11"/>
              </w:rPr>
              <w:t>376.9</w:t>
            </w:r>
          </w:p>
        </w:tc>
        <w:tc>
          <w:tcPr>
            <w:tcW w:w="666" w:type="dxa"/>
            <w:tcBorders>
              <w:top w:val="single" w:sz="4" w:space="0" w:color="000000"/>
              <w:left w:val="single" w:sz="4" w:space="0" w:color="000000"/>
              <w:bottom w:val="single" w:sz="4" w:space="0" w:color="000000"/>
              <w:right w:val="single" w:sz="3" w:space="0" w:color="000000"/>
            </w:tcBorders>
          </w:tcPr>
          <w:p>
            <w:pPr>
              <w:pStyle w:val="TableParagraph"/>
              <w:spacing w:before="0"/>
              <w:ind w:right="60"/>
              <w:rPr>
                <w:sz w:val="11"/>
              </w:rPr>
            </w:pPr>
            <w:r>
              <w:rPr>
                <w:w w:val="105"/>
                <w:sz w:val="11"/>
              </w:rPr>
              <w:t>383.6</w:t>
            </w:r>
          </w:p>
        </w:tc>
        <w:tc>
          <w:tcPr>
            <w:tcW w:w="668" w:type="dxa"/>
            <w:tcBorders>
              <w:top w:val="single" w:sz="4" w:space="0" w:color="000000"/>
              <w:left w:val="single" w:sz="3" w:space="0" w:color="000000"/>
              <w:bottom w:val="single" w:sz="4" w:space="0" w:color="000000"/>
              <w:right w:val="single" w:sz="4" w:space="0" w:color="000000"/>
            </w:tcBorders>
          </w:tcPr>
          <w:p>
            <w:pPr>
              <w:pStyle w:val="TableParagraph"/>
              <w:spacing w:before="0"/>
              <w:ind w:right="62"/>
              <w:rPr>
                <w:sz w:val="11"/>
              </w:rPr>
            </w:pPr>
            <w:r>
              <w:rPr>
                <w:w w:val="105"/>
                <w:sz w:val="11"/>
              </w:rPr>
              <w:t>347.5</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324.0</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24.2</w:t>
            </w:r>
          </w:p>
        </w:tc>
        <w:tc>
          <w:tcPr>
            <w:tcW w:w="474" w:type="dxa"/>
            <w:tcBorders>
              <w:top w:val="single" w:sz="4" w:space="0" w:color="000000"/>
              <w:left w:val="single" w:sz="4" w:space="0" w:color="000000"/>
              <w:bottom w:val="single" w:sz="4" w:space="0" w:color="000000"/>
              <w:right w:val="single" w:sz="3" w:space="0" w:color="000000"/>
            </w:tcBorders>
          </w:tcPr>
          <w:p>
            <w:pPr>
              <w:pStyle w:val="TableParagraph"/>
              <w:spacing w:before="0"/>
              <w:ind w:right="62"/>
              <w:rPr>
                <w:sz w:val="11"/>
              </w:rPr>
            </w:pPr>
            <w:r>
              <w:rPr>
                <w:w w:val="105"/>
                <w:sz w:val="11"/>
              </w:rPr>
              <w:t>7.2</w:t>
            </w:r>
          </w:p>
        </w:tc>
        <w:tc>
          <w:tcPr>
            <w:tcW w:w="526" w:type="dxa"/>
            <w:tcBorders>
              <w:top w:val="single" w:sz="4" w:space="0" w:color="000000"/>
              <w:left w:val="single" w:sz="3" w:space="0" w:color="000000"/>
              <w:bottom w:val="single" w:sz="4" w:space="0" w:color="000000"/>
              <w:right w:val="single" w:sz="3" w:space="0" w:color="000000"/>
            </w:tcBorders>
          </w:tcPr>
          <w:p>
            <w:pPr>
              <w:pStyle w:val="TableParagraph"/>
              <w:spacing w:before="0"/>
              <w:ind w:right="60"/>
              <w:rPr>
                <w:sz w:val="11"/>
              </w:rPr>
            </w:pPr>
            <w:r>
              <w:rPr>
                <w:w w:val="105"/>
                <w:sz w:val="11"/>
              </w:rPr>
              <w:t>622.0</w:t>
            </w:r>
          </w:p>
        </w:tc>
        <w:tc>
          <w:tcPr>
            <w:tcW w:w="376" w:type="dxa"/>
            <w:tcBorders>
              <w:top w:val="single" w:sz="4" w:space="0" w:color="000000"/>
              <w:left w:val="single" w:sz="3" w:space="0" w:color="000000"/>
              <w:bottom w:val="single" w:sz="4" w:space="0" w:color="000000"/>
              <w:right w:val="single" w:sz="8" w:space="0" w:color="000000"/>
            </w:tcBorders>
          </w:tcPr>
          <w:p>
            <w:pPr>
              <w:pStyle w:val="TableParagraph"/>
              <w:spacing w:before="0"/>
              <w:ind w:right="53"/>
              <w:rPr>
                <w:sz w:val="11"/>
              </w:rPr>
            </w:pPr>
            <w:r>
              <w:rPr>
                <w:w w:val="105"/>
                <w:sz w:val="11"/>
              </w:rPr>
              <w:t>46.5</w:t>
            </w:r>
          </w:p>
        </w:tc>
      </w:tr>
      <w:tr>
        <w:trPr>
          <w:trHeight w:val="142" w:hRule="exact"/>
        </w:trPr>
        <w:tc>
          <w:tcPr>
            <w:tcW w:w="200" w:type="dxa"/>
            <w:tcBorders>
              <w:top w:val="single" w:sz="4" w:space="0" w:color="000000"/>
              <w:left w:val="single" w:sz="8" w:space="0" w:color="000000"/>
              <w:bottom w:val="single" w:sz="4" w:space="0" w:color="000000"/>
            </w:tcBorders>
          </w:tcPr>
          <w:p>
            <w:pPr>
              <w:pStyle w:val="TableParagraph"/>
              <w:jc w:val="center"/>
              <w:rPr>
                <w:sz w:val="11"/>
              </w:rPr>
            </w:pPr>
            <w:r>
              <w:rPr>
                <w:w w:val="106"/>
                <w:sz w:val="11"/>
              </w:rPr>
              <w:t>4</w:t>
            </w:r>
          </w:p>
        </w:tc>
        <w:tc>
          <w:tcPr>
            <w:tcW w:w="1609" w:type="dxa"/>
            <w:tcBorders>
              <w:top w:val="single" w:sz="4" w:space="0" w:color="000000"/>
              <w:bottom w:val="single" w:sz="4" w:space="0" w:color="000000"/>
              <w:right w:val="single" w:sz="8" w:space="0" w:color="000000"/>
            </w:tcBorders>
          </w:tcPr>
          <w:p>
            <w:pPr>
              <w:pStyle w:val="TableParagraph"/>
              <w:ind w:left="59"/>
              <w:jc w:val="left"/>
              <w:rPr>
                <w:sz w:val="11"/>
              </w:rPr>
            </w:pPr>
            <w:r>
              <w:rPr>
                <w:w w:val="105"/>
                <w:sz w:val="11"/>
              </w:rPr>
              <w:t>Sinaloa</w:t>
            </w:r>
          </w:p>
        </w:tc>
        <w:tc>
          <w:tcPr>
            <w:tcW w:w="666" w:type="dxa"/>
            <w:tcBorders>
              <w:top w:val="single" w:sz="4" w:space="0" w:color="000000"/>
              <w:left w:val="single" w:sz="8" w:space="0" w:color="000000"/>
              <w:bottom w:val="single" w:sz="4" w:space="0" w:color="000000"/>
              <w:right w:val="single" w:sz="3" w:space="0" w:color="000000"/>
            </w:tcBorders>
          </w:tcPr>
          <w:p>
            <w:pPr>
              <w:pStyle w:val="TableParagraph"/>
              <w:ind w:right="60"/>
              <w:rPr>
                <w:sz w:val="11"/>
              </w:rPr>
            </w:pPr>
            <w:r>
              <w:rPr>
                <w:w w:val="105"/>
                <w:sz w:val="11"/>
              </w:rPr>
              <w:t>319.4</w:t>
            </w:r>
          </w:p>
        </w:tc>
        <w:tc>
          <w:tcPr>
            <w:tcW w:w="666" w:type="dxa"/>
            <w:tcBorders>
              <w:top w:val="single" w:sz="4" w:space="0" w:color="000000"/>
              <w:left w:val="single" w:sz="3" w:space="0" w:color="000000"/>
              <w:bottom w:val="single" w:sz="4" w:space="0" w:color="000000"/>
              <w:right w:val="single" w:sz="4" w:space="0" w:color="000000"/>
            </w:tcBorders>
          </w:tcPr>
          <w:p>
            <w:pPr>
              <w:pStyle w:val="TableParagraph"/>
              <w:ind w:right="60"/>
              <w:rPr>
                <w:sz w:val="11"/>
              </w:rPr>
            </w:pPr>
            <w:r>
              <w:rPr>
                <w:w w:val="105"/>
                <w:sz w:val="11"/>
              </w:rPr>
              <w:t>377.4</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455.4</w:t>
            </w:r>
          </w:p>
        </w:tc>
        <w:tc>
          <w:tcPr>
            <w:tcW w:w="667"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507.3</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516.4</w:t>
            </w:r>
          </w:p>
        </w:tc>
        <w:tc>
          <w:tcPr>
            <w:tcW w:w="666"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489.1</w:t>
            </w:r>
          </w:p>
        </w:tc>
        <w:tc>
          <w:tcPr>
            <w:tcW w:w="668"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457.7</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446.1</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33.4</w:t>
            </w:r>
          </w:p>
        </w:tc>
        <w:tc>
          <w:tcPr>
            <w:tcW w:w="474" w:type="dxa"/>
            <w:tcBorders>
              <w:top w:val="single" w:sz="4" w:space="0" w:color="000000"/>
              <w:left w:val="single" w:sz="4" w:space="0" w:color="000000"/>
              <w:bottom w:val="single" w:sz="4" w:space="0" w:color="000000"/>
              <w:right w:val="single" w:sz="3" w:space="0" w:color="000000"/>
            </w:tcBorders>
          </w:tcPr>
          <w:p>
            <w:pPr>
              <w:pStyle w:val="TableParagraph"/>
              <w:ind w:right="62"/>
              <w:rPr>
                <w:sz w:val="11"/>
              </w:rPr>
            </w:pPr>
            <w:r>
              <w:rPr>
                <w:w w:val="105"/>
                <w:sz w:val="11"/>
              </w:rPr>
              <w:t>6.2</w:t>
            </w:r>
          </w:p>
        </w:tc>
        <w:tc>
          <w:tcPr>
            <w:tcW w:w="526" w:type="dxa"/>
            <w:tcBorders>
              <w:top w:val="single" w:sz="4" w:space="0" w:color="000000"/>
              <w:left w:val="single" w:sz="3" w:space="0" w:color="000000"/>
              <w:bottom w:val="single" w:sz="4" w:space="0" w:color="000000"/>
              <w:right w:val="single" w:sz="3" w:space="0" w:color="000000"/>
            </w:tcBorders>
          </w:tcPr>
          <w:p>
            <w:pPr>
              <w:pStyle w:val="TableParagraph"/>
              <w:ind w:left="64"/>
              <w:jc w:val="left"/>
              <w:rPr>
                <w:sz w:val="11"/>
              </w:rPr>
            </w:pPr>
            <w:r>
              <w:rPr>
                <w:w w:val="105"/>
                <w:sz w:val="11"/>
              </w:rPr>
              <w:t>1,068.1</w:t>
            </w:r>
          </w:p>
        </w:tc>
        <w:tc>
          <w:tcPr>
            <w:tcW w:w="376" w:type="dxa"/>
            <w:tcBorders>
              <w:top w:val="single" w:sz="4" w:space="0" w:color="000000"/>
              <w:left w:val="single" w:sz="3" w:space="0" w:color="000000"/>
              <w:bottom w:val="single" w:sz="4" w:space="0" w:color="000000"/>
              <w:right w:val="single" w:sz="8" w:space="0" w:color="000000"/>
            </w:tcBorders>
          </w:tcPr>
          <w:p>
            <w:pPr>
              <w:pStyle w:val="TableParagraph"/>
              <w:ind w:right="53"/>
              <w:rPr>
                <w:sz w:val="11"/>
              </w:rPr>
            </w:pPr>
            <w:r>
              <w:rPr>
                <w:w w:val="105"/>
                <w:sz w:val="11"/>
              </w:rPr>
              <w:t>79.9</w:t>
            </w:r>
          </w:p>
        </w:tc>
      </w:tr>
      <w:tr>
        <w:trPr>
          <w:trHeight w:val="150" w:hRule="exact"/>
        </w:trPr>
        <w:tc>
          <w:tcPr>
            <w:tcW w:w="200" w:type="dxa"/>
            <w:tcBorders>
              <w:top w:val="single" w:sz="4" w:space="0" w:color="000000"/>
              <w:left w:val="single" w:sz="8" w:space="0" w:color="000000"/>
            </w:tcBorders>
          </w:tcPr>
          <w:p>
            <w:pPr>
              <w:pStyle w:val="TableParagraph"/>
              <w:spacing w:before="5"/>
              <w:jc w:val="center"/>
              <w:rPr>
                <w:sz w:val="11"/>
              </w:rPr>
            </w:pPr>
            <w:r>
              <w:rPr>
                <w:w w:val="106"/>
                <w:sz w:val="11"/>
              </w:rPr>
              <w:t>5</w:t>
            </w:r>
          </w:p>
        </w:tc>
        <w:tc>
          <w:tcPr>
            <w:tcW w:w="1609" w:type="dxa"/>
            <w:tcBorders>
              <w:top w:val="single" w:sz="4" w:space="0" w:color="000000"/>
              <w:right w:val="single" w:sz="8" w:space="0" w:color="000000"/>
            </w:tcBorders>
          </w:tcPr>
          <w:p>
            <w:pPr>
              <w:pStyle w:val="TableParagraph"/>
              <w:spacing w:before="5"/>
              <w:ind w:left="59"/>
              <w:jc w:val="left"/>
              <w:rPr>
                <w:sz w:val="11"/>
              </w:rPr>
            </w:pPr>
            <w:r>
              <w:rPr>
                <w:w w:val="105"/>
                <w:sz w:val="11"/>
              </w:rPr>
              <w:t>Sonora</w:t>
            </w:r>
          </w:p>
        </w:tc>
        <w:tc>
          <w:tcPr>
            <w:tcW w:w="666" w:type="dxa"/>
            <w:tcBorders>
              <w:top w:val="single" w:sz="4" w:space="0" w:color="000000"/>
              <w:left w:val="single" w:sz="8" w:space="0" w:color="000000"/>
              <w:right w:val="single" w:sz="3" w:space="0" w:color="000000"/>
            </w:tcBorders>
          </w:tcPr>
          <w:p>
            <w:pPr>
              <w:pStyle w:val="TableParagraph"/>
              <w:spacing w:before="5"/>
              <w:ind w:right="60"/>
              <w:rPr>
                <w:sz w:val="11"/>
              </w:rPr>
            </w:pPr>
            <w:r>
              <w:rPr>
                <w:w w:val="105"/>
                <w:sz w:val="11"/>
              </w:rPr>
              <w:t>130.5</w:t>
            </w:r>
          </w:p>
        </w:tc>
        <w:tc>
          <w:tcPr>
            <w:tcW w:w="666" w:type="dxa"/>
            <w:tcBorders>
              <w:top w:val="single" w:sz="4" w:space="0" w:color="000000"/>
              <w:left w:val="single" w:sz="3" w:space="0" w:color="000000"/>
              <w:right w:val="single" w:sz="4" w:space="0" w:color="000000"/>
            </w:tcBorders>
          </w:tcPr>
          <w:p>
            <w:pPr>
              <w:pStyle w:val="TableParagraph"/>
              <w:spacing w:before="5"/>
              <w:ind w:right="60"/>
              <w:rPr>
                <w:sz w:val="11"/>
              </w:rPr>
            </w:pPr>
            <w:r>
              <w:rPr>
                <w:w w:val="105"/>
                <w:sz w:val="11"/>
              </w:rPr>
              <w:t>174.6</w:t>
            </w:r>
          </w:p>
        </w:tc>
        <w:tc>
          <w:tcPr>
            <w:tcW w:w="665" w:type="dxa"/>
            <w:tcBorders>
              <w:top w:val="single" w:sz="4" w:space="0" w:color="000000"/>
              <w:left w:val="single" w:sz="4" w:space="0" w:color="000000"/>
              <w:right w:val="single" w:sz="4" w:space="0" w:color="000000"/>
            </w:tcBorders>
          </w:tcPr>
          <w:p>
            <w:pPr>
              <w:pStyle w:val="TableParagraph"/>
              <w:spacing w:before="5"/>
              <w:ind w:right="57"/>
              <w:rPr>
                <w:sz w:val="11"/>
              </w:rPr>
            </w:pPr>
            <w:r>
              <w:rPr>
                <w:w w:val="105"/>
                <w:sz w:val="11"/>
              </w:rPr>
              <w:t>302.5</w:t>
            </w:r>
          </w:p>
        </w:tc>
        <w:tc>
          <w:tcPr>
            <w:tcW w:w="667" w:type="dxa"/>
            <w:tcBorders>
              <w:top w:val="single" w:sz="4" w:space="0" w:color="000000"/>
              <w:left w:val="single" w:sz="4" w:space="0" w:color="000000"/>
              <w:right w:val="single" w:sz="4" w:space="0" w:color="000000"/>
            </w:tcBorders>
          </w:tcPr>
          <w:p>
            <w:pPr>
              <w:pStyle w:val="TableParagraph"/>
              <w:spacing w:before="5"/>
              <w:ind w:right="60"/>
              <w:rPr>
                <w:sz w:val="11"/>
              </w:rPr>
            </w:pPr>
            <w:r>
              <w:rPr>
                <w:w w:val="105"/>
                <w:sz w:val="11"/>
              </w:rPr>
              <w:t>334.4</w:t>
            </w:r>
          </w:p>
        </w:tc>
        <w:tc>
          <w:tcPr>
            <w:tcW w:w="665" w:type="dxa"/>
            <w:tcBorders>
              <w:top w:val="single" w:sz="4" w:space="0" w:color="000000"/>
              <w:left w:val="single" w:sz="4" w:space="0" w:color="000000"/>
              <w:right w:val="single" w:sz="4" w:space="0" w:color="000000"/>
            </w:tcBorders>
          </w:tcPr>
          <w:p>
            <w:pPr>
              <w:pStyle w:val="TableParagraph"/>
              <w:spacing w:before="5"/>
              <w:ind w:right="57"/>
              <w:rPr>
                <w:sz w:val="11"/>
              </w:rPr>
            </w:pPr>
            <w:r>
              <w:rPr>
                <w:w w:val="105"/>
                <w:sz w:val="11"/>
              </w:rPr>
              <w:t>335.7</w:t>
            </w:r>
          </w:p>
        </w:tc>
        <w:tc>
          <w:tcPr>
            <w:tcW w:w="666" w:type="dxa"/>
            <w:tcBorders>
              <w:top w:val="single" w:sz="4" w:space="0" w:color="000000"/>
              <w:left w:val="single" w:sz="4" w:space="0" w:color="000000"/>
              <w:right w:val="single" w:sz="3" w:space="0" w:color="000000"/>
            </w:tcBorders>
          </w:tcPr>
          <w:p>
            <w:pPr>
              <w:pStyle w:val="TableParagraph"/>
              <w:spacing w:before="5"/>
              <w:ind w:right="60"/>
              <w:rPr>
                <w:sz w:val="11"/>
              </w:rPr>
            </w:pPr>
            <w:r>
              <w:rPr>
                <w:w w:val="105"/>
                <w:sz w:val="11"/>
              </w:rPr>
              <w:t>318.3</w:t>
            </w:r>
          </w:p>
        </w:tc>
        <w:tc>
          <w:tcPr>
            <w:tcW w:w="668" w:type="dxa"/>
            <w:tcBorders>
              <w:top w:val="single" w:sz="4" w:space="0" w:color="000000"/>
              <w:left w:val="single" w:sz="3" w:space="0" w:color="000000"/>
              <w:right w:val="single" w:sz="4" w:space="0" w:color="000000"/>
            </w:tcBorders>
          </w:tcPr>
          <w:p>
            <w:pPr>
              <w:pStyle w:val="TableParagraph"/>
              <w:spacing w:before="5"/>
              <w:ind w:right="62"/>
              <w:rPr>
                <w:sz w:val="11"/>
              </w:rPr>
            </w:pPr>
            <w:r>
              <w:rPr>
                <w:w w:val="105"/>
                <w:sz w:val="11"/>
              </w:rPr>
              <w:t>284.6</w:t>
            </w:r>
          </w:p>
        </w:tc>
        <w:tc>
          <w:tcPr>
            <w:tcW w:w="773" w:type="dxa"/>
            <w:tcBorders>
              <w:top w:val="single" w:sz="4" w:space="0" w:color="000000"/>
              <w:left w:val="single" w:sz="4" w:space="0" w:color="000000"/>
              <w:right w:val="single" w:sz="4" w:space="0" w:color="000000"/>
            </w:tcBorders>
          </w:tcPr>
          <w:p>
            <w:pPr>
              <w:pStyle w:val="TableParagraph"/>
              <w:spacing w:before="5"/>
              <w:ind w:right="60"/>
              <w:rPr>
                <w:sz w:val="11"/>
              </w:rPr>
            </w:pPr>
            <w:r>
              <w:rPr>
                <w:w w:val="105"/>
                <w:sz w:val="11"/>
              </w:rPr>
              <w:t>268.7</w:t>
            </w:r>
          </w:p>
        </w:tc>
        <w:tc>
          <w:tcPr>
            <w:tcW w:w="624" w:type="dxa"/>
            <w:tcBorders>
              <w:top w:val="single" w:sz="4" w:space="0" w:color="000000"/>
              <w:left w:val="single" w:sz="4" w:space="0" w:color="000000"/>
              <w:right w:val="single" w:sz="4" w:space="0" w:color="000000"/>
            </w:tcBorders>
          </w:tcPr>
          <w:p>
            <w:pPr>
              <w:pStyle w:val="TableParagraph"/>
              <w:spacing w:before="5"/>
              <w:ind w:right="60"/>
              <w:rPr>
                <w:sz w:val="11"/>
              </w:rPr>
            </w:pPr>
            <w:r>
              <w:rPr>
                <w:w w:val="105"/>
                <w:sz w:val="11"/>
              </w:rPr>
              <w:t>20.1</w:t>
            </w:r>
          </w:p>
        </w:tc>
        <w:tc>
          <w:tcPr>
            <w:tcW w:w="474" w:type="dxa"/>
            <w:tcBorders>
              <w:top w:val="single" w:sz="4" w:space="0" w:color="000000"/>
              <w:left w:val="single" w:sz="4" w:space="0" w:color="000000"/>
              <w:right w:val="single" w:sz="3" w:space="0" w:color="000000"/>
            </w:tcBorders>
          </w:tcPr>
          <w:p>
            <w:pPr>
              <w:pStyle w:val="TableParagraph"/>
              <w:spacing w:before="5"/>
              <w:ind w:right="60"/>
              <w:rPr>
                <w:sz w:val="11"/>
              </w:rPr>
            </w:pPr>
            <w:r>
              <w:rPr>
                <w:w w:val="105"/>
                <w:sz w:val="11"/>
              </w:rPr>
              <w:t>13.9</w:t>
            </w:r>
          </w:p>
        </w:tc>
        <w:tc>
          <w:tcPr>
            <w:tcW w:w="526" w:type="dxa"/>
            <w:tcBorders>
              <w:top w:val="single" w:sz="4" w:space="0" w:color="000000"/>
              <w:left w:val="single" w:sz="3" w:space="0" w:color="000000"/>
              <w:right w:val="single" w:sz="3" w:space="0" w:color="000000"/>
            </w:tcBorders>
          </w:tcPr>
          <w:p>
            <w:pPr>
              <w:pStyle w:val="TableParagraph"/>
              <w:spacing w:before="5"/>
              <w:ind w:left="64"/>
              <w:jc w:val="left"/>
              <w:rPr>
                <w:b/>
                <w:sz w:val="11"/>
              </w:rPr>
            </w:pPr>
            <w:r>
              <w:rPr>
                <w:b/>
                <w:w w:val="105"/>
                <w:sz w:val="11"/>
              </w:rPr>
              <w:t>1,336.7</w:t>
            </w:r>
          </w:p>
        </w:tc>
        <w:tc>
          <w:tcPr>
            <w:tcW w:w="376" w:type="dxa"/>
            <w:tcBorders>
              <w:top w:val="single" w:sz="4" w:space="0" w:color="000000"/>
              <w:left w:val="single" w:sz="3" w:space="0" w:color="000000"/>
              <w:right w:val="single" w:sz="8" w:space="0" w:color="000000"/>
            </w:tcBorders>
          </w:tcPr>
          <w:p>
            <w:pPr>
              <w:pStyle w:val="TableParagraph"/>
              <w:spacing w:before="5"/>
              <w:ind w:right="53"/>
              <w:rPr>
                <w:b/>
                <w:sz w:val="11"/>
              </w:rPr>
            </w:pPr>
            <w:r>
              <w:rPr>
                <w:b/>
                <w:w w:val="105"/>
                <w:sz w:val="11"/>
              </w:rPr>
              <w:t>100</w:t>
            </w:r>
          </w:p>
        </w:tc>
      </w:tr>
      <w:tr>
        <w:trPr>
          <w:trHeight w:val="155" w:hRule="exact"/>
        </w:trPr>
        <w:tc>
          <w:tcPr>
            <w:tcW w:w="9245" w:type="dxa"/>
            <w:gridSpan w:val="14"/>
            <w:tcBorders>
              <w:left w:val="single" w:sz="8" w:space="0" w:color="000000"/>
              <w:bottom w:val="single" w:sz="8" w:space="0" w:color="000000"/>
              <w:right w:val="single" w:sz="8" w:space="0" w:color="000000"/>
            </w:tcBorders>
          </w:tcPr>
          <w:p>
            <w:pPr/>
          </w:p>
        </w:tc>
      </w:tr>
      <w:tr>
        <w:trPr>
          <w:trHeight w:val="154" w:hRule="exact"/>
        </w:trPr>
        <w:tc>
          <w:tcPr>
            <w:tcW w:w="200" w:type="dxa"/>
            <w:tcBorders>
              <w:top w:val="single" w:sz="8" w:space="0" w:color="000000"/>
              <w:left w:val="single" w:sz="8" w:space="0" w:color="000000"/>
              <w:bottom w:val="single" w:sz="8" w:space="0" w:color="000000"/>
            </w:tcBorders>
          </w:tcPr>
          <w:p>
            <w:pPr>
              <w:pStyle w:val="TableParagraph"/>
              <w:jc w:val="center"/>
              <w:rPr>
                <w:b/>
                <w:sz w:val="11"/>
              </w:rPr>
            </w:pPr>
            <w:r>
              <w:rPr>
                <w:b/>
                <w:w w:val="106"/>
                <w:sz w:val="11"/>
              </w:rPr>
              <w:t>2</w:t>
            </w:r>
          </w:p>
        </w:tc>
        <w:tc>
          <w:tcPr>
            <w:tcW w:w="1609" w:type="dxa"/>
            <w:tcBorders>
              <w:top w:val="single" w:sz="8" w:space="0" w:color="000000"/>
              <w:bottom w:val="single" w:sz="8" w:space="0" w:color="000000"/>
              <w:right w:val="single" w:sz="8" w:space="0" w:color="000000"/>
            </w:tcBorders>
          </w:tcPr>
          <w:p>
            <w:pPr>
              <w:pStyle w:val="TableParagraph"/>
              <w:ind w:left="59"/>
              <w:jc w:val="left"/>
              <w:rPr>
                <w:b/>
                <w:sz w:val="11"/>
              </w:rPr>
            </w:pPr>
            <w:r>
              <w:rPr>
                <w:b/>
                <w:w w:val="105"/>
                <w:sz w:val="11"/>
              </w:rPr>
              <w:t>NORTE</w:t>
            </w:r>
          </w:p>
        </w:tc>
        <w:tc>
          <w:tcPr>
            <w:tcW w:w="666" w:type="dxa"/>
            <w:tcBorders>
              <w:top w:val="single" w:sz="8" w:space="0" w:color="000000"/>
              <w:left w:val="single" w:sz="8" w:space="0" w:color="000000"/>
              <w:bottom w:val="single" w:sz="8" w:space="0" w:color="000000"/>
            </w:tcBorders>
          </w:tcPr>
          <w:p>
            <w:pPr>
              <w:pStyle w:val="TableParagraph"/>
              <w:ind w:right="55"/>
              <w:rPr>
                <w:b/>
                <w:sz w:val="11"/>
              </w:rPr>
            </w:pPr>
            <w:r>
              <w:rPr>
                <w:b/>
                <w:w w:val="105"/>
                <w:sz w:val="11"/>
              </w:rPr>
              <w:t>1,446.2</w:t>
            </w:r>
          </w:p>
        </w:tc>
        <w:tc>
          <w:tcPr>
            <w:tcW w:w="666" w:type="dxa"/>
            <w:tcBorders>
              <w:top w:val="single" w:sz="8" w:space="0" w:color="000000"/>
              <w:bottom w:val="single" w:sz="8" w:space="0" w:color="000000"/>
              <w:right w:val="single" w:sz="8" w:space="0" w:color="000000"/>
            </w:tcBorders>
          </w:tcPr>
          <w:p>
            <w:pPr>
              <w:pStyle w:val="TableParagraph"/>
              <w:ind w:right="55"/>
              <w:rPr>
                <w:b/>
                <w:sz w:val="11"/>
              </w:rPr>
            </w:pPr>
            <w:r>
              <w:rPr>
                <w:b/>
                <w:w w:val="105"/>
                <w:sz w:val="11"/>
              </w:rPr>
              <w:t>1,757.1</w:t>
            </w:r>
          </w:p>
        </w:tc>
        <w:tc>
          <w:tcPr>
            <w:tcW w:w="665" w:type="dxa"/>
            <w:tcBorders>
              <w:top w:val="single" w:sz="8" w:space="0" w:color="000000"/>
              <w:left w:val="single" w:sz="8" w:space="0" w:color="000000"/>
              <w:bottom w:val="single" w:sz="8" w:space="0" w:color="000000"/>
              <w:right w:val="single" w:sz="8" w:space="0" w:color="000000"/>
            </w:tcBorders>
          </w:tcPr>
          <w:p>
            <w:pPr>
              <w:pStyle w:val="TableParagraph"/>
              <w:ind w:right="53"/>
              <w:rPr>
                <w:b/>
                <w:sz w:val="11"/>
              </w:rPr>
            </w:pPr>
            <w:r>
              <w:rPr>
                <w:b/>
                <w:w w:val="105"/>
                <w:sz w:val="11"/>
              </w:rPr>
              <w:t>2,136.7</w:t>
            </w:r>
          </w:p>
        </w:tc>
        <w:tc>
          <w:tcPr>
            <w:tcW w:w="667" w:type="dxa"/>
            <w:tcBorders>
              <w:top w:val="single" w:sz="8" w:space="0" w:color="000000"/>
              <w:left w:val="single" w:sz="8" w:space="0" w:color="000000"/>
              <w:bottom w:val="single" w:sz="8" w:space="0" w:color="000000"/>
              <w:right w:val="single" w:sz="8" w:space="0" w:color="000000"/>
            </w:tcBorders>
          </w:tcPr>
          <w:p>
            <w:pPr>
              <w:pStyle w:val="TableParagraph"/>
              <w:ind w:right="55"/>
              <w:rPr>
                <w:b/>
                <w:sz w:val="11"/>
              </w:rPr>
            </w:pPr>
            <w:r>
              <w:rPr>
                <w:b/>
                <w:w w:val="105"/>
                <w:sz w:val="11"/>
              </w:rPr>
              <w:t>2,584.8</w:t>
            </w:r>
          </w:p>
        </w:tc>
        <w:tc>
          <w:tcPr>
            <w:tcW w:w="665" w:type="dxa"/>
            <w:tcBorders>
              <w:top w:val="single" w:sz="8" w:space="0" w:color="000000"/>
              <w:left w:val="single" w:sz="8" w:space="0" w:color="000000"/>
              <w:bottom w:val="single" w:sz="8" w:space="0" w:color="000000"/>
              <w:right w:val="single" w:sz="8" w:space="0" w:color="000000"/>
            </w:tcBorders>
          </w:tcPr>
          <w:p>
            <w:pPr>
              <w:pStyle w:val="TableParagraph"/>
              <w:ind w:right="53"/>
              <w:rPr>
                <w:b/>
                <w:sz w:val="11"/>
              </w:rPr>
            </w:pPr>
            <w:r>
              <w:rPr>
                <w:b/>
                <w:w w:val="105"/>
                <w:sz w:val="11"/>
              </w:rPr>
              <w:t>2,734.8</w:t>
            </w:r>
          </w:p>
        </w:tc>
        <w:tc>
          <w:tcPr>
            <w:tcW w:w="666" w:type="dxa"/>
            <w:tcBorders>
              <w:top w:val="single" w:sz="8" w:space="0" w:color="000000"/>
              <w:left w:val="single" w:sz="8" w:space="0" w:color="000000"/>
              <w:bottom w:val="single" w:sz="8" w:space="0" w:color="000000"/>
            </w:tcBorders>
          </w:tcPr>
          <w:p>
            <w:pPr>
              <w:pStyle w:val="TableParagraph"/>
              <w:ind w:right="55"/>
              <w:rPr>
                <w:b/>
                <w:sz w:val="11"/>
              </w:rPr>
            </w:pPr>
            <w:r>
              <w:rPr>
                <w:b/>
                <w:w w:val="105"/>
                <w:sz w:val="11"/>
              </w:rPr>
              <w:t>2,661.3</w:t>
            </w:r>
          </w:p>
        </w:tc>
        <w:tc>
          <w:tcPr>
            <w:tcW w:w="668" w:type="dxa"/>
            <w:tcBorders>
              <w:top w:val="single" w:sz="8" w:space="0" w:color="000000"/>
              <w:bottom w:val="single" w:sz="8" w:space="0" w:color="000000"/>
              <w:right w:val="single" w:sz="8" w:space="0" w:color="000000"/>
            </w:tcBorders>
          </w:tcPr>
          <w:p>
            <w:pPr>
              <w:pStyle w:val="TableParagraph"/>
              <w:ind w:right="57"/>
              <w:rPr>
                <w:b/>
                <w:sz w:val="11"/>
              </w:rPr>
            </w:pPr>
            <w:r>
              <w:rPr>
                <w:b/>
                <w:w w:val="105"/>
                <w:sz w:val="11"/>
              </w:rPr>
              <w:t>2,238.1</w:t>
            </w:r>
          </w:p>
        </w:tc>
        <w:tc>
          <w:tcPr>
            <w:tcW w:w="773" w:type="dxa"/>
            <w:tcBorders>
              <w:top w:val="single" w:sz="8" w:space="0" w:color="000000"/>
              <w:left w:val="single" w:sz="8" w:space="0" w:color="000000"/>
              <w:bottom w:val="single" w:sz="8" w:space="0" w:color="000000"/>
              <w:right w:val="single" w:sz="8" w:space="0" w:color="000000"/>
            </w:tcBorders>
          </w:tcPr>
          <w:p>
            <w:pPr>
              <w:pStyle w:val="TableParagraph"/>
              <w:ind w:right="55"/>
              <w:rPr>
                <w:b/>
                <w:sz w:val="11"/>
              </w:rPr>
            </w:pPr>
            <w:r>
              <w:rPr>
                <w:b/>
                <w:w w:val="105"/>
                <w:sz w:val="11"/>
              </w:rPr>
              <w:t>2,222.7</w:t>
            </w:r>
          </w:p>
        </w:tc>
        <w:tc>
          <w:tcPr>
            <w:tcW w:w="624" w:type="dxa"/>
            <w:tcBorders>
              <w:top w:val="single" w:sz="8" w:space="0" w:color="000000"/>
              <w:left w:val="single" w:sz="8" w:space="0" w:color="000000"/>
              <w:bottom w:val="single" w:sz="8" w:space="0" w:color="000000"/>
              <w:right w:val="single" w:sz="8" w:space="0" w:color="000000"/>
            </w:tcBorders>
          </w:tcPr>
          <w:p>
            <w:pPr>
              <w:pStyle w:val="TableParagraph"/>
              <w:ind w:right="55"/>
              <w:rPr>
                <w:b/>
                <w:sz w:val="11"/>
              </w:rPr>
            </w:pPr>
            <w:r>
              <w:rPr>
                <w:b/>
                <w:w w:val="105"/>
                <w:sz w:val="11"/>
              </w:rPr>
              <w:t>100</w:t>
            </w:r>
          </w:p>
        </w:tc>
        <w:tc>
          <w:tcPr>
            <w:tcW w:w="474" w:type="dxa"/>
            <w:tcBorders>
              <w:top w:val="single" w:sz="8" w:space="0" w:color="000000"/>
              <w:left w:val="single" w:sz="8" w:space="0" w:color="000000"/>
              <w:bottom w:val="single" w:sz="8" w:space="0" w:color="000000"/>
            </w:tcBorders>
          </w:tcPr>
          <w:p>
            <w:pPr>
              <w:pStyle w:val="TableParagraph"/>
              <w:ind w:right="57"/>
              <w:rPr>
                <w:b/>
                <w:sz w:val="11"/>
              </w:rPr>
            </w:pPr>
            <w:r>
              <w:rPr>
                <w:b/>
                <w:w w:val="105"/>
                <w:sz w:val="11"/>
              </w:rPr>
              <w:t>7.5</w:t>
            </w:r>
          </w:p>
        </w:tc>
        <w:tc>
          <w:tcPr>
            <w:tcW w:w="526" w:type="dxa"/>
            <w:tcBorders>
              <w:top w:val="single" w:sz="8" w:space="0" w:color="000000"/>
              <w:bottom w:val="single" w:sz="8" w:space="0" w:color="000000"/>
            </w:tcBorders>
          </w:tcPr>
          <w:p>
            <w:pPr/>
          </w:p>
        </w:tc>
        <w:tc>
          <w:tcPr>
            <w:tcW w:w="376" w:type="dxa"/>
            <w:tcBorders>
              <w:top w:val="single" w:sz="8" w:space="0" w:color="000000"/>
              <w:bottom w:val="single" w:sz="8" w:space="0" w:color="000000"/>
              <w:right w:val="single" w:sz="8" w:space="0" w:color="000000"/>
            </w:tcBorders>
          </w:tcPr>
          <w:p>
            <w:pPr/>
          </w:p>
        </w:tc>
      </w:tr>
      <w:tr>
        <w:trPr>
          <w:trHeight w:val="149" w:hRule="exact"/>
        </w:trPr>
        <w:tc>
          <w:tcPr>
            <w:tcW w:w="200" w:type="dxa"/>
            <w:tcBorders>
              <w:top w:val="single" w:sz="8" w:space="0" w:color="000000"/>
              <w:left w:val="single" w:sz="8" w:space="0" w:color="000000"/>
              <w:bottom w:val="single" w:sz="4" w:space="0" w:color="000000"/>
            </w:tcBorders>
          </w:tcPr>
          <w:p>
            <w:pPr>
              <w:pStyle w:val="TableParagraph"/>
              <w:jc w:val="center"/>
              <w:rPr>
                <w:sz w:val="11"/>
              </w:rPr>
            </w:pPr>
            <w:r>
              <w:rPr>
                <w:w w:val="106"/>
                <w:sz w:val="11"/>
              </w:rPr>
              <w:t>1</w:t>
            </w:r>
          </w:p>
        </w:tc>
        <w:tc>
          <w:tcPr>
            <w:tcW w:w="1609" w:type="dxa"/>
            <w:tcBorders>
              <w:top w:val="single" w:sz="8" w:space="0" w:color="000000"/>
              <w:bottom w:val="single" w:sz="4" w:space="0" w:color="000000"/>
              <w:right w:val="single" w:sz="8" w:space="0" w:color="000000"/>
            </w:tcBorders>
          </w:tcPr>
          <w:p>
            <w:pPr>
              <w:pStyle w:val="TableParagraph"/>
              <w:ind w:left="59"/>
              <w:jc w:val="left"/>
              <w:rPr>
                <w:sz w:val="11"/>
              </w:rPr>
            </w:pPr>
            <w:r>
              <w:rPr>
                <w:w w:val="105"/>
                <w:sz w:val="11"/>
              </w:rPr>
              <w:t>Coahuila</w:t>
            </w:r>
          </w:p>
        </w:tc>
        <w:tc>
          <w:tcPr>
            <w:tcW w:w="666" w:type="dxa"/>
            <w:tcBorders>
              <w:top w:val="single" w:sz="8" w:space="0" w:color="000000"/>
              <w:left w:val="single" w:sz="8" w:space="0" w:color="000000"/>
              <w:bottom w:val="single" w:sz="4" w:space="0" w:color="000000"/>
              <w:right w:val="single" w:sz="3" w:space="0" w:color="000000"/>
            </w:tcBorders>
          </w:tcPr>
          <w:p>
            <w:pPr>
              <w:pStyle w:val="TableParagraph"/>
              <w:ind w:right="60"/>
              <w:rPr>
                <w:sz w:val="11"/>
              </w:rPr>
            </w:pPr>
            <w:r>
              <w:rPr>
                <w:w w:val="105"/>
                <w:sz w:val="11"/>
              </w:rPr>
              <w:t>142.2</w:t>
            </w:r>
          </w:p>
        </w:tc>
        <w:tc>
          <w:tcPr>
            <w:tcW w:w="666" w:type="dxa"/>
            <w:tcBorders>
              <w:top w:val="single" w:sz="8" w:space="0" w:color="000000"/>
              <w:left w:val="single" w:sz="3" w:space="0" w:color="000000"/>
              <w:bottom w:val="single" w:sz="4" w:space="0" w:color="000000"/>
              <w:right w:val="single" w:sz="4" w:space="0" w:color="000000"/>
            </w:tcBorders>
          </w:tcPr>
          <w:p>
            <w:pPr>
              <w:pStyle w:val="TableParagraph"/>
              <w:ind w:right="60"/>
              <w:rPr>
                <w:sz w:val="11"/>
              </w:rPr>
            </w:pPr>
            <w:r>
              <w:rPr>
                <w:w w:val="105"/>
                <w:sz w:val="11"/>
              </w:rPr>
              <w:t>184.3</w:t>
            </w:r>
          </w:p>
        </w:tc>
        <w:tc>
          <w:tcPr>
            <w:tcW w:w="665" w:type="dxa"/>
            <w:tcBorders>
              <w:top w:val="single" w:sz="8"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247.0</w:t>
            </w:r>
          </w:p>
        </w:tc>
        <w:tc>
          <w:tcPr>
            <w:tcW w:w="667" w:type="dxa"/>
            <w:tcBorders>
              <w:top w:val="single" w:sz="8"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282.3</w:t>
            </w:r>
          </w:p>
        </w:tc>
        <w:tc>
          <w:tcPr>
            <w:tcW w:w="665" w:type="dxa"/>
            <w:tcBorders>
              <w:top w:val="single" w:sz="8"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294.2</w:t>
            </w:r>
          </w:p>
        </w:tc>
        <w:tc>
          <w:tcPr>
            <w:tcW w:w="666" w:type="dxa"/>
            <w:tcBorders>
              <w:top w:val="single" w:sz="8"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299.6</w:t>
            </w:r>
          </w:p>
        </w:tc>
        <w:tc>
          <w:tcPr>
            <w:tcW w:w="668" w:type="dxa"/>
            <w:tcBorders>
              <w:top w:val="single" w:sz="8"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246.0</w:t>
            </w:r>
          </w:p>
        </w:tc>
        <w:tc>
          <w:tcPr>
            <w:tcW w:w="773" w:type="dxa"/>
            <w:tcBorders>
              <w:top w:val="single" w:sz="8"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242.2</w:t>
            </w:r>
          </w:p>
        </w:tc>
        <w:tc>
          <w:tcPr>
            <w:tcW w:w="624" w:type="dxa"/>
            <w:tcBorders>
              <w:top w:val="single" w:sz="8"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10.9</w:t>
            </w:r>
          </w:p>
        </w:tc>
        <w:tc>
          <w:tcPr>
            <w:tcW w:w="474" w:type="dxa"/>
            <w:tcBorders>
              <w:top w:val="single" w:sz="8" w:space="0" w:color="000000"/>
              <w:left w:val="single" w:sz="4" w:space="0" w:color="000000"/>
              <w:bottom w:val="single" w:sz="4" w:space="0" w:color="000000"/>
              <w:right w:val="single" w:sz="3" w:space="0" w:color="000000"/>
            </w:tcBorders>
          </w:tcPr>
          <w:p>
            <w:pPr>
              <w:pStyle w:val="TableParagraph"/>
              <w:ind w:right="62"/>
              <w:rPr>
                <w:sz w:val="11"/>
              </w:rPr>
            </w:pPr>
            <w:r>
              <w:rPr>
                <w:w w:val="105"/>
                <w:sz w:val="11"/>
              </w:rPr>
              <w:t>9.6</w:t>
            </w:r>
          </w:p>
        </w:tc>
        <w:tc>
          <w:tcPr>
            <w:tcW w:w="526" w:type="dxa"/>
            <w:tcBorders>
              <w:top w:val="single" w:sz="8" w:space="0" w:color="000000"/>
              <w:left w:val="single" w:sz="3" w:space="0" w:color="000000"/>
              <w:bottom w:val="single" w:sz="4" w:space="0" w:color="000000"/>
              <w:right w:val="single" w:sz="3" w:space="0" w:color="000000"/>
            </w:tcBorders>
          </w:tcPr>
          <w:p>
            <w:pPr>
              <w:pStyle w:val="TableParagraph"/>
              <w:ind w:right="60"/>
              <w:rPr>
                <w:sz w:val="11"/>
              </w:rPr>
            </w:pPr>
            <w:r>
              <w:rPr>
                <w:w w:val="105"/>
                <w:sz w:val="11"/>
              </w:rPr>
              <w:t>242.2</w:t>
            </w:r>
          </w:p>
        </w:tc>
        <w:tc>
          <w:tcPr>
            <w:tcW w:w="376" w:type="dxa"/>
            <w:tcBorders>
              <w:top w:val="single" w:sz="8" w:space="0" w:color="000000"/>
              <w:left w:val="single" w:sz="3" w:space="0" w:color="000000"/>
              <w:bottom w:val="single" w:sz="4" w:space="0" w:color="000000"/>
              <w:right w:val="single" w:sz="8" w:space="0" w:color="000000"/>
            </w:tcBorders>
          </w:tcPr>
          <w:p>
            <w:pPr>
              <w:pStyle w:val="TableParagraph"/>
              <w:ind w:right="53"/>
              <w:rPr>
                <w:sz w:val="11"/>
              </w:rPr>
            </w:pPr>
            <w:r>
              <w:rPr>
                <w:w w:val="105"/>
                <w:sz w:val="11"/>
              </w:rPr>
              <w:t>10.9</w:t>
            </w:r>
          </w:p>
        </w:tc>
      </w:tr>
      <w:tr>
        <w:trPr>
          <w:trHeight w:val="144" w:hRule="exact"/>
        </w:trPr>
        <w:tc>
          <w:tcPr>
            <w:tcW w:w="200" w:type="dxa"/>
            <w:tcBorders>
              <w:top w:val="single" w:sz="4" w:space="0" w:color="000000"/>
              <w:left w:val="single" w:sz="8" w:space="0" w:color="000000"/>
              <w:bottom w:val="single" w:sz="4" w:space="0" w:color="000000"/>
            </w:tcBorders>
          </w:tcPr>
          <w:p>
            <w:pPr>
              <w:pStyle w:val="TableParagraph"/>
              <w:jc w:val="center"/>
              <w:rPr>
                <w:sz w:val="11"/>
              </w:rPr>
            </w:pPr>
            <w:r>
              <w:rPr>
                <w:w w:val="106"/>
                <w:sz w:val="11"/>
              </w:rPr>
              <w:t>2</w:t>
            </w:r>
          </w:p>
        </w:tc>
        <w:tc>
          <w:tcPr>
            <w:tcW w:w="1609" w:type="dxa"/>
            <w:tcBorders>
              <w:top w:val="single" w:sz="4" w:space="0" w:color="000000"/>
              <w:bottom w:val="single" w:sz="4" w:space="0" w:color="000000"/>
              <w:right w:val="single" w:sz="8" w:space="0" w:color="000000"/>
            </w:tcBorders>
          </w:tcPr>
          <w:p>
            <w:pPr>
              <w:pStyle w:val="TableParagraph"/>
              <w:ind w:left="59"/>
              <w:jc w:val="left"/>
              <w:rPr>
                <w:sz w:val="11"/>
              </w:rPr>
            </w:pPr>
            <w:r>
              <w:rPr>
                <w:w w:val="105"/>
                <w:sz w:val="11"/>
              </w:rPr>
              <w:t>Chihuahua</w:t>
            </w:r>
          </w:p>
        </w:tc>
        <w:tc>
          <w:tcPr>
            <w:tcW w:w="666" w:type="dxa"/>
            <w:tcBorders>
              <w:top w:val="single" w:sz="4" w:space="0" w:color="000000"/>
              <w:left w:val="single" w:sz="8" w:space="0" w:color="000000"/>
              <w:bottom w:val="single" w:sz="4" w:space="0" w:color="000000"/>
              <w:right w:val="single" w:sz="3" w:space="0" w:color="000000"/>
            </w:tcBorders>
          </w:tcPr>
          <w:p>
            <w:pPr>
              <w:pStyle w:val="TableParagraph"/>
              <w:ind w:right="60"/>
              <w:rPr>
                <w:sz w:val="11"/>
              </w:rPr>
            </w:pPr>
            <w:r>
              <w:rPr>
                <w:w w:val="105"/>
                <w:sz w:val="11"/>
              </w:rPr>
              <w:t>240.5</w:t>
            </w:r>
          </w:p>
        </w:tc>
        <w:tc>
          <w:tcPr>
            <w:tcW w:w="666" w:type="dxa"/>
            <w:tcBorders>
              <w:top w:val="single" w:sz="4" w:space="0" w:color="000000"/>
              <w:left w:val="single" w:sz="3" w:space="0" w:color="000000"/>
              <w:bottom w:val="single" w:sz="4" w:space="0" w:color="000000"/>
              <w:right w:val="single" w:sz="4" w:space="0" w:color="000000"/>
            </w:tcBorders>
          </w:tcPr>
          <w:p>
            <w:pPr>
              <w:pStyle w:val="TableParagraph"/>
              <w:ind w:right="60"/>
              <w:rPr>
                <w:sz w:val="11"/>
              </w:rPr>
            </w:pPr>
            <w:r>
              <w:rPr>
                <w:w w:val="105"/>
                <w:sz w:val="11"/>
              </w:rPr>
              <w:t>286.0</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398.7</w:t>
            </w:r>
          </w:p>
        </w:tc>
        <w:tc>
          <w:tcPr>
            <w:tcW w:w="667"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485.3</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471.9</w:t>
            </w:r>
          </w:p>
        </w:tc>
        <w:tc>
          <w:tcPr>
            <w:tcW w:w="666"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475.3</w:t>
            </w:r>
          </w:p>
        </w:tc>
        <w:tc>
          <w:tcPr>
            <w:tcW w:w="668"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410.4</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395.4</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17.8</w:t>
            </w:r>
          </w:p>
        </w:tc>
        <w:tc>
          <w:tcPr>
            <w:tcW w:w="474" w:type="dxa"/>
            <w:tcBorders>
              <w:top w:val="single" w:sz="4" w:space="0" w:color="000000"/>
              <w:left w:val="single" w:sz="4" w:space="0" w:color="000000"/>
              <w:bottom w:val="single" w:sz="4" w:space="0" w:color="000000"/>
              <w:right w:val="single" w:sz="3" w:space="0" w:color="000000"/>
            </w:tcBorders>
          </w:tcPr>
          <w:p>
            <w:pPr>
              <w:pStyle w:val="TableParagraph"/>
              <w:ind w:right="62"/>
              <w:rPr>
                <w:sz w:val="11"/>
              </w:rPr>
            </w:pPr>
            <w:r>
              <w:rPr>
                <w:w w:val="105"/>
                <w:sz w:val="11"/>
              </w:rPr>
              <w:t>9.3</w:t>
            </w:r>
          </w:p>
        </w:tc>
        <w:tc>
          <w:tcPr>
            <w:tcW w:w="526" w:type="dxa"/>
            <w:tcBorders>
              <w:top w:val="single" w:sz="4" w:space="0" w:color="000000"/>
              <w:left w:val="single" w:sz="3" w:space="0" w:color="000000"/>
              <w:bottom w:val="single" w:sz="4" w:space="0" w:color="000000"/>
              <w:right w:val="single" w:sz="3" w:space="0" w:color="000000"/>
            </w:tcBorders>
          </w:tcPr>
          <w:p>
            <w:pPr>
              <w:pStyle w:val="TableParagraph"/>
              <w:ind w:right="60"/>
              <w:rPr>
                <w:sz w:val="11"/>
              </w:rPr>
            </w:pPr>
            <w:r>
              <w:rPr>
                <w:w w:val="105"/>
                <w:sz w:val="11"/>
              </w:rPr>
              <w:t>637.7</w:t>
            </w:r>
          </w:p>
        </w:tc>
        <w:tc>
          <w:tcPr>
            <w:tcW w:w="376" w:type="dxa"/>
            <w:tcBorders>
              <w:top w:val="single" w:sz="4" w:space="0" w:color="000000"/>
              <w:left w:val="single" w:sz="3" w:space="0" w:color="000000"/>
              <w:bottom w:val="single" w:sz="4" w:space="0" w:color="000000"/>
              <w:right w:val="single" w:sz="8" w:space="0" w:color="000000"/>
            </w:tcBorders>
          </w:tcPr>
          <w:p>
            <w:pPr>
              <w:pStyle w:val="TableParagraph"/>
              <w:ind w:right="53"/>
              <w:rPr>
                <w:sz w:val="11"/>
              </w:rPr>
            </w:pPr>
            <w:r>
              <w:rPr>
                <w:w w:val="105"/>
                <w:sz w:val="11"/>
              </w:rPr>
              <w:t>28.7</w:t>
            </w:r>
          </w:p>
        </w:tc>
      </w:tr>
      <w:tr>
        <w:trPr>
          <w:trHeight w:val="144" w:hRule="exact"/>
        </w:trPr>
        <w:tc>
          <w:tcPr>
            <w:tcW w:w="200" w:type="dxa"/>
            <w:tcBorders>
              <w:top w:val="single" w:sz="4" w:space="0" w:color="000000"/>
              <w:left w:val="single" w:sz="8" w:space="0" w:color="000000"/>
              <w:bottom w:val="single" w:sz="4" w:space="0" w:color="000000"/>
            </w:tcBorders>
          </w:tcPr>
          <w:p>
            <w:pPr>
              <w:pStyle w:val="TableParagraph"/>
              <w:jc w:val="center"/>
              <w:rPr>
                <w:sz w:val="11"/>
              </w:rPr>
            </w:pPr>
            <w:r>
              <w:rPr>
                <w:w w:val="106"/>
                <w:sz w:val="11"/>
              </w:rPr>
              <w:t>3</w:t>
            </w:r>
          </w:p>
        </w:tc>
        <w:tc>
          <w:tcPr>
            <w:tcW w:w="1609" w:type="dxa"/>
            <w:tcBorders>
              <w:top w:val="single" w:sz="4" w:space="0" w:color="000000"/>
              <w:bottom w:val="single" w:sz="4" w:space="0" w:color="000000"/>
              <w:right w:val="single" w:sz="8" w:space="0" w:color="000000"/>
            </w:tcBorders>
          </w:tcPr>
          <w:p>
            <w:pPr>
              <w:pStyle w:val="TableParagraph"/>
              <w:ind w:left="59"/>
              <w:jc w:val="left"/>
              <w:rPr>
                <w:sz w:val="11"/>
              </w:rPr>
            </w:pPr>
            <w:r>
              <w:rPr>
                <w:w w:val="105"/>
                <w:sz w:val="11"/>
              </w:rPr>
              <w:t>Durango</w:t>
            </w:r>
          </w:p>
        </w:tc>
        <w:tc>
          <w:tcPr>
            <w:tcW w:w="666" w:type="dxa"/>
            <w:tcBorders>
              <w:top w:val="single" w:sz="4" w:space="0" w:color="000000"/>
              <w:left w:val="single" w:sz="8" w:space="0" w:color="000000"/>
              <w:bottom w:val="single" w:sz="4" w:space="0" w:color="000000"/>
              <w:right w:val="single" w:sz="3" w:space="0" w:color="000000"/>
            </w:tcBorders>
          </w:tcPr>
          <w:p>
            <w:pPr>
              <w:pStyle w:val="TableParagraph"/>
              <w:ind w:right="60"/>
              <w:rPr>
                <w:sz w:val="11"/>
              </w:rPr>
            </w:pPr>
            <w:r>
              <w:rPr>
                <w:w w:val="105"/>
                <w:sz w:val="11"/>
              </w:rPr>
              <w:t>265.3</w:t>
            </w:r>
          </w:p>
        </w:tc>
        <w:tc>
          <w:tcPr>
            <w:tcW w:w="666" w:type="dxa"/>
            <w:tcBorders>
              <w:top w:val="single" w:sz="4" w:space="0" w:color="000000"/>
              <w:left w:val="single" w:sz="3" w:space="0" w:color="000000"/>
              <w:bottom w:val="single" w:sz="4" w:space="0" w:color="000000"/>
              <w:right w:val="single" w:sz="4" w:space="0" w:color="000000"/>
            </w:tcBorders>
          </w:tcPr>
          <w:p>
            <w:pPr>
              <w:pStyle w:val="TableParagraph"/>
              <w:ind w:right="60"/>
              <w:rPr>
                <w:sz w:val="11"/>
              </w:rPr>
            </w:pPr>
            <w:r>
              <w:rPr>
                <w:w w:val="105"/>
                <w:sz w:val="11"/>
              </w:rPr>
              <w:t>336.2</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392.5</w:t>
            </w:r>
          </w:p>
        </w:tc>
        <w:tc>
          <w:tcPr>
            <w:tcW w:w="667"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437.2</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450.6</w:t>
            </w:r>
          </w:p>
        </w:tc>
        <w:tc>
          <w:tcPr>
            <w:tcW w:w="666"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450.4</w:t>
            </w:r>
          </w:p>
        </w:tc>
        <w:tc>
          <w:tcPr>
            <w:tcW w:w="668"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381.2</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387.6</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17.4</w:t>
            </w:r>
          </w:p>
        </w:tc>
        <w:tc>
          <w:tcPr>
            <w:tcW w:w="474" w:type="dxa"/>
            <w:tcBorders>
              <w:top w:val="single" w:sz="4" w:space="0" w:color="000000"/>
              <w:left w:val="single" w:sz="4" w:space="0" w:color="000000"/>
              <w:bottom w:val="single" w:sz="4" w:space="0" w:color="000000"/>
              <w:right w:val="single" w:sz="3" w:space="0" w:color="000000"/>
            </w:tcBorders>
          </w:tcPr>
          <w:p>
            <w:pPr>
              <w:pStyle w:val="TableParagraph"/>
              <w:ind w:right="62"/>
              <w:rPr>
                <w:sz w:val="11"/>
              </w:rPr>
            </w:pPr>
            <w:r>
              <w:rPr>
                <w:w w:val="105"/>
                <w:sz w:val="11"/>
              </w:rPr>
              <w:t>6.2</w:t>
            </w:r>
          </w:p>
        </w:tc>
        <w:tc>
          <w:tcPr>
            <w:tcW w:w="526" w:type="dxa"/>
            <w:tcBorders>
              <w:top w:val="single" w:sz="4" w:space="0" w:color="000000"/>
              <w:left w:val="single" w:sz="3" w:space="0" w:color="000000"/>
              <w:bottom w:val="single" w:sz="4" w:space="0" w:color="000000"/>
              <w:right w:val="single" w:sz="3" w:space="0" w:color="000000"/>
            </w:tcBorders>
          </w:tcPr>
          <w:p>
            <w:pPr>
              <w:pStyle w:val="TableParagraph"/>
              <w:ind w:left="64"/>
              <w:jc w:val="left"/>
              <w:rPr>
                <w:sz w:val="11"/>
              </w:rPr>
            </w:pPr>
            <w:r>
              <w:rPr>
                <w:w w:val="105"/>
                <w:sz w:val="11"/>
              </w:rPr>
              <w:t>1,025.3</w:t>
            </w:r>
          </w:p>
        </w:tc>
        <w:tc>
          <w:tcPr>
            <w:tcW w:w="376" w:type="dxa"/>
            <w:tcBorders>
              <w:top w:val="single" w:sz="4" w:space="0" w:color="000000"/>
              <w:left w:val="single" w:sz="3" w:space="0" w:color="000000"/>
              <w:bottom w:val="single" w:sz="4" w:space="0" w:color="000000"/>
              <w:right w:val="single" w:sz="8" w:space="0" w:color="000000"/>
            </w:tcBorders>
          </w:tcPr>
          <w:p>
            <w:pPr>
              <w:pStyle w:val="TableParagraph"/>
              <w:ind w:right="53"/>
              <w:rPr>
                <w:sz w:val="11"/>
              </w:rPr>
            </w:pPr>
            <w:r>
              <w:rPr>
                <w:w w:val="105"/>
                <w:sz w:val="11"/>
              </w:rPr>
              <w:t>46.1</w:t>
            </w:r>
          </w:p>
        </w:tc>
      </w:tr>
      <w:tr>
        <w:trPr>
          <w:trHeight w:val="144" w:hRule="exact"/>
        </w:trPr>
        <w:tc>
          <w:tcPr>
            <w:tcW w:w="200" w:type="dxa"/>
            <w:tcBorders>
              <w:top w:val="single" w:sz="4" w:space="0" w:color="000000"/>
              <w:left w:val="single" w:sz="8" w:space="0" w:color="000000"/>
              <w:bottom w:val="single" w:sz="4" w:space="0" w:color="000000"/>
            </w:tcBorders>
          </w:tcPr>
          <w:p>
            <w:pPr>
              <w:pStyle w:val="TableParagraph"/>
              <w:jc w:val="center"/>
              <w:rPr>
                <w:sz w:val="11"/>
              </w:rPr>
            </w:pPr>
            <w:r>
              <w:rPr>
                <w:w w:val="106"/>
                <w:sz w:val="11"/>
              </w:rPr>
              <w:t>4</w:t>
            </w:r>
          </w:p>
        </w:tc>
        <w:tc>
          <w:tcPr>
            <w:tcW w:w="1609" w:type="dxa"/>
            <w:tcBorders>
              <w:top w:val="single" w:sz="4" w:space="0" w:color="000000"/>
              <w:bottom w:val="single" w:sz="4" w:space="0" w:color="000000"/>
              <w:right w:val="single" w:sz="8" w:space="0" w:color="000000"/>
            </w:tcBorders>
          </w:tcPr>
          <w:p>
            <w:pPr>
              <w:pStyle w:val="TableParagraph"/>
              <w:ind w:left="59"/>
              <w:jc w:val="left"/>
              <w:rPr>
                <w:sz w:val="11"/>
              </w:rPr>
            </w:pPr>
            <w:r>
              <w:rPr>
                <w:w w:val="105"/>
                <w:sz w:val="11"/>
              </w:rPr>
              <w:t>San Luís Potosí</w:t>
            </w:r>
          </w:p>
        </w:tc>
        <w:tc>
          <w:tcPr>
            <w:tcW w:w="666" w:type="dxa"/>
            <w:tcBorders>
              <w:top w:val="single" w:sz="4" w:space="0" w:color="000000"/>
              <w:left w:val="single" w:sz="8" w:space="0" w:color="000000"/>
              <w:bottom w:val="single" w:sz="4" w:space="0" w:color="000000"/>
              <w:right w:val="single" w:sz="3" w:space="0" w:color="000000"/>
            </w:tcBorders>
          </w:tcPr>
          <w:p>
            <w:pPr>
              <w:pStyle w:val="TableParagraph"/>
              <w:ind w:right="60"/>
              <w:rPr>
                <w:sz w:val="11"/>
              </w:rPr>
            </w:pPr>
            <w:r>
              <w:rPr>
                <w:w w:val="105"/>
                <w:sz w:val="11"/>
              </w:rPr>
              <w:t>397.7</w:t>
            </w:r>
          </w:p>
        </w:tc>
        <w:tc>
          <w:tcPr>
            <w:tcW w:w="666" w:type="dxa"/>
            <w:tcBorders>
              <w:top w:val="single" w:sz="4" w:space="0" w:color="000000"/>
              <w:left w:val="single" w:sz="3" w:space="0" w:color="000000"/>
              <w:bottom w:val="single" w:sz="4" w:space="0" w:color="000000"/>
              <w:right w:val="single" w:sz="4" w:space="0" w:color="000000"/>
            </w:tcBorders>
          </w:tcPr>
          <w:p>
            <w:pPr>
              <w:pStyle w:val="TableParagraph"/>
              <w:ind w:right="60"/>
              <w:rPr>
                <w:sz w:val="11"/>
              </w:rPr>
            </w:pPr>
            <w:r>
              <w:rPr>
                <w:w w:val="105"/>
                <w:sz w:val="11"/>
              </w:rPr>
              <w:t>465.3</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557.5</w:t>
            </w:r>
          </w:p>
        </w:tc>
        <w:tc>
          <w:tcPr>
            <w:tcW w:w="667"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710.0</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760.6</w:t>
            </w:r>
          </w:p>
        </w:tc>
        <w:tc>
          <w:tcPr>
            <w:tcW w:w="666"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758.3</w:t>
            </w:r>
          </w:p>
        </w:tc>
        <w:tc>
          <w:tcPr>
            <w:tcW w:w="668"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630.9</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611.5</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27.5</w:t>
            </w:r>
          </w:p>
        </w:tc>
        <w:tc>
          <w:tcPr>
            <w:tcW w:w="474" w:type="dxa"/>
            <w:tcBorders>
              <w:top w:val="single" w:sz="4" w:space="0" w:color="000000"/>
              <w:left w:val="single" w:sz="4" w:space="0" w:color="000000"/>
              <w:bottom w:val="single" w:sz="4" w:space="0" w:color="000000"/>
              <w:right w:val="single" w:sz="3" w:space="0" w:color="000000"/>
            </w:tcBorders>
          </w:tcPr>
          <w:p>
            <w:pPr>
              <w:pStyle w:val="TableParagraph"/>
              <w:ind w:right="62"/>
              <w:rPr>
                <w:sz w:val="11"/>
              </w:rPr>
            </w:pPr>
            <w:r>
              <w:rPr>
                <w:w w:val="105"/>
                <w:sz w:val="11"/>
              </w:rPr>
              <w:t>8.0</w:t>
            </w:r>
          </w:p>
        </w:tc>
        <w:tc>
          <w:tcPr>
            <w:tcW w:w="526" w:type="dxa"/>
            <w:tcBorders>
              <w:top w:val="single" w:sz="4" w:space="0" w:color="000000"/>
              <w:left w:val="single" w:sz="3" w:space="0" w:color="000000"/>
              <w:bottom w:val="single" w:sz="4" w:space="0" w:color="000000"/>
              <w:right w:val="single" w:sz="3" w:space="0" w:color="000000"/>
            </w:tcBorders>
          </w:tcPr>
          <w:p>
            <w:pPr>
              <w:pStyle w:val="TableParagraph"/>
              <w:ind w:left="64"/>
              <w:jc w:val="left"/>
              <w:rPr>
                <w:sz w:val="11"/>
              </w:rPr>
            </w:pPr>
            <w:r>
              <w:rPr>
                <w:w w:val="105"/>
                <w:sz w:val="11"/>
              </w:rPr>
              <w:t>1,636.8</w:t>
            </w:r>
          </w:p>
        </w:tc>
        <w:tc>
          <w:tcPr>
            <w:tcW w:w="376" w:type="dxa"/>
            <w:tcBorders>
              <w:top w:val="single" w:sz="4" w:space="0" w:color="000000"/>
              <w:left w:val="single" w:sz="3" w:space="0" w:color="000000"/>
              <w:bottom w:val="single" w:sz="4" w:space="0" w:color="000000"/>
              <w:right w:val="single" w:sz="8" w:space="0" w:color="000000"/>
            </w:tcBorders>
          </w:tcPr>
          <w:p>
            <w:pPr>
              <w:pStyle w:val="TableParagraph"/>
              <w:ind w:right="53"/>
              <w:rPr>
                <w:sz w:val="11"/>
              </w:rPr>
            </w:pPr>
            <w:r>
              <w:rPr>
                <w:w w:val="105"/>
                <w:sz w:val="11"/>
              </w:rPr>
              <w:t>73.6</w:t>
            </w:r>
          </w:p>
        </w:tc>
      </w:tr>
      <w:tr>
        <w:trPr>
          <w:trHeight w:val="149" w:hRule="exact"/>
        </w:trPr>
        <w:tc>
          <w:tcPr>
            <w:tcW w:w="200" w:type="dxa"/>
            <w:tcBorders>
              <w:top w:val="single" w:sz="4" w:space="0" w:color="000000"/>
              <w:left w:val="single" w:sz="8" w:space="0" w:color="000000"/>
              <w:bottom w:val="single" w:sz="8" w:space="0" w:color="000000"/>
            </w:tcBorders>
          </w:tcPr>
          <w:p>
            <w:pPr>
              <w:pStyle w:val="TableParagraph"/>
              <w:jc w:val="center"/>
              <w:rPr>
                <w:sz w:val="11"/>
              </w:rPr>
            </w:pPr>
            <w:r>
              <w:rPr>
                <w:w w:val="106"/>
                <w:sz w:val="11"/>
              </w:rPr>
              <w:t>5</w:t>
            </w:r>
          </w:p>
        </w:tc>
        <w:tc>
          <w:tcPr>
            <w:tcW w:w="1609" w:type="dxa"/>
            <w:tcBorders>
              <w:top w:val="single" w:sz="4" w:space="0" w:color="000000"/>
              <w:bottom w:val="single" w:sz="8" w:space="0" w:color="000000"/>
              <w:right w:val="single" w:sz="8" w:space="0" w:color="000000"/>
            </w:tcBorders>
          </w:tcPr>
          <w:p>
            <w:pPr>
              <w:pStyle w:val="TableParagraph"/>
              <w:ind w:left="59"/>
              <w:jc w:val="left"/>
              <w:rPr>
                <w:sz w:val="11"/>
              </w:rPr>
            </w:pPr>
            <w:r>
              <w:rPr>
                <w:w w:val="105"/>
                <w:sz w:val="11"/>
              </w:rPr>
              <w:t>Zacatecas</w:t>
            </w:r>
          </w:p>
        </w:tc>
        <w:tc>
          <w:tcPr>
            <w:tcW w:w="666" w:type="dxa"/>
            <w:tcBorders>
              <w:top w:val="single" w:sz="4" w:space="0" w:color="000000"/>
              <w:left w:val="single" w:sz="8" w:space="0" w:color="000000"/>
              <w:bottom w:val="single" w:sz="8" w:space="0" w:color="000000"/>
              <w:right w:val="single" w:sz="3" w:space="0" w:color="000000"/>
            </w:tcBorders>
          </w:tcPr>
          <w:p>
            <w:pPr>
              <w:pStyle w:val="TableParagraph"/>
              <w:ind w:right="60"/>
              <w:rPr>
                <w:sz w:val="11"/>
              </w:rPr>
            </w:pPr>
            <w:r>
              <w:rPr>
                <w:w w:val="105"/>
                <w:sz w:val="11"/>
              </w:rPr>
              <w:t>400.5</w:t>
            </w:r>
          </w:p>
        </w:tc>
        <w:tc>
          <w:tcPr>
            <w:tcW w:w="666" w:type="dxa"/>
            <w:tcBorders>
              <w:top w:val="single" w:sz="4" w:space="0" w:color="000000"/>
              <w:left w:val="single" w:sz="3" w:space="0" w:color="000000"/>
              <w:bottom w:val="single" w:sz="8" w:space="0" w:color="000000"/>
              <w:right w:val="single" w:sz="4" w:space="0" w:color="000000"/>
            </w:tcBorders>
          </w:tcPr>
          <w:p>
            <w:pPr>
              <w:pStyle w:val="TableParagraph"/>
              <w:ind w:right="60"/>
              <w:rPr>
                <w:sz w:val="11"/>
              </w:rPr>
            </w:pPr>
            <w:r>
              <w:rPr>
                <w:w w:val="105"/>
                <w:sz w:val="11"/>
              </w:rPr>
              <w:t>485.3</w:t>
            </w:r>
          </w:p>
        </w:tc>
        <w:tc>
          <w:tcPr>
            <w:tcW w:w="665" w:type="dxa"/>
            <w:tcBorders>
              <w:top w:val="single" w:sz="4" w:space="0" w:color="000000"/>
              <w:left w:val="single" w:sz="4" w:space="0" w:color="000000"/>
              <w:bottom w:val="single" w:sz="8" w:space="0" w:color="000000"/>
              <w:right w:val="single" w:sz="4" w:space="0" w:color="000000"/>
            </w:tcBorders>
          </w:tcPr>
          <w:p>
            <w:pPr>
              <w:pStyle w:val="TableParagraph"/>
              <w:ind w:right="57"/>
              <w:rPr>
                <w:sz w:val="11"/>
              </w:rPr>
            </w:pPr>
            <w:r>
              <w:rPr>
                <w:w w:val="105"/>
                <w:sz w:val="11"/>
              </w:rPr>
              <w:t>541.0</w:t>
            </w:r>
          </w:p>
        </w:tc>
        <w:tc>
          <w:tcPr>
            <w:tcW w:w="667" w:type="dxa"/>
            <w:tcBorders>
              <w:top w:val="single" w:sz="4" w:space="0" w:color="000000"/>
              <w:left w:val="single" w:sz="4" w:space="0" w:color="000000"/>
              <w:bottom w:val="single" w:sz="8" w:space="0" w:color="000000"/>
              <w:right w:val="single" w:sz="4" w:space="0" w:color="000000"/>
            </w:tcBorders>
          </w:tcPr>
          <w:p>
            <w:pPr>
              <w:pStyle w:val="TableParagraph"/>
              <w:ind w:right="60"/>
              <w:rPr>
                <w:sz w:val="11"/>
              </w:rPr>
            </w:pPr>
            <w:r>
              <w:rPr>
                <w:w w:val="105"/>
                <w:sz w:val="11"/>
              </w:rPr>
              <w:t>670.0</w:t>
            </w:r>
          </w:p>
        </w:tc>
        <w:tc>
          <w:tcPr>
            <w:tcW w:w="665" w:type="dxa"/>
            <w:tcBorders>
              <w:top w:val="single" w:sz="4" w:space="0" w:color="000000"/>
              <w:left w:val="single" w:sz="4" w:space="0" w:color="000000"/>
              <w:bottom w:val="single" w:sz="8" w:space="0" w:color="000000"/>
              <w:right w:val="single" w:sz="4" w:space="0" w:color="000000"/>
            </w:tcBorders>
          </w:tcPr>
          <w:p>
            <w:pPr>
              <w:pStyle w:val="TableParagraph"/>
              <w:ind w:right="57"/>
              <w:rPr>
                <w:sz w:val="11"/>
              </w:rPr>
            </w:pPr>
            <w:r>
              <w:rPr>
                <w:w w:val="105"/>
                <w:sz w:val="11"/>
              </w:rPr>
              <w:t>757.5</w:t>
            </w:r>
          </w:p>
        </w:tc>
        <w:tc>
          <w:tcPr>
            <w:tcW w:w="666" w:type="dxa"/>
            <w:tcBorders>
              <w:top w:val="single" w:sz="4" w:space="0" w:color="000000"/>
              <w:left w:val="single" w:sz="4" w:space="0" w:color="000000"/>
              <w:bottom w:val="single" w:sz="8" w:space="0" w:color="000000"/>
              <w:right w:val="single" w:sz="3" w:space="0" w:color="000000"/>
            </w:tcBorders>
          </w:tcPr>
          <w:p>
            <w:pPr>
              <w:pStyle w:val="TableParagraph"/>
              <w:ind w:right="60"/>
              <w:rPr>
                <w:sz w:val="11"/>
              </w:rPr>
            </w:pPr>
            <w:r>
              <w:rPr>
                <w:w w:val="105"/>
                <w:sz w:val="11"/>
              </w:rPr>
              <w:t>677.7</w:t>
            </w:r>
          </w:p>
        </w:tc>
        <w:tc>
          <w:tcPr>
            <w:tcW w:w="668" w:type="dxa"/>
            <w:tcBorders>
              <w:top w:val="single" w:sz="4" w:space="0" w:color="000000"/>
              <w:left w:val="single" w:sz="3" w:space="0" w:color="000000"/>
              <w:bottom w:val="single" w:sz="8" w:space="0" w:color="000000"/>
              <w:right w:val="single" w:sz="4" w:space="0" w:color="000000"/>
            </w:tcBorders>
          </w:tcPr>
          <w:p>
            <w:pPr>
              <w:pStyle w:val="TableParagraph"/>
              <w:ind w:right="62"/>
              <w:rPr>
                <w:sz w:val="11"/>
              </w:rPr>
            </w:pPr>
            <w:r>
              <w:rPr>
                <w:w w:val="105"/>
                <w:sz w:val="11"/>
              </w:rPr>
              <w:t>569.6</w:t>
            </w:r>
          </w:p>
        </w:tc>
        <w:tc>
          <w:tcPr>
            <w:tcW w:w="773" w:type="dxa"/>
            <w:tcBorders>
              <w:top w:val="single" w:sz="4" w:space="0" w:color="000000"/>
              <w:left w:val="single" w:sz="4" w:space="0" w:color="000000"/>
              <w:bottom w:val="single" w:sz="8" w:space="0" w:color="000000"/>
              <w:right w:val="single" w:sz="4" w:space="0" w:color="000000"/>
            </w:tcBorders>
          </w:tcPr>
          <w:p>
            <w:pPr>
              <w:pStyle w:val="TableParagraph"/>
              <w:ind w:right="60"/>
              <w:rPr>
                <w:sz w:val="11"/>
              </w:rPr>
            </w:pPr>
            <w:r>
              <w:rPr>
                <w:w w:val="105"/>
                <w:sz w:val="11"/>
              </w:rPr>
              <w:t>585.9</w:t>
            </w:r>
          </w:p>
        </w:tc>
        <w:tc>
          <w:tcPr>
            <w:tcW w:w="624" w:type="dxa"/>
            <w:tcBorders>
              <w:top w:val="single" w:sz="4" w:space="0" w:color="000000"/>
              <w:left w:val="single" w:sz="4" w:space="0" w:color="000000"/>
              <w:bottom w:val="single" w:sz="8" w:space="0" w:color="000000"/>
              <w:right w:val="single" w:sz="4" w:space="0" w:color="000000"/>
            </w:tcBorders>
          </w:tcPr>
          <w:p>
            <w:pPr>
              <w:pStyle w:val="TableParagraph"/>
              <w:ind w:right="60"/>
              <w:rPr>
                <w:sz w:val="11"/>
              </w:rPr>
            </w:pPr>
            <w:r>
              <w:rPr>
                <w:w w:val="105"/>
                <w:sz w:val="11"/>
              </w:rPr>
              <w:t>26.4</w:t>
            </w:r>
          </w:p>
        </w:tc>
        <w:tc>
          <w:tcPr>
            <w:tcW w:w="474" w:type="dxa"/>
            <w:tcBorders>
              <w:top w:val="single" w:sz="4" w:space="0" w:color="000000"/>
              <w:left w:val="single" w:sz="4" w:space="0" w:color="000000"/>
              <w:bottom w:val="single" w:sz="8" w:space="0" w:color="000000"/>
              <w:right w:val="single" w:sz="3" w:space="0" w:color="000000"/>
            </w:tcBorders>
          </w:tcPr>
          <w:p>
            <w:pPr>
              <w:pStyle w:val="TableParagraph"/>
              <w:ind w:right="62"/>
              <w:rPr>
                <w:sz w:val="11"/>
              </w:rPr>
            </w:pPr>
            <w:r>
              <w:rPr>
                <w:w w:val="105"/>
                <w:sz w:val="11"/>
              </w:rPr>
              <w:t>6.0</w:t>
            </w:r>
          </w:p>
        </w:tc>
        <w:tc>
          <w:tcPr>
            <w:tcW w:w="526" w:type="dxa"/>
            <w:tcBorders>
              <w:top w:val="single" w:sz="4" w:space="0" w:color="000000"/>
              <w:left w:val="single" w:sz="3" w:space="0" w:color="000000"/>
              <w:bottom w:val="single" w:sz="8" w:space="0" w:color="000000"/>
              <w:right w:val="single" w:sz="3" w:space="0" w:color="000000"/>
            </w:tcBorders>
          </w:tcPr>
          <w:p>
            <w:pPr>
              <w:pStyle w:val="TableParagraph"/>
              <w:ind w:left="64"/>
              <w:jc w:val="left"/>
              <w:rPr>
                <w:b/>
                <w:sz w:val="11"/>
              </w:rPr>
            </w:pPr>
            <w:r>
              <w:rPr>
                <w:b/>
                <w:w w:val="105"/>
                <w:sz w:val="11"/>
              </w:rPr>
              <w:t>2,222.7</w:t>
            </w:r>
          </w:p>
        </w:tc>
        <w:tc>
          <w:tcPr>
            <w:tcW w:w="376" w:type="dxa"/>
            <w:tcBorders>
              <w:top w:val="single" w:sz="4" w:space="0" w:color="000000"/>
              <w:left w:val="single" w:sz="3" w:space="0" w:color="000000"/>
              <w:bottom w:val="single" w:sz="8" w:space="0" w:color="000000"/>
              <w:right w:val="single" w:sz="8" w:space="0" w:color="000000"/>
            </w:tcBorders>
          </w:tcPr>
          <w:p>
            <w:pPr>
              <w:pStyle w:val="TableParagraph"/>
              <w:ind w:right="53"/>
              <w:rPr>
                <w:b/>
                <w:sz w:val="11"/>
              </w:rPr>
            </w:pPr>
            <w:r>
              <w:rPr>
                <w:b/>
                <w:w w:val="105"/>
                <w:sz w:val="11"/>
              </w:rPr>
              <w:t>100</w:t>
            </w:r>
          </w:p>
        </w:tc>
      </w:tr>
      <w:tr>
        <w:trPr>
          <w:trHeight w:val="154" w:hRule="exact"/>
        </w:trPr>
        <w:tc>
          <w:tcPr>
            <w:tcW w:w="9245" w:type="dxa"/>
            <w:gridSpan w:val="14"/>
            <w:tcBorders>
              <w:top w:val="single" w:sz="8" w:space="0" w:color="000000"/>
              <w:left w:val="single" w:sz="8" w:space="0" w:color="000000"/>
              <w:bottom w:val="single" w:sz="8" w:space="0" w:color="000000"/>
              <w:right w:val="single" w:sz="8" w:space="0" w:color="000000"/>
            </w:tcBorders>
          </w:tcPr>
          <w:p>
            <w:pPr/>
          </w:p>
        </w:tc>
      </w:tr>
      <w:tr>
        <w:trPr>
          <w:trHeight w:val="154" w:hRule="exact"/>
        </w:trPr>
        <w:tc>
          <w:tcPr>
            <w:tcW w:w="200" w:type="dxa"/>
            <w:tcBorders>
              <w:top w:val="single" w:sz="8" w:space="0" w:color="000000"/>
              <w:left w:val="single" w:sz="8" w:space="0" w:color="000000"/>
              <w:bottom w:val="single" w:sz="8" w:space="0" w:color="000000"/>
            </w:tcBorders>
          </w:tcPr>
          <w:p>
            <w:pPr>
              <w:pStyle w:val="TableParagraph"/>
              <w:jc w:val="center"/>
              <w:rPr>
                <w:b/>
                <w:sz w:val="11"/>
              </w:rPr>
            </w:pPr>
            <w:r>
              <w:rPr>
                <w:b/>
                <w:w w:val="106"/>
                <w:sz w:val="11"/>
              </w:rPr>
              <w:t>3</w:t>
            </w:r>
          </w:p>
        </w:tc>
        <w:tc>
          <w:tcPr>
            <w:tcW w:w="1609" w:type="dxa"/>
            <w:tcBorders>
              <w:top w:val="single" w:sz="8" w:space="0" w:color="000000"/>
              <w:bottom w:val="single" w:sz="8" w:space="0" w:color="000000"/>
              <w:right w:val="single" w:sz="8" w:space="0" w:color="000000"/>
            </w:tcBorders>
          </w:tcPr>
          <w:p>
            <w:pPr>
              <w:pStyle w:val="TableParagraph"/>
              <w:ind w:left="59"/>
              <w:jc w:val="left"/>
              <w:rPr>
                <w:b/>
                <w:sz w:val="11"/>
              </w:rPr>
            </w:pPr>
            <w:r>
              <w:rPr>
                <w:b/>
                <w:w w:val="105"/>
                <w:sz w:val="11"/>
              </w:rPr>
              <w:t>NORESTE</w:t>
            </w:r>
          </w:p>
        </w:tc>
        <w:tc>
          <w:tcPr>
            <w:tcW w:w="666" w:type="dxa"/>
            <w:tcBorders>
              <w:top w:val="single" w:sz="8" w:space="0" w:color="000000"/>
              <w:left w:val="single" w:sz="8" w:space="0" w:color="000000"/>
              <w:bottom w:val="single" w:sz="8" w:space="0" w:color="000000"/>
            </w:tcBorders>
          </w:tcPr>
          <w:p>
            <w:pPr>
              <w:pStyle w:val="TableParagraph"/>
              <w:ind w:right="55"/>
              <w:rPr>
                <w:b/>
                <w:sz w:val="11"/>
              </w:rPr>
            </w:pPr>
            <w:r>
              <w:rPr>
                <w:b/>
                <w:w w:val="105"/>
                <w:sz w:val="11"/>
              </w:rPr>
              <w:t>431.4</w:t>
            </w:r>
          </w:p>
        </w:tc>
        <w:tc>
          <w:tcPr>
            <w:tcW w:w="666" w:type="dxa"/>
            <w:tcBorders>
              <w:top w:val="single" w:sz="8" w:space="0" w:color="000000"/>
              <w:bottom w:val="single" w:sz="8" w:space="0" w:color="000000"/>
              <w:right w:val="single" w:sz="8" w:space="0" w:color="000000"/>
            </w:tcBorders>
          </w:tcPr>
          <w:p>
            <w:pPr>
              <w:pStyle w:val="TableParagraph"/>
              <w:ind w:right="55"/>
              <w:rPr>
                <w:b/>
                <w:sz w:val="11"/>
              </w:rPr>
            </w:pPr>
            <w:r>
              <w:rPr>
                <w:b/>
                <w:w w:val="105"/>
                <w:sz w:val="11"/>
              </w:rPr>
              <w:t>593.9</w:t>
            </w:r>
          </w:p>
        </w:tc>
        <w:tc>
          <w:tcPr>
            <w:tcW w:w="665" w:type="dxa"/>
            <w:tcBorders>
              <w:top w:val="single" w:sz="8" w:space="0" w:color="000000"/>
              <w:left w:val="single" w:sz="8" w:space="0" w:color="000000"/>
              <w:bottom w:val="single" w:sz="8" w:space="0" w:color="000000"/>
              <w:right w:val="single" w:sz="8" w:space="0" w:color="000000"/>
            </w:tcBorders>
          </w:tcPr>
          <w:p>
            <w:pPr>
              <w:pStyle w:val="TableParagraph"/>
              <w:ind w:right="53"/>
              <w:rPr>
                <w:b/>
                <w:sz w:val="11"/>
              </w:rPr>
            </w:pPr>
            <w:r>
              <w:rPr>
                <w:b/>
                <w:w w:val="105"/>
                <w:sz w:val="11"/>
              </w:rPr>
              <w:t>727</w:t>
            </w:r>
          </w:p>
        </w:tc>
        <w:tc>
          <w:tcPr>
            <w:tcW w:w="667" w:type="dxa"/>
            <w:tcBorders>
              <w:top w:val="single" w:sz="8" w:space="0" w:color="000000"/>
              <w:left w:val="single" w:sz="8" w:space="0" w:color="000000"/>
              <w:bottom w:val="single" w:sz="8" w:space="0" w:color="000000"/>
              <w:right w:val="single" w:sz="8" w:space="0" w:color="000000"/>
            </w:tcBorders>
          </w:tcPr>
          <w:p>
            <w:pPr>
              <w:pStyle w:val="TableParagraph"/>
              <w:ind w:right="55"/>
              <w:rPr>
                <w:b/>
                <w:sz w:val="11"/>
              </w:rPr>
            </w:pPr>
            <w:r>
              <w:rPr>
                <w:b/>
                <w:w w:val="105"/>
                <w:sz w:val="11"/>
              </w:rPr>
              <w:t>859.5</w:t>
            </w:r>
          </w:p>
        </w:tc>
        <w:tc>
          <w:tcPr>
            <w:tcW w:w="665" w:type="dxa"/>
            <w:tcBorders>
              <w:top w:val="single" w:sz="8" w:space="0" w:color="000000"/>
              <w:left w:val="single" w:sz="8" w:space="0" w:color="000000"/>
              <w:bottom w:val="single" w:sz="8" w:space="0" w:color="000000"/>
              <w:right w:val="single" w:sz="8" w:space="0" w:color="000000"/>
            </w:tcBorders>
          </w:tcPr>
          <w:p>
            <w:pPr>
              <w:pStyle w:val="TableParagraph"/>
              <w:ind w:right="53"/>
              <w:rPr>
                <w:b/>
                <w:sz w:val="11"/>
              </w:rPr>
            </w:pPr>
            <w:r>
              <w:rPr>
                <w:b/>
                <w:w w:val="105"/>
                <w:sz w:val="11"/>
              </w:rPr>
              <w:t>879.8</w:t>
            </w:r>
          </w:p>
        </w:tc>
        <w:tc>
          <w:tcPr>
            <w:tcW w:w="666" w:type="dxa"/>
            <w:tcBorders>
              <w:top w:val="single" w:sz="8" w:space="0" w:color="000000"/>
              <w:left w:val="single" w:sz="8" w:space="0" w:color="000000"/>
              <w:bottom w:val="single" w:sz="8" w:space="0" w:color="000000"/>
            </w:tcBorders>
          </w:tcPr>
          <w:p>
            <w:pPr>
              <w:pStyle w:val="TableParagraph"/>
              <w:ind w:right="55"/>
              <w:rPr>
                <w:b/>
                <w:sz w:val="11"/>
              </w:rPr>
            </w:pPr>
            <w:r>
              <w:rPr>
                <w:b/>
                <w:w w:val="105"/>
                <w:sz w:val="11"/>
              </w:rPr>
              <w:t>842.5</w:t>
            </w:r>
          </w:p>
        </w:tc>
        <w:tc>
          <w:tcPr>
            <w:tcW w:w="668" w:type="dxa"/>
            <w:tcBorders>
              <w:top w:val="single" w:sz="8" w:space="0" w:color="000000"/>
              <w:bottom w:val="single" w:sz="8" w:space="0" w:color="000000"/>
              <w:right w:val="single" w:sz="8" w:space="0" w:color="000000"/>
            </w:tcBorders>
          </w:tcPr>
          <w:p>
            <w:pPr>
              <w:pStyle w:val="TableParagraph"/>
              <w:ind w:right="57"/>
              <w:rPr>
                <w:b/>
                <w:sz w:val="11"/>
              </w:rPr>
            </w:pPr>
            <w:r>
              <w:rPr>
                <w:b/>
                <w:w w:val="105"/>
                <w:sz w:val="11"/>
              </w:rPr>
              <w:t>723</w:t>
            </w:r>
          </w:p>
        </w:tc>
        <w:tc>
          <w:tcPr>
            <w:tcW w:w="773" w:type="dxa"/>
            <w:tcBorders>
              <w:top w:val="single" w:sz="8" w:space="0" w:color="000000"/>
              <w:left w:val="single" w:sz="8" w:space="0" w:color="000000"/>
              <w:bottom w:val="single" w:sz="8" w:space="0" w:color="000000"/>
              <w:right w:val="single" w:sz="8" w:space="0" w:color="000000"/>
            </w:tcBorders>
          </w:tcPr>
          <w:p>
            <w:pPr>
              <w:pStyle w:val="TableParagraph"/>
              <w:ind w:right="55"/>
              <w:rPr>
                <w:b/>
                <w:sz w:val="11"/>
              </w:rPr>
            </w:pPr>
            <w:r>
              <w:rPr>
                <w:b/>
                <w:w w:val="105"/>
                <w:sz w:val="11"/>
              </w:rPr>
              <w:t>722.4</w:t>
            </w:r>
          </w:p>
        </w:tc>
        <w:tc>
          <w:tcPr>
            <w:tcW w:w="624" w:type="dxa"/>
            <w:tcBorders>
              <w:top w:val="single" w:sz="8" w:space="0" w:color="000000"/>
              <w:left w:val="single" w:sz="8" w:space="0" w:color="000000"/>
              <w:bottom w:val="single" w:sz="8" w:space="0" w:color="000000"/>
              <w:right w:val="single" w:sz="8" w:space="0" w:color="000000"/>
            </w:tcBorders>
          </w:tcPr>
          <w:p>
            <w:pPr>
              <w:pStyle w:val="TableParagraph"/>
              <w:ind w:right="55"/>
              <w:rPr>
                <w:b/>
                <w:sz w:val="11"/>
              </w:rPr>
            </w:pPr>
            <w:r>
              <w:rPr>
                <w:b/>
                <w:w w:val="105"/>
                <w:sz w:val="11"/>
              </w:rPr>
              <w:t>100</w:t>
            </w:r>
          </w:p>
        </w:tc>
        <w:tc>
          <w:tcPr>
            <w:tcW w:w="474" w:type="dxa"/>
            <w:tcBorders>
              <w:top w:val="single" w:sz="8" w:space="0" w:color="000000"/>
              <w:left w:val="single" w:sz="8" w:space="0" w:color="000000"/>
              <w:bottom w:val="single" w:sz="8" w:space="0" w:color="000000"/>
            </w:tcBorders>
          </w:tcPr>
          <w:p>
            <w:pPr>
              <w:pStyle w:val="TableParagraph"/>
              <w:ind w:right="57"/>
              <w:rPr>
                <w:b/>
                <w:sz w:val="11"/>
              </w:rPr>
            </w:pPr>
            <w:r>
              <w:rPr>
                <w:b/>
                <w:w w:val="105"/>
                <w:sz w:val="11"/>
              </w:rPr>
              <w:t>9.0</w:t>
            </w:r>
          </w:p>
        </w:tc>
        <w:tc>
          <w:tcPr>
            <w:tcW w:w="526" w:type="dxa"/>
            <w:tcBorders>
              <w:top w:val="single" w:sz="8" w:space="0" w:color="000000"/>
              <w:bottom w:val="single" w:sz="8" w:space="0" w:color="000000"/>
            </w:tcBorders>
          </w:tcPr>
          <w:p>
            <w:pPr/>
          </w:p>
        </w:tc>
        <w:tc>
          <w:tcPr>
            <w:tcW w:w="376" w:type="dxa"/>
            <w:tcBorders>
              <w:top w:val="single" w:sz="8" w:space="0" w:color="000000"/>
              <w:bottom w:val="single" w:sz="8" w:space="0" w:color="000000"/>
              <w:right w:val="single" w:sz="8" w:space="0" w:color="000000"/>
            </w:tcBorders>
          </w:tcPr>
          <w:p>
            <w:pPr/>
          </w:p>
        </w:tc>
      </w:tr>
      <w:tr>
        <w:trPr>
          <w:trHeight w:val="150" w:hRule="exact"/>
        </w:trPr>
        <w:tc>
          <w:tcPr>
            <w:tcW w:w="200" w:type="dxa"/>
            <w:tcBorders>
              <w:top w:val="single" w:sz="8" w:space="0" w:color="000000"/>
              <w:left w:val="single" w:sz="8" w:space="0" w:color="000000"/>
              <w:bottom w:val="single" w:sz="3" w:space="0" w:color="000000"/>
            </w:tcBorders>
          </w:tcPr>
          <w:p>
            <w:pPr>
              <w:pStyle w:val="TableParagraph"/>
              <w:jc w:val="center"/>
              <w:rPr>
                <w:sz w:val="11"/>
              </w:rPr>
            </w:pPr>
            <w:r>
              <w:rPr>
                <w:w w:val="106"/>
                <w:sz w:val="11"/>
              </w:rPr>
              <w:t>1</w:t>
            </w:r>
          </w:p>
        </w:tc>
        <w:tc>
          <w:tcPr>
            <w:tcW w:w="1609" w:type="dxa"/>
            <w:tcBorders>
              <w:top w:val="single" w:sz="8" w:space="0" w:color="000000"/>
              <w:bottom w:val="single" w:sz="3" w:space="0" w:color="000000"/>
              <w:right w:val="single" w:sz="8" w:space="0" w:color="000000"/>
            </w:tcBorders>
          </w:tcPr>
          <w:p>
            <w:pPr>
              <w:pStyle w:val="TableParagraph"/>
              <w:ind w:left="59"/>
              <w:jc w:val="left"/>
              <w:rPr>
                <w:sz w:val="11"/>
              </w:rPr>
            </w:pPr>
            <w:r>
              <w:rPr>
                <w:w w:val="105"/>
                <w:sz w:val="11"/>
              </w:rPr>
              <w:t>Nuevo León</w:t>
            </w:r>
          </w:p>
        </w:tc>
        <w:tc>
          <w:tcPr>
            <w:tcW w:w="666" w:type="dxa"/>
            <w:tcBorders>
              <w:top w:val="single" w:sz="8" w:space="0" w:color="000000"/>
              <w:left w:val="single" w:sz="8" w:space="0" w:color="000000"/>
              <w:bottom w:val="single" w:sz="3" w:space="0" w:color="000000"/>
              <w:right w:val="single" w:sz="3" w:space="0" w:color="000000"/>
            </w:tcBorders>
          </w:tcPr>
          <w:p>
            <w:pPr>
              <w:pStyle w:val="TableParagraph"/>
              <w:ind w:right="60"/>
              <w:rPr>
                <w:sz w:val="11"/>
              </w:rPr>
            </w:pPr>
            <w:r>
              <w:rPr>
                <w:w w:val="105"/>
                <w:sz w:val="11"/>
              </w:rPr>
              <w:t>193.3</w:t>
            </w:r>
          </w:p>
        </w:tc>
        <w:tc>
          <w:tcPr>
            <w:tcW w:w="666" w:type="dxa"/>
            <w:tcBorders>
              <w:top w:val="single" w:sz="8" w:space="0" w:color="000000"/>
              <w:left w:val="single" w:sz="3" w:space="0" w:color="000000"/>
              <w:bottom w:val="single" w:sz="3" w:space="0" w:color="000000"/>
              <w:right w:val="single" w:sz="4" w:space="0" w:color="000000"/>
            </w:tcBorders>
          </w:tcPr>
          <w:p>
            <w:pPr>
              <w:pStyle w:val="TableParagraph"/>
              <w:ind w:right="60"/>
              <w:rPr>
                <w:sz w:val="11"/>
              </w:rPr>
            </w:pPr>
            <w:r>
              <w:rPr>
                <w:w w:val="105"/>
                <w:sz w:val="11"/>
              </w:rPr>
              <w:t>303</w:t>
            </w:r>
          </w:p>
        </w:tc>
        <w:tc>
          <w:tcPr>
            <w:tcW w:w="665" w:type="dxa"/>
            <w:tcBorders>
              <w:top w:val="single" w:sz="8" w:space="0" w:color="000000"/>
              <w:left w:val="single" w:sz="4" w:space="0" w:color="000000"/>
              <w:bottom w:val="single" w:sz="3" w:space="0" w:color="000000"/>
              <w:right w:val="single" w:sz="4" w:space="0" w:color="000000"/>
            </w:tcBorders>
          </w:tcPr>
          <w:p>
            <w:pPr>
              <w:pStyle w:val="TableParagraph"/>
              <w:ind w:right="57"/>
              <w:rPr>
                <w:sz w:val="11"/>
              </w:rPr>
            </w:pPr>
            <w:r>
              <w:rPr>
                <w:w w:val="105"/>
                <w:sz w:val="11"/>
              </w:rPr>
              <w:t>291.4</w:t>
            </w:r>
          </w:p>
        </w:tc>
        <w:tc>
          <w:tcPr>
            <w:tcW w:w="667" w:type="dxa"/>
            <w:tcBorders>
              <w:top w:val="single" w:sz="8" w:space="0" w:color="000000"/>
              <w:left w:val="single" w:sz="4" w:space="0" w:color="000000"/>
              <w:bottom w:val="single" w:sz="3" w:space="0" w:color="000000"/>
              <w:right w:val="single" w:sz="4" w:space="0" w:color="000000"/>
            </w:tcBorders>
          </w:tcPr>
          <w:p>
            <w:pPr>
              <w:pStyle w:val="TableParagraph"/>
              <w:ind w:right="60"/>
              <w:rPr>
                <w:sz w:val="11"/>
              </w:rPr>
            </w:pPr>
            <w:r>
              <w:rPr>
                <w:w w:val="105"/>
                <w:sz w:val="11"/>
              </w:rPr>
              <w:t>351.5</w:t>
            </w:r>
          </w:p>
        </w:tc>
        <w:tc>
          <w:tcPr>
            <w:tcW w:w="665" w:type="dxa"/>
            <w:tcBorders>
              <w:top w:val="single" w:sz="8" w:space="0" w:color="000000"/>
              <w:left w:val="single" w:sz="4" w:space="0" w:color="000000"/>
              <w:bottom w:val="single" w:sz="3" w:space="0" w:color="000000"/>
              <w:right w:val="single" w:sz="4" w:space="0" w:color="000000"/>
            </w:tcBorders>
          </w:tcPr>
          <w:p>
            <w:pPr>
              <w:pStyle w:val="TableParagraph"/>
              <w:ind w:right="57"/>
              <w:rPr>
                <w:sz w:val="11"/>
              </w:rPr>
            </w:pPr>
            <w:r>
              <w:rPr>
                <w:w w:val="105"/>
                <w:sz w:val="11"/>
              </w:rPr>
              <w:t>358.6</w:t>
            </w:r>
          </w:p>
        </w:tc>
        <w:tc>
          <w:tcPr>
            <w:tcW w:w="666" w:type="dxa"/>
            <w:tcBorders>
              <w:top w:val="single" w:sz="8" w:space="0" w:color="000000"/>
              <w:left w:val="single" w:sz="4" w:space="0" w:color="000000"/>
              <w:bottom w:val="single" w:sz="3" w:space="0" w:color="000000"/>
              <w:right w:val="single" w:sz="3" w:space="0" w:color="000000"/>
            </w:tcBorders>
          </w:tcPr>
          <w:p>
            <w:pPr>
              <w:pStyle w:val="TableParagraph"/>
              <w:ind w:right="60"/>
              <w:rPr>
                <w:sz w:val="11"/>
              </w:rPr>
            </w:pPr>
            <w:r>
              <w:rPr>
                <w:w w:val="105"/>
                <w:sz w:val="11"/>
              </w:rPr>
              <w:t>331.1</w:t>
            </w:r>
          </w:p>
        </w:tc>
        <w:tc>
          <w:tcPr>
            <w:tcW w:w="668" w:type="dxa"/>
            <w:tcBorders>
              <w:top w:val="single" w:sz="8" w:space="0" w:color="000000"/>
              <w:left w:val="single" w:sz="3" w:space="0" w:color="000000"/>
              <w:bottom w:val="single" w:sz="3" w:space="0" w:color="000000"/>
              <w:right w:val="single" w:sz="4" w:space="0" w:color="000000"/>
            </w:tcBorders>
          </w:tcPr>
          <w:p>
            <w:pPr>
              <w:pStyle w:val="TableParagraph"/>
              <w:ind w:right="62"/>
              <w:rPr>
                <w:sz w:val="11"/>
              </w:rPr>
            </w:pPr>
            <w:r>
              <w:rPr>
                <w:w w:val="105"/>
                <w:sz w:val="11"/>
              </w:rPr>
              <w:t>299.3</w:t>
            </w:r>
          </w:p>
        </w:tc>
        <w:tc>
          <w:tcPr>
            <w:tcW w:w="773" w:type="dxa"/>
            <w:tcBorders>
              <w:top w:val="single" w:sz="8" w:space="0" w:color="000000"/>
              <w:left w:val="single" w:sz="4" w:space="0" w:color="000000"/>
              <w:bottom w:val="single" w:sz="3" w:space="0" w:color="000000"/>
              <w:right w:val="single" w:sz="4" w:space="0" w:color="000000"/>
            </w:tcBorders>
          </w:tcPr>
          <w:p>
            <w:pPr>
              <w:pStyle w:val="TableParagraph"/>
              <w:ind w:right="60"/>
              <w:rPr>
                <w:sz w:val="11"/>
              </w:rPr>
            </w:pPr>
            <w:r>
              <w:rPr>
                <w:w w:val="105"/>
                <w:sz w:val="11"/>
              </w:rPr>
              <w:t>304.0</w:t>
            </w:r>
          </w:p>
        </w:tc>
        <w:tc>
          <w:tcPr>
            <w:tcW w:w="624" w:type="dxa"/>
            <w:tcBorders>
              <w:top w:val="single" w:sz="8" w:space="0" w:color="000000"/>
              <w:left w:val="single" w:sz="4" w:space="0" w:color="000000"/>
              <w:bottom w:val="single" w:sz="3" w:space="0" w:color="000000"/>
              <w:right w:val="single" w:sz="4" w:space="0" w:color="000000"/>
            </w:tcBorders>
          </w:tcPr>
          <w:p>
            <w:pPr>
              <w:pStyle w:val="TableParagraph"/>
              <w:ind w:right="60"/>
              <w:rPr>
                <w:sz w:val="11"/>
              </w:rPr>
            </w:pPr>
            <w:r>
              <w:rPr>
                <w:w w:val="105"/>
                <w:sz w:val="11"/>
              </w:rPr>
              <w:t>42.1</w:t>
            </w:r>
          </w:p>
        </w:tc>
        <w:tc>
          <w:tcPr>
            <w:tcW w:w="474" w:type="dxa"/>
            <w:tcBorders>
              <w:top w:val="single" w:sz="8" w:space="0" w:color="000000"/>
              <w:left w:val="single" w:sz="4" w:space="0" w:color="000000"/>
              <w:bottom w:val="single" w:sz="3" w:space="0" w:color="000000"/>
              <w:right w:val="single" w:sz="3" w:space="0" w:color="000000"/>
            </w:tcBorders>
          </w:tcPr>
          <w:p>
            <w:pPr>
              <w:pStyle w:val="TableParagraph"/>
              <w:ind w:right="62"/>
              <w:rPr>
                <w:sz w:val="11"/>
              </w:rPr>
            </w:pPr>
            <w:r>
              <w:rPr>
                <w:w w:val="105"/>
                <w:sz w:val="11"/>
              </w:rPr>
              <w:t>7.6</w:t>
            </w:r>
          </w:p>
        </w:tc>
        <w:tc>
          <w:tcPr>
            <w:tcW w:w="526" w:type="dxa"/>
            <w:tcBorders>
              <w:top w:val="single" w:sz="8" w:space="0" w:color="000000"/>
              <w:left w:val="single" w:sz="3" w:space="0" w:color="000000"/>
              <w:bottom w:val="single" w:sz="3" w:space="0" w:color="000000"/>
              <w:right w:val="single" w:sz="3" w:space="0" w:color="000000"/>
            </w:tcBorders>
          </w:tcPr>
          <w:p>
            <w:pPr>
              <w:pStyle w:val="TableParagraph"/>
              <w:ind w:right="60"/>
              <w:rPr>
                <w:sz w:val="11"/>
              </w:rPr>
            </w:pPr>
            <w:r>
              <w:rPr>
                <w:w w:val="105"/>
                <w:sz w:val="11"/>
              </w:rPr>
              <w:t>304.0</w:t>
            </w:r>
          </w:p>
        </w:tc>
        <w:tc>
          <w:tcPr>
            <w:tcW w:w="376" w:type="dxa"/>
            <w:tcBorders>
              <w:top w:val="single" w:sz="8" w:space="0" w:color="000000"/>
              <w:left w:val="single" w:sz="3" w:space="0" w:color="000000"/>
              <w:bottom w:val="single" w:sz="3" w:space="0" w:color="000000"/>
              <w:right w:val="single" w:sz="8" w:space="0" w:color="000000"/>
            </w:tcBorders>
          </w:tcPr>
          <w:p>
            <w:pPr>
              <w:pStyle w:val="TableParagraph"/>
              <w:ind w:right="53"/>
              <w:rPr>
                <w:sz w:val="11"/>
              </w:rPr>
            </w:pPr>
            <w:r>
              <w:rPr>
                <w:w w:val="105"/>
                <w:sz w:val="11"/>
              </w:rPr>
              <w:t>42.1</w:t>
            </w:r>
          </w:p>
        </w:tc>
      </w:tr>
      <w:tr>
        <w:trPr>
          <w:trHeight w:val="148" w:hRule="exact"/>
        </w:trPr>
        <w:tc>
          <w:tcPr>
            <w:tcW w:w="200" w:type="dxa"/>
            <w:tcBorders>
              <w:top w:val="single" w:sz="3" w:space="0" w:color="000000"/>
              <w:left w:val="single" w:sz="8" w:space="0" w:color="000000"/>
              <w:bottom w:val="single" w:sz="8" w:space="0" w:color="000000"/>
            </w:tcBorders>
          </w:tcPr>
          <w:p>
            <w:pPr>
              <w:pStyle w:val="TableParagraph"/>
              <w:jc w:val="center"/>
              <w:rPr>
                <w:sz w:val="11"/>
              </w:rPr>
            </w:pPr>
            <w:r>
              <w:rPr>
                <w:w w:val="106"/>
                <w:sz w:val="11"/>
              </w:rPr>
              <w:t>2</w:t>
            </w:r>
          </w:p>
        </w:tc>
        <w:tc>
          <w:tcPr>
            <w:tcW w:w="1609" w:type="dxa"/>
            <w:tcBorders>
              <w:top w:val="single" w:sz="3" w:space="0" w:color="000000"/>
              <w:bottom w:val="single" w:sz="8" w:space="0" w:color="000000"/>
              <w:right w:val="single" w:sz="8" w:space="0" w:color="000000"/>
            </w:tcBorders>
          </w:tcPr>
          <w:p>
            <w:pPr>
              <w:pStyle w:val="TableParagraph"/>
              <w:ind w:left="59"/>
              <w:jc w:val="left"/>
              <w:rPr>
                <w:sz w:val="11"/>
              </w:rPr>
            </w:pPr>
            <w:r>
              <w:rPr>
                <w:w w:val="105"/>
                <w:sz w:val="11"/>
              </w:rPr>
              <w:t>Tamaulipas</w:t>
            </w:r>
          </w:p>
        </w:tc>
        <w:tc>
          <w:tcPr>
            <w:tcW w:w="666" w:type="dxa"/>
            <w:tcBorders>
              <w:top w:val="single" w:sz="3" w:space="0" w:color="000000"/>
              <w:left w:val="single" w:sz="8" w:space="0" w:color="000000"/>
              <w:bottom w:val="single" w:sz="8" w:space="0" w:color="000000"/>
              <w:right w:val="single" w:sz="3" w:space="0" w:color="000000"/>
            </w:tcBorders>
          </w:tcPr>
          <w:p>
            <w:pPr>
              <w:pStyle w:val="TableParagraph"/>
              <w:ind w:right="60"/>
              <w:rPr>
                <w:sz w:val="11"/>
              </w:rPr>
            </w:pPr>
            <w:r>
              <w:rPr>
                <w:w w:val="105"/>
                <w:sz w:val="11"/>
              </w:rPr>
              <w:t>238.1</w:t>
            </w:r>
          </w:p>
        </w:tc>
        <w:tc>
          <w:tcPr>
            <w:tcW w:w="666" w:type="dxa"/>
            <w:tcBorders>
              <w:top w:val="single" w:sz="3" w:space="0" w:color="000000"/>
              <w:left w:val="single" w:sz="3" w:space="0" w:color="000000"/>
              <w:bottom w:val="single" w:sz="8" w:space="0" w:color="000000"/>
              <w:right w:val="single" w:sz="4" w:space="0" w:color="000000"/>
            </w:tcBorders>
          </w:tcPr>
          <w:p>
            <w:pPr>
              <w:pStyle w:val="TableParagraph"/>
              <w:ind w:right="60"/>
              <w:rPr>
                <w:sz w:val="11"/>
              </w:rPr>
            </w:pPr>
            <w:r>
              <w:rPr>
                <w:w w:val="105"/>
                <w:sz w:val="11"/>
              </w:rPr>
              <w:t>290.9</w:t>
            </w:r>
          </w:p>
        </w:tc>
        <w:tc>
          <w:tcPr>
            <w:tcW w:w="665" w:type="dxa"/>
            <w:tcBorders>
              <w:top w:val="single" w:sz="3" w:space="0" w:color="000000"/>
              <w:left w:val="single" w:sz="4" w:space="0" w:color="000000"/>
              <w:bottom w:val="single" w:sz="8" w:space="0" w:color="000000"/>
              <w:right w:val="single" w:sz="4" w:space="0" w:color="000000"/>
            </w:tcBorders>
          </w:tcPr>
          <w:p>
            <w:pPr>
              <w:pStyle w:val="TableParagraph"/>
              <w:ind w:right="57"/>
              <w:rPr>
                <w:sz w:val="11"/>
              </w:rPr>
            </w:pPr>
            <w:r>
              <w:rPr>
                <w:w w:val="105"/>
                <w:sz w:val="11"/>
              </w:rPr>
              <w:t>435.6</w:t>
            </w:r>
          </w:p>
        </w:tc>
        <w:tc>
          <w:tcPr>
            <w:tcW w:w="667" w:type="dxa"/>
            <w:tcBorders>
              <w:top w:val="single" w:sz="3" w:space="0" w:color="000000"/>
              <w:left w:val="single" w:sz="4" w:space="0" w:color="000000"/>
              <w:bottom w:val="single" w:sz="8" w:space="0" w:color="000000"/>
              <w:right w:val="single" w:sz="4" w:space="0" w:color="000000"/>
            </w:tcBorders>
          </w:tcPr>
          <w:p>
            <w:pPr>
              <w:pStyle w:val="TableParagraph"/>
              <w:ind w:right="60"/>
              <w:rPr>
                <w:sz w:val="11"/>
              </w:rPr>
            </w:pPr>
            <w:r>
              <w:rPr>
                <w:w w:val="105"/>
                <w:sz w:val="11"/>
              </w:rPr>
              <w:t>508</w:t>
            </w:r>
          </w:p>
        </w:tc>
        <w:tc>
          <w:tcPr>
            <w:tcW w:w="665" w:type="dxa"/>
            <w:tcBorders>
              <w:top w:val="single" w:sz="3" w:space="0" w:color="000000"/>
              <w:left w:val="single" w:sz="4" w:space="0" w:color="000000"/>
              <w:bottom w:val="single" w:sz="8" w:space="0" w:color="000000"/>
              <w:right w:val="single" w:sz="4" w:space="0" w:color="000000"/>
            </w:tcBorders>
          </w:tcPr>
          <w:p>
            <w:pPr>
              <w:pStyle w:val="TableParagraph"/>
              <w:ind w:right="57"/>
              <w:rPr>
                <w:sz w:val="11"/>
              </w:rPr>
            </w:pPr>
            <w:r>
              <w:rPr>
                <w:w w:val="105"/>
                <w:sz w:val="11"/>
              </w:rPr>
              <w:t>521.2</w:t>
            </w:r>
          </w:p>
        </w:tc>
        <w:tc>
          <w:tcPr>
            <w:tcW w:w="666" w:type="dxa"/>
            <w:tcBorders>
              <w:top w:val="single" w:sz="3" w:space="0" w:color="000000"/>
              <w:left w:val="single" w:sz="4" w:space="0" w:color="000000"/>
              <w:bottom w:val="single" w:sz="8" w:space="0" w:color="000000"/>
              <w:right w:val="single" w:sz="3" w:space="0" w:color="000000"/>
            </w:tcBorders>
          </w:tcPr>
          <w:p>
            <w:pPr>
              <w:pStyle w:val="TableParagraph"/>
              <w:ind w:right="60"/>
              <w:rPr>
                <w:sz w:val="11"/>
              </w:rPr>
            </w:pPr>
            <w:r>
              <w:rPr>
                <w:w w:val="105"/>
                <w:sz w:val="11"/>
              </w:rPr>
              <w:t>511.4</w:t>
            </w:r>
          </w:p>
        </w:tc>
        <w:tc>
          <w:tcPr>
            <w:tcW w:w="668" w:type="dxa"/>
            <w:tcBorders>
              <w:top w:val="single" w:sz="3" w:space="0" w:color="000000"/>
              <w:left w:val="single" w:sz="3" w:space="0" w:color="000000"/>
              <w:bottom w:val="single" w:sz="8" w:space="0" w:color="000000"/>
              <w:right w:val="single" w:sz="4" w:space="0" w:color="000000"/>
            </w:tcBorders>
          </w:tcPr>
          <w:p>
            <w:pPr>
              <w:pStyle w:val="TableParagraph"/>
              <w:ind w:right="62"/>
              <w:rPr>
                <w:sz w:val="11"/>
              </w:rPr>
            </w:pPr>
            <w:r>
              <w:rPr>
                <w:w w:val="105"/>
                <w:sz w:val="11"/>
              </w:rPr>
              <w:t>423.7</w:t>
            </w:r>
          </w:p>
        </w:tc>
        <w:tc>
          <w:tcPr>
            <w:tcW w:w="773" w:type="dxa"/>
            <w:tcBorders>
              <w:top w:val="single" w:sz="3" w:space="0" w:color="000000"/>
              <w:left w:val="single" w:sz="4" w:space="0" w:color="000000"/>
              <w:bottom w:val="single" w:sz="8" w:space="0" w:color="000000"/>
              <w:right w:val="single" w:sz="4" w:space="0" w:color="000000"/>
            </w:tcBorders>
          </w:tcPr>
          <w:p>
            <w:pPr>
              <w:pStyle w:val="TableParagraph"/>
              <w:ind w:right="60"/>
              <w:rPr>
                <w:sz w:val="11"/>
              </w:rPr>
            </w:pPr>
            <w:r>
              <w:rPr>
                <w:w w:val="105"/>
                <w:sz w:val="11"/>
              </w:rPr>
              <w:t>418.4</w:t>
            </w:r>
          </w:p>
        </w:tc>
        <w:tc>
          <w:tcPr>
            <w:tcW w:w="624" w:type="dxa"/>
            <w:tcBorders>
              <w:top w:val="single" w:sz="3" w:space="0" w:color="000000"/>
              <w:left w:val="single" w:sz="4" w:space="0" w:color="000000"/>
              <w:bottom w:val="single" w:sz="8" w:space="0" w:color="000000"/>
              <w:right w:val="single" w:sz="4" w:space="0" w:color="000000"/>
            </w:tcBorders>
          </w:tcPr>
          <w:p>
            <w:pPr>
              <w:pStyle w:val="TableParagraph"/>
              <w:ind w:right="60"/>
              <w:rPr>
                <w:sz w:val="11"/>
              </w:rPr>
            </w:pPr>
            <w:r>
              <w:rPr>
                <w:w w:val="105"/>
                <w:sz w:val="11"/>
              </w:rPr>
              <w:t>57.9</w:t>
            </w:r>
          </w:p>
        </w:tc>
        <w:tc>
          <w:tcPr>
            <w:tcW w:w="474" w:type="dxa"/>
            <w:tcBorders>
              <w:top w:val="single" w:sz="3" w:space="0" w:color="000000"/>
              <w:left w:val="single" w:sz="4" w:space="0" w:color="000000"/>
              <w:bottom w:val="single" w:sz="8" w:space="0" w:color="000000"/>
              <w:right w:val="single" w:sz="3" w:space="0" w:color="000000"/>
            </w:tcBorders>
          </w:tcPr>
          <w:p>
            <w:pPr>
              <w:pStyle w:val="TableParagraph"/>
              <w:ind w:right="60"/>
              <w:rPr>
                <w:sz w:val="11"/>
              </w:rPr>
            </w:pPr>
            <w:r>
              <w:rPr>
                <w:w w:val="105"/>
                <w:sz w:val="11"/>
              </w:rPr>
              <w:t>10.1</w:t>
            </w:r>
          </w:p>
        </w:tc>
        <w:tc>
          <w:tcPr>
            <w:tcW w:w="526" w:type="dxa"/>
            <w:tcBorders>
              <w:top w:val="single" w:sz="3" w:space="0" w:color="000000"/>
              <w:left w:val="single" w:sz="3" w:space="0" w:color="000000"/>
              <w:bottom w:val="single" w:sz="8" w:space="0" w:color="000000"/>
              <w:right w:val="single" w:sz="3" w:space="0" w:color="000000"/>
            </w:tcBorders>
          </w:tcPr>
          <w:p>
            <w:pPr>
              <w:pStyle w:val="TableParagraph"/>
              <w:ind w:right="60"/>
              <w:rPr>
                <w:sz w:val="11"/>
              </w:rPr>
            </w:pPr>
            <w:r>
              <w:rPr>
                <w:w w:val="105"/>
                <w:sz w:val="11"/>
              </w:rPr>
              <w:t>722.4</w:t>
            </w:r>
          </w:p>
        </w:tc>
        <w:tc>
          <w:tcPr>
            <w:tcW w:w="376" w:type="dxa"/>
            <w:tcBorders>
              <w:top w:val="single" w:sz="3" w:space="0" w:color="000000"/>
              <w:left w:val="single" w:sz="3" w:space="0" w:color="000000"/>
              <w:bottom w:val="single" w:sz="8" w:space="0" w:color="000000"/>
              <w:right w:val="single" w:sz="8" w:space="0" w:color="000000"/>
            </w:tcBorders>
          </w:tcPr>
          <w:p>
            <w:pPr>
              <w:pStyle w:val="TableParagraph"/>
              <w:ind w:right="53"/>
              <w:rPr>
                <w:b/>
                <w:sz w:val="11"/>
              </w:rPr>
            </w:pPr>
            <w:r>
              <w:rPr>
                <w:b/>
                <w:w w:val="105"/>
                <w:sz w:val="11"/>
              </w:rPr>
              <w:t>100</w:t>
            </w:r>
          </w:p>
        </w:tc>
      </w:tr>
      <w:tr>
        <w:trPr>
          <w:trHeight w:val="154" w:hRule="exact"/>
        </w:trPr>
        <w:tc>
          <w:tcPr>
            <w:tcW w:w="9245" w:type="dxa"/>
            <w:gridSpan w:val="14"/>
            <w:tcBorders>
              <w:top w:val="single" w:sz="8" w:space="0" w:color="000000"/>
              <w:left w:val="single" w:sz="8" w:space="0" w:color="000000"/>
              <w:bottom w:val="single" w:sz="8" w:space="0" w:color="000000"/>
              <w:right w:val="single" w:sz="8" w:space="0" w:color="000000"/>
            </w:tcBorders>
          </w:tcPr>
          <w:p>
            <w:pPr/>
          </w:p>
        </w:tc>
      </w:tr>
      <w:tr>
        <w:trPr>
          <w:trHeight w:val="154" w:hRule="exact"/>
        </w:trPr>
        <w:tc>
          <w:tcPr>
            <w:tcW w:w="200" w:type="dxa"/>
            <w:tcBorders>
              <w:top w:val="single" w:sz="8" w:space="0" w:color="000000"/>
              <w:left w:val="single" w:sz="8" w:space="0" w:color="000000"/>
              <w:bottom w:val="single" w:sz="8" w:space="0" w:color="000000"/>
            </w:tcBorders>
          </w:tcPr>
          <w:p>
            <w:pPr>
              <w:pStyle w:val="TableParagraph"/>
              <w:spacing w:before="5"/>
              <w:jc w:val="center"/>
              <w:rPr>
                <w:b/>
                <w:sz w:val="11"/>
              </w:rPr>
            </w:pPr>
            <w:r>
              <w:rPr>
                <w:b/>
                <w:w w:val="106"/>
                <w:sz w:val="11"/>
              </w:rPr>
              <w:t>4</w:t>
            </w:r>
          </w:p>
        </w:tc>
        <w:tc>
          <w:tcPr>
            <w:tcW w:w="1609" w:type="dxa"/>
            <w:tcBorders>
              <w:top w:val="single" w:sz="8" w:space="0" w:color="000000"/>
              <w:bottom w:val="single" w:sz="8" w:space="0" w:color="000000"/>
              <w:right w:val="single" w:sz="8" w:space="0" w:color="000000"/>
            </w:tcBorders>
          </w:tcPr>
          <w:p>
            <w:pPr>
              <w:pStyle w:val="TableParagraph"/>
              <w:spacing w:before="5"/>
              <w:ind w:left="59"/>
              <w:jc w:val="left"/>
              <w:rPr>
                <w:b/>
                <w:sz w:val="11"/>
              </w:rPr>
            </w:pPr>
            <w:r>
              <w:rPr>
                <w:b/>
                <w:w w:val="105"/>
                <w:sz w:val="11"/>
              </w:rPr>
              <w:t>CENTRO OCCIDENTE</w:t>
            </w:r>
          </w:p>
        </w:tc>
        <w:tc>
          <w:tcPr>
            <w:tcW w:w="666" w:type="dxa"/>
            <w:tcBorders>
              <w:top w:val="single" w:sz="8" w:space="0" w:color="000000"/>
              <w:left w:val="single" w:sz="8" w:space="0" w:color="000000"/>
              <w:bottom w:val="single" w:sz="8" w:space="0" w:color="000000"/>
            </w:tcBorders>
          </w:tcPr>
          <w:p>
            <w:pPr>
              <w:pStyle w:val="TableParagraph"/>
              <w:spacing w:before="5"/>
              <w:ind w:right="55"/>
              <w:rPr>
                <w:b/>
                <w:sz w:val="11"/>
              </w:rPr>
            </w:pPr>
            <w:r>
              <w:rPr>
                <w:b/>
                <w:w w:val="105"/>
                <w:sz w:val="11"/>
              </w:rPr>
              <w:t>4,893.6</w:t>
            </w:r>
          </w:p>
        </w:tc>
        <w:tc>
          <w:tcPr>
            <w:tcW w:w="666" w:type="dxa"/>
            <w:tcBorders>
              <w:top w:val="single" w:sz="8" w:space="0" w:color="000000"/>
              <w:bottom w:val="single" w:sz="8" w:space="0" w:color="000000"/>
              <w:right w:val="single" w:sz="8" w:space="0" w:color="000000"/>
            </w:tcBorders>
          </w:tcPr>
          <w:p>
            <w:pPr>
              <w:pStyle w:val="TableParagraph"/>
              <w:spacing w:before="5"/>
              <w:ind w:right="55"/>
              <w:rPr>
                <w:b/>
                <w:sz w:val="11"/>
              </w:rPr>
            </w:pPr>
            <w:r>
              <w:rPr>
                <w:b/>
                <w:w w:val="105"/>
                <w:sz w:val="11"/>
              </w:rPr>
              <w:t>5,974.9</w:t>
            </w:r>
          </w:p>
        </w:tc>
        <w:tc>
          <w:tcPr>
            <w:tcW w:w="665" w:type="dxa"/>
            <w:tcBorders>
              <w:top w:val="single" w:sz="8" w:space="0" w:color="000000"/>
              <w:left w:val="single" w:sz="8" w:space="0" w:color="000000"/>
              <w:bottom w:val="single" w:sz="8" w:space="0" w:color="000000"/>
              <w:right w:val="single" w:sz="8" w:space="0" w:color="000000"/>
            </w:tcBorders>
          </w:tcPr>
          <w:p>
            <w:pPr>
              <w:pStyle w:val="TableParagraph"/>
              <w:spacing w:before="5"/>
              <w:ind w:right="53"/>
              <w:rPr>
                <w:b/>
                <w:sz w:val="11"/>
              </w:rPr>
            </w:pPr>
            <w:r>
              <w:rPr>
                <w:b/>
                <w:w w:val="105"/>
                <w:sz w:val="11"/>
              </w:rPr>
              <w:t>6,583.6</w:t>
            </w:r>
          </w:p>
        </w:tc>
        <w:tc>
          <w:tcPr>
            <w:tcW w:w="667" w:type="dxa"/>
            <w:tcBorders>
              <w:top w:val="single" w:sz="8" w:space="0" w:color="000000"/>
              <w:left w:val="single" w:sz="8" w:space="0" w:color="000000"/>
              <w:bottom w:val="single" w:sz="8" w:space="0" w:color="000000"/>
              <w:right w:val="single" w:sz="8" w:space="0" w:color="000000"/>
            </w:tcBorders>
          </w:tcPr>
          <w:p>
            <w:pPr>
              <w:pStyle w:val="TableParagraph"/>
              <w:spacing w:before="5"/>
              <w:ind w:right="55"/>
              <w:rPr>
                <w:b/>
                <w:sz w:val="11"/>
              </w:rPr>
            </w:pPr>
            <w:r>
              <w:rPr>
                <w:b/>
                <w:w w:val="105"/>
                <w:sz w:val="11"/>
              </w:rPr>
              <w:t>7,418.3</w:t>
            </w:r>
          </w:p>
        </w:tc>
        <w:tc>
          <w:tcPr>
            <w:tcW w:w="665" w:type="dxa"/>
            <w:tcBorders>
              <w:top w:val="single" w:sz="8" w:space="0" w:color="000000"/>
              <w:left w:val="single" w:sz="8" w:space="0" w:color="000000"/>
              <w:bottom w:val="single" w:sz="8" w:space="0" w:color="000000"/>
              <w:right w:val="single" w:sz="8" w:space="0" w:color="000000"/>
            </w:tcBorders>
          </w:tcPr>
          <w:p>
            <w:pPr>
              <w:pStyle w:val="TableParagraph"/>
              <w:spacing w:before="5"/>
              <w:ind w:right="53"/>
              <w:rPr>
                <w:b/>
                <w:sz w:val="11"/>
              </w:rPr>
            </w:pPr>
            <w:r>
              <w:rPr>
                <w:b/>
                <w:w w:val="105"/>
                <w:sz w:val="11"/>
              </w:rPr>
              <w:t>7,306.1</w:t>
            </w:r>
          </w:p>
        </w:tc>
        <w:tc>
          <w:tcPr>
            <w:tcW w:w="666" w:type="dxa"/>
            <w:tcBorders>
              <w:top w:val="single" w:sz="8" w:space="0" w:color="000000"/>
              <w:left w:val="single" w:sz="8" w:space="0" w:color="000000"/>
              <w:bottom w:val="single" w:sz="8" w:space="0" w:color="000000"/>
            </w:tcBorders>
          </w:tcPr>
          <w:p>
            <w:pPr>
              <w:pStyle w:val="TableParagraph"/>
              <w:spacing w:before="5"/>
              <w:ind w:right="55"/>
              <w:rPr>
                <w:b/>
                <w:sz w:val="11"/>
              </w:rPr>
            </w:pPr>
            <w:r>
              <w:rPr>
                <w:b/>
                <w:w w:val="105"/>
                <w:sz w:val="11"/>
              </w:rPr>
              <w:t>7,253.8</w:t>
            </w:r>
          </w:p>
        </w:tc>
        <w:tc>
          <w:tcPr>
            <w:tcW w:w="668" w:type="dxa"/>
            <w:tcBorders>
              <w:top w:val="single" w:sz="8" w:space="0" w:color="000000"/>
              <w:bottom w:val="single" w:sz="8" w:space="0" w:color="000000"/>
              <w:right w:val="single" w:sz="8" w:space="0" w:color="000000"/>
            </w:tcBorders>
          </w:tcPr>
          <w:p>
            <w:pPr>
              <w:pStyle w:val="TableParagraph"/>
              <w:spacing w:before="5"/>
              <w:ind w:right="57"/>
              <w:rPr>
                <w:b/>
                <w:sz w:val="11"/>
              </w:rPr>
            </w:pPr>
            <w:r>
              <w:rPr>
                <w:b/>
                <w:w w:val="105"/>
                <w:sz w:val="11"/>
              </w:rPr>
              <w:t>6,248.5</w:t>
            </w:r>
          </w:p>
        </w:tc>
        <w:tc>
          <w:tcPr>
            <w:tcW w:w="773" w:type="dxa"/>
            <w:tcBorders>
              <w:top w:val="single" w:sz="8" w:space="0" w:color="000000"/>
              <w:left w:val="single" w:sz="8" w:space="0" w:color="000000"/>
              <w:bottom w:val="single" w:sz="8" w:space="0" w:color="000000"/>
              <w:right w:val="single" w:sz="8" w:space="0" w:color="000000"/>
            </w:tcBorders>
          </w:tcPr>
          <w:p>
            <w:pPr>
              <w:pStyle w:val="TableParagraph"/>
              <w:spacing w:before="5"/>
              <w:ind w:right="55"/>
              <w:rPr>
                <w:b/>
                <w:sz w:val="11"/>
              </w:rPr>
            </w:pPr>
            <w:r>
              <w:rPr>
                <w:b/>
                <w:w w:val="105"/>
                <w:sz w:val="11"/>
              </w:rPr>
              <w:t>6,525.5</w:t>
            </w:r>
          </w:p>
        </w:tc>
        <w:tc>
          <w:tcPr>
            <w:tcW w:w="624" w:type="dxa"/>
            <w:tcBorders>
              <w:top w:val="single" w:sz="8" w:space="0" w:color="000000"/>
              <w:left w:val="single" w:sz="8" w:space="0" w:color="000000"/>
              <w:bottom w:val="single" w:sz="8" w:space="0" w:color="000000"/>
              <w:right w:val="single" w:sz="8" w:space="0" w:color="000000"/>
            </w:tcBorders>
          </w:tcPr>
          <w:p>
            <w:pPr>
              <w:pStyle w:val="TableParagraph"/>
              <w:spacing w:before="5"/>
              <w:ind w:right="55"/>
              <w:rPr>
                <w:b/>
                <w:sz w:val="11"/>
              </w:rPr>
            </w:pPr>
            <w:r>
              <w:rPr>
                <w:b/>
                <w:w w:val="105"/>
                <w:sz w:val="11"/>
              </w:rPr>
              <w:t>100</w:t>
            </w:r>
          </w:p>
        </w:tc>
        <w:tc>
          <w:tcPr>
            <w:tcW w:w="474" w:type="dxa"/>
            <w:tcBorders>
              <w:top w:val="single" w:sz="8" w:space="0" w:color="000000"/>
              <w:left w:val="single" w:sz="8" w:space="0" w:color="000000"/>
              <w:bottom w:val="single" w:sz="8" w:space="0" w:color="000000"/>
            </w:tcBorders>
          </w:tcPr>
          <w:p>
            <w:pPr>
              <w:pStyle w:val="TableParagraph"/>
              <w:spacing w:before="5"/>
              <w:ind w:right="57"/>
              <w:rPr>
                <w:b/>
                <w:sz w:val="11"/>
              </w:rPr>
            </w:pPr>
            <w:r>
              <w:rPr>
                <w:b/>
                <w:w w:val="105"/>
                <w:sz w:val="11"/>
              </w:rPr>
              <w:t>4.2</w:t>
            </w:r>
          </w:p>
        </w:tc>
        <w:tc>
          <w:tcPr>
            <w:tcW w:w="526" w:type="dxa"/>
            <w:tcBorders>
              <w:top w:val="single" w:sz="8" w:space="0" w:color="000000"/>
              <w:bottom w:val="single" w:sz="8" w:space="0" w:color="000000"/>
            </w:tcBorders>
          </w:tcPr>
          <w:p>
            <w:pPr/>
          </w:p>
        </w:tc>
        <w:tc>
          <w:tcPr>
            <w:tcW w:w="376" w:type="dxa"/>
            <w:tcBorders>
              <w:top w:val="single" w:sz="8" w:space="0" w:color="000000"/>
              <w:bottom w:val="single" w:sz="8" w:space="0" w:color="000000"/>
              <w:right w:val="single" w:sz="8" w:space="0" w:color="000000"/>
            </w:tcBorders>
          </w:tcPr>
          <w:p>
            <w:pPr/>
          </w:p>
        </w:tc>
      </w:tr>
      <w:tr>
        <w:trPr>
          <w:trHeight w:val="151" w:hRule="exact"/>
        </w:trPr>
        <w:tc>
          <w:tcPr>
            <w:tcW w:w="200" w:type="dxa"/>
            <w:tcBorders>
              <w:top w:val="single" w:sz="8" w:space="0" w:color="000000"/>
              <w:left w:val="single" w:sz="8" w:space="0" w:color="000000"/>
              <w:bottom w:val="single" w:sz="4" w:space="0" w:color="000000"/>
            </w:tcBorders>
          </w:tcPr>
          <w:p>
            <w:pPr>
              <w:pStyle w:val="TableParagraph"/>
              <w:jc w:val="center"/>
              <w:rPr>
                <w:sz w:val="11"/>
              </w:rPr>
            </w:pPr>
            <w:r>
              <w:rPr>
                <w:w w:val="106"/>
                <w:sz w:val="11"/>
              </w:rPr>
              <w:t>1</w:t>
            </w:r>
          </w:p>
        </w:tc>
        <w:tc>
          <w:tcPr>
            <w:tcW w:w="1609" w:type="dxa"/>
            <w:tcBorders>
              <w:top w:val="single" w:sz="8" w:space="0" w:color="000000"/>
              <w:bottom w:val="single" w:sz="4" w:space="0" w:color="000000"/>
              <w:right w:val="single" w:sz="8" w:space="0" w:color="000000"/>
            </w:tcBorders>
          </w:tcPr>
          <w:p>
            <w:pPr>
              <w:pStyle w:val="TableParagraph"/>
              <w:ind w:left="59"/>
              <w:jc w:val="left"/>
              <w:rPr>
                <w:sz w:val="11"/>
              </w:rPr>
            </w:pPr>
            <w:r>
              <w:rPr>
                <w:w w:val="105"/>
                <w:sz w:val="11"/>
              </w:rPr>
              <w:t>Aguascalientes</w:t>
            </w:r>
          </w:p>
        </w:tc>
        <w:tc>
          <w:tcPr>
            <w:tcW w:w="666" w:type="dxa"/>
            <w:tcBorders>
              <w:top w:val="single" w:sz="8" w:space="0" w:color="000000"/>
              <w:left w:val="single" w:sz="8" w:space="0" w:color="000000"/>
              <w:bottom w:val="single" w:sz="4" w:space="0" w:color="000000"/>
              <w:right w:val="single" w:sz="3" w:space="0" w:color="000000"/>
            </w:tcBorders>
          </w:tcPr>
          <w:p>
            <w:pPr>
              <w:pStyle w:val="TableParagraph"/>
              <w:ind w:right="60"/>
              <w:rPr>
                <w:sz w:val="11"/>
              </w:rPr>
            </w:pPr>
            <w:r>
              <w:rPr>
                <w:w w:val="105"/>
                <w:sz w:val="11"/>
              </w:rPr>
              <w:t>260.9</w:t>
            </w:r>
          </w:p>
        </w:tc>
        <w:tc>
          <w:tcPr>
            <w:tcW w:w="666" w:type="dxa"/>
            <w:tcBorders>
              <w:top w:val="single" w:sz="8" w:space="0" w:color="000000"/>
              <w:left w:val="single" w:sz="3" w:space="0" w:color="000000"/>
              <w:bottom w:val="single" w:sz="4" w:space="0" w:color="000000"/>
              <w:right w:val="single" w:sz="4" w:space="0" w:color="000000"/>
            </w:tcBorders>
          </w:tcPr>
          <w:p>
            <w:pPr>
              <w:pStyle w:val="TableParagraph"/>
              <w:ind w:right="60"/>
              <w:rPr>
                <w:sz w:val="11"/>
              </w:rPr>
            </w:pPr>
            <w:r>
              <w:rPr>
                <w:w w:val="105"/>
                <w:sz w:val="11"/>
              </w:rPr>
              <w:t>318.6</w:t>
            </w:r>
          </w:p>
        </w:tc>
        <w:tc>
          <w:tcPr>
            <w:tcW w:w="665" w:type="dxa"/>
            <w:tcBorders>
              <w:top w:val="single" w:sz="8"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324.8</w:t>
            </w:r>
          </w:p>
        </w:tc>
        <w:tc>
          <w:tcPr>
            <w:tcW w:w="667" w:type="dxa"/>
            <w:tcBorders>
              <w:top w:val="single" w:sz="8"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382.0</w:t>
            </w:r>
          </w:p>
        </w:tc>
        <w:tc>
          <w:tcPr>
            <w:tcW w:w="665" w:type="dxa"/>
            <w:tcBorders>
              <w:top w:val="single" w:sz="8"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355.5</w:t>
            </w:r>
          </w:p>
        </w:tc>
        <w:tc>
          <w:tcPr>
            <w:tcW w:w="666" w:type="dxa"/>
            <w:tcBorders>
              <w:top w:val="single" w:sz="8"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331.8</w:t>
            </w:r>
          </w:p>
        </w:tc>
        <w:tc>
          <w:tcPr>
            <w:tcW w:w="668" w:type="dxa"/>
            <w:tcBorders>
              <w:top w:val="single" w:sz="8"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280.9</w:t>
            </w:r>
          </w:p>
        </w:tc>
        <w:tc>
          <w:tcPr>
            <w:tcW w:w="773" w:type="dxa"/>
            <w:tcBorders>
              <w:top w:val="single" w:sz="8"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322.1</w:t>
            </w:r>
          </w:p>
        </w:tc>
        <w:tc>
          <w:tcPr>
            <w:tcW w:w="624" w:type="dxa"/>
            <w:tcBorders>
              <w:top w:val="single" w:sz="8"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4.9</w:t>
            </w:r>
          </w:p>
        </w:tc>
        <w:tc>
          <w:tcPr>
            <w:tcW w:w="474" w:type="dxa"/>
            <w:tcBorders>
              <w:top w:val="single" w:sz="8" w:space="0" w:color="000000"/>
              <w:left w:val="single" w:sz="4" w:space="0" w:color="000000"/>
              <w:bottom w:val="single" w:sz="4" w:space="0" w:color="000000"/>
              <w:right w:val="single" w:sz="3" w:space="0" w:color="000000"/>
            </w:tcBorders>
          </w:tcPr>
          <w:p>
            <w:pPr>
              <w:pStyle w:val="TableParagraph"/>
              <w:ind w:right="62"/>
              <w:rPr>
                <w:sz w:val="11"/>
              </w:rPr>
            </w:pPr>
            <w:r>
              <w:rPr>
                <w:w w:val="105"/>
                <w:sz w:val="11"/>
              </w:rPr>
              <w:t>1.2</w:t>
            </w:r>
          </w:p>
        </w:tc>
        <w:tc>
          <w:tcPr>
            <w:tcW w:w="526" w:type="dxa"/>
            <w:tcBorders>
              <w:top w:val="single" w:sz="8" w:space="0" w:color="000000"/>
              <w:left w:val="single" w:sz="3" w:space="0" w:color="000000"/>
              <w:bottom w:val="single" w:sz="4" w:space="0" w:color="000000"/>
              <w:right w:val="single" w:sz="3" w:space="0" w:color="000000"/>
            </w:tcBorders>
          </w:tcPr>
          <w:p>
            <w:pPr>
              <w:pStyle w:val="TableParagraph"/>
              <w:ind w:right="60"/>
              <w:rPr>
                <w:sz w:val="11"/>
              </w:rPr>
            </w:pPr>
            <w:r>
              <w:rPr>
                <w:w w:val="105"/>
                <w:sz w:val="11"/>
              </w:rPr>
              <w:t>322.1</w:t>
            </w:r>
          </w:p>
        </w:tc>
        <w:tc>
          <w:tcPr>
            <w:tcW w:w="376" w:type="dxa"/>
            <w:tcBorders>
              <w:top w:val="single" w:sz="8" w:space="0" w:color="000000"/>
              <w:left w:val="single" w:sz="3" w:space="0" w:color="000000"/>
              <w:bottom w:val="single" w:sz="4" w:space="0" w:color="000000"/>
              <w:right w:val="single" w:sz="8" w:space="0" w:color="000000"/>
            </w:tcBorders>
          </w:tcPr>
          <w:p>
            <w:pPr>
              <w:pStyle w:val="TableParagraph"/>
              <w:ind w:right="55"/>
              <w:rPr>
                <w:sz w:val="11"/>
              </w:rPr>
            </w:pPr>
            <w:r>
              <w:rPr>
                <w:w w:val="105"/>
                <w:sz w:val="11"/>
              </w:rPr>
              <w:t>4.9</w:t>
            </w:r>
          </w:p>
        </w:tc>
      </w:tr>
      <w:tr>
        <w:trPr>
          <w:trHeight w:val="144" w:hRule="exact"/>
        </w:trPr>
        <w:tc>
          <w:tcPr>
            <w:tcW w:w="200" w:type="dxa"/>
            <w:tcBorders>
              <w:top w:val="single" w:sz="4" w:space="0" w:color="000000"/>
              <w:left w:val="single" w:sz="8" w:space="0" w:color="000000"/>
              <w:bottom w:val="single" w:sz="4" w:space="0" w:color="000000"/>
            </w:tcBorders>
          </w:tcPr>
          <w:p>
            <w:pPr>
              <w:pStyle w:val="TableParagraph"/>
              <w:spacing w:before="0"/>
              <w:jc w:val="center"/>
              <w:rPr>
                <w:sz w:val="11"/>
              </w:rPr>
            </w:pPr>
            <w:r>
              <w:rPr>
                <w:w w:val="106"/>
                <w:sz w:val="11"/>
              </w:rPr>
              <w:t>2</w:t>
            </w:r>
          </w:p>
        </w:tc>
        <w:tc>
          <w:tcPr>
            <w:tcW w:w="1609" w:type="dxa"/>
            <w:tcBorders>
              <w:top w:val="single" w:sz="4" w:space="0" w:color="000000"/>
              <w:bottom w:val="single" w:sz="4" w:space="0" w:color="000000"/>
              <w:right w:val="single" w:sz="8" w:space="0" w:color="000000"/>
            </w:tcBorders>
          </w:tcPr>
          <w:p>
            <w:pPr>
              <w:pStyle w:val="TableParagraph"/>
              <w:spacing w:before="0"/>
              <w:ind w:left="59"/>
              <w:jc w:val="left"/>
              <w:rPr>
                <w:sz w:val="11"/>
              </w:rPr>
            </w:pPr>
            <w:r>
              <w:rPr>
                <w:w w:val="105"/>
                <w:sz w:val="11"/>
              </w:rPr>
              <w:t>Colima</w:t>
            </w:r>
          </w:p>
        </w:tc>
        <w:tc>
          <w:tcPr>
            <w:tcW w:w="666" w:type="dxa"/>
            <w:tcBorders>
              <w:top w:val="single" w:sz="4" w:space="0" w:color="000000"/>
              <w:left w:val="single" w:sz="8" w:space="0" w:color="000000"/>
              <w:bottom w:val="single" w:sz="4" w:space="0" w:color="000000"/>
              <w:right w:val="single" w:sz="3" w:space="0" w:color="000000"/>
            </w:tcBorders>
          </w:tcPr>
          <w:p>
            <w:pPr>
              <w:pStyle w:val="TableParagraph"/>
              <w:spacing w:before="0"/>
              <w:ind w:right="60"/>
              <w:rPr>
                <w:sz w:val="11"/>
              </w:rPr>
            </w:pPr>
            <w:r>
              <w:rPr>
                <w:w w:val="105"/>
                <w:sz w:val="11"/>
              </w:rPr>
              <w:t>105.2</w:t>
            </w:r>
          </w:p>
        </w:tc>
        <w:tc>
          <w:tcPr>
            <w:tcW w:w="666" w:type="dxa"/>
            <w:tcBorders>
              <w:top w:val="single" w:sz="4" w:space="0" w:color="000000"/>
              <w:left w:val="single" w:sz="3" w:space="0" w:color="000000"/>
              <w:bottom w:val="single" w:sz="4" w:space="0" w:color="000000"/>
              <w:right w:val="single" w:sz="4" w:space="0" w:color="000000"/>
            </w:tcBorders>
          </w:tcPr>
          <w:p>
            <w:pPr>
              <w:pStyle w:val="TableParagraph"/>
              <w:spacing w:before="0"/>
              <w:ind w:right="60"/>
              <w:rPr>
                <w:sz w:val="11"/>
              </w:rPr>
            </w:pPr>
            <w:r>
              <w:rPr>
                <w:w w:val="105"/>
                <w:sz w:val="11"/>
              </w:rPr>
              <w:t>137.6</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spacing w:before="0"/>
              <w:ind w:right="57"/>
              <w:rPr>
                <w:sz w:val="11"/>
              </w:rPr>
            </w:pPr>
            <w:r>
              <w:rPr>
                <w:w w:val="105"/>
                <w:sz w:val="11"/>
              </w:rPr>
              <w:t>169.1</w:t>
            </w:r>
          </w:p>
        </w:tc>
        <w:tc>
          <w:tcPr>
            <w:tcW w:w="667"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187.5</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spacing w:before="0"/>
              <w:ind w:right="57"/>
              <w:rPr>
                <w:sz w:val="11"/>
              </w:rPr>
            </w:pPr>
            <w:r>
              <w:rPr>
                <w:w w:val="105"/>
                <w:sz w:val="11"/>
              </w:rPr>
              <w:t>196.3</w:t>
            </w:r>
          </w:p>
        </w:tc>
        <w:tc>
          <w:tcPr>
            <w:tcW w:w="666" w:type="dxa"/>
            <w:tcBorders>
              <w:top w:val="single" w:sz="4" w:space="0" w:color="000000"/>
              <w:left w:val="single" w:sz="4" w:space="0" w:color="000000"/>
              <w:bottom w:val="single" w:sz="4" w:space="0" w:color="000000"/>
              <w:right w:val="single" w:sz="3" w:space="0" w:color="000000"/>
            </w:tcBorders>
          </w:tcPr>
          <w:p>
            <w:pPr>
              <w:pStyle w:val="TableParagraph"/>
              <w:spacing w:before="0"/>
              <w:ind w:right="60"/>
              <w:rPr>
                <w:sz w:val="11"/>
              </w:rPr>
            </w:pPr>
            <w:r>
              <w:rPr>
                <w:w w:val="105"/>
                <w:sz w:val="11"/>
              </w:rPr>
              <w:t>197.9</w:t>
            </w:r>
          </w:p>
        </w:tc>
        <w:tc>
          <w:tcPr>
            <w:tcW w:w="668" w:type="dxa"/>
            <w:tcBorders>
              <w:top w:val="single" w:sz="4" w:space="0" w:color="000000"/>
              <w:left w:val="single" w:sz="3" w:space="0" w:color="000000"/>
              <w:bottom w:val="single" w:sz="4" w:space="0" w:color="000000"/>
              <w:right w:val="single" w:sz="4" w:space="0" w:color="000000"/>
            </w:tcBorders>
          </w:tcPr>
          <w:p>
            <w:pPr>
              <w:pStyle w:val="TableParagraph"/>
              <w:spacing w:before="0"/>
              <w:ind w:right="62"/>
              <w:rPr>
                <w:sz w:val="11"/>
              </w:rPr>
            </w:pPr>
            <w:r>
              <w:rPr>
                <w:w w:val="105"/>
                <w:sz w:val="11"/>
              </w:rPr>
              <w:t>173.3</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166.7</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0"/>
              <w:ind w:right="62"/>
              <w:rPr>
                <w:sz w:val="11"/>
              </w:rPr>
            </w:pPr>
            <w:r>
              <w:rPr>
                <w:w w:val="105"/>
                <w:sz w:val="11"/>
              </w:rPr>
              <w:t>2.6</w:t>
            </w:r>
          </w:p>
        </w:tc>
        <w:tc>
          <w:tcPr>
            <w:tcW w:w="474" w:type="dxa"/>
            <w:tcBorders>
              <w:top w:val="single" w:sz="4" w:space="0" w:color="000000"/>
              <w:left w:val="single" w:sz="4" w:space="0" w:color="000000"/>
              <w:bottom w:val="single" w:sz="4" w:space="0" w:color="000000"/>
              <w:right w:val="single" w:sz="3" w:space="0" w:color="000000"/>
            </w:tcBorders>
          </w:tcPr>
          <w:p>
            <w:pPr>
              <w:pStyle w:val="TableParagraph"/>
              <w:spacing w:before="0"/>
              <w:ind w:right="62"/>
              <w:rPr>
                <w:sz w:val="11"/>
              </w:rPr>
            </w:pPr>
            <w:r>
              <w:rPr>
                <w:w w:val="105"/>
                <w:sz w:val="11"/>
              </w:rPr>
              <w:t>8.7</w:t>
            </w:r>
          </w:p>
        </w:tc>
        <w:tc>
          <w:tcPr>
            <w:tcW w:w="526" w:type="dxa"/>
            <w:tcBorders>
              <w:top w:val="single" w:sz="4" w:space="0" w:color="000000"/>
              <w:left w:val="single" w:sz="3" w:space="0" w:color="000000"/>
              <w:bottom w:val="single" w:sz="4" w:space="0" w:color="000000"/>
              <w:right w:val="single" w:sz="3" w:space="0" w:color="000000"/>
            </w:tcBorders>
          </w:tcPr>
          <w:p>
            <w:pPr>
              <w:pStyle w:val="TableParagraph"/>
              <w:spacing w:before="0"/>
              <w:ind w:right="60"/>
              <w:rPr>
                <w:sz w:val="11"/>
              </w:rPr>
            </w:pPr>
            <w:r>
              <w:rPr>
                <w:w w:val="105"/>
                <w:sz w:val="11"/>
              </w:rPr>
              <w:t>488.8</w:t>
            </w:r>
          </w:p>
        </w:tc>
        <w:tc>
          <w:tcPr>
            <w:tcW w:w="376" w:type="dxa"/>
            <w:tcBorders>
              <w:top w:val="single" w:sz="4" w:space="0" w:color="000000"/>
              <w:left w:val="single" w:sz="3" w:space="0" w:color="000000"/>
              <w:bottom w:val="single" w:sz="4" w:space="0" w:color="000000"/>
              <w:right w:val="single" w:sz="8" w:space="0" w:color="000000"/>
            </w:tcBorders>
          </w:tcPr>
          <w:p>
            <w:pPr>
              <w:pStyle w:val="TableParagraph"/>
              <w:spacing w:before="0"/>
              <w:ind w:right="55"/>
              <w:rPr>
                <w:sz w:val="11"/>
              </w:rPr>
            </w:pPr>
            <w:r>
              <w:rPr>
                <w:w w:val="105"/>
                <w:sz w:val="11"/>
              </w:rPr>
              <w:t>7.5</w:t>
            </w:r>
          </w:p>
        </w:tc>
      </w:tr>
      <w:tr>
        <w:trPr>
          <w:trHeight w:val="142" w:hRule="exact"/>
        </w:trPr>
        <w:tc>
          <w:tcPr>
            <w:tcW w:w="200" w:type="dxa"/>
            <w:tcBorders>
              <w:top w:val="single" w:sz="4" w:space="0" w:color="000000"/>
              <w:left w:val="single" w:sz="8" w:space="0" w:color="000000"/>
              <w:bottom w:val="single" w:sz="4" w:space="0" w:color="000000"/>
            </w:tcBorders>
          </w:tcPr>
          <w:p>
            <w:pPr>
              <w:pStyle w:val="TableParagraph"/>
              <w:jc w:val="center"/>
              <w:rPr>
                <w:sz w:val="11"/>
              </w:rPr>
            </w:pPr>
            <w:r>
              <w:rPr>
                <w:w w:val="106"/>
                <w:sz w:val="11"/>
              </w:rPr>
              <w:t>3</w:t>
            </w:r>
          </w:p>
        </w:tc>
        <w:tc>
          <w:tcPr>
            <w:tcW w:w="1609" w:type="dxa"/>
            <w:tcBorders>
              <w:top w:val="single" w:sz="4" w:space="0" w:color="000000"/>
              <w:bottom w:val="single" w:sz="4" w:space="0" w:color="000000"/>
              <w:right w:val="single" w:sz="8" w:space="0" w:color="000000"/>
            </w:tcBorders>
          </w:tcPr>
          <w:p>
            <w:pPr>
              <w:pStyle w:val="TableParagraph"/>
              <w:ind w:left="59"/>
              <w:jc w:val="left"/>
              <w:rPr>
                <w:sz w:val="11"/>
              </w:rPr>
            </w:pPr>
            <w:r>
              <w:rPr>
                <w:w w:val="105"/>
                <w:sz w:val="11"/>
              </w:rPr>
              <w:t>Guanajuato</w:t>
            </w:r>
          </w:p>
        </w:tc>
        <w:tc>
          <w:tcPr>
            <w:tcW w:w="666" w:type="dxa"/>
            <w:tcBorders>
              <w:top w:val="single" w:sz="4" w:space="0" w:color="000000"/>
              <w:left w:val="single" w:sz="8" w:space="0" w:color="000000"/>
              <w:bottom w:val="single" w:sz="4" w:space="0" w:color="000000"/>
              <w:right w:val="single" w:sz="3" w:space="0" w:color="000000"/>
            </w:tcBorders>
          </w:tcPr>
          <w:p>
            <w:pPr>
              <w:pStyle w:val="TableParagraph"/>
              <w:ind w:right="60"/>
              <w:rPr>
                <w:sz w:val="11"/>
              </w:rPr>
            </w:pPr>
            <w:r>
              <w:rPr>
                <w:w w:val="105"/>
                <w:sz w:val="11"/>
              </w:rPr>
              <w:t>1,403.2</w:t>
            </w:r>
          </w:p>
        </w:tc>
        <w:tc>
          <w:tcPr>
            <w:tcW w:w="666" w:type="dxa"/>
            <w:tcBorders>
              <w:top w:val="single" w:sz="4" w:space="0" w:color="000000"/>
              <w:left w:val="single" w:sz="3" w:space="0" w:color="000000"/>
              <w:bottom w:val="single" w:sz="4" w:space="0" w:color="000000"/>
              <w:right w:val="single" w:sz="4" w:space="0" w:color="000000"/>
            </w:tcBorders>
          </w:tcPr>
          <w:p>
            <w:pPr>
              <w:pStyle w:val="TableParagraph"/>
              <w:ind w:right="60"/>
              <w:rPr>
                <w:sz w:val="11"/>
              </w:rPr>
            </w:pPr>
            <w:r>
              <w:rPr>
                <w:w w:val="105"/>
                <w:sz w:val="11"/>
              </w:rPr>
              <w:t>1,734.1</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1,904.8</w:t>
            </w:r>
          </w:p>
        </w:tc>
        <w:tc>
          <w:tcPr>
            <w:tcW w:w="667"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2,319.4</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2,353.6</w:t>
            </w:r>
          </w:p>
        </w:tc>
        <w:tc>
          <w:tcPr>
            <w:tcW w:w="666"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2,324.5</w:t>
            </w:r>
          </w:p>
        </w:tc>
        <w:tc>
          <w:tcPr>
            <w:tcW w:w="668"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1,944.8</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1,997.8</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30.6</w:t>
            </w:r>
          </w:p>
        </w:tc>
        <w:tc>
          <w:tcPr>
            <w:tcW w:w="474" w:type="dxa"/>
            <w:tcBorders>
              <w:top w:val="single" w:sz="4" w:space="0" w:color="000000"/>
              <w:left w:val="single" w:sz="4" w:space="0" w:color="000000"/>
              <w:bottom w:val="single" w:sz="4" w:space="0" w:color="000000"/>
              <w:right w:val="single" w:sz="3" w:space="0" w:color="000000"/>
            </w:tcBorders>
          </w:tcPr>
          <w:p>
            <w:pPr>
              <w:pStyle w:val="TableParagraph"/>
              <w:ind w:right="62"/>
              <w:rPr>
                <w:sz w:val="11"/>
              </w:rPr>
            </w:pPr>
            <w:r>
              <w:rPr>
                <w:w w:val="105"/>
                <w:sz w:val="11"/>
              </w:rPr>
              <w:t>5.6</w:t>
            </w:r>
          </w:p>
        </w:tc>
        <w:tc>
          <w:tcPr>
            <w:tcW w:w="526" w:type="dxa"/>
            <w:tcBorders>
              <w:top w:val="single" w:sz="4" w:space="0" w:color="000000"/>
              <w:left w:val="single" w:sz="3" w:space="0" w:color="000000"/>
              <w:bottom w:val="single" w:sz="4" w:space="0" w:color="000000"/>
              <w:right w:val="single" w:sz="3" w:space="0" w:color="000000"/>
            </w:tcBorders>
          </w:tcPr>
          <w:p>
            <w:pPr>
              <w:pStyle w:val="TableParagraph"/>
              <w:ind w:left="64"/>
              <w:jc w:val="left"/>
              <w:rPr>
                <w:sz w:val="11"/>
              </w:rPr>
            </w:pPr>
            <w:r>
              <w:rPr>
                <w:w w:val="105"/>
                <w:sz w:val="11"/>
              </w:rPr>
              <w:t>2,486.5</w:t>
            </w:r>
          </w:p>
        </w:tc>
        <w:tc>
          <w:tcPr>
            <w:tcW w:w="376" w:type="dxa"/>
            <w:tcBorders>
              <w:top w:val="single" w:sz="4" w:space="0" w:color="000000"/>
              <w:left w:val="single" w:sz="3" w:space="0" w:color="000000"/>
              <w:bottom w:val="single" w:sz="4" w:space="0" w:color="000000"/>
              <w:right w:val="single" w:sz="8" w:space="0" w:color="000000"/>
            </w:tcBorders>
          </w:tcPr>
          <w:p>
            <w:pPr>
              <w:pStyle w:val="TableParagraph"/>
              <w:ind w:right="53"/>
              <w:rPr>
                <w:sz w:val="11"/>
              </w:rPr>
            </w:pPr>
            <w:r>
              <w:rPr>
                <w:w w:val="105"/>
                <w:sz w:val="11"/>
              </w:rPr>
              <w:t>38.1</w:t>
            </w:r>
          </w:p>
        </w:tc>
      </w:tr>
      <w:tr>
        <w:trPr>
          <w:trHeight w:val="146" w:hRule="exact"/>
        </w:trPr>
        <w:tc>
          <w:tcPr>
            <w:tcW w:w="200" w:type="dxa"/>
            <w:tcBorders>
              <w:top w:val="single" w:sz="4" w:space="0" w:color="000000"/>
              <w:left w:val="single" w:sz="8" w:space="0" w:color="000000"/>
              <w:bottom w:val="single" w:sz="4" w:space="0" w:color="000000"/>
            </w:tcBorders>
          </w:tcPr>
          <w:p>
            <w:pPr>
              <w:pStyle w:val="TableParagraph"/>
              <w:jc w:val="center"/>
              <w:rPr>
                <w:sz w:val="11"/>
              </w:rPr>
            </w:pPr>
            <w:r>
              <w:rPr>
                <w:w w:val="106"/>
                <w:sz w:val="11"/>
              </w:rPr>
              <w:t>4</w:t>
            </w:r>
          </w:p>
        </w:tc>
        <w:tc>
          <w:tcPr>
            <w:tcW w:w="1609" w:type="dxa"/>
            <w:tcBorders>
              <w:top w:val="single" w:sz="4" w:space="0" w:color="000000"/>
              <w:bottom w:val="single" w:sz="4" w:space="0" w:color="000000"/>
              <w:right w:val="single" w:sz="8" w:space="0" w:color="000000"/>
            </w:tcBorders>
          </w:tcPr>
          <w:p>
            <w:pPr>
              <w:pStyle w:val="TableParagraph"/>
              <w:ind w:left="59"/>
              <w:jc w:val="left"/>
              <w:rPr>
                <w:sz w:val="11"/>
              </w:rPr>
            </w:pPr>
            <w:r>
              <w:rPr>
                <w:w w:val="105"/>
                <w:sz w:val="11"/>
              </w:rPr>
              <w:t>Jalisco</w:t>
            </w:r>
          </w:p>
        </w:tc>
        <w:tc>
          <w:tcPr>
            <w:tcW w:w="666" w:type="dxa"/>
            <w:tcBorders>
              <w:top w:val="single" w:sz="4" w:space="0" w:color="000000"/>
              <w:left w:val="single" w:sz="8" w:space="0" w:color="000000"/>
              <w:bottom w:val="single" w:sz="4" w:space="0" w:color="000000"/>
              <w:right w:val="single" w:sz="3" w:space="0" w:color="000000"/>
            </w:tcBorders>
          </w:tcPr>
          <w:p>
            <w:pPr>
              <w:pStyle w:val="TableParagraph"/>
              <w:ind w:right="60"/>
              <w:rPr>
                <w:sz w:val="11"/>
              </w:rPr>
            </w:pPr>
            <w:r>
              <w:rPr>
                <w:w w:val="105"/>
                <w:sz w:val="11"/>
              </w:rPr>
              <w:t>1,345.4</w:t>
            </w:r>
          </w:p>
        </w:tc>
        <w:tc>
          <w:tcPr>
            <w:tcW w:w="666" w:type="dxa"/>
            <w:tcBorders>
              <w:top w:val="single" w:sz="4" w:space="0" w:color="000000"/>
              <w:left w:val="single" w:sz="3" w:space="0" w:color="000000"/>
              <w:bottom w:val="single" w:sz="4" w:space="0" w:color="000000"/>
              <w:right w:val="single" w:sz="4" w:space="0" w:color="000000"/>
            </w:tcBorders>
          </w:tcPr>
          <w:p>
            <w:pPr>
              <w:pStyle w:val="TableParagraph"/>
              <w:ind w:right="60"/>
              <w:rPr>
                <w:sz w:val="11"/>
              </w:rPr>
            </w:pPr>
            <w:r>
              <w:rPr>
                <w:w w:val="105"/>
                <w:sz w:val="11"/>
              </w:rPr>
              <w:t>1,485.7</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1,723.1</w:t>
            </w:r>
          </w:p>
        </w:tc>
        <w:tc>
          <w:tcPr>
            <w:tcW w:w="667"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2,009.0</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2,008.7</w:t>
            </w:r>
          </w:p>
        </w:tc>
        <w:tc>
          <w:tcPr>
            <w:tcW w:w="666"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1,942.4</w:t>
            </w:r>
          </w:p>
        </w:tc>
        <w:tc>
          <w:tcPr>
            <w:tcW w:w="668"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1,716.4</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1,747.2</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26.8</w:t>
            </w:r>
          </w:p>
        </w:tc>
        <w:tc>
          <w:tcPr>
            <w:tcW w:w="474" w:type="dxa"/>
            <w:tcBorders>
              <w:top w:val="single" w:sz="4" w:space="0" w:color="000000"/>
              <w:left w:val="single" w:sz="4" w:space="0" w:color="000000"/>
              <w:bottom w:val="single" w:sz="4" w:space="0" w:color="000000"/>
              <w:right w:val="single" w:sz="3" w:space="0" w:color="000000"/>
            </w:tcBorders>
          </w:tcPr>
          <w:p>
            <w:pPr>
              <w:pStyle w:val="TableParagraph"/>
              <w:ind w:right="62"/>
              <w:rPr>
                <w:sz w:val="11"/>
              </w:rPr>
            </w:pPr>
            <w:r>
              <w:rPr>
                <w:w w:val="105"/>
                <w:sz w:val="11"/>
              </w:rPr>
              <w:t>4.1</w:t>
            </w:r>
          </w:p>
        </w:tc>
        <w:tc>
          <w:tcPr>
            <w:tcW w:w="526" w:type="dxa"/>
            <w:tcBorders>
              <w:top w:val="single" w:sz="4" w:space="0" w:color="000000"/>
              <w:left w:val="single" w:sz="3" w:space="0" w:color="000000"/>
              <w:bottom w:val="single" w:sz="4" w:space="0" w:color="000000"/>
              <w:right w:val="single" w:sz="3" w:space="0" w:color="000000"/>
            </w:tcBorders>
          </w:tcPr>
          <w:p>
            <w:pPr>
              <w:pStyle w:val="TableParagraph"/>
              <w:ind w:left="64"/>
              <w:jc w:val="left"/>
              <w:rPr>
                <w:sz w:val="11"/>
              </w:rPr>
            </w:pPr>
            <w:r>
              <w:rPr>
                <w:w w:val="105"/>
                <w:sz w:val="11"/>
              </w:rPr>
              <w:t>4,233.8</w:t>
            </w:r>
          </w:p>
        </w:tc>
        <w:tc>
          <w:tcPr>
            <w:tcW w:w="376" w:type="dxa"/>
            <w:tcBorders>
              <w:top w:val="single" w:sz="4" w:space="0" w:color="000000"/>
              <w:left w:val="single" w:sz="3" w:space="0" w:color="000000"/>
              <w:bottom w:val="single" w:sz="4" w:space="0" w:color="000000"/>
              <w:right w:val="single" w:sz="8" w:space="0" w:color="000000"/>
            </w:tcBorders>
          </w:tcPr>
          <w:p>
            <w:pPr>
              <w:pStyle w:val="TableParagraph"/>
              <w:ind w:right="53"/>
              <w:rPr>
                <w:sz w:val="11"/>
              </w:rPr>
            </w:pPr>
            <w:r>
              <w:rPr>
                <w:w w:val="105"/>
                <w:sz w:val="11"/>
              </w:rPr>
              <w:t>64.9</w:t>
            </w:r>
          </w:p>
        </w:tc>
      </w:tr>
      <w:tr>
        <w:trPr>
          <w:trHeight w:val="149" w:hRule="exact"/>
        </w:trPr>
        <w:tc>
          <w:tcPr>
            <w:tcW w:w="200" w:type="dxa"/>
            <w:tcBorders>
              <w:top w:val="single" w:sz="4" w:space="0" w:color="000000"/>
              <w:left w:val="single" w:sz="8" w:space="0" w:color="000000"/>
              <w:bottom w:val="single" w:sz="8" w:space="0" w:color="000000"/>
            </w:tcBorders>
          </w:tcPr>
          <w:p>
            <w:pPr>
              <w:pStyle w:val="TableParagraph"/>
              <w:spacing w:before="0"/>
              <w:jc w:val="center"/>
              <w:rPr>
                <w:sz w:val="11"/>
              </w:rPr>
            </w:pPr>
            <w:r>
              <w:rPr>
                <w:w w:val="106"/>
                <w:sz w:val="11"/>
              </w:rPr>
              <w:t>5</w:t>
            </w:r>
          </w:p>
        </w:tc>
        <w:tc>
          <w:tcPr>
            <w:tcW w:w="1609" w:type="dxa"/>
            <w:tcBorders>
              <w:top w:val="single" w:sz="4" w:space="0" w:color="000000"/>
              <w:bottom w:val="single" w:sz="8" w:space="0" w:color="000000"/>
              <w:right w:val="single" w:sz="8" w:space="0" w:color="000000"/>
            </w:tcBorders>
          </w:tcPr>
          <w:p>
            <w:pPr>
              <w:pStyle w:val="TableParagraph"/>
              <w:spacing w:before="0"/>
              <w:ind w:left="59"/>
              <w:jc w:val="left"/>
              <w:rPr>
                <w:sz w:val="11"/>
              </w:rPr>
            </w:pPr>
            <w:r>
              <w:rPr>
                <w:w w:val="105"/>
                <w:sz w:val="11"/>
              </w:rPr>
              <w:t>Michoacán</w:t>
            </w:r>
          </w:p>
        </w:tc>
        <w:tc>
          <w:tcPr>
            <w:tcW w:w="666" w:type="dxa"/>
            <w:tcBorders>
              <w:top w:val="single" w:sz="4" w:space="0" w:color="000000"/>
              <w:left w:val="single" w:sz="8" w:space="0" w:color="000000"/>
              <w:bottom w:val="single" w:sz="8" w:space="0" w:color="000000"/>
              <w:right w:val="single" w:sz="3" w:space="0" w:color="000000"/>
            </w:tcBorders>
          </w:tcPr>
          <w:p>
            <w:pPr>
              <w:pStyle w:val="TableParagraph"/>
              <w:spacing w:before="0"/>
              <w:ind w:right="60"/>
              <w:rPr>
                <w:sz w:val="11"/>
              </w:rPr>
            </w:pPr>
            <w:r>
              <w:rPr>
                <w:w w:val="105"/>
                <w:sz w:val="11"/>
              </w:rPr>
              <w:t>1,778.9</w:t>
            </w:r>
          </w:p>
        </w:tc>
        <w:tc>
          <w:tcPr>
            <w:tcW w:w="666" w:type="dxa"/>
            <w:tcBorders>
              <w:top w:val="single" w:sz="4" w:space="0" w:color="000000"/>
              <w:left w:val="single" w:sz="3" w:space="0" w:color="000000"/>
              <w:bottom w:val="single" w:sz="8" w:space="0" w:color="000000"/>
              <w:right w:val="single" w:sz="4" w:space="0" w:color="000000"/>
            </w:tcBorders>
          </w:tcPr>
          <w:p>
            <w:pPr>
              <w:pStyle w:val="TableParagraph"/>
              <w:spacing w:before="0"/>
              <w:ind w:right="60"/>
              <w:rPr>
                <w:sz w:val="11"/>
              </w:rPr>
            </w:pPr>
            <w:r>
              <w:rPr>
                <w:w w:val="105"/>
                <w:sz w:val="11"/>
              </w:rPr>
              <w:t>2,298.9</w:t>
            </w:r>
          </w:p>
        </w:tc>
        <w:tc>
          <w:tcPr>
            <w:tcW w:w="665" w:type="dxa"/>
            <w:tcBorders>
              <w:top w:val="single" w:sz="4" w:space="0" w:color="000000"/>
              <w:left w:val="single" w:sz="4" w:space="0" w:color="000000"/>
              <w:bottom w:val="single" w:sz="8" w:space="0" w:color="000000"/>
              <w:right w:val="single" w:sz="4" w:space="0" w:color="000000"/>
            </w:tcBorders>
          </w:tcPr>
          <w:p>
            <w:pPr>
              <w:pStyle w:val="TableParagraph"/>
              <w:spacing w:before="0"/>
              <w:ind w:right="57"/>
              <w:rPr>
                <w:sz w:val="11"/>
              </w:rPr>
            </w:pPr>
            <w:r>
              <w:rPr>
                <w:w w:val="105"/>
                <w:sz w:val="11"/>
              </w:rPr>
              <w:t>2,461.8</w:t>
            </w:r>
          </w:p>
        </w:tc>
        <w:tc>
          <w:tcPr>
            <w:tcW w:w="667" w:type="dxa"/>
            <w:tcBorders>
              <w:top w:val="single" w:sz="4" w:space="0" w:color="000000"/>
              <w:left w:val="single" w:sz="4" w:space="0" w:color="000000"/>
              <w:bottom w:val="single" w:sz="8" w:space="0" w:color="000000"/>
              <w:right w:val="single" w:sz="4" w:space="0" w:color="000000"/>
            </w:tcBorders>
          </w:tcPr>
          <w:p>
            <w:pPr>
              <w:pStyle w:val="TableParagraph"/>
              <w:spacing w:before="0"/>
              <w:ind w:right="60"/>
              <w:rPr>
                <w:sz w:val="11"/>
              </w:rPr>
            </w:pPr>
            <w:r>
              <w:rPr>
                <w:w w:val="105"/>
                <w:sz w:val="11"/>
              </w:rPr>
              <w:t>2,520.4</w:t>
            </w:r>
          </w:p>
        </w:tc>
        <w:tc>
          <w:tcPr>
            <w:tcW w:w="665" w:type="dxa"/>
            <w:tcBorders>
              <w:top w:val="single" w:sz="4" w:space="0" w:color="000000"/>
              <w:left w:val="single" w:sz="4" w:space="0" w:color="000000"/>
              <w:bottom w:val="single" w:sz="8" w:space="0" w:color="000000"/>
              <w:right w:val="single" w:sz="4" w:space="0" w:color="000000"/>
            </w:tcBorders>
          </w:tcPr>
          <w:p>
            <w:pPr>
              <w:pStyle w:val="TableParagraph"/>
              <w:spacing w:before="0"/>
              <w:ind w:right="57"/>
              <w:rPr>
                <w:sz w:val="11"/>
              </w:rPr>
            </w:pPr>
            <w:r>
              <w:rPr>
                <w:w w:val="105"/>
                <w:sz w:val="11"/>
              </w:rPr>
              <w:t>2,392.0</w:t>
            </w:r>
          </w:p>
        </w:tc>
        <w:tc>
          <w:tcPr>
            <w:tcW w:w="666" w:type="dxa"/>
            <w:tcBorders>
              <w:top w:val="single" w:sz="4" w:space="0" w:color="000000"/>
              <w:left w:val="single" w:sz="4" w:space="0" w:color="000000"/>
              <w:bottom w:val="single" w:sz="8" w:space="0" w:color="000000"/>
              <w:right w:val="single" w:sz="3" w:space="0" w:color="000000"/>
            </w:tcBorders>
          </w:tcPr>
          <w:p>
            <w:pPr>
              <w:pStyle w:val="TableParagraph"/>
              <w:spacing w:before="0"/>
              <w:ind w:right="60"/>
              <w:rPr>
                <w:sz w:val="11"/>
              </w:rPr>
            </w:pPr>
            <w:r>
              <w:rPr>
                <w:w w:val="105"/>
                <w:sz w:val="11"/>
              </w:rPr>
              <w:t>2,457.2</w:t>
            </w:r>
          </w:p>
        </w:tc>
        <w:tc>
          <w:tcPr>
            <w:tcW w:w="668" w:type="dxa"/>
            <w:tcBorders>
              <w:top w:val="single" w:sz="4" w:space="0" w:color="000000"/>
              <w:left w:val="single" w:sz="3" w:space="0" w:color="000000"/>
              <w:bottom w:val="single" w:sz="8" w:space="0" w:color="000000"/>
              <w:right w:val="single" w:sz="4" w:space="0" w:color="000000"/>
            </w:tcBorders>
          </w:tcPr>
          <w:p>
            <w:pPr>
              <w:pStyle w:val="TableParagraph"/>
              <w:spacing w:before="0"/>
              <w:ind w:right="62"/>
              <w:rPr>
                <w:sz w:val="11"/>
              </w:rPr>
            </w:pPr>
            <w:r>
              <w:rPr>
                <w:w w:val="105"/>
                <w:sz w:val="11"/>
              </w:rPr>
              <w:t>2,133.1</w:t>
            </w:r>
          </w:p>
        </w:tc>
        <w:tc>
          <w:tcPr>
            <w:tcW w:w="773" w:type="dxa"/>
            <w:tcBorders>
              <w:top w:val="single" w:sz="4" w:space="0" w:color="000000"/>
              <w:left w:val="single" w:sz="4" w:space="0" w:color="000000"/>
              <w:bottom w:val="single" w:sz="8" w:space="0" w:color="000000"/>
              <w:right w:val="single" w:sz="4" w:space="0" w:color="000000"/>
            </w:tcBorders>
          </w:tcPr>
          <w:p>
            <w:pPr>
              <w:pStyle w:val="TableParagraph"/>
              <w:spacing w:before="0"/>
              <w:ind w:right="60"/>
              <w:rPr>
                <w:sz w:val="11"/>
              </w:rPr>
            </w:pPr>
            <w:r>
              <w:rPr>
                <w:w w:val="105"/>
                <w:sz w:val="11"/>
              </w:rPr>
              <w:t>2,291.8</w:t>
            </w:r>
          </w:p>
        </w:tc>
        <w:tc>
          <w:tcPr>
            <w:tcW w:w="624" w:type="dxa"/>
            <w:tcBorders>
              <w:top w:val="single" w:sz="4" w:space="0" w:color="000000"/>
              <w:left w:val="single" w:sz="4" w:space="0" w:color="000000"/>
              <w:bottom w:val="single" w:sz="8" w:space="0" w:color="000000"/>
              <w:right w:val="single" w:sz="4" w:space="0" w:color="000000"/>
            </w:tcBorders>
          </w:tcPr>
          <w:p>
            <w:pPr>
              <w:pStyle w:val="TableParagraph"/>
              <w:spacing w:before="0"/>
              <w:ind w:right="60"/>
              <w:rPr>
                <w:sz w:val="11"/>
              </w:rPr>
            </w:pPr>
            <w:r>
              <w:rPr>
                <w:w w:val="105"/>
                <w:sz w:val="11"/>
              </w:rPr>
              <w:t>35.1</w:t>
            </w:r>
          </w:p>
        </w:tc>
        <w:tc>
          <w:tcPr>
            <w:tcW w:w="474" w:type="dxa"/>
            <w:tcBorders>
              <w:top w:val="single" w:sz="4" w:space="0" w:color="000000"/>
              <w:left w:val="single" w:sz="4" w:space="0" w:color="000000"/>
              <w:bottom w:val="single" w:sz="8" w:space="0" w:color="000000"/>
              <w:right w:val="single" w:sz="3" w:space="0" w:color="000000"/>
            </w:tcBorders>
          </w:tcPr>
          <w:p>
            <w:pPr>
              <w:pStyle w:val="TableParagraph"/>
              <w:spacing w:before="0"/>
              <w:ind w:right="62"/>
              <w:rPr>
                <w:sz w:val="11"/>
              </w:rPr>
            </w:pPr>
            <w:r>
              <w:rPr>
                <w:w w:val="105"/>
                <w:sz w:val="11"/>
              </w:rPr>
              <w:t>3.1</w:t>
            </w:r>
          </w:p>
        </w:tc>
        <w:tc>
          <w:tcPr>
            <w:tcW w:w="526" w:type="dxa"/>
            <w:tcBorders>
              <w:top w:val="single" w:sz="4" w:space="0" w:color="000000"/>
              <w:left w:val="single" w:sz="3" w:space="0" w:color="000000"/>
              <w:bottom w:val="single" w:sz="8" w:space="0" w:color="000000"/>
              <w:right w:val="single" w:sz="3" w:space="0" w:color="000000"/>
            </w:tcBorders>
          </w:tcPr>
          <w:p>
            <w:pPr>
              <w:pStyle w:val="TableParagraph"/>
              <w:spacing w:before="0"/>
              <w:ind w:left="64"/>
              <w:jc w:val="left"/>
              <w:rPr>
                <w:b/>
                <w:sz w:val="11"/>
              </w:rPr>
            </w:pPr>
            <w:r>
              <w:rPr>
                <w:b/>
                <w:w w:val="105"/>
                <w:sz w:val="11"/>
              </w:rPr>
              <w:t>6,525.5</w:t>
            </w:r>
          </w:p>
        </w:tc>
        <w:tc>
          <w:tcPr>
            <w:tcW w:w="376" w:type="dxa"/>
            <w:tcBorders>
              <w:top w:val="single" w:sz="4" w:space="0" w:color="000000"/>
              <w:left w:val="single" w:sz="3" w:space="0" w:color="000000"/>
              <w:bottom w:val="single" w:sz="8" w:space="0" w:color="000000"/>
              <w:right w:val="single" w:sz="8" w:space="0" w:color="000000"/>
            </w:tcBorders>
          </w:tcPr>
          <w:p>
            <w:pPr>
              <w:pStyle w:val="TableParagraph"/>
              <w:spacing w:before="0"/>
              <w:ind w:right="53"/>
              <w:rPr>
                <w:b/>
                <w:sz w:val="11"/>
              </w:rPr>
            </w:pPr>
            <w:r>
              <w:rPr>
                <w:b/>
                <w:w w:val="105"/>
                <w:sz w:val="11"/>
              </w:rPr>
              <w:t>100</w:t>
            </w:r>
          </w:p>
        </w:tc>
      </w:tr>
      <w:tr>
        <w:trPr>
          <w:trHeight w:val="151" w:hRule="exact"/>
        </w:trPr>
        <w:tc>
          <w:tcPr>
            <w:tcW w:w="9245" w:type="dxa"/>
            <w:gridSpan w:val="14"/>
            <w:tcBorders>
              <w:top w:val="single" w:sz="8" w:space="0" w:color="000000"/>
              <w:left w:val="single" w:sz="8" w:space="0" w:color="000000"/>
              <w:bottom w:val="single" w:sz="8" w:space="0" w:color="000000"/>
              <w:right w:val="single" w:sz="8" w:space="0" w:color="000000"/>
            </w:tcBorders>
          </w:tcPr>
          <w:p>
            <w:pPr/>
          </w:p>
        </w:tc>
      </w:tr>
      <w:tr>
        <w:trPr>
          <w:trHeight w:val="155" w:hRule="exact"/>
        </w:trPr>
        <w:tc>
          <w:tcPr>
            <w:tcW w:w="200" w:type="dxa"/>
            <w:tcBorders>
              <w:top w:val="single" w:sz="8" w:space="0" w:color="000000"/>
              <w:left w:val="single" w:sz="8" w:space="0" w:color="000000"/>
            </w:tcBorders>
          </w:tcPr>
          <w:p>
            <w:pPr>
              <w:pStyle w:val="TableParagraph"/>
              <w:spacing w:before="5"/>
              <w:jc w:val="center"/>
              <w:rPr>
                <w:b/>
                <w:sz w:val="11"/>
              </w:rPr>
            </w:pPr>
            <w:r>
              <w:rPr>
                <w:b/>
                <w:w w:val="106"/>
                <w:sz w:val="11"/>
              </w:rPr>
              <w:t>5</w:t>
            </w:r>
          </w:p>
        </w:tc>
        <w:tc>
          <w:tcPr>
            <w:tcW w:w="1609" w:type="dxa"/>
            <w:tcBorders>
              <w:top w:val="single" w:sz="8" w:space="0" w:color="000000"/>
              <w:right w:val="single" w:sz="8" w:space="0" w:color="000000"/>
            </w:tcBorders>
          </w:tcPr>
          <w:p>
            <w:pPr>
              <w:pStyle w:val="TableParagraph"/>
              <w:spacing w:before="5"/>
              <w:ind w:left="59"/>
              <w:jc w:val="left"/>
              <w:rPr>
                <w:b/>
                <w:sz w:val="11"/>
              </w:rPr>
            </w:pPr>
            <w:r>
              <w:rPr>
                <w:b/>
                <w:w w:val="105"/>
                <w:sz w:val="11"/>
              </w:rPr>
              <w:t>CENTRO ESTE (SUR)</w:t>
            </w:r>
          </w:p>
        </w:tc>
        <w:tc>
          <w:tcPr>
            <w:tcW w:w="666" w:type="dxa"/>
            <w:tcBorders>
              <w:top w:val="single" w:sz="8" w:space="0" w:color="000000"/>
              <w:left w:val="single" w:sz="8" w:space="0" w:color="000000"/>
            </w:tcBorders>
          </w:tcPr>
          <w:p>
            <w:pPr>
              <w:pStyle w:val="TableParagraph"/>
              <w:spacing w:before="5"/>
              <w:ind w:right="55"/>
              <w:rPr>
                <w:b/>
                <w:sz w:val="11"/>
              </w:rPr>
            </w:pPr>
            <w:r>
              <w:rPr>
                <w:b/>
                <w:w w:val="105"/>
                <w:sz w:val="11"/>
              </w:rPr>
              <w:t>4,127.7</w:t>
            </w:r>
          </w:p>
        </w:tc>
        <w:tc>
          <w:tcPr>
            <w:tcW w:w="666" w:type="dxa"/>
            <w:tcBorders>
              <w:top w:val="single" w:sz="8" w:space="0" w:color="000000"/>
              <w:right w:val="single" w:sz="8" w:space="0" w:color="000000"/>
            </w:tcBorders>
          </w:tcPr>
          <w:p>
            <w:pPr>
              <w:pStyle w:val="TableParagraph"/>
              <w:spacing w:before="5"/>
              <w:ind w:right="55"/>
              <w:rPr>
                <w:b/>
                <w:sz w:val="11"/>
              </w:rPr>
            </w:pPr>
            <w:r>
              <w:rPr>
                <w:b/>
                <w:w w:val="105"/>
                <w:sz w:val="11"/>
              </w:rPr>
              <w:t>5,024.8</w:t>
            </w:r>
          </w:p>
        </w:tc>
        <w:tc>
          <w:tcPr>
            <w:tcW w:w="665" w:type="dxa"/>
            <w:tcBorders>
              <w:top w:val="single" w:sz="8" w:space="0" w:color="000000"/>
              <w:left w:val="single" w:sz="8" w:space="0" w:color="000000"/>
              <w:right w:val="single" w:sz="8" w:space="0" w:color="000000"/>
            </w:tcBorders>
          </w:tcPr>
          <w:p>
            <w:pPr>
              <w:pStyle w:val="TableParagraph"/>
              <w:spacing w:before="5"/>
              <w:ind w:right="53"/>
              <w:rPr>
                <w:b/>
                <w:sz w:val="11"/>
              </w:rPr>
            </w:pPr>
            <w:r>
              <w:rPr>
                <w:b/>
                <w:w w:val="105"/>
                <w:sz w:val="11"/>
              </w:rPr>
              <w:t>6,176.2</w:t>
            </w:r>
          </w:p>
        </w:tc>
        <w:tc>
          <w:tcPr>
            <w:tcW w:w="667" w:type="dxa"/>
            <w:tcBorders>
              <w:top w:val="single" w:sz="8" w:space="0" w:color="000000"/>
              <w:left w:val="single" w:sz="8" w:space="0" w:color="000000"/>
              <w:right w:val="single" w:sz="8" w:space="0" w:color="000000"/>
            </w:tcBorders>
          </w:tcPr>
          <w:p>
            <w:pPr>
              <w:pStyle w:val="TableParagraph"/>
              <w:spacing w:before="5"/>
              <w:ind w:right="55"/>
              <w:rPr>
                <w:b/>
                <w:sz w:val="11"/>
              </w:rPr>
            </w:pPr>
            <w:r>
              <w:rPr>
                <w:b/>
                <w:w w:val="105"/>
                <w:sz w:val="11"/>
              </w:rPr>
              <w:t>7,355.9</w:t>
            </w:r>
          </w:p>
        </w:tc>
        <w:tc>
          <w:tcPr>
            <w:tcW w:w="665" w:type="dxa"/>
            <w:tcBorders>
              <w:top w:val="single" w:sz="8" w:space="0" w:color="000000"/>
              <w:left w:val="single" w:sz="8" w:space="0" w:color="000000"/>
              <w:right w:val="single" w:sz="8" w:space="0" w:color="000000"/>
            </w:tcBorders>
          </w:tcPr>
          <w:p>
            <w:pPr>
              <w:pStyle w:val="TableParagraph"/>
              <w:spacing w:before="5"/>
              <w:ind w:right="53"/>
              <w:rPr>
                <w:b/>
                <w:sz w:val="11"/>
              </w:rPr>
            </w:pPr>
            <w:r>
              <w:rPr>
                <w:b/>
                <w:w w:val="105"/>
                <w:sz w:val="11"/>
              </w:rPr>
              <w:t>7,570.3</w:t>
            </w:r>
          </w:p>
        </w:tc>
        <w:tc>
          <w:tcPr>
            <w:tcW w:w="666" w:type="dxa"/>
            <w:tcBorders>
              <w:top w:val="single" w:sz="8" w:space="0" w:color="000000"/>
              <w:left w:val="single" w:sz="8" w:space="0" w:color="000000"/>
            </w:tcBorders>
          </w:tcPr>
          <w:p>
            <w:pPr>
              <w:pStyle w:val="TableParagraph"/>
              <w:spacing w:before="5"/>
              <w:ind w:right="55"/>
              <w:rPr>
                <w:b/>
                <w:sz w:val="11"/>
              </w:rPr>
            </w:pPr>
            <w:r>
              <w:rPr>
                <w:b/>
                <w:w w:val="105"/>
                <w:sz w:val="11"/>
              </w:rPr>
              <w:t>7,070.7</w:t>
            </w:r>
          </w:p>
        </w:tc>
        <w:tc>
          <w:tcPr>
            <w:tcW w:w="668" w:type="dxa"/>
            <w:tcBorders>
              <w:top w:val="single" w:sz="8" w:space="0" w:color="000000"/>
              <w:right w:val="single" w:sz="8" w:space="0" w:color="000000"/>
            </w:tcBorders>
          </w:tcPr>
          <w:p>
            <w:pPr>
              <w:pStyle w:val="TableParagraph"/>
              <w:spacing w:before="5"/>
              <w:ind w:right="57"/>
              <w:rPr>
                <w:b/>
                <w:sz w:val="11"/>
              </w:rPr>
            </w:pPr>
            <w:r>
              <w:rPr>
                <w:b/>
                <w:w w:val="105"/>
                <w:sz w:val="11"/>
              </w:rPr>
              <w:t>5,899.6</w:t>
            </w:r>
          </w:p>
        </w:tc>
        <w:tc>
          <w:tcPr>
            <w:tcW w:w="773" w:type="dxa"/>
            <w:tcBorders>
              <w:top w:val="single" w:sz="8" w:space="0" w:color="000000"/>
              <w:left w:val="single" w:sz="8" w:space="0" w:color="000000"/>
              <w:right w:val="single" w:sz="8" w:space="0" w:color="000000"/>
            </w:tcBorders>
          </w:tcPr>
          <w:p>
            <w:pPr>
              <w:pStyle w:val="TableParagraph"/>
              <w:spacing w:before="5"/>
              <w:ind w:right="55"/>
              <w:rPr>
                <w:b/>
                <w:sz w:val="11"/>
              </w:rPr>
            </w:pPr>
            <w:r>
              <w:rPr>
                <w:b/>
                <w:w w:val="105"/>
                <w:sz w:val="11"/>
              </w:rPr>
              <w:t>6,175.0</w:t>
            </w:r>
          </w:p>
        </w:tc>
        <w:tc>
          <w:tcPr>
            <w:tcW w:w="624" w:type="dxa"/>
            <w:tcBorders>
              <w:top w:val="single" w:sz="8" w:space="0" w:color="000000"/>
              <w:left w:val="single" w:sz="8" w:space="0" w:color="000000"/>
              <w:right w:val="single" w:sz="8" w:space="0" w:color="000000"/>
            </w:tcBorders>
          </w:tcPr>
          <w:p>
            <w:pPr>
              <w:pStyle w:val="TableParagraph"/>
              <w:spacing w:before="5"/>
              <w:ind w:right="55"/>
              <w:rPr>
                <w:b/>
                <w:sz w:val="11"/>
              </w:rPr>
            </w:pPr>
            <w:r>
              <w:rPr>
                <w:b/>
                <w:w w:val="105"/>
                <w:sz w:val="11"/>
              </w:rPr>
              <w:t>100</w:t>
            </w:r>
          </w:p>
        </w:tc>
        <w:tc>
          <w:tcPr>
            <w:tcW w:w="474" w:type="dxa"/>
            <w:tcBorders>
              <w:top w:val="single" w:sz="8" w:space="0" w:color="000000"/>
              <w:left w:val="single" w:sz="8" w:space="0" w:color="000000"/>
            </w:tcBorders>
          </w:tcPr>
          <w:p>
            <w:pPr>
              <w:pStyle w:val="TableParagraph"/>
              <w:spacing w:before="5"/>
              <w:ind w:right="57"/>
              <w:rPr>
                <w:b/>
                <w:sz w:val="11"/>
              </w:rPr>
            </w:pPr>
            <w:r>
              <w:rPr>
                <w:b/>
                <w:w w:val="105"/>
                <w:sz w:val="11"/>
              </w:rPr>
              <w:t>6.1</w:t>
            </w:r>
          </w:p>
        </w:tc>
        <w:tc>
          <w:tcPr>
            <w:tcW w:w="526" w:type="dxa"/>
            <w:tcBorders>
              <w:top w:val="single" w:sz="8" w:space="0" w:color="000000"/>
            </w:tcBorders>
          </w:tcPr>
          <w:p>
            <w:pPr/>
          </w:p>
        </w:tc>
        <w:tc>
          <w:tcPr>
            <w:tcW w:w="376" w:type="dxa"/>
            <w:tcBorders>
              <w:top w:val="single" w:sz="8" w:space="0" w:color="000000"/>
              <w:right w:val="single" w:sz="8" w:space="0" w:color="000000"/>
            </w:tcBorders>
          </w:tcPr>
          <w:p>
            <w:pPr/>
          </w:p>
        </w:tc>
      </w:tr>
      <w:tr>
        <w:trPr>
          <w:trHeight w:val="150" w:hRule="exact"/>
        </w:trPr>
        <w:tc>
          <w:tcPr>
            <w:tcW w:w="200" w:type="dxa"/>
            <w:tcBorders>
              <w:left w:val="single" w:sz="8" w:space="0" w:color="000000"/>
              <w:bottom w:val="single" w:sz="4" w:space="0" w:color="000000"/>
            </w:tcBorders>
          </w:tcPr>
          <w:p>
            <w:pPr>
              <w:pStyle w:val="TableParagraph"/>
              <w:spacing w:before="5"/>
              <w:jc w:val="center"/>
              <w:rPr>
                <w:sz w:val="11"/>
              </w:rPr>
            </w:pPr>
            <w:r>
              <w:rPr>
                <w:w w:val="106"/>
                <w:sz w:val="11"/>
              </w:rPr>
              <w:t>1</w:t>
            </w:r>
          </w:p>
        </w:tc>
        <w:tc>
          <w:tcPr>
            <w:tcW w:w="1609" w:type="dxa"/>
            <w:tcBorders>
              <w:bottom w:val="single" w:sz="4" w:space="0" w:color="000000"/>
              <w:right w:val="single" w:sz="8" w:space="0" w:color="000000"/>
            </w:tcBorders>
          </w:tcPr>
          <w:p>
            <w:pPr>
              <w:pStyle w:val="TableParagraph"/>
              <w:spacing w:before="5"/>
              <w:ind w:left="59"/>
              <w:jc w:val="left"/>
              <w:rPr>
                <w:sz w:val="11"/>
              </w:rPr>
            </w:pPr>
            <w:r>
              <w:rPr>
                <w:w w:val="105"/>
                <w:sz w:val="11"/>
              </w:rPr>
              <w:t>Distrito Federal</w:t>
            </w:r>
          </w:p>
        </w:tc>
        <w:tc>
          <w:tcPr>
            <w:tcW w:w="666" w:type="dxa"/>
            <w:tcBorders>
              <w:left w:val="single" w:sz="8" w:space="0" w:color="000000"/>
              <w:bottom w:val="single" w:sz="4" w:space="0" w:color="000000"/>
              <w:right w:val="single" w:sz="3" w:space="0" w:color="000000"/>
            </w:tcBorders>
          </w:tcPr>
          <w:p>
            <w:pPr>
              <w:pStyle w:val="TableParagraph"/>
              <w:spacing w:before="5"/>
              <w:ind w:right="60"/>
              <w:rPr>
                <w:sz w:val="11"/>
              </w:rPr>
            </w:pPr>
            <w:r>
              <w:rPr>
                <w:w w:val="105"/>
                <w:sz w:val="11"/>
              </w:rPr>
              <w:t>826.8</w:t>
            </w:r>
          </w:p>
        </w:tc>
        <w:tc>
          <w:tcPr>
            <w:tcW w:w="666" w:type="dxa"/>
            <w:tcBorders>
              <w:left w:val="single" w:sz="3" w:space="0" w:color="000000"/>
              <w:bottom w:val="single" w:sz="4" w:space="0" w:color="000000"/>
              <w:right w:val="single" w:sz="4" w:space="0" w:color="000000"/>
            </w:tcBorders>
          </w:tcPr>
          <w:p>
            <w:pPr>
              <w:pStyle w:val="TableParagraph"/>
              <w:spacing w:before="5"/>
              <w:ind w:right="60"/>
              <w:rPr>
                <w:sz w:val="11"/>
              </w:rPr>
            </w:pPr>
            <w:r>
              <w:rPr>
                <w:w w:val="105"/>
                <w:sz w:val="11"/>
              </w:rPr>
              <w:t>928.8</w:t>
            </w:r>
          </w:p>
        </w:tc>
        <w:tc>
          <w:tcPr>
            <w:tcW w:w="665" w:type="dxa"/>
            <w:tcBorders>
              <w:left w:val="single" w:sz="4" w:space="0" w:color="000000"/>
              <w:bottom w:val="single" w:sz="4" w:space="0" w:color="000000"/>
              <w:right w:val="single" w:sz="4" w:space="0" w:color="000000"/>
            </w:tcBorders>
          </w:tcPr>
          <w:p>
            <w:pPr>
              <w:pStyle w:val="TableParagraph"/>
              <w:spacing w:before="5"/>
              <w:ind w:right="57"/>
              <w:rPr>
                <w:sz w:val="11"/>
              </w:rPr>
            </w:pPr>
            <w:r>
              <w:rPr>
                <w:w w:val="105"/>
                <w:sz w:val="11"/>
              </w:rPr>
              <w:t>1,333.9</w:t>
            </w:r>
          </w:p>
        </w:tc>
        <w:tc>
          <w:tcPr>
            <w:tcW w:w="667" w:type="dxa"/>
            <w:tcBorders>
              <w:left w:val="single" w:sz="4" w:space="0" w:color="000000"/>
              <w:bottom w:val="single" w:sz="4" w:space="0" w:color="000000"/>
              <w:right w:val="single" w:sz="4" w:space="0" w:color="000000"/>
            </w:tcBorders>
          </w:tcPr>
          <w:p>
            <w:pPr>
              <w:pStyle w:val="TableParagraph"/>
              <w:spacing w:before="5"/>
              <w:ind w:right="60"/>
              <w:rPr>
                <w:sz w:val="11"/>
              </w:rPr>
            </w:pPr>
            <w:r>
              <w:rPr>
                <w:w w:val="105"/>
                <w:sz w:val="11"/>
              </w:rPr>
              <w:t>1,524.6</w:t>
            </w:r>
          </w:p>
        </w:tc>
        <w:tc>
          <w:tcPr>
            <w:tcW w:w="665" w:type="dxa"/>
            <w:tcBorders>
              <w:left w:val="single" w:sz="4" w:space="0" w:color="000000"/>
              <w:bottom w:val="single" w:sz="4" w:space="0" w:color="000000"/>
              <w:right w:val="single" w:sz="4" w:space="0" w:color="000000"/>
            </w:tcBorders>
          </w:tcPr>
          <w:p>
            <w:pPr>
              <w:pStyle w:val="TableParagraph"/>
              <w:spacing w:before="5"/>
              <w:ind w:right="57"/>
              <w:rPr>
                <w:sz w:val="11"/>
              </w:rPr>
            </w:pPr>
            <w:r>
              <w:rPr>
                <w:w w:val="105"/>
                <w:sz w:val="11"/>
              </w:rPr>
              <w:t>1,374.8</w:t>
            </w:r>
          </w:p>
        </w:tc>
        <w:tc>
          <w:tcPr>
            <w:tcW w:w="666" w:type="dxa"/>
            <w:tcBorders>
              <w:left w:val="single" w:sz="4" w:space="0" w:color="000000"/>
              <w:bottom w:val="single" w:sz="4" w:space="0" w:color="000000"/>
              <w:right w:val="single" w:sz="3" w:space="0" w:color="000000"/>
            </w:tcBorders>
          </w:tcPr>
          <w:p>
            <w:pPr>
              <w:pStyle w:val="TableParagraph"/>
              <w:spacing w:before="5"/>
              <w:ind w:right="60"/>
              <w:rPr>
                <w:sz w:val="11"/>
              </w:rPr>
            </w:pPr>
            <w:r>
              <w:rPr>
                <w:w w:val="105"/>
                <w:sz w:val="11"/>
              </w:rPr>
              <w:t>1,105.3</w:t>
            </w:r>
          </w:p>
        </w:tc>
        <w:tc>
          <w:tcPr>
            <w:tcW w:w="668" w:type="dxa"/>
            <w:tcBorders>
              <w:left w:val="single" w:sz="3" w:space="0" w:color="000000"/>
              <w:bottom w:val="single" w:sz="4" w:space="0" w:color="000000"/>
              <w:right w:val="single" w:sz="4" w:space="0" w:color="000000"/>
            </w:tcBorders>
          </w:tcPr>
          <w:p>
            <w:pPr>
              <w:pStyle w:val="TableParagraph"/>
              <w:spacing w:before="5"/>
              <w:ind w:right="62"/>
              <w:rPr>
                <w:sz w:val="11"/>
              </w:rPr>
            </w:pPr>
            <w:r>
              <w:rPr>
                <w:w w:val="105"/>
                <w:sz w:val="11"/>
              </w:rPr>
              <w:t>980.6</w:t>
            </w:r>
          </w:p>
        </w:tc>
        <w:tc>
          <w:tcPr>
            <w:tcW w:w="773" w:type="dxa"/>
            <w:tcBorders>
              <w:left w:val="single" w:sz="4" w:space="0" w:color="000000"/>
              <w:bottom w:val="single" w:sz="4" w:space="0" w:color="000000"/>
              <w:right w:val="single" w:sz="4" w:space="0" w:color="000000"/>
            </w:tcBorders>
          </w:tcPr>
          <w:p>
            <w:pPr>
              <w:pStyle w:val="TableParagraph"/>
              <w:spacing w:before="5"/>
              <w:ind w:right="60"/>
              <w:rPr>
                <w:sz w:val="11"/>
              </w:rPr>
            </w:pPr>
            <w:r>
              <w:rPr>
                <w:w w:val="105"/>
                <w:sz w:val="11"/>
              </w:rPr>
              <w:t>1,153.5</w:t>
            </w:r>
          </w:p>
        </w:tc>
        <w:tc>
          <w:tcPr>
            <w:tcW w:w="624" w:type="dxa"/>
            <w:tcBorders>
              <w:left w:val="single" w:sz="4" w:space="0" w:color="000000"/>
              <w:bottom w:val="single" w:sz="4" w:space="0" w:color="000000"/>
              <w:right w:val="single" w:sz="4" w:space="0" w:color="000000"/>
            </w:tcBorders>
          </w:tcPr>
          <w:p>
            <w:pPr>
              <w:pStyle w:val="TableParagraph"/>
              <w:spacing w:before="5"/>
              <w:ind w:right="60"/>
              <w:rPr>
                <w:sz w:val="11"/>
              </w:rPr>
            </w:pPr>
            <w:r>
              <w:rPr>
                <w:w w:val="105"/>
                <w:sz w:val="11"/>
              </w:rPr>
              <w:t>18.7</w:t>
            </w:r>
          </w:p>
        </w:tc>
        <w:tc>
          <w:tcPr>
            <w:tcW w:w="474" w:type="dxa"/>
            <w:tcBorders>
              <w:left w:val="single" w:sz="4" w:space="0" w:color="000000"/>
              <w:bottom w:val="single" w:sz="4" w:space="0" w:color="000000"/>
              <w:right w:val="single" w:sz="3" w:space="0" w:color="000000"/>
            </w:tcBorders>
          </w:tcPr>
          <w:p>
            <w:pPr>
              <w:pStyle w:val="TableParagraph"/>
              <w:spacing w:before="5"/>
              <w:ind w:right="62"/>
              <w:rPr>
                <w:sz w:val="11"/>
              </w:rPr>
            </w:pPr>
            <w:r>
              <w:rPr>
                <w:w w:val="105"/>
                <w:sz w:val="11"/>
              </w:rPr>
              <w:t>2.9</w:t>
            </w:r>
          </w:p>
        </w:tc>
        <w:tc>
          <w:tcPr>
            <w:tcW w:w="526" w:type="dxa"/>
            <w:tcBorders>
              <w:left w:val="single" w:sz="3" w:space="0" w:color="000000"/>
              <w:bottom w:val="single" w:sz="4" w:space="0" w:color="000000"/>
              <w:right w:val="single" w:sz="3" w:space="0" w:color="000000"/>
            </w:tcBorders>
          </w:tcPr>
          <w:p>
            <w:pPr>
              <w:pStyle w:val="TableParagraph"/>
              <w:spacing w:before="5"/>
              <w:ind w:left="64"/>
              <w:jc w:val="left"/>
              <w:rPr>
                <w:sz w:val="11"/>
              </w:rPr>
            </w:pPr>
            <w:r>
              <w:rPr>
                <w:w w:val="105"/>
                <w:sz w:val="11"/>
              </w:rPr>
              <w:t>1,153.5</w:t>
            </w:r>
          </w:p>
        </w:tc>
        <w:tc>
          <w:tcPr>
            <w:tcW w:w="376" w:type="dxa"/>
            <w:tcBorders>
              <w:left w:val="single" w:sz="3" w:space="0" w:color="000000"/>
              <w:bottom w:val="single" w:sz="4" w:space="0" w:color="000000"/>
              <w:right w:val="single" w:sz="8" w:space="0" w:color="000000"/>
            </w:tcBorders>
          </w:tcPr>
          <w:p>
            <w:pPr>
              <w:pStyle w:val="TableParagraph"/>
              <w:spacing w:before="5"/>
              <w:ind w:right="53"/>
              <w:rPr>
                <w:sz w:val="11"/>
              </w:rPr>
            </w:pPr>
            <w:r>
              <w:rPr>
                <w:w w:val="105"/>
                <w:sz w:val="11"/>
              </w:rPr>
              <w:t>18.7</w:t>
            </w:r>
          </w:p>
        </w:tc>
      </w:tr>
      <w:tr>
        <w:trPr>
          <w:trHeight w:val="144" w:hRule="exact"/>
        </w:trPr>
        <w:tc>
          <w:tcPr>
            <w:tcW w:w="200" w:type="dxa"/>
            <w:tcBorders>
              <w:top w:val="single" w:sz="4" w:space="0" w:color="000000"/>
              <w:left w:val="single" w:sz="8" w:space="0" w:color="000000"/>
              <w:bottom w:val="single" w:sz="4" w:space="0" w:color="000000"/>
            </w:tcBorders>
          </w:tcPr>
          <w:p>
            <w:pPr>
              <w:pStyle w:val="TableParagraph"/>
              <w:jc w:val="center"/>
              <w:rPr>
                <w:sz w:val="11"/>
              </w:rPr>
            </w:pPr>
            <w:r>
              <w:rPr>
                <w:w w:val="106"/>
                <w:sz w:val="11"/>
              </w:rPr>
              <w:t>2</w:t>
            </w:r>
          </w:p>
        </w:tc>
        <w:tc>
          <w:tcPr>
            <w:tcW w:w="1609" w:type="dxa"/>
            <w:tcBorders>
              <w:top w:val="single" w:sz="4" w:space="0" w:color="000000"/>
              <w:bottom w:val="single" w:sz="4" w:space="0" w:color="000000"/>
              <w:right w:val="single" w:sz="8" w:space="0" w:color="000000"/>
            </w:tcBorders>
          </w:tcPr>
          <w:p>
            <w:pPr>
              <w:pStyle w:val="TableParagraph"/>
              <w:ind w:left="59"/>
              <w:jc w:val="left"/>
              <w:rPr>
                <w:sz w:val="11"/>
              </w:rPr>
            </w:pPr>
            <w:r>
              <w:rPr>
                <w:w w:val="105"/>
                <w:sz w:val="11"/>
              </w:rPr>
              <w:t>Hidalgo</w:t>
            </w:r>
          </w:p>
        </w:tc>
        <w:tc>
          <w:tcPr>
            <w:tcW w:w="666" w:type="dxa"/>
            <w:tcBorders>
              <w:top w:val="single" w:sz="4" w:space="0" w:color="000000"/>
              <w:left w:val="single" w:sz="8" w:space="0" w:color="000000"/>
              <w:bottom w:val="single" w:sz="4" w:space="0" w:color="000000"/>
              <w:right w:val="single" w:sz="3" w:space="0" w:color="000000"/>
            </w:tcBorders>
          </w:tcPr>
          <w:p>
            <w:pPr>
              <w:pStyle w:val="TableParagraph"/>
              <w:ind w:right="60"/>
              <w:rPr>
                <w:sz w:val="11"/>
              </w:rPr>
            </w:pPr>
            <w:r>
              <w:rPr>
                <w:w w:val="105"/>
                <w:sz w:val="11"/>
              </w:rPr>
              <w:t>589.1</w:t>
            </w:r>
          </w:p>
        </w:tc>
        <w:tc>
          <w:tcPr>
            <w:tcW w:w="666" w:type="dxa"/>
            <w:tcBorders>
              <w:top w:val="single" w:sz="4" w:space="0" w:color="000000"/>
              <w:left w:val="single" w:sz="3" w:space="0" w:color="000000"/>
              <w:bottom w:val="single" w:sz="4" w:space="0" w:color="000000"/>
              <w:right w:val="single" w:sz="4" w:space="0" w:color="000000"/>
            </w:tcBorders>
          </w:tcPr>
          <w:p>
            <w:pPr>
              <w:pStyle w:val="TableParagraph"/>
              <w:ind w:right="60"/>
              <w:rPr>
                <w:sz w:val="11"/>
              </w:rPr>
            </w:pPr>
            <w:r>
              <w:rPr>
                <w:w w:val="105"/>
                <w:sz w:val="11"/>
              </w:rPr>
              <w:t>698.1</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782.1</w:t>
            </w:r>
          </w:p>
        </w:tc>
        <w:tc>
          <w:tcPr>
            <w:tcW w:w="667"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945.5</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1,085.6</w:t>
            </w:r>
          </w:p>
        </w:tc>
        <w:tc>
          <w:tcPr>
            <w:tcW w:w="666"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939.5</w:t>
            </w:r>
          </w:p>
        </w:tc>
        <w:tc>
          <w:tcPr>
            <w:tcW w:w="668"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736.7</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825.2</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13.4</w:t>
            </w:r>
          </w:p>
        </w:tc>
        <w:tc>
          <w:tcPr>
            <w:tcW w:w="474" w:type="dxa"/>
            <w:tcBorders>
              <w:top w:val="single" w:sz="4" w:space="0" w:color="000000"/>
              <w:left w:val="single" w:sz="4" w:space="0" w:color="000000"/>
              <w:bottom w:val="single" w:sz="4" w:space="0" w:color="000000"/>
              <w:right w:val="single" w:sz="3" w:space="0" w:color="000000"/>
            </w:tcBorders>
          </w:tcPr>
          <w:p>
            <w:pPr>
              <w:pStyle w:val="TableParagraph"/>
              <w:ind w:right="62"/>
              <w:rPr>
                <w:sz w:val="11"/>
              </w:rPr>
            </w:pPr>
            <w:r>
              <w:rPr>
                <w:w w:val="105"/>
                <w:sz w:val="11"/>
              </w:rPr>
              <w:t>3.8</w:t>
            </w:r>
          </w:p>
        </w:tc>
        <w:tc>
          <w:tcPr>
            <w:tcW w:w="526" w:type="dxa"/>
            <w:tcBorders>
              <w:top w:val="single" w:sz="4" w:space="0" w:color="000000"/>
              <w:left w:val="single" w:sz="3" w:space="0" w:color="000000"/>
              <w:bottom w:val="single" w:sz="4" w:space="0" w:color="000000"/>
              <w:right w:val="single" w:sz="3" w:space="0" w:color="000000"/>
            </w:tcBorders>
          </w:tcPr>
          <w:p>
            <w:pPr>
              <w:pStyle w:val="TableParagraph"/>
              <w:ind w:left="64"/>
              <w:jc w:val="left"/>
              <w:rPr>
                <w:sz w:val="11"/>
              </w:rPr>
            </w:pPr>
            <w:r>
              <w:rPr>
                <w:w w:val="105"/>
                <w:sz w:val="11"/>
              </w:rPr>
              <w:t>1,978.8</w:t>
            </w:r>
          </w:p>
        </w:tc>
        <w:tc>
          <w:tcPr>
            <w:tcW w:w="376" w:type="dxa"/>
            <w:tcBorders>
              <w:top w:val="single" w:sz="4" w:space="0" w:color="000000"/>
              <w:left w:val="single" w:sz="3" w:space="0" w:color="000000"/>
              <w:bottom w:val="single" w:sz="4" w:space="0" w:color="000000"/>
              <w:right w:val="single" w:sz="8" w:space="0" w:color="000000"/>
            </w:tcBorders>
          </w:tcPr>
          <w:p>
            <w:pPr>
              <w:pStyle w:val="TableParagraph"/>
              <w:ind w:right="53"/>
              <w:rPr>
                <w:sz w:val="11"/>
              </w:rPr>
            </w:pPr>
            <w:r>
              <w:rPr>
                <w:w w:val="105"/>
                <w:sz w:val="11"/>
              </w:rPr>
              <w:t>32.0</w:t>
            </w:r>
          </w:p>
        </w:tc>
      </w:tr>
      <w:tr>
        <w:trPr>
          <w:trHeight w:val="143" w:hRule="exact"/>
        </w:trPr>
        <w:tc>
          <w:tcPr>
            <w:tcW w:w="200" w:type="dxa"/>
            <w:tcBorders>
              <w:top w:val="single" w:sz="4" w:space="0" w:color="000000"/>
              <w:left w:val="single" w:sz="8" w:space="0" w:color="000000"/>
              <w:bottom w:val="single" w:sz="3" w:space="0" w:color="000000"/>
            </w:tcBorders>
          </w:tcPr>
          <w:p>
            <w:pPr>
              <w:pStyle w:val="TableParagraph"/>
              <w:jc w:val="center"/>
              <w:rPr>
                <w:sz w:val="11"/>
              </w:rPr>
            </w:pPr>
            <w:r>
              <w:rPr>
                <w:w w:val="106"/>
                <w:sz w:val="11"/>
              </w:rPr>
              <w:t>3</w:t>
            </w:r>
          </w:p>
        </w:tc>
        <w:tc>
          <w:tcPr>
            <w:tcW w:w="1609" w:type="dxa"/>
            <w:tcBorders>
              <w:top w:val="single" w:sz="4" w:space="0" w:color="000000"/>
              <w:bottom w:val="single" w:sz="3" w:space="0" w:color="000000"/>
              <w:right w:val="single" w:sz="8" w:space="0" w:color="000000"/>
            </w:tcBorders>
          </w:tcPr>
          <w:p>
            <w:pPr>
              <w:pStyle w:val="TableParagraph"/>
              <w:ind w:left="59"/>
              <w:jc w:val="left"/>
              <w:rPr>
                <w:sz w:val="11"/>
              </w:rPr>
            </w:pPr>
            <w:r>
              <w:rPr>
                <w:w w:val="105"/>
                <w:sz w:val="11"/>
              </w:rPr>
              <w:t>Estado de México</w:t>
            </w:r>
          </w:p>
        </w:tc>
        <w:tc>
          <w:tcPr>
            <w:tcW w:w="666" w:type="dxa"/>
            <w:tcBorders>
              <w:top w:val="single" w:sz="4" w:space="0" w:color="000000"/>
              <w:left w:val="single" w:sz="8" w:space="0" w:color="000000"/>
              <w:bottom w:val="single" w:sz="3" w:space="0" w:color="000000"/>
              <w:right w:val="single" w:sz="3" w:space="0" w:color="000000"/>
            </w:tcBorders>
          </w:tcPr>
          <w:p>
            <w:pPr>
              <w:pStyle w:val="TableParagraph"/>
              <w:ind w:right="60"/>
              <w:rPr>
                <w:sz w:val="11"/>
              </w:rPr>
            </w:pPr>
            <w:r>
              <w:rPr>
                <w:w w:val="105"/>
                <w:sz w:val="11"/>
              </w:rPr>
              <w:t>1,112.1</w:t>
            </w:r>
          </w:p>
        </w:tc>
        <w:tc>
          <w:tcPr>
            <w:tcW w:w="666" w:type="dxa"/>
            <w:tcBorders>
              <w:top w:val="single" w:sz="4" w:space="0" w:color="000000"/>
              <w:left w:val="single" w:sz="3" w:space="0" w:color="000000"/>
              <w:bottom w:val="single" w:sz="3" w:space="0" w:color="000000"/>
              <w:right w:val="single" w:sz="4" w:space="0" w:color="000000"/>
            </w:tcBorders>
          </w:tcPr>
          <w:p>
            <w:pPr>
              <w:pStyle w:val="TableParagraph"/>
              <w:ind w:right="60"/>
              <w:rPr>
                <w:sz w:val="11"/>
              </w:rPr>
            </w:pPr>
            <w:r>
              <w:rPr>
                <w:w w:val="105"/>
                <w:sz w:val="11"/>
              </w:rPr>
              <w:t>1,466.1</w:t>
            </w:r>
          </w:p>
        </w:tc>
        <w:tc>
          <w:tcPr>
            <w:tcW w:w="665" w:type="dxa"/>
            <w:tcBorders>
              <w:top w:val="single" w:sz="4" w:space="0" w:color="000000"/>
              <w:left w:val="single" w:sz="4" w:space="0" w:color="000000"/>
              <w:bottom w:val="single" w:sz="3" w:space="0" w:color="000000"/>
              <w:right w:val="single" w:sz="4" w:space="0" w:color="000000"/>
            </w:tcBorders>
          </w:tcPr>
          <w:p>
            <w:pPr>
              <w:pStyle w:val="TableParagraph"/>
              <w:ind w:right="57"/>
              <w:rPr>
                <w:sz w:val="11"/>
              </w:rPr>
            </w:pPr>
            <w:r>
              <w:rPr>
                <w:w w:val="105"/>
                <w:sz w:val="11"/>
              </w:rPr>
              <w:t>1,791.6</w:t>
            </w:r>
          </w:p>
        </w:tc>
        <w:tc>
          <w:tcPr>
            <w:tcW w:w="667" w:type="dxa"/>
            <w:tcBorders>
              <w:top w:val="single" w:sz="4" w:space="0" w:color="000000"/>
              <w:left w:val="single" w:sz="4" w:space="0" w:color="000000"/>
              <w:bottom w:val="single" w:sz="3" w:space="0" w:color="000000"/>
              <w:right w:val="single" w:sz="4" w:space="0" w:color="000000"/>
            </w:tcBorders>
          </w:tcPr>
          <w:p>
            <w:pPr>
              <w:pStyle w:val="TableParagraph"/>
              <w:ind w:right="60"/>
              <w:rPr>
                <w:sz w:val="11"/>
              </w:rPr>
            </w:pPr>
            <w:r>
              <w:rPr>
                <w:w w:val="105"/>
                <w:sz w:val="11"/>
              </w:rPr>
              <w:t>2,110.8</w:t>
            </w:r>
          </w:p>
        </w:tc>
        <w:tc>
          <w:tcPr>
            <w:tcW w:w="665" w:type="dxa"/>
            <w:tcBorders>
              <w:top w:val="single" w:sz="4" w:space="0" w:color="000000"/>
              <w:left w:val="single" w:sz="4" w:space="0" w:color="000000"/>
              <w:bottom w:val="single" w:sz="3" w:space="0" w:color="000000"/>
              <w:right w:val="single" w:sz="4" w:space="0" w:color="000000"/>
            </w:tcBorders>
          </w:tcPr>
          <w:p>
            <w:pPr>
              <w:pStyle w:val="TableParagraph"/>
              <w:ind w:right="57"/>
              <w:rPr>
                <w:sz w:val="11"/>
              </w:rPr>
            </w:pPr>
            <w:r>
              <w:rPr>
                <w:w w:val="105"/>
                <w:sz w:val="11"/>
              </w:rPr>
              <w:t>2,171.4</w:t>
            </w:r>
          </w:p>
        </w:tc>
        <w:tc>
          <w:tcPr>
            <w:tcW w:w="666" w:type="dxa"/>
            <w:tcBorders>
              <w:top w:val="single" w:sz="4" w:space="0" w:color="000000"/>
              <w:left w:val="single" w:sz="4" w:space="0" w:color="000000"/>
              <w:bottom w:val="single" w:sz="3" w:space="0" w:color="000000"/>
              <w:right w:val="single" w:sz="3" w:space="0" w:color="000000"/>
            </w:tcBorders>
          </w:tcPr>
          <w:p>
            <w:pPr>
              <w:pStyle w:val="TableParagraph"/>
              <w:ind w:right="60"/>
              <w:rPr>
                <w:sz w:val="11"/>
              </w:rPr>
            </w:pPr>
            <w:r>
              <w:rPr>
                <w:w w:val="105"/>
                <w:sz w:val="11"/>
              </w:rPr>
              <w:t>2,095.6</w:t>
            </w:r>
          </w:p>
        </w:tc>
        <w:tc>
          <w:tcPr>
            <w:tcW w:w="668" w:type="dxa"/>
            <w:tcBorders>
              <w:top w:val="single" w:sz="4" w:space="0" w:color="000000"/>
              <w:left w:val="single" w:sz="3" w:space="0" w:color="000000"/>
              <w:bottom w:val="single" w:sz="3" w:space="0" w:color="000000"/>
              <w:right w:val="single" w:sz="4" w:space="0" w:color="000000"/>
            </w:tcBorders>
          </w:tcPr>
          <w:p>
            <w:pPr>
              <w:pStyle w:val="TableParagraph"/>
              <w:ind w:right="62"/>
              <w:rPr>
                <w:sz w:val="11"/>
              </w:rPr>
            </w:pPr>
            <w:r>
              <w:rPr>
                <w:w w:val="105"/>
                <w:sz w:val="11"/>
              </w:rPr>
              <w:t>1,714.9</w:t>
            </w:r>
          </w:p>
        </w:tc>
        <w:tc>
          <w:tcPr>
            <w:tcW w:w="773" w:type="dxa"/>
            <w:tcBorders>
              <w:top w:val="single" w:sz="4" w:space="0" w:color="000000"/>
              <w:left w:val="single" w:sz="4" w:space="0" w:color="000000"/>
              <w:bottom w:val="single" w:sz="3" w:space="0" w:color="000000"/>
              <w:right w:val="single" w:sz="4" w:space="0" w:color="000000"/>
            </w:tcBorders>
          </w:tcPr>
          <w:p>
            <w:pPr>
              <w:pStyle w:val="TableParagraph"/>
              <w:ind w:right="60"/>
              <w:rPr>
                <w:sz w:val="11"/>
              </w:rPr>
            </w:pPr>
            <w:r>
              <w:rPr>
                <w:w w:val="105"/>
                <w:sz w:val="11"/>
              </w:rPr>
              <w:t>1,780.4</w:t>
            </w:r>
          </w:p>
        </w:tc>
        <w:tc>
          <w:tcPr>
            <w:tcW w:w="624" w:type="dxa"/>
            <w:tcBorders>
              <w:top w:val="single" w:sz="4" w:space="0" w:color="000000"/>
              <w:left w:val="single" w:sz="4" w:space="0" w:color="000000"/>
              <w:bottom w:val="single" w:sz="3" w:space="0" w:color="000000"/>
              <w:right w:val="single" w:sz="4" w:space="0" w:color="000000"/>
            </w:tcBorders>
          </w:tcPr>
          <w:p>
            <w:pPr>
              <w:pStyle w:val="TableParagraph"/>
              <w:ind w:right="60"/>
              <w:rPr>
                <w:sz w:val="11"/>
              </w:rPr>
            </w:pPr>
            <w:r>
              <w:rPr>
                <w:w w:val="105"/>
                <w:sz w:val="11"/>
              </w:rPr>
              <w:t>28.8</w:t>
            </w:r>
          </w:p>
        </w:tc>
        <w:tc>
          <w:tcPr>
            <w:tcW w:w="474" w:type="dxa"/>
            <w:tcBorders>
              <w:top w:val="single" w:sz="4" w:space="0" w:color="000000"/>
              <w:left w:val="single" w:sz="4" w:space="0" w:color="000000"/>
              <w:bottom w:val="single" w:sz="3" w:space="0" w:color="000000"/>
              <w:right w:val="single" w:sz="3" w:space="0" w:color="000000"/>
            </w:tcBorders>
          </w:tcPr>
          <w:p>
            <w:pPr>
              <w:pStyle w:val="TableParagraph"/>
              <w:ind w:right="62"/>
              <w:rPr>
                <w:sz w:val="11"/>
              </w:rPr>
            </w:pPr>
            <w:r>
              <w:rPr>
                <w:w w:val="105"/>
                <w:sz w:val="11"/>
              </w:rPr>
              <w:t>7.5</w:t>
            </w:r>
          </w:p>
        </w:tc>
        <w:tc>
          <w:tcPr>
            <w:tcW w:w="526" w:type="dxa"/>
            <w:tcBorders>
              <w:top w:val="single" w:sz="4" w:space="0" w:color="000000"/>
              <w:left w:val="single" w:sz="3" w:space="0" w:color="000000"/>
              <w:bottom w:val="single" w:sz="3" w:space="0" w:color="000000"/>
              <w:right w:val="single" w:sz="3" w:space="0" w:color="000000"/>
            </w:tcBorders>
          </w:tcPr>
          <w:p>
            <w:pPr>
              <w:pStyle w:val="TableParagraph"/>
              <w:ind w:left="64"/>
              <w:jc w:val="left"/>
              <w:rPr>
                <w:sz w:val="11"/>
              </w:rPr>
            </w:pPr>
            <w:r>
              <w:rPr>
                <w:w w:val="105"/>
                <w:sz w:val="11"/>
              </w:rPr>
              <w:t>3,759.1</w:t>
            </w:r>
          </w:p>
        </w:tc>
        <w:tc>
          <w:tcPr>
            <w:tcW w:w="376" w:type="dxa"/>
            <w:tcBorders>
              <w:top w:val="single" w:sz="4" w:space="0" w:color="000000"/>
              <w:left w:val="single" w:sz="3" w:space="0" w:color="000000"/>
              <w:bottom w:val="single" w:sz="3" w:space="0" w:color="000000"/>
              <w:right w:val="single" w:sz="8" w:space="0" w:color="000000"/>
            </w:tcBorders>
          </w:tcPr>
          <w:p>
            <w:pPr>
              <w:pStyle w:val="TableParagraph"/>
              <w:ind w:right="53"/>
              <w:rPr>
                <w:sz w:val="11"/>
              </w:rPr>
            </w:pPr>
            <w:r>
              <w:rPr>
                <w:w w:val="105"/>
                <w:sz w:val="11"/>
              </w:rPr>
              <w:t>60.9</w:t>
            </w:r>
          </w:p>
        </w:tc>
      </w:tr>
      <w:tr>
        <w:trPr>
          <w:trHeight w:val="145" w:hRule="exact"/>
        </w:trPr>
        <w:tc>
          <w:tcPr>
            <w:tcW w:w="200" w:type="dxa"/>
            <w:tcBorders>
              <w:top w:val="single" w:sz="3" w:space="0" w:color="000000"/>
              <w:left w:val="single" w:sz="8" w:space="0" w:color="000000"/>
              <w:bottom w:val="single" w:sz="4" w:space="0" w:color="000000"/>
            </w:tcBorders>
          </w:tcPr>
          <w:p>
            <w:pPr>
              <w:pStyle w:val="TableParagraph"/>
              <w:spacing w:before="5"/>
              <w:jc w:val="center"/>
              <w:rPr>
                <w:sz w:val="11"/>
              </w:rPr>
            </w:pPr>
            <w:r>
              <w:rPr>
                <w:w w:val="106"/>
                <w:sz w:val="11"/>
              </w:rPr>
              <w:t>4</w:t>
            </w:r>
          </w:p>
        </w:tc>
        <w:tc>
          <w:tcPr>
            <w:tcW w:w="1609" w:type="dxa"/>
            <w:tcBorders>
              <w:top w:val="single" w:sz="3" w:space="0" w:color="000000"/>
              <w:bottom w:val="single" w:sz="4" w:space="0" w:color="000000"/>
              <w:right w:val="single" w:sz="8" w:space="0" w:color="000000"/>
            </w:tcBorders>
          </w:tcPr>
          <w:p>
            <w:pPr>
              <w:pStyle w:val="TableParagraph"/>
              <w:spacing w:before="5"/>
              <w:ind w:left="59"/>
              <w:jc w:val="left"/>
              <w:rPr>
                <w:sz w:val="11"/>
              </w:rPr>
            </w:pPr>
            <w:r>
              <w:rPr>
                <w:w w:val="105"/>
                <w:sz w:val="11"/>
              </w:rPr>
              <w:t>Morelos</w:t>
            </w:r>
          </w:p>
        </w:tc>
        <w:tc>
          <w:tcPr>
            <w:tcW w:w="666" w:type="dxa"/>
            <w:tcBorders>
              <w:top w:val="single" w:sz="3" w:space="0" w:color="000000"/>
              <w:left w:val="single" w:sz="8" w:space="0" w:color="000000"/>
              <w:bottom w:val="single" w:sz="4" w:space="0" w:color="000000"/>
              <w:right w:val="single" w:sz="3" w:space="0" w:color="000000"/>
            </w:tcBorders>
          </w:tcPr>
          <w:p>
            <w:pPr>
              <w:pStyle w:val="TableParagraph"/>
              <w:spacing w:before="5"/>
              <w:ind w:right="60"/>
              <w:rPr>
                <w:sz w:val="11"/>
              </w:rPr>
            </w:pPr>
            <w:r>
              <w:rPr>
                <w:w w:val="105"/>
                <w:sz w:val="11"/>
              </w:rPr>
              <w:t>368.5</w:t>
            </w:r>
          </w:p>
        </w:tc>
        <w:tc>
          <w:tcPr>
            <w:tcW w:w="666" w:type="dxa"/>
            <w:tcBorders>
              <w:top w:val="single" w:sz="3" w:space="0" w:color="000000"/>
              <w:left w:val="single" w:sz="3" w:space="0" w:color="000000"/>
              <w:bottom w:val="single" w:sz="4" w:space="0" w:color="000000"/>
              <w:right w:val="single" w:sz="4" w:space="0" w:color="000000"/>
            </w:tcBorders>
          </w:tcPr>
          <w:p>
            <w:pPr>
              <w:pStyle w:val="TableParagraph"/>
              <w:spacing w:before="5"/>
              <w:ind w:right="60"/>
              <w:rPr>
                <w:sz w:val="11"/>
              </w:rPr>
            </w:pPr>
            <w:r>
              <w:rPr>
                <w:w w:val="105"/>
                <w:sz w:val="11"/>
              </w:rPr>
              <w:t>429.8</w:t>
            </w:r>
          </w:p>
        </w:tc>
        <w:tc>
          <w:tcPr>
            <w:tcW w:w="665" w:type="dxa"/>
            <w:tcBorders>
              <w:top w:val="single" w:sz="3" w:space="0" w:color="000000"/>
              <w:left w:val="single" w:sz="4" w:space="0" w:color="000000"/>
              <w:bottom w:val="single" w:sz="4" w:space="0" w:color="000000"/>
              <w:right w:val="single" w:sz="4" w:space="0" w:color="000000"/>
            </w:tcBorders>
          </w:tcPr>
          <w:p>
            <w:pPr>
              <w:pStyle w:val="TableParagraph"/>
              <w:spacing w:before="5"/>
              <w:ind w:right="57"/>
              <w:rPr>
                <w:sz w:val="11"/>
              </w:rPr>
            </w:pPr>
            <w:r>
              <w:rPr>
                <w:w w:val="105"/>
                <w:sz w:val="11"/>
              </w:rPr>
              <w:t>504.9</w:t>
            </w:r>
          </w:p>
        </w:tc>
        <w:tc>
          <w:tcPr>
            <w:tcW w:w="667" w:type="dxa"/>
            <w:tcBorders>
              <w:top w:val="single" w:sz="3" w:space="0" w:color="000000"/>
              <w:left w:val="single" w:sz="4" w:space="0" w:color="000000"/>
              <w:bottom w:val="single" w:sz="4" w:space="0" w:color="000000"/>
              <w:right w:val="single" w:sz="4" w:space="0" w:color="000000"/>
            </w:tcBorders>
          </w:tcPr>
          <w:p>
            <w:pPr>
              <w:pStyle w:val="TableParagraph"/>
              <w:spacing w:before="5"/>
              <w:ind w:right="60"/>
              <w:rPr>
                <w:sz w:val="11"/>
              </w:rPr>
            </w:pPr>
            <w:r>
              <w:rPr>
                <w:w w:val="105"/>
                <w:sz w:val="11"/>
              </w:rPr>
              <w:t>588.7</w:t>
            </w:r>
          </w:p>
        </w:tc>
        <w:tc>
          <w:tcPr>
            <w:tcW w:w="665" w:type="dxa"/>
            <w:tcBorders>
              <w:top w:val="single" w:sz="3" w:space="0" w:color="000000"/>
              <w:left w:val="single" w:sz="4" w:space="0" w:color="000000"/>
              <w:bottom w:val="single" w:sz="4" w:space="0" w:color="000000"/>
              <w:right w:val="single" w:sz="4" w:space="0" w:color="000000"/>
            </w:tcBorders>
          </w:tcPr>
          <w:p>
            <w:pPr>
              <w:pStyle w:val="TableParagraph"/>
              <w:spacing w:before="5"/>
              <w:ind w:right="57"/>
              <w:rPr>
                <w:sz w:val="11"/>
              </w:rPr>
            </w:pPr>
            <w:r>
              <w:rPr>
                <w:w w:val="105"/>
                <w:sz w:val="11"/>
              </w:rPr>
              <w:t>614.9</w:t>
            </w:r>
          </w:p>
        </w:tc>
        <w:tc>
          <w:tcPr>
            <w:tcW w:w="666" w:type="dxa"/>
            <w:tcBorders>
              <w:top w:val="single" w:sz="3" w:space="0" w:color="000000"/>
              <w:left w:val="single" w:sz="4" w:space="0" w:color="000000"/>
              <w:bottom w:val="single" w:sz="4" w:space="0" w:color="000000"/>
              <w:right w:val="single" w:sz="3" w:space="0" w:color="000000"/>
            </w:tcBorders>
          </w:tcPr>
          <w:p>
            <w:pPr>
              <w:pStyle w:val="TableParagraph"/>
              <w:spacing w:before="5"/>
              <w:ind w:right="60"/>
              <w:rPr>
                <w:sz w:val="11"/>
              </w:rPr>
            </w:pPr>
            <w:r>
              <w:rPr>
                <w:w w:val="105"/>
                <w:sz w:val="11"/>
              </w:rPr>
              <w:t>621.2</w:t>
            </w:r>
          </w:p>
        </w:tc>
        <w:tc>
          <w:tcPr>
            <w:tcW w:w="668" w:type="dxa"/>
            <w:tcBorders>
              <w:top w:val="single" w:sz="3" w:space="0" w:color="000000"/>
              <w:left w:val="single" w:sz="3" w:space="0" w:color="000000"/>
              <w:bottom w:val="single" w:sz="4" w:space="0" w:color="000000"/>
              <w:right w:val="single" w:sz="4" w:space="0" w:color="000000"/>
            </w:tcBorders>
          </w:tcPr>
          <w:p>
            <w:pPr>
              <w:pStyle w:val="TableParagraph"/>
              <w:spacing w:before="5"/>
              <w:ind w:right="62"/>
              <w:rPr>
                <w:sz w:val="11"/>
              </w:rPr>
            </w:pPr>
            <w:r>
              <w:rPr>
                <w:w w:val="105"/>
                <w:sz w:val="11"/>
              </w:rPr>
              <w:t>541.9</w:t>
            </w:r>
          </w:p>
        </w:tc>
        <w:tc>
          <w:tcPr>
            <w:tcW w:w="773" w:type="dxa"/>
            <w:tcBorders>
              <w:top w:val="single" w:sz="3" w:space="0" w:color="000000"/>
              <w:left w:val="single" w:sz="4" w:space="0" w:color="000000"/>
              <w:bottom w:val="single" w:sz="4" w:space="0" w:color="000000"/>
              <w:right w:val="single" w:sz="4" w:space="0" w:color="000000"/>
            </w:tcBorders>
          </w:tcPr>
          <w:p>
            <w:pPr>
              <w:pStyle w:val="TableParagraph"/>
              <w:spacing w:before="5"/>
              <w:ind w:right="60"/>
              <w:rPr>
                <w:sz w:val="11"/>
              </w:rPr>
            </w:pPr>
            <w:r>
              <w:rPr>
                <w:w w:val="105"/>
                <w:sz w:val="11"/>
              </w:rPr>
              <w:t>524.3</w:t>
            </w:r>
          </w:p>
        </w:tc>
        <w:tc>
          <w:tcPr>
            <w:tcW w:w="624" w:type="dxa"/>
            <w:tcBorders>
              <w:top w:val="single" w:sz="3" w:space="0" w:color="000000"/>
              <w:left w:val="single" w:sz="4" w:space="0" w:color="000000"/>
              <w:bottom w:val="single" w:sz="4" w:space="0" w:color="000000"/>
              <w:right w:val="single" w:sz="4" w:space="0" w:color="000000"/>
            </w:tcBorders>
          </w:tcPr>
          <w:p>
            <w:pPr>
              <w:pStyle w:val="TableParagraph"/>
              <w:spacing w:before="5"/>
              <w:ind w:right="62"/>
              <w:rPr>
                <w:sz w:val="11"/>
              </w:rPr>
            </w:pPr>
            <w:r>
              <w:rPr>
                <w:w w:val="105"/>
                <w:sz w:val="11"/>
              </w:rPr>
              <w:t>8.5</w:t>
            </w:r>
          </w:p>
        </w:tc>
        <w:tc>
          <w:tcPr>
            <w:tcW w:w="474" w:type="dxa"/>
            <w:tcBorders>
              <w:top w:val="single" w:sz="3" w:space="0" w:color="000000"/>
              <w:left w:val="single" w:sz="4" w:space="0" w:color="000000"/>
              <w:bottom w:val="single" w:sz="4" w:space="0" w:color="000000"/>
              <w:right w:val="single" w:sz="3" w:space="0" w:color="000000"/>
            </w:tcBorders>
          </w:tcPr>
          <w:p>
            <w:pPr>
              <w:pStyle w:val="TableParagraph"/>
              <w:spacing w:before="5"/>
              <w:ind w:right="62"/>
              <w:rPr>
                <w:sz w:val="11"/>
              </w:rPr>
            </w:pPr>
            <w:r>
              <w:rPr>
                <w:w w:val="105"/>
                <w:sz w:val="11"/>
              </w:rPr>
              <w:t>6.6</w:t>
            </w:r>
          </w:p>
        </w:tc>
        <w:tc>
          <w:tcPr>
            <w:tcW w:w="526" w:type="dxa"/>
            <w:tcBorders>
              <w:top w:val="single" w:sz="3" w:space="0" w:color="000000"/>
              <w:left w:val="single" w:sz="3" w:space="0" w:color="000000"/>
              <w:bottom w:val="single" w:sz="4" w:space="0" w:color="000000"/>
              <w:right w:val="single" w:sz="3" w:space="0" w:color="000000"/>
            </w:tcBorders>
          </w:tcPr>
          <w:p>
            <w:pPr>
              <w:pStyle w:val="TableParagraph"/>
              <w:spacing w:before="5"/>
              <w:ind w:left="64"/>
              <w:jc w:val="left"/>
              <w:rPr>
                <w:sz w:val="11"/>
              </w:rPr>
            </w:pPr>
            <w:r>
              <w:rPr>
                <w:w w:val="105"/>
                <w:sz w:val="11"/>
              </w:rPr>
              <w:t>4,283.4</w:t>
            </w:r>
          </w:p>
        </w:tc>
        <w:tc>
          <w:tcPr>
            <w:tcW w:w="376" w:type="dxa"/>
            <w:tcBorders>
              <w:top w:val="single" w:sz="3" w:space="0" w:color="000000"/>
              <w:left w:val="single" w:sz="3" w:space="0" w:color="000000"/>
              <w:bottom w:val="single" w:sz="4" w:space="0" w:color="000000"/>
              <w:right w:val="single" w:sz="8" w:space="0" w:color="000000"/>
            </w:tcBorders>
          </w:tcPr>
          <w:p>
            <w:pPr>
              <w:pStyle w:val="TableParagraph"/>
              <w:spacing w:before="5"/>
              <w:ind w:right="53"/>
              <w:rPr>
                <w:sz w:val="11"/>
              </w:rPr>
            </w:pPr>
            <w:r>
              <w:rPr>
                <w:w w:val="105"/>
                <w:sz w:val="11"/>
              </w:rPr>
              <w:t>69.4</w:t>
            </w:r>
          </w:p>
        </w:tc>
      </w:tr>
      <w:tr>
        <w:trPr>
          <w:trHeight w:val="144" w:hRule="exact"/>
        </w:trPr>
        <w:tc>
          <w:tcPr>
            <w:tcW w:w="200" w:type="dxa"/>
            <w:tcBorders>
              <w:top w:val="single" w:sz="4" w:space="0" w:color="000000"/>
              <w:left w:val="single" w:sz="8" w:space="0" w:color="000000"/>
              <w:bottom w:val="single" w:sz="4" w:space="0" w:color="000000"/>
            </w:tcBorders>
          </w:tcPr>
          <w:p>
            <w:pPr>
              <w:pStyle w:val="TableParagraph"/>
              <w:jc w:val="center"/>
              <w:rPr>
                <w:sz w:val="11"/>
              </w:rPr>
            </w:pPr>
            <w:r>
              <w:rPr>
                <w:w w:val="106"/>
                <w:sz w:val="11"/>
              </w:rPr>
              <w:t>5</w:t>
            </w:r>
          </w:p>
        </w:tc>
        <w:tc>
          <w:tcPr>
            <w:tcW w:w="1609" w:type="dxa"/>
            <w:tcBorders>
              <w:top w:val="single" w:sz="4" w:space="0" w:color="000000"/>
              <w:bottom w:val="single" w:sz="4" w:space="0" w:color="000000"/>
              <w:right w:val="single" w:sz="8" w:space="0" w:color="000000"/>
            </w:tcBorders>
          </w:tcPr>
          <w:p>
            <w:pPr>
              <w:pStyle w:val="TableParagraph"/>
              <w:ind w:left="59"/>
              <w:jc w:val="left"/>
              <w:rPr>
                <w:sz w:val="11"/>
              </w:rPr>
            </w:pPr>
            <w:r>
              <w:rPr>
                <w:w w:val="105"/>
                <w:sz w:val="11"/>
              </w:rPr>
              <w:t>Puebla</w:t>
            </w:r>
          </w:p>
        </w:tc>
        <w:tc>
          <w:tcPr>
            <w:tcW w:w="666" w:type="dxa"/>
            <w:tcBorders>
              <w:top w:val="single" w:sz="4" w:space="0" w:color="000000"/>
              <w:left w:val="single" w:sz="8" w:space="0" w:color="000000"/>
              <w:bottom w:val="single" w:sz="4" w:space="0" w:color="000000"/>
              <w:right w:val="single" w:sz="3" w:space="0" w:color="000000"/>
            </w:tcBorders>
          </w:tcPr>
          <w:p>
            <w:pPr>
              <w:pStyle w:val="TableParagraph"/>
              <w:ind w:right="60"/>
              <w:rPr>
                <w:sz w:val="11"/>
              </w:rPr>
            </w:pPr>
            <w:r>
              <w:rPr>
                <w:w w:val="105"/>
                <w:sz w:val="11"/>
              </w:rPr>
              <w:t>804.9</w:t>
            </w:r>
          </w:p>
        </w:tc>
        <w:tc>
          <w:tcPr>
            <w:tcW w:w="666" w:type="dxa"/>
            <w:tcBorders>
              <w:top w:val="single" w:sz="4" w:space="0" w:color="000000"/>
              <w:left w:val="single" w:sz="3" w:space="0" w:color="000000"/>
              <w:bottom w:val="single" w:sz="4" w:space="0" w:color="000000"/>
              <w:right w:val="single" w:sz="4" w:space="0" w:color="000000"/>
            </w:tcBorders>
          </w:tcPr>
          <w:p>
            <w:pPr>
              <w:pStyle w:val="TableParagraph"/>
              <w:ind w:right="60"/>
              <w:rPr>
                <w:sz w:val="11"/>
              </w:rPr>
            </w:pPr>
            <w:r>
              <w:rPr>
                <w:w w:val="105"/>
                <w:sz w:val="11"/>
              </w:rPr>
              <w:t>963.0</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1,133.3</w:t>
            </w:r>
          </w:p>
        </w:tc>
        <w:tc>
          <w:tcPr>
            <w:tcW w:w="667"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1,425.9</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1,555.4</w:t>
            </w:r>
          </w:p>
        </w:tc>
        <w:tc>
          <w:tcPr>
            <w:tcW w:w="666"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1,567.5</w:t>
            </w:r>
          </w:p>
        </w:tc>
        <w:tc>
          <w:tcPr>
            <w:tcW w:w="668"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1,304.7</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1,250.7</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20.3</w:t>
            </w:r>
          </w:p>
        </w:tc>
        <w:tc>
          <w:tcPr>
            <w:tcW w:w="474" w:type="dxa"/>
            <w:tcBorders>
              <w:top w:val="single" w:sz="4" w:space="0" w:color="000000"/>
              <w:left w:val="single" w:sz="4" w:space="0" w:color="000000"/>
              <w:bottom w:val="single" w:sz="4" w:space="0" w:color="000000"/>
              <w:right w:val="single" w:sz="3" w:space="0" w:color="000000"/>
            </w:tcBorders>
          </w:tcPr>
          <w:p>
            <w:pPr>
              <w:pStyle w:val="TableParagraph"/>
              <w:ind w:right="62"/>
              <w:rPr>
                <w:sz w:val="11"/>
              </w:rPr>
            </w:pPr>
            <w:r>
              <w:rPr>
                <w:w w:val="105"/>
                <w:sz w:val="11"/>
              </w:rPr>
              <w:t>8.4</w:t>
            </w:r>
          </w:p>
        </w:tc>
        <w:tc>
          <w:tcPr>
            <w:tcW w:w="526" w:type="dxa"/>
            <w:tcBorders>
              <w:top w:val="single" w:sz="4" w:space="0" w:color="000000"/>
              <w:left w:val="single" w:sz="3" w:space="0" w:color="000000"/>
              <w:bottom w:val="single" w:sz="4" w:space="0" w:color="000000"/>
              <w:right w:val="single" w:sz="3" w:space="0" w:color="000000"/>
            </w:tcBorders>
          </w:tcPr>
          <w:p>
            <w:pPr>
              <w:pStyle w:val="TableParagraph"/>
              <w:ind w:left="64"/>
              <w:jc w:val="left"/>
              <w:rPr>
                <w:sz w:val="11"/>
              </w:rPr>
            </w:pPr>
            <w:r>
              <w:rPr>
                <w:w w:val="105"/>
                <w:sz w:val="11"/>
              </w:rPr>
              <w:t>5,534.1</w:t>
            </w:r>
          </w:p>
        </w:tc>
        <w:tc>
          <w:tcPr>
            <w:tcW w:w="376" w:type="dxa"/>
            <w:tcBorders>
              <w:top w:val="single" w:sz="4" w:space="0" w:color="000000"/>
              <w:left w:val="single" w:sz="3" w:space="0" w:color="000000"/>
              <w:bottom w:val="single" w:sz="4" w:space="0" w:color="000000"/>
              <w:right w:val="single" w:sz="8" w:space="0" w:color="000000"/>
            </w:tcBorders>
          </w:tcPr>
          <w:p>
            <w:pPr>
              <w:pStyle w:val="TableParagraph"/>
              <w:ind w:right="53"/>
              <w:rPr>
                <w:sz w:val="11"/>
              </w:rPr>
            </w:pPr>
            <w:r>
              <w:rPr>
                <w:w w:val="105"/>
                <w:sz w:val="11"/>
              </w:rPr>
              <w:t>89.6</w:t>
            </w:r>
          </w:p>
        </w:tc>
      </w:tr>
      <w:tr>
        <w:trPr>
          <w:trHeight w:val="144" w:hRule="exact"/>
        </w:trPr>
        <w:tc>
          <w:tcPr>
            <w:tcW w:w="200" w:type="dxa"/>
            <w:tcBorders>
              <w:top w:val="single" w:sz="4" w:space="0" w:color="000000"/>
              <w:left w:val="single" w:sz="8" w:space="0" w:color="000000"/>
              <w:bottom w:val="single" w:sz="4" w:space="0" w:color="000000"/>
            </w:tcBorders>
          </w:tcPr>
          <w:p>
            <w:pPr>
              <w:pStyle w:val="TableParagraph"/>
              <w:jc w:val="center"/>
              <w:rPr>
                <w:sz w:val="11"/>
              </w:rPr>
            </w:pPr>
            <w:r>
              <w:rPr>
                <w:w w:val="106"/>
                <w:sz w:val="11"/>
              </w:rPr>
              <w:t>6</w:t>
            </w:r>
          </w:p>
        </w:tc>
        <w:tc>
          <w:tcPr>
            <w:tcW w:w="1609" w:type="dxa"/>
            <w:tcBorders>
              <w:top w:val="single" w:sz="4" w:space="0" w:color="000000"/>
              <w:bottom w:val="single" w:sz="4" w:space="0" w:color="000000"/>
              <w:right w:val="single" w:sz="8" w:space="0" w:color="000000"/>
            </w:tcBorders>
          </w:tcPr>
          <w:p>
            <w:pPr>
              <w:pStyle w:val="TableParagraph"/>
              <w:ind w:left="59"/>
              <w:jc w:val="left"/>
              <w:rPr>
                <w:sz w:val="11"/>
              </w:rPr>
            </w:pPr>
            <w:r>
              <w:rPr>
                <w:w w:val="105"/>
                <w:sz w:val="11"/>
              </w:rPr>
              <w:t>Querétaro</w:t>
            </w:r>
          </w:p>
        </w:tc>
        <w:tc>
          <w:tcPr>
            <w:tcW w:w="666" w:type="dxa"/>
            <w:tcBorders>
              <w:top w:val="single" w:sz="4" w:space="0" w:color="000000"/>
              <w:left w:val="single" w:sz="8" w:space="0" w:color="000000"/>
              <w:bottom w:val="single" w:sz="4" w:space="0" w:color="000000"/>
              <w:right w:val="single" w:sz="3" w:space="0" w:color="000000"/>
            </w:tcBorders>
          </w:tcPr>
          <w:p>
            <w:pPr>
              <w:pStyle w:val="TableParagraph"/>
              <w:ind w:right="60"/>
              <w:rPr>
                <w:sz w:val="11"/>
              </w:rPr>
            </w:pPr>
            <w:r>
              <w:rPr>
                <w:w w:val="105"/>
                <w:sz w:val="11"/>
              </w:rPr>
              <w:t>283.2</w:t>
            </w:r>
          </w:p>
        </w:tc>
        <w:tc>
          <w:tcPr>
            <w:tcW w:w="666" w:type="dxa"/>
            <w:tcBorders>
              <w:top w:val="single" w:sz="4" w:space="0" w:color="000000"/>
              <w:left w:val="single" w:sz="3" w:space="0" w:color="000000"/>
              <w:bottom w:val="single" w:sz="4" w:space="0" w:color="000000"/>
              <w:right w:val="single" w:sz="4" w:space="0" w:color="000000"/>
            </w:tcBorders>
          </w:tcPr>
          <w:p>
            <w:pPr>
              <w:pStyle w:val="TableParagraph"/>
              <w:ind w:right="60"/>
              <w:rPr>
                <w:sz w:val="11"/>
              </w:rPr>
            </w:pPr>
            <w:r>
              <w:rPr>
                <w:w w:val="105"/>
                <w:sz w:val="11"/>
              </w:rPr>
              <w:t>357.7</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412.4</w:t>
            </w:r>
          </w:p>
        </w:tc>
        <w:tc>
          <w:tcPr>
            <w:tcW w:w="667"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492.4</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474.7</w:t>
            </w:r>
          </w:p>
        </w:tc>
        <w:tc>
          <w:tcPr>
            <w:tcW w:w="666" w:type="dxa"/>
            <w:tcBorders>
              <w:top w:val="single" w:sz="4"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442.3</w:t>
            </w:r>
          </w:p>
        </w:tc>
        <w:tc>
          <w:tcPr>
            <w:tcW w:w="668" w:type="dxa"/>
            <w:tcBorders>
              <w:top w:val="single" w:sz="4"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363.6</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403.8</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6.5</w:t>
            </w:r>
          </w:p>
        </w:tc>
        <w:tc>
          <w:tcPr>
            <w:tcW w:w="474" w:type="dxa"/>
            <w:tcBorders>
              <w:top w:val="single" w:sz="4" w:space="0" w:color="000000"/>
              <w:left w:val="single" w:sz="4" w:space="0" w:color="000000"/>
              <w:bottom w:val="single" w:sz="4" w:space="0" w:color="000000"/>
              <w:right w:val="single" w:sz="3" w:space="0" w:color="000000"/>
            </w:tcBorders>
          </w:tcPr>
          <w:p>
            <w:pPr>
              <w:pStyle w:val="TableParagraph"/>
              <w:ind w:right="62"/>
              <w:rPr>
                <w:sz w:val="11"/>
              </w:rPr>
            </w:pPr>
            <w:r>
              <w:rPr>
                <w:w w:val="105"/>
                <w:sz w:val="11"/>
              </w:rPr>
              <w:t>4.3</w:t>
            </w:r>
          </w:p>
        </w:tc>
        <w:tc>
          <w:tcPr>
            <w:tcW w:w="526" w:type="dxa"/>
            <w:tcBorders>
              <w:top w:val="single" w:sz="4" w:space="0" w:color="000000"/>
              <w:left w:val="single" w:sz="3" w:space="0" w:color="000000"/>
              <w:bottom w:val="single" w:sz="4" w:space="0" w:color="000000"/>
              <w:right w:val="single" w:sz="3" w:space="0" w:color="000000"/>
            </w:tcBorders>
          </w:tcPr>
          <w:p>
            <w:pPr>
              <w:pStyle w:val="TableParagraph"/>
              <w:ind w:left="64"/>
              <w:jc w:val="left"/>
              <w:rPr>
                <w:sz w:val="11"/>
              </w:rPr>
            </w:pPr>
            <w:r>
              <w:rPr>
                <w:w w:val="105"/>
                <w:sz w:val="11"/>
              </w:rPr>
              <w:t>5,937.8</w:t>
            </w:r>
          </w:p>
        </w:tc>
        <w:tc>
          <w:tcPr>
            <w:tcW w:w="376" w:type="dxa"/>
            <w:tcBorders>
              <w:top w:val="single" w:sz="4" w:space="0" w:color="000000"/>
              <w:left w:val="single" w:sz="3" w:space="0" w:color="000000"/>
              <w:bottom w:val="single" w:sz="4" w:space="0" w:color="000000"/>
              <w:right w:val="single" w:sz="8" w:space="0" w:color="000000"/>
            </w:tcBorders>
          </w:tcPr>
          <w:p>
            <w:pPr>
              <w:pStyle w:val="TableParagraph"/>
              <w:ind w:right="53"/>
              <w:rPr>
                <w:sz w:val="11"/>
              </w:rPr>
            </w:pPr>
            <w:r>
              <w:rPr>
                <w:w w:val="105"/>
                <w:sz w:val="11"/>
              </w:rPr>
              <w:t>96.2</w:t>
            </w:r>
          </w:p>
        </w:tc>
      </w:tr>
      <w:tr>
        <w:trPr>
          <w:trHeight w:val="149" w:hRule="exact"/>
        </w:trPr>
        <w:tc>
          <w:tcPr>
            <w:tcW w:w="200" w:type="dxa"/>
            <w:tcBorders>
              <w:top w:val="single" w:sz="4" w:space="0" w:color="000000"/>
              <w:left w:val="single" w:sz="8" w:space="0" w:color="000000"/>
              <w:bottom w:val="single" w:sz="8" w:space="0" w:color="000000"/>
            </w:tcBorders>
          </w:tcPr>
          <w:p>
            <w:pPr>
              <w:pStyle w:val="TableParagraph"/>
              <w:spacing w:before="0"/>
              <w:jc w:val="center"/>
              <w:rPr>
                <w:sz w:val="11"/>
              </w:rPr>
            </w:pPr>
            <w:r>
              <w:rPr>
                <w:w w:val="106"/>
                <w:sz w:val="11"/>
              </w:rPr>
              <w:t>7</w:t>
            </w:r>
          </w:p>
        </w:tc>
        <w:tc>
          <w:tcPr>
            <w:tcW w:w="1609" w:type="dxa"/>
            <w:tcBorders>
              <w:top w:val="single" w:sz="4" w:space="0" w:color="000000"/>
              <w:bottom w:val="single" w:sz="8" w:space="0" w:color="000000"/>
              <w:right w:val="single" w:sz="8" w:space="0" w:color="000000"/>
            </w:tcBorders>
          </w:tcPr>
          <w:p>
            <w:pPr>
              <w:pStyle w:val="TableParagraph"/>
              <w:spacing w:before="0"/>
              <w:ind w:left="59"/>
              <w:jc w:val="left"/>
              <w:rPr>
                <w:sz w:val="11"/>
              </w:rPr>
            </w:pPr>
            <w:r>
              <w:rPr>
                <w:w w:val="105"/>
                <w:sz w:val="11"/>
              </w:rPr>
              <w:t>Tlaxcala</w:t>
            </w:r>
          </w:p>
        </w:tc>
        <w:tc>
          <w:tcPr>
            <w:tcW w:w="666" w:type="dxa"/>
            <w:tcBorders>
              <w:top w:val="single" w:sz="4" w:space="0" w:color="000000"/>
              <w:left w:val="single" w:sz="8" w:space="0" w:color="000000"/>
              <w:bottom w:val="single" w:sz="8" w:space="0" w:color="000000"/>
              <w:right w:val="single" w:sz="3" w:space="0" w:color="000000"/>
            </w:tcBorders>
          </w:tcPr>
          <w:p>
            <w:pPr>
              <w:pStyle w:val="TableParagraph"/>
              <w:spacing w:before="0"/>
              <w:ind w:right="60"/>
              <w:rPr>
                <w:sz w:val="11"/>
              </w:rPr>
            </w:pPr>
            <w:r>
              <w:rPr>
                <w:w w:val="105"/>
                <w:sz w:val="11"/>
              </w:rPr>
              <w:t>143.1</w:t>
            </w:r>
          </w:p>
        </w:tc>
        <w:tc>
          <w:tcPr>
            <w:tcW w:w="666" w:type="dxa"/>
            <w:tcBorders>
              <w:top w:val="single" w:sz="4" w:space="0" w:color="000000"/>
              <w:left w:val="single" w:sz="3" w:space="0" w:color="000000"/>
              <w:bottom w:val="single" w:sz="8" w:space="0" w:color="000000"/>
              <w:right w:val="single" w:sz="4" w:space="0" w:color="000000"/>
            </w:tcBorders>
          </w:tcPr>
          <w:p>
            <w:pPr>
              <w:pStyle w:val="TableParagraph"/>
              <w:spacing w:before="0"/>
              <w:ind w:right="60"/>
              <w:rPr>
                <w:sz w:val="11"/>
              </w:rPr>
            </w:pPr>
            <w:r>
              <w:rPr>
                <w:w w:val="105"/>
                <w:sz w:val="11"/>
              </w:rPr>
              <w:t>181.3</w:t>
            </w:r>
          </w:p>
        </w:tc>
        <w:tc>
          <w:tcPr>
            <w:tcW w:w="665" w:type="dxa"/>
            <w:tcBorders>
              <w:top w:val="single" w:sz="4" w:space="0" w:color="000000"/>
              <w:left w:val="single" w:sz="4" w:space="0" w:color="000000"/>
              <w:bottom w:val="single" w:sz="8" w:space="0" w:color="000000"/>
              <w:right w:val="single" w:sz="4" w:space="0" w:color="000000"/>
            </w:tcBorders>
          </w:tcPr>
          <w:p>
            <w:pPr>
              <w:pStyle w:val="TableParagraph"/>
              <w:spacing w:before="0"/>
              <w:ind w:right="57"/>
              <w:rPr>
                <w:sz w:val="11"/>
              </w:rPr>
            </w:pPr>
            <w:r>
              <w:rPr>
                <w:w w:val="105"/>
                <w:sz w:val="11"/>
              </w:rPr>
              <w:t>218.0</w:t>
            </w:r>
          </w:p>
        </w:tc>
        <w:tc>
          <w:tcPr>
            <w:tcW w:w="667" w:type="dxa"/>
            <w:tcBorders>
              <w:top w:val="single" w:sz="4" w:space="0" w:color="000000"/>
              <w:left w:val="single" w:sz="4" w:space="0" w:color="000000"/>
              <w:bottom w:val="single" w:sz="8" w:space="0" w:color="000000"/>
              <w:right w:val="single" w:sz="4" w:space="0" w:color="000000"/>
            </w:tcBorders>
          </w:tcPr>
          <w:p>
            <w:pPr>
              <w:pStyle w:val="TableParagraph"/>
              <w:spacing w:before="0"/>
              <w:ind w:right="60"/>
              <w:rPr>
                <w:sz w:val="11"/>
              </w:rPr>
            </w:pPr>
            <w:r>
              <w:rPr>
                <w:w w:val="105"/>
                <w:sz w:val="11"/>
              </w:rPr>
              <w:t>268.0</w:t>
            </w:r>
          </w:p>
        </w:tc>
        <w:tc>
          <w:tcPr>
            <w:tcW w:w="665" w:type="dxa"/>
            <w:tcBorders>
              <w:top w:val="single" w:sz="4" w:space="0" w:color="000000"/>
              <w:left w:val="single" w:sz="4" w:space="0" w:color="000000"/>
              <w:bottom w:val="single" w:sz="8" w:space="0" w:color="000000"/>
              <w:right w:val="single" w:sz="4" w:space="0" w:color="000000"/>
            </w:tcBorders>
          </w:tcPr>
          <w:p>
            <w:pPr>
              <w:pStyle w:val="TableParagraph"/>
              <w:spacing w:before="0"/>
              <w:ind w:right="57"/>
              <w:rPr>
                <w:sz w:val="11"/>
              </w:rPr>
            </w:pPr>
            <w:r>
              <w:rPr>
                <w:w w:val="105"/>
                <w:sz w:val="11"/>
              </w:rPr>
              <w:t>293.5</w:t>
            </w:r>
          </w:p>
        </w:tc>
        <w:tc>
          <w:tcPr>
            <w:tcW w:w="666" w:type="dxa"/>
            <w:tcBorders>
              <w:top w:val="single" w:sz="4" w:space="0" w:color="000000"/>
              <w:left w:val="single" w:sz="4" w:space="0" w:color="000000"/>
              <w:bottom w:val="single" w:sz="8" w:space="0" w:color="000000"/>
              <w:right w:val="single" w:sz="3" w:space="0" w:color="000000"/>
            </w:tcBorders>
          </w:tcPr>
          <w:p>
            <w:pPr>
              <w:pStyle w:val="TableParagraph"/>
              <w:spacing w:before="0"/>
              <w:ind w:right="60"/>
              <w:rPr>
                <w:sz w:val="11"/>
              </w:rPr>
            </w:pPr>
            <w:r>
              <w:rPr>
                <w:w w:val="105"/>
                <w:sz w:val="11"/>
              </w:rPr>
              <w:t>299.3</w:t>
            </w:r>
          </w:p>
        </w:tc>
        <w:tc>
          <w:tcPr>
            <w:tcW w:w="668" w:type="dxa"/>
            <w:tcBorders>
              <w:top w:val="single" w:sz="4" w:space="0" w:color="000000"/>
              <w:left w:val="single" w:sz="3" w:space="0" w:color="000000"/>
              <w:bottom w:val="single" w:sz="8" w:space="0" w:color="000000"/>
              <w:right w:val="single" w:sz="4" w:space="0" w:color="000000"/>
            </w:tcBorders>
          </w:tcPr>
          <w:p>
            <w:pPr>
              <w:pStyle w:val="TableParagraph"/>
              <w:spacing w:before="0"/>
              <w:ind w:right="62"/>
              <w:rPr>
                <w:sz w:val="11"/>
              </w:rPr>
            </w:pPr>
            <w:r>
              <w:rPr>
                <w:w w:val="105"/>
                <w:sz w:val="11"/>
              </w:rPr>
              <w:t>257.2</w:t>
            </w:r>
          </w:p>
        </w:tc>
        <w:tc>
          <w:tcPr>
            <w:tcW w:w="773" w:type="dxa"/>
            <w:tcBorders>
              <w:top w:val="single" w:sz="4" w:space="0" w:color="000000"/>
              <w:left w:val="single" w:sz="4" w:space="0" w:color="000000"/>
              <w:bottom w:val="single" w:sz="8" w:space="0" w:color="000000"/>
              <w:right w:val="single" w:sz="4" w:space="0" w:color="000000"/>
            </w:tcBorders>
          </w:tcPr>
          <w:p>
            <w:pPr>
              <w:pStyle w:val="TableParagraph"/>
              <w:spacing w:before="0"/>
              <w:ind w:right="60"/>
              <w:rPr>
                <w:sz w:val="11"/>
              </w:rPr>
            </w:pPr>
            <w:r>
              <w:rPr>
                <w:w w:val="105"/>
                <w:sz w:val="11"/>
              </w:rPr>
              <w:t>237.2</w:t>
            </w:r>
          </w:p>
        </w:tc>
        <w:tc>
          <w:tcPr>
            <w:tcW w:w="624" w:type="dxa"/>
            <w:tcBorders>
              <w:top w:val="single" w:sz="4" w:space="0" w:color="000000"/>
              <w:left w:val="single" w:sz="4" w:space="0" w:color="000000"/>
              <w:bottom w:val="single" w:sz="8" w:space="0" w:color="000000"/>
              <w:right w:val="single" w:sz="4" w:space="0" w:color="000000"/>
            </w:tcBorders>
          </w:tcPr>
          <w:p>
            <w:pPr>
              <w:pStyle w:val="TableParagraph"/>
              <w:spacing w:before="0"/>
              <w:ind w:right="62"/>
              <w:rPr>
                <w:sz w:val="11"/>
              </w:rPr>
            </w:pPr>
            <w:r>
              <w:rPr>
                <w:w w:val="105"/>
                <w:sz w:val="11"/>
              </w:rPr>
              <w:t>3.8</w:t>
            </w:r>
          </w:p>
        </w:tc>
        <w:tc>
          <w:tcPr>
            <w:tcW w:w="474" w:type="dxa"/>
            <w:tcBorders>
              <w:top w:val="single" w:sz="4" w:space="0" w:color="000000"/>
              <w:left w:val="single" w:sz="4" w:space="0" w:color="000000"/>
              <w:bottom w:val="single" w:sz="8" w:space="0" w:color="000000"/>
              <w:right w:val="single" w:sz="3" w:space="0" w:color="000000"/>
            </w:tcBorders>
          </w:tcPr>
          <w:p>
            <w:pPr>
              <w:pStyle w:val="TableParagraph"/>
              <w:spacing w:before="0"/>
              <w:ind w:right="60"/>
              <w:rPr>
                <w:sz w:val="11"/>
              </w:rPr>
            </w:pPr>
            <w:r>
              <w:rPr>
                <w:w w:val="105"/>
                <w:sz w:val="11"/>
              </w:rPr>
              <w:t>10.3</w:t>
            </w:r>
          </w:p>
        </w:tc>
        <w:tc>
          <w:tcPr>
            <w:tcW w:w="526" w:type="dxa"/>
            <w:tcBorders>
              <w:top w:val="single" w:sz="4" w:space="0" w:color="000000"/>
              <w:left w:val="single" w:sz="3" w:space="0" w:color="000000"/>
              <w:bottom w:val="single" w:sz="8" w:space="0" w:color="000000"/>
              <w:right w:val="single" w:sz="3" w:space="0" w:color="000000"/>
            </w:tcBorders>
          </w:tcPr>
          <w:p>
            <w:pPr>
              <w:pStyle w:val="TableParagraph"/>
              <w:spacing w:before="0"/>
              <w:ind w:left="64"/>
              <w:jc w:val="left"/>
              <w:rPr>
                <w:sz w:val="11"/>
              </w:rPr>
            </w:pPr>
            <w:r>
              <w:rPr>
                <w:w w:val="105"/>
                <w:sz w:val="11"/>
              </w:rPr>
              <w:t>6,175.0</w:t>
            </w:r>
          </w:p>
        </w:tc>
        <w:tc>
          <w:tcPr>
            <w:tcW w:w="376" w:type="dxa"/>
            <w:tcBorders>
              <w:top w:val="single" w:sz="4" w:space="0" w:color="000000"/>
              <w:left w:val="single" w:sz="3" w:space="0" w:color="000000"/>
              <w:bottom w:val="single" w:sz="8" w:space="0" w:color="000000"/>
              <w:right w:val="single" w:sz="8" w:space="0" w:color="000000"/>
            </w:tcBorders>
          </w:tcPr>
          <w:p>
            <w:pPr>
              <w:pStyle w:val="TableParagraph"/>
              <w:spacing w:before="0"/>
              <w:ind w:right="53"/>
              <w:rPr>
                <w:b/>
                <w:sz w:val="11"/>
              </w:rPr>
            </w:pPr>
            <w:r>
              <w:rPr>
                <w:b/>
                <w:w w:val="105"/>
                <w:sz w:val="11"/>
              </w:rPr>
              <w:t>100</w:t>
            </w:r>
          </w:p>
        </w:tc>
      </w:tr>
      <w:tr>
        <w:trPr>
          <w:trHeight w:val="154" w:hRule="exact"/>
        </w:trPr>
        <w:tc>
          <w:tcPr>
            <w:tcW w:w="9245" w:type="dxa"/>
            <w:gridSpan w:val="14"/>
            <w:tcBorders>
              <w:top w:val="single" w:sz="8" w:space="0" w:color="000000"/>
              <w:left w:val="single" w:sz="8" w:space="0" w:color="000000"/>
              <w:bottom w:val="single" w:sz="8" w:space="0" w:color="000000"/>
              <w:right w:val="single" w:sz="8" w:space="0" w:color="000000"/>
            </w:tcBorders>
          </w:tcPr>
          <w:p>
            <w:pPr/>
          </w:p>
        </w:tc>
      </w:tr>
      <w:tr>
        <w:trPr>
          <w:trHeight w:val="154" w:hRule="exact"/>
        </w:trPr>
        <w:tc>
          <w:tcPr>
            <w:tcW w:w="200" w:type="dxa"/>
            <w:tcBorders>
              <w:top w:val="single" w:sz="8" w:space="0" w:color="000000"/>
              <w:left w:val="single" w:sz="8" w:space="0" w:color="000000"/>
              <w:bottom w:val="single" w:sz="8" w:space="0" w:color="000000"/>
            </w:tcBorders>
          </w:tcPr>
          <w:p>
            <w:pPr>
              <w:pStyle w:val="TableParagraph"/>
              <w:jc w:val="center"/>
              <w:rPr>
                <w:b/>
                <w:sz w:val="11"/>
              </w:rPr>
            </w:pPr>
            <w:r>
              <w:rPr>
                <w:b/>
                <w:w w:val="106"/>
                <w:sz w:val="11"/>
              </w:rPr>
              <w:t>6</w:t>
            </w:r>
          </w:p>
        </w:tc>
        <w:tc>
          <w:tcPr>
            <w:tcW w:w="1609" w:type="dxa"/>
            <w:tcBorders>
              <w:top w:val="single" w:sz="8" w:space="0" w:color="000000"/>
              <w:bottom w:val="single" w:sz="8" w:space="0" w:color="000000"/>
              <w:right w:val="single" w:sz="8" w:space="0" w:color="000000"/>
            </w:tcBorders>
          </w:tcPr>
          <w:p>
            <w:pPr>
              <w:pStyle w:val="TableParagraph"/>
              <w:ind w:left="59"/>
              <w:jc w:val="left"/>
              <w:rPr>
                <w:b/>
                <w:sz w:val="11"/>
              </w:rPr>
            </w:pPr>
            <w:r>
              <w:rPr>
                <w:b/>
                <w:w w:val="105"/>
                <w:sz w:val="11"/>
              </w:rPr>
              <w:t>GOLFO DE MÉXICO</w:t>
            </w:r>
          </w:p>
        </w:tc>
        <w:tc>
          <w:tcPr>
            <w:tcW w:w="666" w:type="dxa"/>
            <w:tcBorders>
              <w:top w:val="single" w:sz="8" w:space="0" w:color="000000"/>
              <w:left w:val="single" w:sz="8" w:space="0" w:color="000000"/>
              <w:bottom w:val="single" w:sz="8" w:space="0" w:color="000000"/>
            </w:tcBorders>
          </w:tcPr>
          <w:p>
            <w:pPr>
              <w:pStyle w:val="TableParagraph"/>
              <w:ind w:right="55"/>
              <w:rPr>
                <w:b/>
                <w:sz w:val="11"/>
              </w:rPr>
            </w:pPr>
            <w:r>
              <w:rPr>
                <w:b/>
                <w:w w:val="105"/>
                <w:sz w:val="11"/>
              </w:rPr>
              <w:t>1,076.9</w:t>
            </w:r>
          </w:p>
        </w:tc>
        <w:tc>
          <w:tcPr>
            <w:tcW w:w="666" w:type="dxa"/>
            <w:tcBorders>
              <w:top w:val="single" w:sz="8" w:space="0" w:color="000000"/>
              <w:bottom w:val="single" w:sz="8" w:space="0" w:color="000000"/>
              <w:right w:val="single" w:sz="8" w:space="0" w:color="000000"/>
            </w:tcBorders>
          </w:tcPr>
          <w:p>
            <w:pPr>
              <w:pStyle w:val="TableParagraph"/>
              <w:ind w:right="55"/>
              <w:rPr>
                <w:b/>
                <w:sz w:val="11"/>
              </w:rPr>
            </w:pPr>
            <w:r>
              <w:rPr>
                <w:b/>
                <w:w w:val="105"/>
                <w:sz w:val="11"/>
              </w:rPr>
              <w:t>1,270.4</w:t>
            </w:r>
          </w:p>
        </w:tc>
        <w:tc>
          <w:tcPr>
            <w:tcW w:w="665" w:type="dxa"/>
            <w:tcBorders>
              <w:top w:val="single" w:sz="8" w:space="0" w:color="000000"/>
              <w:left w:val="single" w:sz="8" w:space="0" w:color="000000"/>
              <w:bottom w:val="single" w:sz="8" w:space="0" w:color="000000"/>
              <w:right w:val="single" w:sz="8" w:space="0" w:color="000000"/>
            </w:tcBorders>
          </w:tcPr>
          <w:p>
            <w:pPr>
              <w:pStyle w:val="TableParagraph"/>
              <w:ind w:right="53"/>
              <w:rPr>
                <w:b/>
                <w:sz w:val="11"/>
              </w:rPr>
            </w:pPr>
            <w:r>
              <w:rPr>
                <w:b/>
                <w:w w:val="105"/>
                <w:sz w:val="11"/>
              </w:rPr>
              <w:t>1,524.7</w:t>
            </w:r>
          </w:p>
        </w:tc>
        <w:tc>
          <w:tcPr>
            <w:tcW w:w="667" w:type="dxa"/>
            <w:tcBorders>
              <w:top w:val="single" w:sz="8" w:space="0" w:color="000000"/>
              <w:left w:val="single" w:sz="8" w:space="0" w:color="000000"/>
              <w:bottom w:val="single" w:sz="8" w:space="0" w:color="000000"/>
              <w:right w:val="single" w:sz="8" w:space="0" w:color="000000"/>
            </w:tcBorders>
          </w:tcPr>
          <w:p>
            <w:pPr>
              <w:pStyle w:val="TableParagraph"/>
              <w:ind w:right="55"/>
              <w:rPr>
                <w:b/>
                <w:sz w:val="11"/>
              </w:rPr>
            </w:pPr>
            <w:r>
              <w:rPr>
                <w:b/>
                <w:w w:val="105"/>
                <w:sz w:val="11"/>
              </w:rPr>
              <w:t>1,864.9</w:t>
            </w:r>
          </w:p>
        </w:tc>
        <w:tc>
          <w:tcPr>
            <w:tcW w:w="665" w:type="dxa"/>
            <w:tcBorders>
              <w:top w:val="single" w:sz="8" w:space="0" w:color="000000"/>
              <w:left w:val="single" w:sz="8" w:space="0" w:color="000000"/>
              <w:bottom w:val="single" w:sz="8" w:space="0" w:color="000000"/>
              <w:right w:val="single" w:sz="8" w:space="0" w:color="000000"/>
            </w:tcBorders>
          </w:tcPr>
          <w:p>
            <w:pPr>
              <w:pStyle w:val="TableParagraph"/>
              <w:ind w:right="53"/>
              <w:rPr>
                <w:b/>
                <w:sz w:val="11"/>
              </w:rPr>
            </w:pPr>
            <w:r>
              <w:rPr>
                <w:b/>
                <w:w w:val="105"/>
                <w:sz w:val="11"/>
              </w:rPr>
              <w:t>1,921.4</w:t>
            </w:r>
          </w:p>
        </w:tc>
        <w:tc>
          <w:tcPr>
            <w:tcW w:w="666" w:type="dxa"/>
            <w:tcBorders>
              <w:top w:val="single" w:sz="8" w:space="0" w:color="000000"/>
              <w:left w:val="single" w:sz="8" w:space="0" w:color="000000"/>
              <w:bottom w:val="single" w:sz="8" w:space="0" w:color="000000"/>
            </w:tcBorders>
          </w:tcPr>
          <w:p>
            <w:pPr>
              <w:pStyle w:val="TableParagraph"/>
              <w:ind w:right="55"/>
              <w:rPr>
                <w:b/>
                <w:sz w:val="11"/>
              </w:rPr>
            </w:pPr>
            <w:r>
              <w:rPr>
                <w:b/>
                <w:w w:val="105"/>
                <w:sz w:val="11"/>
              </w:rPr>
              <w:t>1,779.8</w:t>
            </w:r>
          </w:p>
        </w:tc>
        <w:tc>
          <w:tcPr>
            <w:tcW w:w="668" w:type="dxa"/>
            <w:tcBorders>
              <w:top w:val="single" w:sz="8" w:space="0" w:color="000000"/>
              <w:bottom w:val="single" w:sz="8" w:space="0" w:color="000000"/>
              <w:right w:val="single" w:sz="8" w:space="0" w:color="000000"/>
            </w:tcBorders>
          </w:tcPr>
          <w:p>
            <w:pPr>
              <w:pStyle w:val="TableParagraph"/>
              <w:ind w:right="57"/>
              <w:rPr>
                <w:b/>
                <w:sz w:val="11"/>
              </w:rPr>
            </w:pPr>
            <w:r>
              <w:rPr>
                <w:b/>
                <w:w w:val="105"/>
                <w:sz w:val="11"/>
              </w:rPr>
              <w:t>1,410.9</w:t>
            </w:r>
          </w:p>
        </w:tc>
        <w:tc>
          <w:tcPr>
            <w:tcW w:w="773" w:type="dxa"/>
            <w:tcBorders>
              <w:top w:val="single" w:sz="8" w:space="0" w:color="000000"/>
              <w:left w:val="single" w:sz="8" w:space="0" w:color="000000"/>
              <w:bottom w:val="single" w:sz="8" w:space="0" w:color="000000"/>
              <w:right w:val="single" w:sz="8" w:space="0" w:color="000000"/>
            </w:tcBorders>
          </w:tcPr>
          <w:p>
            <w:pPr>
              <w:pStyle w:val="TableParagraph"/>
              <w:ind w:right="55"/>
              <w:rPr>
                <w:b/>
                <w:sz w:val="11"/>
              </w:rPr>
            </w:pPr>
            <w:r>
              <w:rPr>
                <w:b/>
                <w:w w:val="105"/>
                <w:sz w:val="11"/>
              </w:rPr>
              <w:t>1,549.9</w:t>
            </w:r>
          </w:p>
        </w:tc>
        <w:tc>
          <w:tcPr>
            <w:tcW w:w="624" w:type="dxa"/>
            <w:tcBorders>
              <w:top w:val="single" w:sz="8" w:space="0" w:color="000000"/>
              <w:left w:val="single" w:sz="8" w:space="0" w:color="000000"/>
              <w:bottom w:val="single" w:sz="8" w:space="0" w:color="000000"/>
              <w:right w:val="single" w:sz="8" w:space="0" w:color="000000"/>
            </w:tcBorders>
          </w:tcPr>
          <w:p>
            <w:pPr>
              <w:pStyle w:val="TableParagraph"/>
              <w:ind w:right="55"/>
              <w:rPr>
                <w:b/>
                <w:sz w:val="11"/>
              </w:rPr>
            </w:pPr>
            <w:r>
              <w:rPr>
                <w:b/>
                <w:w w:val="105"/>
                <w:sz w:val="11"/>
              </w:rPr>
              <w:t>100</w:t>
            </w:r>
          </w:p>
        </w:tc>
        <w:tc>
          <w:tcPr>
            <w:tcW w:w="474" w:type="dxa"/>
            <w:tcBorders>
              <w:top w:val="single" w:sz="8" w:space="0" w:color="000000"/>
              <w:left w:val="single" w:sz="8" w:space="0" w:color="000000"/>
              <w:bottom w:val="single" w:sz="8" w:space="0" w:color="000000"/>
            </w:tcBorders>
          </w:tcPr>
          <w:p>
            <w:pPr>
              <w:pStyle w:val="TableParagraph"/>
              <w:ind w:right="57"/>
              <w:rPr>
                <w:b/>
                <w:sz w:val="11"/>
              </w:rPr>
            </w:pPr>
            <w:r>
              <w:rPr>
                <w:b/>
                <w:w w:val="105"/>
                <w:sz w:val="11"/>
              </w:rPr>
              <w:t>4.6</w:t>
            </w:r>
          </w:p>
        </w:tc>
        <w:tc>
          <w:tcPr>
            <w:tcW w:w="526" w:type="dxa"/>
            <w:tcBorders>
              <w:top w:val="single" w:sz="8" w:space="0" w:color="000000"/>
              <w:bottom w:val="single" w:sz="8" w:space="0" w:color="000000"/>
            </w:tcBorders>
          </w:tcPr>
          <w:p>
            <w:pPr/>
          </w:p>
        </w:tc>
        <w:tc>
          <w:tcPr>
            <w:tcW w:w="376" w:type="dxa"/>
            <w:tcBorders>
              <w:top w:val="single" w:sz="8" w:space="0" w:color="000000"/>
              <w:bottom w:val="single" w:sz="8" w:space="0" w:color="000000"/>
              <w:right w:val="single" w:sz="8" w:space="0" w:color="000000"/>
            </w:tcBorders>
          </w:tcPr>
          <w:p>
            <w:pPr/>
          </w:p>
        </w:tc>
      </w:tr>
      <w:tr>
        <w:trPr>
          <w:trHeight w:val="149" w:hRule="exact"/>
        </w:trPr>
        <w:tc>
          <w:tcPr>
            <w:tcW w:w="200" w:type="dxa"/>
            <w:tcBorders>
              <w:top w:val="single" w:sz="8" w:space="0" w:color="000000"/>
              <w:left w:val="single" w:sz="8" w:space="0" w:color="000000"/>
              <w:bottom w:val="single" w:sz="4" w:space="0" w:color="000000"/>
            </w:tcBorders>
          </w:tcPr>
          <w:p>
            <w:pPr>
              <w:pStyle w:val="TableParagraph"/>
              <w:jc w:val="center"/>
              <w:rPr>
                <w:sz w:val="11"/>
              </w:rPr>
            </w:pPr>
            <w:r>
              <w:rPr>
                <w:w w:val="106"/>
                <w:sz w:val="11"/>
              </w:rPr>
              <w:t>1</w:t>
            </w:r>
          </w:p>
        </w:tc>
        <w:tc>
          <w:tcPr>
            <w:tcW w:w="1609" w:type="dxa"/>
            <w:tcBorders>
              <w:top w:val="single" w:sz="8" w:space="0" w:color="000000"/>
              <w:bottom w:val="single" w:sz="4" w:space="0" w:color="000000"/>
              <w:right w:val="single" w:sz="8" w:space="0" w:color="000000"/>
            </w:tcBorders>
          </w:tcPr>
          <w:p>
            <w:pPr>
              <w:pStyle w:val="TableParagraph"/>
              <w:ind w:left="59"/>
              <w:jc w:val="left"/>
              <w:rPr>
                <w:sz w:val="11"/>
              </w:rPr>
            </w:pPr>
            <w:r>
              <w:rPr>
                <w:w w:val="105"/>
                <w:sz w:val="11"/>
              </w:rPr>
              <w:t>Tabasco</w:t>
            </w:r>
          </w:p>
        </w:tc>
        <w:tc>
          <w:tcPr>
            <w:tcW w:w="666" w:type="dxa"/>
            <w:tcBorders>
              <w:top w:val="single" w:sz="8" w:space="0" w:color="000000"/>
              <w:left w:val="single" w:sz="8" w:space="0" w:color="000000"/>
              <w:bottom w:val="single" w:sz="4" w:space="0" w:color="000000"/>
              <w:right w:val="single" w:sz="3" w:space="0" w:color="000000"/>
            </w:tcBorders>
          </w:tcPr>
          <w:p>
            <w:pPr>
              <w:pStyle w:val="TableParagraph"/>
              <w:ind w:right="60"/>
              <w:rPr>
                <w:sz w:val="11"/>
              </w:rPr>
            </w:pPr>
            <w:r>
              <w:rPr>
                <w:w w:val="105"/>
                <w:sz w:val="11"/>
              </w:rPr>
              <w:t>87.3</w:t>
            </w:r>
          </w:p>
        </w:tc>
        <w:tc>
          <w:tcPr>
            <w:tcW w:w="666" w:type="dxa"/>
            <w:tcBorders>
              <w:top w:val="single" w:sz="8" w:space="0" w:color="000000"/>
              <w:left w:val="single" w:sz="3" w:space="0" w:color="000000"/>
              <w:bottom w:val="single" w:sz="4" w:space="0" w:color="000000"/>
              <w:right w:val="single" w:sz="4" w:space="0" w:color="000000"/>
            </w:tcBorders>
          </w:tcPr>
          <w:p>
            <w:pPr>
              <w:pStyle w:val="TableParagraph"/>
              <w:ind w:right="60"/>
              <w:rPr>
                <w:sz w:val="11"/>
              </w:rPr>
            </w:pPr>
            <w:r>
              <w:rPr>
                <w:w w:val="105"/>
                <w:sz w:val="11"/>
              </w:rPr>
              <w:t>107.8</w:t>
            </w:r>
          </w:p>
        </w:tc>
        <w:tc>
          <w:tcPr>
            <w:tcW w:w="665" w:type="dxa"/>
            <w:tcBorders>
              <w:top w:val="single" w:sz="8"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160.3</w:t>
            </w:r>
          </w:p>
        </w:tc>
        <w:tc>
          <w:tcPr>
            <w:tcW w:w="667" w:type="dxa"/>
            <w:tcBorders>
              <w:top w:val="single" w:sz="8"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192.5</w:t>
            </w:r>
          </w:p>
        </w:tc>
        <w:tc>
          <w:tcPr>
            <w:tcW w:w="665" w:type="dxa"/>
            <w:tcBorders>
              <w:top w:val="single" w:sz="8"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185.2</w:t>
            </w:r>
          </w:p>
        </w:tc>
        <w:tc>
          <w:tcPr>
            <w:tcW w:w="666" w:type="dxa"/>
            <w:tcBorders>
              <w:top w:val="single" w:sz="8"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159.4</w:t>
            </w:r>
          </w:p>
        </w:tc>
        <w:tc>
          <w:tcPr>
            <w:tcW w:w="668" w:type="dxa"/>
            <w:tcBorders>
              <w:top w:val="single" w:sz="8"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116.8</w:t>
            </w:r>
          </w:p>
        </w:tc>
        <w:tc>
          <w:tcPr>
            <w:tcW w:w="773" w:type="dxa"/>
            <w:tcBorders>
              <w:top w:val="single" w:sz="8"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144.2</w:t>
            </w:r>
          </w:p>
        </w:tc>
        <w:tc>
          <w:tcPr>
            <w:tcW w:w="624" w:type="dxa"/>
            <w:tcBorders>
              <w:top w:val="single" w:sz="8" w:space="0" w:color="000000"/>
              <w:left w:val="single" w:sz="4" w:space="0" w:color="000000"/>
              <w:bottom w:val="single" w:sz="4" w:space="0" w:color="000000"/>
              <w:right w:val="single" w:sz="4" w:space="0" w:color="000000"/>
            </w:tcBorders>
          </w:tcPr>
          <w:p>
            <w:pPr>
              <w:pStyle w:val="TableParagraph"/>
              <w:ind w:right="62"/>
              <w:rPr>
                <w:sz w:val="11"/>
              </w:rPr>
            </w:pPr>
            <w:r>
              <w:rPr>
                <w:w w:val="105"/>
                <w:sz w:val="11"/>
              </w:rPr>
              <w:t>9.3</w:t>
            </w:r>
          </w:p>
        </w:tc>
        <w:tc>
          <w:tcPr>
            <w:tcW w:w="474" w:type="dxa"/>
            <w:tcBorders>
              <w:top w:val="single" w:sz="8" w:space="0" w:color="000000"/>
              <w:left w:val="single" w:sz="4" w:space="0" w:color="000000"/>
              <w:bottom w:val="single" w:sz="4" w:space="0" w:color="000000"/>
              <w:right w:val="single" w:sz="3" w:space="0" w:color="000000"/>
            </w:tcBorders>
          </w:tcPr>
          <w:p>
            <w:pPr>
              <w:pStyle w:val="TableParagraph"/>
              <w:ind w:right="62"/>
              <w:rPr>
                <w:sz w:val="11"/>
              </w:rPr>
            </w:pPr>
            <w:r>
              <w:rPr>
                <w:w w:val="105"/>
                <w:sz w:val="11"/>
              </w:rPr>
              <w:t>5.0</w:t>
            </w:r>
          </w:p>
        </w:tc>
        <w:tc>
          <w:tcPr>
            <w:tcW w:w="526" w:type="dxa"/>
            <w:tcBorders>
              <w:top w:val="single" w:sz="8" w:space="0" w:color="000000"/>
              <w:left w:val="single" w:sz="3" w:space="0" w:color="000000"/>
              <w:bottom w:val="single" w:sz="4" w:space="0" w:color="000000"/>
              <w:right w:val="single" w:sz="3" w:space="0" w:color="000000"/>
            </w:tcBorders>
          </w:tcPr>
          <w:p>
            <w:pPr>
              <w:pStyle w:val="TableParagraph"/>
              <w:ind w:right="60"/>
              <w:rPr>
                <w:sz w:val="11"/>
              </w:rPr>
            </w:pPr>
            <w:r>
              <w:rPr>
                <w:w w:val="105"/>
                <w:sz w:val="11"/>
              </w:rPr>
              <w:t>144.2</w:t>
            </w:r>
          </w:p>
        </w:tc>
        <w:tc>
          <w:tcPr>
            <w:tcW w:w="376" w:type="dxa"/>
            <w:tcBorders>
              <w:top w:val="single" w:sz="8" w:space="0" w:color="000000"/>
              <w:left w:val="single" w:sz="3" w:space="0" w:color="000000"/>
              <w:bottom w:val="single" w:sz="4" w:space="0" w:color="000000"/>
              <w:right w:val="single" w:sz="8" w:space="0" w:color="000000"/>
            </w:tcBorders>
          </w:tcPr>
          <w:p>
            <w:pPr>
              <w:pStyle w:val="TableParagraph"/>
              <w:ind w:right="55"/>
              <w:rPr>
                <w:sz w:val="11"/>
              </w:rPr>
            </w:pPr>
            <w:r>
              <w:rPr>
                <w:w w:val="105"/>
                <w:sz w:val="11"/>
              </w:rPr>
              <w:t>9.3</w:t>
            </w:r>
          </w:p>
        </w:tc>
      </w:tr>
      <w:tr>
        <w:trPr>
          <w:trHeight w:val="149" w:hRule="exact"/>
        </w:trPr>
        <w:tc>
          <w:tcPr>
            <w:tcW w:w="200" w:type="dxa"/>
            <w:tcBorders>
              <w:top w:val="single" w:sz="4" w:space="0" w:color="000000"/>
              <w:left w:val="single" w:sz="8" w:space="0" w:color="000000"/>
              <w:bottom w:val="single" w:sz="8" w:space="0" w:color="000000"/>
            </w:tcBorders>
          </w:tcPr>
          <w:p>
            <w:pPr>
              <w:pStyle w:val="TableParagraph"/>
              <w:jc w:val="center"/>
              <w:rPr>
                <w:sz w:val="11"/>
              </w:rPr>
            </w:pPr>
            <w:r>
              <w:rPr>
                <w:w w:val="106"/>
                <w:sz w:val="11"/>
              </w:rPr>
              <w:t>2</w:t>
            </w:r>
          </w:p>
        </w:tc>
        <w:tc>
          <w:tcPr>
            <w:tcW w:w="1609" w:type="dxa"/>
            <w:tcBorders>
              <w:top w:val="single" w:sz="4" w:space="0" w:color="000000"/>
              <w:bottom w:val="single" w:sz="8" w:space="0" w:color="000000"/>
              <w:right w:val="single" w:sz="8" w:space="0" w:color="000000"/>
            </w:tcBorders>
          </w:tcPr>
          <w:p>
            <w:pPr>
              <w:pStyle w:val="TableParagraph"/>
              <w:ind w:left="59"/>
              <w:jc w:val="left"/>
              <w:rPr>
                <w:sz w:val="11"/>
              </w:rPr>
            </w:pPr>
            <w:r>
              <w:rPr>
                <w:w w:val="105"/>
                <w:sz w:val="11"/>
              </w:rPr>
              <w:t>Veracruz</w:t>
            </w:r>
          </w:p>
        </w:tc>
        <w:tc>
          <w:tcPr>
            <w:tcW w:w="666" w:type="dxa"/>
            <w:tcBorders>
              <w:top w:val="single" w:sz="4" w:space="0" w:color="000000"/>
              <w:left w:val="single" w:sz="8" w:space="0" w:color="000000"/>
              <w:bottom w:val="single" w:sz="8" w:space="0" w:color="000000"/>
              <w:right w:val="single" w:sz="3" w:space="0" w:color="000000"/>
            </w:tcBorders>
          </w:tcPr>
          <w:p>
            <w:pPr>
              <w:pStyle w:val="TableParagraph"/>
              <w:ind w:right="60"/>
              <w:rPr>
                <w:sz w:val="11"/>
              </w:rPr>
            </w:pPr>
            <w:r>
              <w:rPr>
                <w:w w:val="105"/>
                <w:sz w:val="11"/>
              </w:rPr>
              <w:t>989.6</w:t>
            </w:r>
          </w:p>
        </w:tc>
        <w:tc>
          <w:tcPr>
            <w:tcW w:w="666" w:type="dxa"/>
            <w:tcBorders>
              <w:top w:val="single" w:sz="4" w:space="0" w:color="000000"/>
              <w:left w:val="single" w:sz="3" w:space="0" w:color="000000"/>
              <w:bottom w:val="single" w:sz="8" w:space="0" w:color="000000"/>
              <w:right w:val="single" w:sz="4" w:space="0" w:color="000000"/>
            </w:tcBorders>
          </w:tcPr>
          <w:p>
            <w:pPr>
              <w:pStyle w:val="TableParagraph"/>
              <w:ind w:right="60"/>
              <w:rPr>
                <w:sz w:val="11"/>
              </w:rPr>
            </w:pPr>
            <w:r>
              <w:rPr>
                <w:w w:val="105"/>
                <w:sz w:val="11"/>
              </w:rPr>
              <w:t>1,162.6</w:t>
            </w:r>
          </w:p>
        </w:tc>
        <w:tc>
          <w:tcPr>
            <w:tcW w:w="665" w:type="dxa"/>
            <w:tcBorders>
              <w:top w:val="single" w:sz="4" w:space="0" w:color="000000"/>
              <w:left w:val="single" w:sz="4" w:space="0" w:color="000000"/>
              <w:bottom w:val="single" w:sz="8" w:space="0" w:color="000000"/>
              <w:right w:val="single" w:sz="4" w:space="0" w:color="000000"/>
            </w:tcBorders>
          </w:tcPr>
          <w:p>
            <w:pPr>
              <w:pStyle w:val="TableParagraph"/>
              <w:ind w:right="57"/>
              <w:rPr>
                <w:sz w:val="11"/>
              </w:rPr>
            </w:pPr>
            <w:r>
              <w:rPr>
                <w:w w:val="105"/>
                <w:sz w:val="11"/>
              </w:rPr>
              <w:t>1,364.4</w:t>
            </w:r>
          </w:p>
        </w:tc>
        <w:tc>
          <w:tcPr>
            <w:tcW w:w="667" w:type="dxa"/>
            <w:tcBorders>
              <w:top w:val="single" w:sz="4" w:space="0" w:color="000000"/>
              <w:left w:val="single" w:sz="4" w:space="0" w:color="000000"/>
              <w:bottom w:val="single" w:sz="8" w:space="0" w:color="000000"/>
              <w:right w:val="single" w:sz="4" w:space="0" w:color="000000"/>
            </w:tcBorders>
          </w:tcPr>
          <w:p>
            <w:pPr>
              <w:pStyle w:val="TableParagraph"/>
              <w:ind w:right="60"/>
              <w:rPr>
                <w:sz w:val="11"/>
              </w:rPr>
            </w:pPr>
            <w:r>
              <w:rPr>
                <w:w w:val="105"/>
                <w:sz w:val="11"/>
              </w:rPr>
              <w:t>1,672.4</w:t>
            </w:r>
          </w:p>
        </w:tc>
        <w:tc>
          <w:tcPr>
            <w:tcW w:w="665" w:type="dxa"/>
            <w:tcBorders>
              <w:top w:val="single" w:sz="4" w:space="0" w:color="000000"/>
              <w:left w:val="single" w:sz="4" w:space="0" w:color="000000"/>
              <w:bottom w:val="single" w:sz="8" w:space="0" w:color="000000"/>
              <w:right w:val="single" w:sz="4" w:space="0" w:color="000000"/>
            </w:tcBorders>
          </w:tcPr>
          <w:p>
            <w:pPr>
              <w:pStyle w:val="TableParagraph"/>
              <w:ind w:right="57"/>
              <w:rPr>
                <w:sz w:val="11"/>
              </w:rPr>
            </w:pPr>
            <w:r>
              <w:rPr>
                <w:w w:val="105"/>
                <w:sz w:val="11"/>
              </w:rPr>
              <w:t>1,736.2</w:t>
            </w:r>
          </w:p>
        </w:tc>
        <w:tc>
          <w:tcPr>
            <w:tcW w:w="666" w:type="dxa"/>
            <w:tcBorders>
              <w:top w:val="single" w:sz="4" w:space="0" w:color="000000"/>
              <w:left w:val="single" w:sz="4" w:space="0" w:color="000000"/>
              <w:bottom w:val="single" w:sz="8" w:space="0" w:color="000000"/>
              <w:right w:val="single" w:sz="3" w:space="0" w:color="000000"/>
            </w:tcBorders>
          </w:tcPr>
          <w:p>
            <w:pPr>
              <w:pStyle w:val="TableParagraph"/>
              <w:ind w:right="60"/>
              <w:rPr>
                <w:sz w:val="11"/>
              </w:rPr>
            </w:pPr>
            <w:r>
              <w:rPr>
                <w:w w:val="105"/>
                <w:sz w:val="11"/>
              </w:rPr>
              <w:t>1,620.4</w:t>
            </w:r>
          </w:p>
        </w:tc>
        <w:tc>
          <w:tcPr>
            <w:tcW w:w="668" w:type="dxa"/>
            <w:tcBorders>
              <w:top w:val="single" w:sz="4" w:space="0" w:color="000000"/>
              <w:left w:val="single" w:sz="3" w:space="0" w:color="000000"/>
              <w:bottom w:val="single" w:sz="8" w:space="0" w:color="000000"/>
              <w:right w:val="single" w:sz="4" w:space="0" w:color="000000"/>
            </w:tcBorders>
          </w:tcPr>
          <w:p>
            <w:pPr>
              <w:pStyle w:val="TableParagraph"/>
              <w:ind w:right="62"/>
              <w:rPr>
                <w:sz w:val="11"/>
              </w:rPr>
            </w:pPr>
            <w:r>
              <w:rPr>
                <w:w w:val="105"/>
                <w:sz w:val="11"/>
              </w:rPr>
              <w:t>1,294.1</w:t>
            </w:r>
          </w:p>
        </w:tc>
        <w:tc>
          <w:tcPr>
            <w:tcW w:w="773" w:type="dxa"/>
            <w:tcBorders>
              <w:top w:val="single" w:sz="4" w:space="0" w:color="000000"/>
              <w:left w:val="single" w:sz="4" w:space="0" w:color="000000"/>
              <w:bottom w:val="single" w:sz="8" w:space="0" w:color="000000"/>
              <w:right w:val="single" w:sz="4" w:space="0" w:color="000000"/>
            </w:tcBorders>
          </w:tcPr>
          <w:p>
            <w:pPr>
              <w:pStyle w:val="TableParagraph"/>
              <w:ind w:right="60"/>
              <w:rPr>
                <w:sz w:val="11"/>
              </w:rPr>
            </w:pPr>
            <w:r>
              <w:rPr>
                <w:w w:val="105"/>
                <w:sz w:val="11"/>
              </w:rPr>
              <w:t>1,405.7</w:t>
            </w:r>
          </w:p>
        </w:tc>
        <w:tc>
          <w:tcPr>
            <w:tcW w:w="624" w:type="dxa"/>
            <w:tcBorders>
              <w:top w:val="single" w:sz="4" w:space="0" w:color="000000"/>
              <w:left w:val="single" w:sz="4" w:space="0" w:color="000000"/>
              <w:bottom w:val="single" w:sz="8" w:space="0" w:color="000000"/>
              <w:right w:val="single" w:sz="4" w:space="0" w:color="000000"/>
            </w:tcBorders>
          </w:tcPr>
          <w:p>
            <w:pPr>
              <w:pStyle w:val="TableParagraph"/>
              <w:ind w:right="60"/>
              <w:rPr>
                <w:sz w:val="11"/>
              </w:rPr>
            </w:pPr>
            <w:r>
              <w:rPr>
                <w:w w:val="105"/>
                <w:sz w:val="11"/>
              </w:rPr>
              <w:t>90.7</w:t>
            </w:r>
          </w:p>
        </w:tc>
        <w:tc>
          <w:tcPr>
            <w:tcW w:w="474" w:type="dxa"/>
            <w:tcBorders>
              <w:top w:val="single" w:sz="4" w:space="0" w:color="000000"/>
              <w:left w:val="single" w:sz="4" w:space="0" w:color="000000"/>
              <w:bottom w:val="single" w:sz="8" w:space="0" w:color="000000"/>
              <w:right w:val="single" w:sz="3" w:space="0" w:color="000000"/>
            </w:tcBorders>
          </w:tcPr>
          <w:p>
            <w:pPr>
              <w:pStyle w:val="TableParagraph"/>
              <w:ind w:right="62"/>
              <w:rPr>
                <w:sz w:val="11"/>
              </w:rPr>
            </w:pPr>
            <w:r>
              <w:rPr>
                <w:w w:val="105"/>
                <w:sz w:val="11"/>
              </w:rPr>
              <w:t>4.6</w:t>
            </w:r>
          </w:p>
        </w:tc>
        <w:tc>
          <w:tcPr>
            <w:tcW w:w="526" w:type="dxa"/>
            <w:tcBorders>
              <w:top w:val="single" w:sz="4" w:space="0" w:color="000000"/>
              <w:left w:val="single" w:sz="3" w:space="0" w:color="000000"/>
              <w:bottom w:val="single" w:sz="8" w:space="0" w:color="000000"/>
              <w:right w:val="single" w:sz="3" w:space="0" w:color="000000"/>
            </w:tcBorders>
          </w:tcPr>
          <w:p>
            <w:pPr>
              <w:pStyle w:val="TableParagraph"/>
              <w:ind w:left="95"/>
              <w:jc w:val="left"/>
              <w:rPr>
                <w:b/>
                <w:sz w:val="11"/>
              </w:rPr>
            </w:pPr>
            <w:r>
              <w:rPr>
                <w:b/>
                <w:w w:val="105"/>
                <w:sz w:val="11"/>
              </w:rPr>
              <w:t>1549.9</w:t>
            </w:r>
          </w:p>
        </w:tc>
        <w:tc>
          <w:tcPr>
            <w:tcW w:w="376" w:type="dxa"/>
            <w:tcBorders>
              <w:top w:val="single" w:sz="4" w:space="0" w:color="000000"/>
              <w:left w:val="single" w:sz="3" w:space="0" w:color="000000"/>
              <w:bottom w:val="single" w:sz="8" w:space="0" w:color="000000"/>
              <w:right w:val="single" w:sz="8" w:space="0" w:color="000000"/>
            </w:tcBorders>
          </w:tcPr>
          <w:p>
            <w:pPr>
              <w:pStyle w:val="TableParagraph"/>
              <w:ind w:right="53"/>
              <w:rPr>
                <w:b/>
                <w:sz w:val="11"/>
              </w:rPr>
            </w:pPr>
            <w:r>
              <w:rPr>
                <w:b/>
                <w:w w:val="105"/>
                <w:sz w:val="11"/>
              </w:rPr>
              <w:t>100</w:t>
            </w:r>
          </w:p>
        </w:tc>
      </w:tr>
      <w:tr>
        <w:trPr>
          <w:trHeight w:val="154" w:hRule="exact"/>
        </w:trPr>
        <w:tc>
          <w:tcPr>
            <w:tcW w:w="9245" w:type="dxa"/>
            <w:gridSpan w:val="14"/>
            <w:tcBorders>
              <w:top w:val="single" w:sz="8" w:space="0" w:color="000000"/>
              <w:left w:val="single" w:sz="8" w:space="0" w:color="000000"/>
              <w:bottom w:val="single" w:sz="8" w:space="0" w:color="000000"/>
              <w:right w:val="single" w:sz="8" w:space="0" w:color="000000"/>
            </w:tcBorders>
          </w:tcPr>
          <w:p>
            <w:pPr/>
          </w:p>
        </w:tc>
      </w:tr>
      <w:tr>
        <w:trPr>
          <w:trHeight w:val="155" w:hRule="exact"/>
        </w:trPr>
        <w:tc>
          <w:tcPr>
            <w:tcW w:w="200" w:type="dxa"/>
            <w:tcBorders>
              <w:top w:val="single" w:sz="8" w:space="0" w:color="000000"/>
              <w:left w:val="single" w:sz="8" w:space="0" w:color="000000"/>
            </w:tcBorders>
          </w:tcPr>
          <w:p>
            <w:pPr>
              <w:pStyle w:val="TableParagraph"/>
              <w:jc w:val="center"/>
              <w:rPr>
                <w:b/>
                <w:sz w:val="11"/>
              </w:rPr>
            </w:pPr>
            <w:r>
              <w:rPr>
                <w:b/>
                <w:w w:val="106"/>
                <w:sz w:val="11"/>
              </w:rPr>
              <w:t>7</w:t>
            </w:r>
          </w:p>
        </w:tc>
        <w:tc>
          <w:tcPr>
            <w:tcW w:w="1609" w:type="dxa"/>
            <w:tcBorders>
              <w:top w:val="single" w:sz="8" w:space="0" w:color="000000"/>
              <w:right w:val="single" w:sz="8" w:space="0" w:color="000000"/>
            </w:tcBorders>
          </w:tcPr>
          <w:p>
            <w:pPr>
              <w:pStyle w:val="TableParagraph"/>
              <w:ind w:left="59"/>
              <w:jc w:val="left"/>
              <w:rPr>
                <w:b/>
                <w:sz w:val="11"/>
              </w:rPr>
            </w:pPr>
            <w:r>
              <w:rPr>
                <w:b/>
                <w:w w:val="105"/>
                <w:sz w:val="11"/>
              </w:rPr>
              <w:t>PENINSULA DE YUCATÁN</w:t>
            </w:r>
          </w:p>
        </w:tc>
        <w:tc>
          <w:tcPr>
            <w:tcW w:w="666" w:type="dxa"/>
            <w:tcBorders>
              <w:top w:val="single" w:sz="8" w:space="0" w:color="000000"/>
              <w:left w:val="single" w:sz="8" w:space="0" w:color="000000"/>
            </w:tcBorders>
          </w:tcPr>
          <w:p>
            <w:pPr>
              <w:pStyle w:val="TableParagraph"/>
              <w:ind w:right="55"/>
              <w:rPr>
                <w:b/>
                <w:sz w:val="11"/>
              </w:rPr>
            </w:pPr>
            <w:r>
              <w:rPr>
                <w:b/>
                <w:w w:val="105"/>
                <w:sz w:val="11"/>
              </w:rPr>
              <w:t>165.7</w:t>
            </w:r>
          </w:p>
        </w:tc>
        <w:tc>
          <w:tcPr>
            <w:tcW w:w="666" w:type="dxa"/>
            <w:tcBorders>
              <w:top w:val="single" w:sz="8" w:space="0" w:color="000000"/>
              <w:right w:val="single" w:sz="8" w:space="0" w:color="000000"/>
            </w:tcBorders>
          </w:tcPr>
          <w:p>
            <w:pPr>
              <w:pStyle w:val="TableParagraph"/>
              <w:ind w:right="55"/>
              <w:rPr>
                <w:b/>
                <w:sz w:val="11"/>
              </w:rPr>
            </w:pPr>
            <w:r>
              <w:rPr>
                <w:b/>
                <w:w w:val="105"/>
                <w:sz w:val="11"/>
              </w:rPr>
              <w:t>196.5</w:t>
            </w:r>
          </w:p>
        </w:tc>
        <w:tc>
          <w:tcPr>
            <w:tcW w:w="665" w:type="dxa"/>
            <w:tcBorders>
              <w:top w:val="single" w:sz="8" w:space="0" w:color="000000"/>
              <w:left w:val="single" w:sz="8" w:space="0" w:color="000000"/>
              <w:right w:val="single" w:sz="8" w:space="0" w:color="000000"/>
            </w:tcBorders>
          </w:tcPr>
          <w:p>
            <w:pPr>
              <w:pStyle w:val="TableParagraph"/>
              <w:ind w:right="53"/>
              <w:rPr>
                <w:b/>
                <w:sz w:val="11"/>
              </w:rPr>
            </w:pPr>
            <w:r>
              <w:rPr>
                <w:b/>
                <w:w w:val="105"/>
                <w:sz w:val="11"/>
              </w:rPr>
              <w:t>243.1</w:t>
            </w:r>
          </w:p>
        </w:tc>
        <w:tc>
          <w:tcPr>
            <w:tcW w:w="667" w:type="dxa"/>
            <w:tcBorders>
              <w:top w:val="single" w:sz="8" w:space="0" w:color="000000"/>
              <w:left w:val="single" w:sz="8" w:space="0" w:color="000000"/>
              <w:right w:val="single" w:sz="8" w:space="0" w:color="000000"/>
            </w:tcBorders>
          </w:tcPr>
          <w:p>
            <w:pPr>
              <w:pStyle w:val="TableParagraph"/>
              <w:ind w:right="55"/>
              <w:rPr>
                <w:b/>
                <w:sz w:val="11"/>
              </w:rPr>
            </w:pPr>
            <w:r>
              <w:rPr>
                <w:b/>
                <w:w w:val="105"/>
                <w:sz w:val="11"/>
              </w:rPr>
              <w:t>305.0</w:t>
            </w:r>
          </w:p>
        </w:tc>
        <w:tc>
          <w:tcPr>
            <w:tcW w:w="665" w:type="dxa"/>
            <w:tcBorders>
              <w:top w:val="single" w:sz="8" w:space="0" w:color="000000"/>
              <w:left w:val="single" w:sz="8" w:space="0" w:color="000000"/>
              <w:right w:val="single" w:sz="8" w:space="0" w:color="000000"/>
            </w:tcBorders>
          </w:tcPr>
          <w:p>
            <w:pPr>
              <w:pStyle w:val="TableParagraph"/>
              <w:ind w:right="53"/>
              <w:rPr>
                <w:b/>
                <w:sz w:val="11"/>
              </w:rPr>
            </w:pPr>
            <w:r>
              <w:rPr>
                <w:b/>
                <w:w w:val="105"/>
                <w:sz w:val="11"/>
              </w:rPr>
              <w:t>313.8</w:t>
            </w:r>
          </w:p>
        </w:tc>
        <w:tc>
          <w:tcPr>
            <w:tcW w:w="666" w:type="dxa"/>
            <w:tcBorders>
              <w:top w:val="single" w:sz="8" w:space="0" w:color="000000"/>
              <w:left w:val="single" w:sz="8" w:space="0" w:color="000000"/>
            </w:tcBorders>
          </w:tcPr>
          <w:p>
            <w:pPr>
              <w:pStyle w:val="TableParagraph"/>
              <w:ind w:right="55"/>
              <w:rPr>
                <w:b/>
                <w:sz w:val="11"/>
              </w:rPr>
            </w:pPr>
            <w:r>
              <w:rPr>
                <w:b/>
                <w:w w:val="105"/>
                <w:sz w:val="11"/>
              </w:rPr>
              <w:t>302.9</w:t>
            </w:r>
          </w:p>
        </w:tc>
        <w:tc>
          <w:tcPr>
            <w:tcW w:w="668" w:type="dxa"/>
            <w:tcBorders>
              <w:top w:val="single" w:sz="8" w:space="0" w:color="000000"/>
              <w:right w:val="single" w:sz="8" w:space="0" w:color="000000"/>
            </w:tcBorders>
          </w:tcPr>
          <w:p>
            <w:pPr>
              <w:pStyle w:val="TableParagraph"/>
              <w:ind w:right="57"/>
              <w:rPr>
                <w:b/>
                <w:sz w:val="11"/>
              </w:rPr>
            </w:pPr>
            <w:r>
              <w:rPr>
                <w:b/>
                <w:w w:val="105"/>
                <w:sz w:val="11"/>
              </w:rPr>
              <w:t>250.7</w:t>
            </w:r>
          </w:p>
        </w:tc>
        <w:tc>
          <w:tcPr>
            <w:tcW w:w="773" w:type="dxa"/>
            <w:tcBorders>
              <w:top w:val="single" w:sz="8" w:space="0" w:color="000000"/>
              <w:left w:val="single" w:sz="8" w:space="0" w:color="000000"/>
              <w:right w:val="single" w:sz="8" w:space="0" w:color="000000"/>
            </w:tcBorders>
          </w:tcPr>
          <w:p>
            <w:pPr>
              <w:pStyle w:val="TableParagraph"/>
              <w:ind w:right="55"/>
              <w:rPr>
                <w:b/>
                <w:sz w:val="11"/>
              </w:rPr>
            </w:pPr>
            <w:r>
              <w:rPr>
                <w:b/>
                <w:w w:val="105"/>
                <w:sz w:val="11"/>
              </w:rPr>
              <w:t>254.0</w:t>
            </w:r>
          </w:p>
        </w:tc>
        <w:tc>
          <w:tcPr>
            <w:tcW w:w="624" w:type="dxa"/>
            <w:tcBorders>
              <w:top w:val="single" w:sz="8" w:space="0" w:color="000000"/>
              <w:left w:val="single" w:sz="8" w:space="0" w:color="000000"/>
              <w:right w:val="single" w:sz="8" w:space="0" w:color="000000"/>
            </w:tcBorders>
          </w:tcPr>
          <w:p>
            <w:pPr>
              <w:pStyle w:val="TableParagraph"/>
              <w:ind w:right="55"/>
              <w:rPr>
                <w:b/>
                <w:sz w:val="11"/>
              </w:rPr>
            </w:pPr>
            <w:r>
              <w:rPr>
                <w:b/>
                <w:w w:val="105"/>
                <w:sz w:val="11"/>
              </w:rPr>
              <w:t>100</w:t>
            </w:r>
          </w:p>
        </w:tc>
        <w:tc>
          <w:tcPr>
            <w:tcW w:w="474" w:type="dxa"/>
            <w:tcBorders>
              <w:top w:val="single" w:sz="8" w:space="0" w:color="000000"/>
              <w:left w:val="single" w:sz="8" w:space="0" w:color="000000"/>
            </w:tcBorders>
          </w:tcPr>
          <w:p>
            <w:pPr>
              <w:pStyle w:val="TableParagraph"/>
              <w:ind w:right="57"/>
              <w:rPr>
                <w:b/>
                <w:sz w:val="11"/>
              </w:rPr>
            </w:pPr>
            <w:r>
              <w:rPr>
                <w:b/>
                <w:w w:val="105"/>
                <w:sz w:val="11"/>
              </w:rPr>
              <w:t>7.1</w:t>
            </w:r>
          </w:p>
        </w:tc>
        <w:tc>
          <w:tcPr>
            <w:tcW w:w="526" w:type="dxa"/>
            <w:tcBorders>
              <w:top w:val="single" w:sz="8" w:space="0" w:color="000000"/>
            </w:tcBorders>
          </w:tcPr>
          <w:p>
            <w:pPr/>
          </w:p>
        </w:tc>
        <w:tc>
          <w:tcPr>
            <w:tcW w:w="376" w:type="dxa"/>
            <w:tcBorders>
              <w:top w:val="single" w:sz="8" w:space="0" w:color="000000"/>
              <w:right w:val="single" w:sz="8" w:space="0" w:color="000000"/>
            </w:tcBorders>
          </w:tcPr>
          <w:p>
            <w:pPr/>
          </w:p>
        </w:tc>
      </w:tr>
      <w:tr>
        <w:trPr>
          <w:trHeight w:val="150" w:hRule="exact"/>
        </w:trPr>
        <w:tc>
          <w:tcPr>
            <w:tcW w:w="200" w:type="dxa"/>
            <w:tcBorders>
              <w:left w:val="single" w:sz="8" w:space="0" w:color="000000"/>
              <w:bottom w:val="single" w:sz="4" w:space="0" w:color="000000"/>
            </w:tcBorders>
          </w:tcPr>
          <w:p>
            <w:pPr>
              <w:pStyle w:val="TableParagraph"/>
              <w:jc w:val="center"/>
              <w:rPr>
                <w:sz w:val="11"/>
              </w:rPr>
            </w:pPr>
            <w:r>
              <w:rPr>
                <w:w w:val="106"/>
                <w:sz w:val="11"/>
              </w:rPr>
              <w:t>1</w:t>
            </w:r>
          </w:p>
        </w:tc>
        <w:tc>
          <w:tcPr>
            <w:tcW w:w="1609" w:type="dxa"/>
            <w:tcBorders>
              <w:bottom w:val="single" w:sz="4" w:space="0" w:color="000000"/>
              <w:right w:val="single" w:sz="8" w:space="0" w:color="000000"/>
            </w:tcBorders>
          </w:tcPr>
          <w:p>
            <w:pPr>
              <w:pStyle w:val="TableParagraph"/>
              <w:ind w:left="59"/>
              <w:jc w:val="left"/>
              <w:rPr>
                <w:sz w:val="11"/>
              </w:rPr>
            </w:pPr>
            <w:r>
              <w:rPr>
                <w:w w:val="105"/>
                <w:sz w:val="11"/>
              </w:rPr>
              <w:t>Campeche</w:t>
            </w:r>
          </w:p>
        </w:tc>
        <w:tc>
          <w:tcPr>
            <w:tcW w:w="666" w:type="dxa"/>
            <w:tcBorders>
              <w:left w:val="single" w:sz="8" w:space="0" w:color="000000"/>
              <w:bottom w:val="single" w:sz="4" w:space="0" w:color="000000"/>
              <w:right w:val="single" w:sz="3" w:space="0" w:color="000000"/>
            </w:tcBorders>
          </w:tcPr>
          <w:p>
            <w:pPr>
              <w:pStyle w:val="TableParagraph"/>
              <w:ind w:right="60"/>
              <w:rPr>
                <w:sz w:val="11"/>
              </w:rPr>
            </w:pPr>
            <w:r>
              <w:rPr>
                <w:w w:val="105"/>
                <w:sz w:val="11"/>
              </w:rPr>
              <w:t>52.5</w:t>
            </w:r>
          </w:p>
        </w:tc>
        <w:tc>
          <w:tcPr>
            <w:tcW w:w="666" w:type="dxa"/>
            <w:tcBorders>
              <w:left w:val="single" w:sz="3" w:space="0" w:color="000000"/>
              <w:bottom w:val="single" w:sz="4" w:space="0" w:color="000000"/>
              <w:right w:val="single" w:sz="4" w:space="0" w:color="000000"/>
            </w:tcBorders>
          </w:tcPr>
          <w:p>
            <w:pPr>
              <w:pStyle w:val="TableParagraph"/>
              <w:ind w:right="60"/>
              <w:rPr>
                <w:sz w:val="11"/>
              </w:rPr>
            </w:pPr>
            <w:r>
              <w:rPr>
                <w:w w:val="105"/>
                <w:sz w:val="11"/>
              </w:rPr>
              <w:t>54.6</w:t>
            </w:r>
          </w:p>
        </w:tc>
        <w:tc>
          <w:tcPr>
            <w:tcW w:w="665" w:type="dxa"/>
            <w:tcBorders>
              <w:left w:val="single" w:sz="4" w:space="0" w:color="000000"/>
              <w:bottom w:val="single" w:sz="4" w:space="0" w:color="000000"/>
              <w:right w:val="single" w:sz="4" w:space="0" w:color="000000"/>
            </w:tcBorders>
          </w:tcPr>
          <w:p>
            <w:pPr>
              <w:pStyle w:val="TableParagraph"/>
              <w:ind w:right="57"/>
              <w:rPr>
                <w:sz w:val="11"/>
              </w:rPr>
            </w:pPr>
            <w:r>
              <w:rPr>
                <w:w w:val="105"/>
                <w:sz w:val="11"/>
              </w:rPr>
              <w:t>67.4</w:t>
            </w:r>
          </w:p>
        </w:tc>
        <w:tc>
          <w:tcPr>
            <w:tcW w:w="667" w:type="dxa"/>
            <w:tcBorders>
              <w:left w:val="single" w:sz="4" w:space="0" w:color="000000"/>
              <w:bottom w:val="single" w:sz="4" w:space="0" w:color="000000"/>
              <w:right w:val="single" w:sz="4" w:space="0" w:color="000000"/>
            </w:tcBorders>
          </w:tcPr>
          <w:p>
            <w:pPr>
              <w:pStyle w:val="TableParagraph"/>
              <w:ind w:right="60"/>
              <w:rPr>
                <w:sz w:val="11"/>
              </w:rPr>
            </w:pPr>
            <w:r>
              <w:rPr>
                <w:w w:val="105"/>
                <w:sz w:val="11"/>
              </w:rPr>
              <w:t>84.0</w:t>
            </w:r>
          </w:p>
        </w:tc>
        <w:tc>
          <w:tcPr>
            <w:tcW w:w="665" w:type="dxa"/>
            <w:tcBorders>
              <w:left w:val="single" w:sz="4" w:space="0" w:color="000000"/>
              <w:bottom w:val="single" w:sz="4" w:space="0" w:color="000000"/>
              <w:right w:val="single" w:sz="4" w:space="0" w:color="000000"/>
            </w:tcBorders>
          </w:tcPr>
          <w:p>
            <w:pPr>
              <w:pStyle w:val="TableParagraph"/>
              <w:ind w:right="57"/>
              <w:rPr>
                <w:sz w:val="11"/>
              </w:rPr>
            </w:pPr>
            <w:r>
              <w:rPr>
                <w:w w:val="105"/>
                <w:sz w:val="11"/>
              </w:rPr>
              <w:t>81.0</w:t>
            </w:r>
          </w:p>
        </w:tc>
        <w:tc>
          <w:tcPr>
            <w:tcW w:w="666" w:type="dxa"/>
            <w:tcBorders>
              <w:left w:val="single" w:sz="4" w:space="0" w:color="000000"/>
              <w:bottom w:val="single" w:sz="4" w:space="0" w:color="000000"/>
              <w:right w:val="single" w:sz="3" w:space="0" w:color="000000"/>
            </w:tcBorders>
          </w:tcPr>
          <w:p>
            <w:pPr>
              <w:pStyle w:val="TableParagraph"/>
              <w:ind w:right="60"/>
              <w:rPr>
                <w:sz w:val="11"/>
              </w:rPr>
            </w:pPr>
            <w:r>
              <w:rPr>
                <w:w w:val="105"/>
                <w:sz w:val="11"/>
              </w:rPr>
              <w:t>74.4</w:t>
            </w:r>
          </w:p>
        </w:tc>
        <w:tc>
          <w:tcPr>
            <w:tcW w:w="668" w:type="dxa"/>
            <w:tcBorders>
              <w:left w:val="single" w:sz="3" w:space="0" w:color="000000"/>
              <w:bottom w:val="single" w:sz="4" w:space="0" w:color="000000"/>
              <w:right w:val="single" w:sz="4" w:space="0" w:color="000000"/>
            </w:tcBorders>
          </w:tcPr>
          <w:p>
            <w:pPr>
              <w:pStyle w:val="TableParagraph"/>
              <w:ind w:right="62"/>
              <w:rPr>
                <w:sz w:val="11"/>
              </w:rPr>
            </w:pPr>
            <w:r>
              <w:rPr>
                <w:w w:val="105"/>
                <w:sz w:val="11"/>
              </w:rPr>
              <w:t>57.0</w:t>
            </w:r>
          </w:p>
        </w:tc>
        <w:tc>
          <w:tcPr>
            <w:tcW w:w="773" w:type="dxa"/>
            <w:tcBorders>
              <w:left w:val="single" w:sz="4" w:space="0" w:color="000000"/>
              <w:bottom w:val="single" w:sz="4" w:space="0" w:color="000000"/>
              <w:right w:val="single" w:sz="4" w:space="0" w:color="000000"/>
            </w:tcBorders>
          </w:tcPr>
          <w:p>
            <w:pPr>
              <w:pStyle w:val="TableParagraph"/>
              <w:ind w:right="60"/>
              <w:rPr>
                <w:sz w:val="11"/>
              </w:rPr>
            </w:pPr>
            <w:r>
              <w:rPr>
                <w:w w:val="105"/>
                <w:sz w:val="11"/>
              </w:rPr>
              <w:t>67.3</w:t>
            </w:r>
          </w:p>
        </w:tc>
        <w:tc>
          <w:tcPr>
            <w:tcW w:w="624" w:type="dxa"/>
            <w:tcBorders>
              <w:left w:val="single" w:sz="4" w:space="0" w:color="000000"/>
              <w:bottom w:val="single" w:sz="4" w:space="0" w:color="000000"/>
              <w:right w:val="single" w:sz="4" w:space="0" w:color="000000"/>
            </w:tcBorders>
          </w:tcPr>
          <w:p>
            <w:pPr>
              <w:pStyle w:val="TableParagraph"/>
              <w:ind w:right="60"/>
              <w:rPr>
                <w:sz w:val="11"/>
              </w:rPr>
            </w:pPr>
            <w:r>
              <w:rPr>
                <w:w w:val="105"/>
                <w:sz w:val="11"/>
              </w:rPr>
              <w:t>26.5</w:t>
            </w:r>
          </w:p>
        </w:tc>
        <w:tc>
          <w:tcPr>
            <w:tcW w:w="474" w:type="dxa"/>
            <w:tcBorders>
              <w:left w:val="single" w:sz="4" w:space="0" w:color="000000"/>
              <w:bottom w:val="single" w:sz="4" w:space="0" w:color="000000"/>
              <w:right w:val="single" w:sz="3" w:space="0" w:color="000000"/>
            </w:tcBorders>
          </w:tcPr>
          <w:p>
            <w:pPr>
              <w:pStyle w:val="TableParagraph"/>
              <w:ind w:right="62"/>
              <w:rPr>
                <w:sz w:val="11"/>
              </w:rPr>
            </w:pPr>
            <w:r>
              <w:rPr>
                <w:w w:val="105"/>
                <w:sz w:val="11"/>
              </w:rPr>
              <w:t>1.4</w:t>
            </w:r>
          </w:p>
        </w:tc>
        <w:tc>
          <w:tcPr>
            <w:tcW w:w="526" w:type="dxa"/>
            <w:tcBorders>
              <w:left w:val="single" w:sz="3" w:space="0" w:color="000000"/>
              <w:bottom w:val="single" w:sz="4" w:space="0" w:color="000000"/>
              <w:right w:val="single" w:sz="3" w:space="0" w:color="000000"/>
            </w:tcBorders>
          </w:tcPr>
          <w:p>
            <w:pPr>
              <w:pStyle w:val="TableParagraph"/>
              <w:ind w:right="60"/>
              <w:rPr>
                <w:sz w:val="11"/>
              </w:rPr>
            </w:pPr>
            <w:r>
              <w:rPr>
                <w:w w:val="105"/>
                <w:sz w:val="11"/>
              </w:rPr>
              <w:t>67.3</w:t>
            </w:r>
          </w:p>
        </w:tc>
        <w:tc>
          <w:tcPr>
            <w:tcW w:w="376" w:type="dxa"/>
            <w:tcBorders>
              <w:left w:val="single" w:sz="3" w:space="0" w:color="000000"/>
              <w:bottom w:val="single" w:sz="4" w:space="0" w:color="000000"/>
              <w:right w:val="single" w:sz="8" w:space="0" w:color="000000"/>
            </w:tcBorders>
          </w:tcPr>
          <w:p>
            <w:pPr>
              <w:pStyle w:val="TableParagraph"/>
              <w:ind w:right="53"/>
              <w:rPr>
                <w:sz w:val="11"/>
              </w:rPr>
            </w:pPr>
            <w:r>
              <w:rPr>
                <w:w w:val="105"/>
                <w:sz w:val="11"/>
              </w:rPr>
              <w:t>26.5</w:t>
            </w:r>
          </w:p>
        </w:tc>
      </w:tr>
      <w:tr>
        <w:trPr>
          <w:trHeight w:val="142" w:hRule="exact"/>
        </w:trPr>
        <w:tc>
          <w:tcPr>
            <w:tcW w:w="200" w:type="dxa"/>
            <w:tcBorders>
              <w:top w:val="single" w:sz="4" w:space="0" w:color="000000"/>
              <w:left w:val="single" w:sz="8" w:space="0" w:color="000000"/>
              <w:bottom w:val="single" w:sz="4" w:space="0" w:color="000000"/>
            </w:tcBorders>
          </w:tcPr>
          <w:p>
            <w:pPr>
              <w:pStyle w:val="TableParagraph"/>
              <w:spacing w:before="0"/>
              <w:jc w:val="center"/>
              <w:rPr>
                <w:sz w:val="11"/>
              </w:rPr>
            </w:pPr>
            <w:r>
              <w:rPr>
                <w:w w:val="106"/>
                <w:sz w:val="11"/>
              </w:rPr>
              <w:t>2</w:t>
            </w:r>
          </w:p>
        </w:tc>
        <w:tc>
          <w:tcPr>
            <w:tcW w:w="1609" w:type="dxa"/>
            <w:tcBorders>
              <w:top w:val="single" w:sz="4" w:space="0" w:color="000000"/>
              <w:bottom w:val="single" w:sz="4" w:space="0" w:color="000000"/>
              <w:right w:val="single" w:sz="8" w:space="0" w:color="000000"/>
            </w:tcBorders>
          </w:tcPr>
          <w:p>
            <w:pPr>
              <w:pStyle w:val="TableParagraph"/>
              <w:spacing w:before="0"/>
              <w:ind w:left="59"/>
              <w:jc w:val="left"/>
              <w:rPr>
                <w:sz w:val="11"/>
              </w:rPr>
            </w:pPr>
            <w:r>
              <w:rPr>
                <w:w w:val="105"/>
                <w:sz w:val="11"/>
              </w:rPr>
              <w:t>Yucatán</w:t>
            </w:r>
          </w:p>
        </w:tc>
        <w:tc>
          <w:tcPr>
            <w:tcW w:w="666" w:type="dxa"/>
            <w:tcBorders>
              <w:top w:val="single" w:sz="4" w:space="0" w:color="000000"/>
              <w:left w:val="single" w:sz="8" w:space="0" w:color="000000"/>
              <w:bottom w:val="single" w:sz="4" w:space="0" w:color="000000"/>
              <w:right w:val="single" w:sz="3" w:space="0" w:color="000000"/>
            </w:tcBorders>
          </w:tcPr>
          <w:p>
            <w:pPr>
              <w:pStyle w:val="TableParagraph"/>
              <w:spacing w:before="0"/>
              <w:ind w:right="60"/>
              <w:rPr>
                <w:sz w:val="11"/>
              </w:rPr>
            </w:pPr>
            <w:r>
              <w:rPr>
                <w:w w:val="105"/>
                <w:sz w:val="11"/>
              </w:rPr>
              <w:t>59.5</w:t>
            </w:r>
          </w:p>
        </w:tc>
        <w:tc>
          <w:tcPr>
            <w:tcW w:w="666" w:type="dxa"/>
            <w:tcBorders>
              <w:top w:val="single" w:sz="4" w:space="0" w:color="000000"/>
              <w:left w:val="single" w:sz="3" w:space="0" w:color="000000"/>
              <w:bottom w:val="single" w:sz="4" w:space="0" w:color="000000"/>
              <w:right w:val="single" w:sz="4" w:space="0" w:color="000000"/>
            </w:tcBorders>
          </w:tcPr>
          <w:p>
            <w:pPr>
              <w:pStyle w:val="TableParagraph"/>
              <w:spacing w:before="0"/>
              <w:ind w:right="60"/>
              <w:rPr>
                <w:sz w:val="11"/>
              </w:rPr>
            </w:pPr>
            <w:r>
              <w:rPr>
                <w:w w:val="105"/>
                <w:sz w:val="11"/>
              </w:rPr>
              <w:t>73.0</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spacing w:before="0"/>
              <w:ind w:right="57"/>
              <w:rPr>
                <w:sz w:val="11"/>
              </w:rPr>
            </w:pPr>
            <w:r>
              <w:rPr>
                <w:w w:val="105"/>
                <w:sz w:val="11"/>
              </w:rPr>
              <w:t>88.8</w:t>
            </w:r>
          </w:p>
        </w:tc>
        <w:tc>
          <w:tcPr>
            <w:tcW w:w="667"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119.0</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spacing w:before="0"/>
              <w:ind w:right="57"/>
              <w:rPr>
                <w:sz w:val="11"/>
              </w:rPr>
            </w:pPr>
            <w:r>
              <w:rPr>
                <w:w w:val="105"/>
                <w:sz w:val="11"/>
              </w:rPr>
              <w:t>133.4</w:t>
            </w:r>
          </w:p>
        </w:tc>
        <w:tc>
          <w:tcPr>
            <w:tcW w:w="666" w:type="dxa"/>
            <w:tcBorders>
              <w:top w:val="single" w:sz="4" w:space="0" w:color="000000"/>
              <w:left w:val="single" w:sz="4" w:space="0" w:color="000000"/>
              <w:bottom w:val="single" w:sz="4" w:space="0" w:color="000000"/>
              <w:right w:val="single" w:sz="3" w:space="0" w:color="000000"/>
            </w:tcBorders>
          </w:tcPr>
          <w:p>
            <w:pPr>
              <w:pStyle w:val="TableParagraph"/>
              <w:spacing w:before="0"/>
              <w:ind w:right="60"/>
              <w:rPr>
                <w:sz w:val="11"/>
              </w:rPr>
            </w:pPr>
            <w:r>
              <w:rPr>
                <w:w w:val="105"/>
                <w:sz w:val="11"/>
              </w:rPr>
              <w:t>129.0</w:t>
            </w:r>
          </w:p>
        </w:tc>
        <w:tc>
          <w:tcPr>
            <w:tcW w:w="668" w:type="dxa"/>
            <w:tcBorders>
              <w:top w:val="single" w:sz="4" w:space="0" w:color="000000"/>
              <w:left w:val="single" w:sz="3" w:space="0" w:color="000000"/>
              <w:bottom w:val="single" w:sz="4" w:space="0" w:color="000000"/>
              <w:right w:val="single" w:sz="4" w:space="0" w:color="000000"/>
            </w:tcBorders>
          </w:tcPr>
          <w:p>
            <w:pPr>
              <w:pStyle w:val="TableParagraph"/>
              <w:spacing w:before="0"/>
              <w:ind w:right="62"/>
              <w:rPr>
                <w:sz w:val="11"/>
              </w:rPr>
            </w:pPr>
            <w:r>
              <w:rPr>
                <w:w w:val="105"/>
                <w:sz w:val="11"/>
              </w:rPr>
              <w:t>106.2</w:t>
            </w:r>
          </w:p>
        </w:tc>
        <w:tc>
          <w:tcPr>
            <w:tcW w:w="773"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101.3</w:t>
            </w:r>
          </w:p>
        </w:tc>
        <w:tc>
          <w:tcPr>
            <w:tcW w:w="624" w:type="dxa"/>
            <w:tcBorders>
              <w:top w:val="single" w:sz="4" w:space="0" w:color="000000"/>
              <w:left w:val="single" w:sz="4" w:space="0" w:color="000000"/>
              <w:bottom w:val="single" w:sz="4" w:space="0" w:color="000000"/>
              <w:right w:val="single" w:sz="4" w:space="0" w:color="000000"/>
            </w:tcBorders>
          </w:tcPr>
          <w:p>
            <w:pPr>
              <w:pStyle w:val="TableParagraph"/>
              <w:spacing w:before="0"/>
              <w:ind w:right="60"/>
              <w:rPr>
                <w:sz w:val="11"/>
              </w:rPr>
            </w:pPr>
            <w:r>
              <w:rPr>
                <w:w w:val="105"/>
                <w:sz w:val="11"/>
              </w:rPr>
              <w:t>39.9</w:t>
            </w:r>
          </w:p>
        </w:tc>
        <w:tc>
          <w:tcPr>
            <w:tcW w:w="474" w:type="dxa"/>
            <w:tcBorders>
              <w:top w:val="single" w:sz="4" w:space="0" w:color="000000"/>
              <w:left w:val="single" w:sz="4" w:space="0" w:color="000000"/>
              <w:bottom w:val="single" w:sz="4" w:space="0" w:color="000000"/>
              <w:right w:val="single" w:sz="3" w:space="0" w:color="000000"/>
            </w:tcBorders>
          </w:tcPr>
          <w:p>
            <w:pPr>
              <w:pStyle w:val="TableParagraph"/>
              <w:spacing w:before="0"/>
              <w:ind w:right="60"/>
              <w:rPr>
                <w:sz w:val="11"/>
              </w:rPr>
            </w:pPr>
            <w:r>
              <w:rPr>
                <w:w w:val="105"/>
                <w:sz w:val="11"/>
              </w:rPr>
              <w:t>10.1</w:t>
            </w:r>
          </w:p>
        </w:tc>
        <w:tc>
          <w:tcPr>
            <w:tcW w:w="526" w:type="dxa"/>
            <w:tcBorders>
              <w:top w:val="single" w:sz="4" w:space="0" w:color="000000"/>
              <w:left w:val="single" w:sz="3" w:space="0" w:color="000000"/>
              <w:bottom w:val="single" w:sz="4" w:space="0" w:color="000000"/>
              <w:right w:val="single" w:sz="3" w:space="0" w:color="000000"/>
            </w:tcBorders>
          </w:tcPr>
          <w:p>
            <w:pPr>
              <w:pStyle w:val="TableParagraph"/>
              <w:spacing w:before="0"/>
              <w:ind w:right="60"/>
              <w:rPr>
                <w:sz w:val="11"/>
              </w:rPr>
            </w:pPr>
            <w:r>
              <w:rPr>
                <w:w w:val="105"/>
                <w:sz w:val="11"/>
              </w:rPr>
              <w:t>168.5</w:t>
            </w:r>
          </w:p>
        </w:tc>
        <w:tc>
          <w:tcPr>
            <w:tcW w:w="376" w:type="dxa"/>
            <w:tcBorders>
              <w:top w:val="single" w:sz="4" w:space="0" w:color="000000"/>
              <w:left w:val="single" w:sz="3" w:space="0" w:color="000000"/>
              <w:bottom w:val="single" w:sz="4" w:space="0" w:color="000000"/>
              <w:right w:val="single" w:sz="8" w:space="0" w:color="000000"/>
            </w:tcBorders>
          </w:tcPr>
          <w:p>
            <w:pPr>
              <w:pStyle w:val="TableParagraph"/>
              <w:spacing w:before="0"/>
              <w:ind w:right="53"/>
              <w:rPr>
                <w:sz w:val="11"/>
              </w:rPr>
            </w:pPr>
            <w:r>
              <w:rPr>
                <w:w w:val="105"/>
                <w:sz w:val="11"/>
              </w:rPr>
              <w:t>66.4</w:t>
            </w:r>
          </w:p>
        </w:tc>
      </w:tr>
      <w:tr>
        <w:trPr>
          <w:trHeight w:val="149" w:hRule="exact"/>
        </w:trPr>
        <w:tc>
          <w:tcPr>
            <w:tcW w:w="200" w:type="dxa"/>
            <w:tcBorders>
              <w:top w:val="single" w:sz="4" w:space="0" w:color="000000"/>
              <w:left w:val="single" w:sz="8" w:space="0" w:color="000000"/>
              <w:bottom w:val="single" w:sz="8" w:space="0" w:color="000000"/>
            </w:tcBorders>
          </w:tcPr>
          <w:p>
            <w:pPr>
              <w:pStyle w:val="TableParagraph"/>
              <w:jc w:val="center"/>
              <w:rPr>
                <w:sz w:val="11"/>
              </w:rPr>
            </w:pPr>
            <w:r>
              <w:rPr>
                <w:w w:val="106"/>
                <w:sz w:val="11"/>
              </w:rPr>
              <w:t>3</w:t>
            </w:r>
          </w:p>
        </w:tc>
        <w:tc>
          <w:tcPr>
            <w:tcW w:w="1609" w:type="dxa"/>
            <w:tcBorders>
              <w:top w:val="single" w:sz="4" w:space="0" w:color="000000"/>
              <w:bottom w:val="single" w:sz="8" w:space="0" w:color="000000"/>
              <w:right w:val="single" w:sz="8" w:space="0" w:color="000000"/>
            </w:tcBorders>
          </w:tcPr>
          <w:p>
            <w:pPr>
              <w:pStyle w:val="TableParagraph"/>
              <w:ind w:left="59"/>
              <w:jc w:val="left"/>
              <w:rPr>
                <w:sz w:val="11"/>
              </w:rPr>
            </w:pPr>
            <w:r>
              <w:rPr>
                <w:w w:val="105"/>
                <w:sz w:val="11"/>
              </w:rPr>
              <w:t>Quintana Roo</w:t>
            </w:r>
          </w:p>
        </w:tc>
        <w:tc>
          <w:tcPr>
            <w:tcW w:w="666" w:type="dxa"/>
            <w:tcBorders>
              <w:top w:val="single" w:sz="4" w:space="0" w:color="000000"/>
              <w:left w:val="single" w:sz="8" w:space="0" w:color="000000"/>
              <w:bottom w:val="single" w:sz="8" w:space="0" w:color="000000"/>
              <w:right w:val="single" w:sz="3" w:space="0" w:color="000000"/>
            </w:tcBorders>
          </w:tcPr>
          <w:p>
            <w:pPr>
              <w:pStyle w:val="TableParagraph"/>
              <w:ind w:right="60"/>
              <w:rPr>
                <w:sz w:val="11"/>
              </w:rPr>
            </w:pPr>
            <w:r>
              <w:rPr>
                <w:w w:val="105"/>
                <w:sz w:val="11"/>
              </w:rPr>
              <w:t>53.7</w:t>
            </w:r>
          </w:p>
        </w:tc>
        <w:tc>
          <w:tcPr>
            <w:tcW w:w="666" w:type="dxa"/>
            <w:tcBorders>
              <w:top w:val="single" w:sz="4" w:space="0" w:color="000000"/>
              <w:left w:val="single" w:sz="3" w:space="0" w:color="000000"/>
              <w:bottom w:val="single" w:sz="8" w:space="0" w:color="000000"/>
              <w:right w:val="single" w:sz="4" w:space="0" w:color="000000"/>
            </w:tcBorders>
          </w:tcPr>
          <w:p>
            <w:pPr>
              <w:pStyle w:val="TableParagraph"/>
              <w:ind w:right="60"/>
              <w:rPr>
                <w:sz w:val="11"/>
              </w:rPr>
            </w:pPr>
            <w:r>
              <w:rPr>
                <w:w w:val="105"/>
                <w:sz w:val="11"/>
              </w:rPr>
              <w:t>68.9</w:t>
            </w:r>
          </w:p>
        </w:tc>
        <w:tc>
          <w:tcPr>
            <w:tcW w:w="665" w:type="dxa"/>
            <w:tcBorders>
              <w:top w:val="single" w:sz="4" w:space="0" w:color="000000"/>
              <w:left w:val="single" w:sz="4" w:space="0" w:color="000000"/>
              <w:bottom w:val="single" w:sz="8" w:space="0" w:color="000000"/>
              <w:right w:val="single" w:sz="4" w:space="0" w:color="000000"/>
            </w:tcBorders>
          </w:tcPr>
          <w:p>
            <w:pPr>
              <w:pStyle w:val="TableParagraph"/>
              <w:ind w:right="57"/>
              <w:rPr>
                <w:sz w:val="11"/>
              </w:rPr>
            </w:pPr>
            <w:r>
              <w:rPr>
                <w:w w:val="105"/>
                <w:sz w:val="11"/>
              </w:rPr>
              <w:t>86.9</w:t>
            </w:r>
          </w:p>
        </w:tc>
        <w:tc>
          <w:tcPr>
            <w:tcW w:w="667" w:type="dxa"/>
            <w:tcBorders>
              <w:top w:val="single" w:sz="4" w:space="0" w:color="000000"/>
              <w:left w:val="single" w:sz="4" w:space="0" w:color="000000"/>
              <w:bottom w:val="single" w:sz="8" w:space="0" w:color="000000"/>
              <w:right w:val="single" w:sz="4" w:space="0" w:color="000000"/>
            </w:tcBorders>
          </w:tcPr>
          <w:p>
            <w:pPr>
              <w:pStyle w:val="TableParagraph"/>
              <w:ind w:right="60"/>
              <w:rPr>
                <w:sz w:val="11"/>
              </w:rPr>
            </w:pPr>
            <w:r>
              <w:rPr>
                <w:w w:val="105"/>
                <w:sz w:val="11"/>
              </w:rPr>
              <w:t>102.0</w:t>
            </w:r>
          </w:p>
        </w:tc>
        <w:tc>
          <w:tcPr>
            <w:tcW w:w="665" w:type="dxa"/>
            <w:tcBorders>
              <w:top w:val="single" w:sz="4" w:space="0" w:color="000000"/>
              <w:left w:val="single" w:sz="4" w:space="0" w:color="000000"/>
              <w:bottom w:val="single" w:sz="8" w:space="0" w:color="000000"/>
              <w:right w:val="single" w:sz="4" w:space="0" w:color="000000"/>
            </w:tcBorders>
          </w:tcPr>
          <w:p>
            <w:pPr>
              <w:pStyle w:val="TableParagraph"/>
              <w:ind w:right="57"/>
              <w:rPr>
                <w:sz w:val="11"/>
              </w:rPr>
            </w:pPr>
            <w:r>
              <w:rPr>
                <w:w w:val="105"/>
                <w:sz w:val="11"/>
              </w:rPr>
              <w:t>99.4</w:t>
            </w:r>
          </w:p>
        </w:tc>
        <w:tc>
          <w:tcPr>
            <w:tcW w:w="666" w:type="dxa"/>
            <w:tcBorders>
              <w:top w:val="single" w:sz="4" w:space="0" w:color="000000"/>
              <w:left w:val="single" w:sz="4" w:space="0" w:color="000000"/>
              <w:bottom w:val="single" w:sz="8" w:space="0" w:color="000000"/>
              <w:right w:val="single" w:sz="3" w:space="0" w:color="000000"/>
            </w:tcBorders>
          </w:tcPr>
          <w:p>
            <w:pPr>
              <w:pStyle w:val="TableParagraph"/>
              <w:ind w:right="60"/>
              <w:rPr>
                <w:sz w:val="11"/>
              </w:rPr>
            </w:pPr>
            <w:r>
              <w:rPr>
                <w:w w:val="105"/>
                <w:sz w:val="11"/>
              </w:rPr>
              <w:t>99.5</w:t>
            </w:r>
          </w:p>
        </w:tc>
        <w:tc>
          <w:tcPr>
            <w:tcW w:w="668" w:type="dxa"/>
            <w:tcBorders>
              <w:top w:val="single" w:sz="4" w:space="0" w:color="000000"/>
              <w:left w:val="single" w:sz="3" w:space="0" w:color="000000"/>
              <w:bottom w:val="single" w:sz="8" w:space="0" w:color="000000"/>
              <w:right w:val="single" w:sz="4" w:space="0" w:color="000000"/>
            </w:tcBorders>
          </w:tcPr>
          <w:p>
            <w:pPr>
              <w:pStyle w:val="TableParagraph"/>
              <w:ind w:right="62"/>
              <w:rPr>
                <w:sz w:val="11"/>
              </w:rPr>
            </w:pPr>
            <w:r>
              <w:rPr>
                <w:w w:val="105"/>
                <w:sz w:val="11"/>
              </w:rPr>
              <w:t>87.5</w:t>
            </w:r>
          </w:p>
        </w:tc>
        <w:tc>
          <w:tcPr>
            <w:tcW w:w="773" w:type="dxa"/>
            <w:tcBorders>
              <w:top w:val="single" w:sz="4" w:space="0" w:color="000000"/>
              <w:left w:val="single" w:sz="4" w:space="0" w:color="000000"/>
              <w:bottom w:val="single" w:sz="8" w:space="0" w:color="000000"/>
              <w:right w:val="single" w:sz="4" w:space="0" w:color="000000"/>
            </w:tcBorders>
          </w:tcPr>
          <w:p>
            <w:pPr>
              <w:pStyle w:val="TableParagraph"/>
              <w:ind w:right="60"/>
              <w:rPr>
                <w:sz w:val="11"/>
              </w:rPr>
            </w:pPr>
            <w:r>
              <w:rPr>
                <w:w w:val="105"/>
                <w:sz w:val="11"/>
              </w:rPr>
              <w:t>85.4</w:t>
            </w:r>
          </w:p>
        </w:tc>
        <w:tc>
          <w:tcPr>
            <w:tcW w:w="624" w:type="dxa"/>
            <w:tcBorders>
              <w:top w:val="single" w:sz="4" w:space="0" w:color="000000"/>
              <w:left w:val="single" w:sz="4" w:space="0" w:color="000000"/>
              <w:bottom w:val="single" w:sz="8" w:space="0" w:color="000000"/>
              <w:right w:val="single" w:sz="4" w:space="0" w:color="000000"/>
            </w:tcBorders>
          </w:tcPr>
          <w:p>
            <w:pPr>
              <w:pStyle w:val="TableParagraph"/>
              <w:ind w:right="60"/>
              <w:rPr>
                <w:sz w:val="11"/>
              </w:rPr>
            </w:pPr>
            <w:r>
              <w:rPr>
                <w:w w:val="105"/>
                <w:sz w:val="11"/>
              </w:rPr>
              <w:t>33.6</w:t>
            </w:r>
          </w:p>
        </w:tc>
        <w:tc>
          <w:tcPr>
            <w:tcW w:w="474" w:type="dxa"/>
            <w:tcBorders>
              <w:top w:val="single" w:sz="4" w:space="0" w:color="000000"/>
              <w:left w:val="single" w:sz="4" w:space="0" w:color="000000"/>
              <w:bottom w:val="single" w:sz="8" w:space="0" w:color="000000"/>
              <w:right w:val="single" w:sz="3" w:space="0" w:color="000000"/>
            </w:tcBorders>
          </w:tcPr>
          <w:p>
            <w:pPr>
              <w:pStyle w:val="TableParagraph"/>
              <w:ind w:right="62"/>
              <w:rPr>
                <w:sz w:val="11"/>
              </w:rPr>
            </w:pPr>
            <w:r>
              <w:rPr>
                <w:w w:val="105"/>
                <w:sz w:val="11"/>
              </w:rPr>
              <w:t>8.5</w:t>
            </w:r>
          </w:p>
        </w:tc>
        <w:tc>
          <w:tcPr>
            <w:tcW w:w="526" w:type="dxa"/>
            <w:tcBorders>
              <w:top w:val="single" w:sz="4" w:space="0" w:color="000000"/>
              <w:left w:val="single" w:sz="3" w:space="0" w:color="000000"/>
              <w:bottom w:val="single" w:sz="8" w:space="0" w:color="000000"/>
              <w:right w:val="single" w:sz="3" w:space="0" w:color="000000"/>
            </w:tcBorders>
          </w:tcPr>
          <w:p>
            <w:pPr>
              <w:pStyle w:val="TableParagraph"/>
              <w:ind w:right="60"/>
              <w:rPr>
                <w:b/>
                <w:sz w:val="11"/>
              </w:rPr>
            </w:pPr>
            <w:r>
              <w:rPr>
                <w:b/>
                <w:w w:val="105"/>
                <w:sz w:val="11"/>
              </w:rPr>
              <w:t>254.0</w:t>
            </w:r>
          </w:p>
        </w:tc>
        <w:tc>
          <w:tcPr>
            <w:tcW w:w="376" w:type="dxa"/>
            <w:tcBorders>
              <w:top w:val="single" w:sz="4" w:space="0" w:color="000000"/>
              <w:left w:val="single" w:sz="3" w:space="0" w:color="000000"/>
              <w:bottom w:val="single" w:sz="8" w:space="0" w:color="000000"/>
              <w:right w:val="single" w:sz="8" w:space="0" w:color="000000"/>
            </w:tcBorders>
          </w:tcPr>
          <w:p>
            <w:pPr>
              <w:pStyle w:val="TableParagraph"/>
              <w:ind w:right="53"/>
              <w:rPr>
                <w:b/>
                <w:sz w:val="11"/>
              </w:rPr>
            </w:pPr>
            <w:r>
              <w:rPr>
                <w:b/>
                <w:w w:val="105"/>
                <w:sz w:val="11"/>
              </w:rPr>
              <w:t>100</w:t>
            </w:r>
          </w:p>
        </w:tc>
      </w:tr>
      <w:tr>
        <w:trPr>
          <w:trHeight w:val="156" w:hRule="exact"/>
        </w:trPr>
        <w:tc>
          <w:tcPr>
            <w:tcW w:w="9245" w:type="dxa"/>
            <w:gridSpan w:val="14"/>
            <w:tcBorders>
              <w:top w:val="single" w:sz="8" w:space="0" w:color="000000"/>
              <w:left w:val="single" w:sz="8" w:space="0" w:color="000000"/>
              <w:bottom w:val="single" w:sz="8" w:space="0" w:color="000000"/>
              <w:right w:val="single" w:sz="8" w:space="0" w:color="000000"/>
            </w:tcBorders>
          </w:tcPr>
          <w:p>
            <w:pPr/>
          </w:p>
        </w:tc>
      </w:tr>
      <w:tr>
        <w:trPr>
          <w:trHeight w:val="154" w:hRule="exact"/>
        </w:trPr>
        <w:tc>
          <w:tcPr>
            <w:tcW w:w="200" w:type="dxa"/>
            <w:tcBorders>
              <w:top w:val="single" w:sz="8" w:space="0" w:color="000000"/>
              <w:left w:val="single" w:sz="8" w:space="0" w:color="000000"/>
              <w:bottom w:val="single" w:sz="8" w:space="0" w:color="000000"/>
            </w:tcBorders>
          </w:tcPr>
          <w:p>
            <w:pPr>
              <w:pStyle w:val="TableParagraph"/>
              <w:spacing w:before="0"/>
              <w:jc w:val="center"/>
              <w:rPr>
                <w:b/>
                <w:sz w:val="11"/>
              </w:rPr>
            </w:pPr>
            <w:r>
              <w:rPr>
                <w:b/>
                <w:w w:val="106"/>
                <w:sz w:val="11"/>
              </w:rPr>
              <w:t>8</w:t>
            </w:r>
          </w:p>
        </w:tc>
        <w:tc>
          <w:tcPr>
            <w:tcW w:w="1609" w:type="dxa"/>
            <w:tcBorders>
              <w:top w:val="single" w:sz="8" w:space="0" w:color="000000"/>
              <w:bottom w:val="single" w:sz="8" w:space="0" w:color="000000"/>
              <w:right w:val="single" w:sz="8" w:space="0" w:color="000000"/>
            </w:tcBorders>
          </w:tcPr>
          <w:p>
            <w:pPr>
              <w:pStyle w:val="TableParagraph"/>
              <w:spacing w:before="0"/>
              <w:ind w:left="59"/>
              <w:jc w:val="left"/>
              <w:rPr>
                <w:b/>
                <w:sz w:val="11"/>
              </w:rPr>
            </w:pPr>
            <w:r>
              <w:rPr>
                <w:b/>
                <w:w w:val="105"/>
                <w:sz w:val="11"/>
              </w:rPr>
              <w:t>PACÍFICO SUR</w:t>
            </w:r>
          </w:p>
        </w:tc>
        <w:tc>
          <w:tcPr>
            <w:tcW w:w="666" w:type="dxa"/>
            <w:tcBorders>
              <w:top w:val="single" w:sz="8" w:space="0" w:color="000000"/>
              <w:left w:val="single" w:sz="8" w:space="0" w:color="000000"/>
              <w:bottom w:val="single" w:sz="8" w:space="0" w:color="000000"/>
            </w:tcBorders>
          </w:tcPr>
          <w:p>
            <w:pPr>
              <w:pStyle w:val="TableParagraph"/>
              <w:spacing w:before="0"/>
              <w:ind w:right="55"/>
              <w:rPr>
                <w:b/>
                <w:sz w:val="11"/>
              </w:rPr>
            </w:pPr>
            <w:r>
              <w:rPr>
                <w:b/>
                <w:w w:val="105"/>
                <w:sz w:val="11"/>
              </w:rPr>
              <w:t>2,055.6</w:t>
            </w:r>
          </w:p>
        </w:tc>
        <w:tc>
          <w:tcPr>
            <w:tcW w:w="666" w:type="dxa"/>
            <w:tcBorders>
              <w:top w:val="single" w:sz="8" w:space="0" w:color="000000"/>
              <w:bottom w:val="single" w:sz="8" w:space="0" w:color="000000"/>
              <w:right w:val="single" w:sz="8" w:space="0" w:color="000000"/>
            </w:tcBorders>
          </w:tcPr>
          <w:p>
            <w:pPr>
              <w:pStyle w:val="TableParagraph"/>
              <w:spacing w:before="0"/>
              <w:ind w:right="55"/>
              <w:rPr>
                <w:b/>
                <w:sz w:val="11"/>
              </w:rPr>
            </w:pPr>
            <w:r>
              <w:rPr>
                <w:b/>
                <w:w w:val="105"/>
                <w:sz w:val="11"/>
              </w:rPr>
              <w:t>2,507.9</w:t>
            </w:r>
          </w:p>
        </w:tc>
        <w:tc>
          <w:tcPr>
            <w:tcW w:w="665" w:type="dxa"/>
            <w:tcBorders>
              <w:top w:val="single" w:sz="8" w:space="0" w:color="000000"/>
              <w:left w:val="single" w:sz="8" w:space="0" w:color="000000"/>
              <w:bottom w:val="single" w:sz="8" w:space="0" w:color="000000"/>
              <w:right w:val="single" w:sz="8" w:space="0" w:color="000000"/>
            </w:tcBorders>
          </w:tcPr>
          <w:p>
            <w:pPr>
              <w:pStyle w:val="TableParagraph"/>
              <w:spacing w:before="0"/>
              <w:ind w:right="53"/>
              <w:rPr>
                <w:b/>
                <w:sz w:val="11"/>
              </w:rPr>
            </w:pPr>
            <w:r>
              <w:rPr>
                <w:b/>
                <w:w w:val="105"/>
                <w:sz w:val="11"/>
              </w:rPr>
              <w:t>2,943.0</w:t>
            </w:r>
          </w:p>
        </w:tc>
        <w:tc>
          <w:tcPr>
            <w:tcW w:w="667" w:type="dxa"/>
            <w:tcBorders>
              <w:top w:val="single" w:sz="8" w:space="0" w:color="000000"/>
              <w:left w:val="single" w:sz="8" w:space="0" w:color="000000"/>
              <w:bottom w:val="single" w:sz="8" w:space="0" w:color="000000"/>
              <w:right w:val="single" w:sz="8" w:space="0" w:color="000000"/>
            </w:tcBorders>
          </w:tcPr>
          <w:p>
            <w:pPr>
              <w:pStyle w:val="TableParagraph"/>
              <w:spacing w:before="0"/>
              <w:ind w:right="55"/>
              <w:rPr>
                <w:b/>
                <w:sz w:val="11"/>
              </w:rPr>
            </w:pPr>
            <w:r>
              <w:rPr>
                <w:b/>
                <w:w w:val="105"/>
                <w:sz w:val="11"/>
              </w:rPr>
              <w:t>3,642.6</w:t>
            </w:r>
          </w:p>
        </w:tc>
        <w:tc>
          <w:tcPr>
            <w:tcW w:w="665" w:type="dxa"/>
            <w:tcBorders>
              <w:top w:val="single" w:sz="8" w:space="0" w:color="000000"/>
              <w:left w:val="single" w:sz="8" w:space="0" w:color="000000"/>
              <w:bottom w:val="single" w:sz="8" w:space="0" w:color="000000"/>
              <w:right w:val="single" w:sz="8" w:space="0" w:color="000000"/>
            </w:tcBorders>
          </w:tcPr>
          <w:p>
            <w:pPr>
              <w:pStyle w:val="TableParagraph"/>
              <w:spacing w:before="0"/>
              <w:ind w:right="53"/>
              <w:rPr>
                <w:b/>
                <w:sz w:val="11"/>
              </w:rPr>
            </w:pPr>
            <w:r>
              <w:rPr>
                <w:b/>
                <w:w w:val="105"/>
                <w:sz w:val="11"/>
              </w:rPr>
              <w:t>3,744.8</w:t>
            </w:r>
          </w:p>
        </w:tc>
        <w:tc>
          <w:tcPr>
            <w:tcW w:w="666" w:type="dxa"/>
            <w:tcBorders>
              <w:top w:val="single" w:sz="8" w:space="0" w:color="000000"/>
              <w:left w:val="single" w:sz="8" w:space="0" w:color="000000"/>
              <w:bottom w:val="single" w:sz="8" w:space="0" w:color="000000"/>
            </w:tcBorders>
          </w:tcPr>
          <w:p>
            <w:pPr>
              <w:pStyle w:val="TableParagraph"/>
              <w:spacing w:before="0"/>
              <w:ind w:right="55"/>
              <w:rPr>
                <w:b/>
                <w:sz w:val="11"/>
              </w:rPr>
            </w:pPr>
            <w:r>
              <w:rPr>
                <w:b/>
                <w:w w:val="105"/>
                <w:sz w:val="11"/>
              </w:rPr>
              <w:t>3,658.0</w:t>
            </w:r>
          </w:p>
        </w:tc>
        <w:tc>
          <w:tcPr>
            <w:tcW w:w="668" w:type="dxa"/>
            <w:tcBorders>
              <w:top w:val="single" w:sz="8" w:space="0" w:color="000000"/>
              <w:bottom w:val="single" w:sz="8" w:space="0" w:color="000000"/>
              <w:right w:val="single" w:sz="8" w:space="0" w:color="000000"/>
            </w:tcBorders>
          </w:tcPr>
          <w:p>
            <w:pPr>
              <w:pStyle w:val="TableParagraph"/>
              <w:spacing w:before="0"/>
              <w:ind w:right="57"/>
              <w:rPr>
                <w:b/>
                <w:sz w:val="11"/>
              </w:rPr>
            </w:pPr>
            <w:r>
              <w:rPr>
                <w:b/>
                <w:w w:val="105"/>
                <w:sz w:val="11"/>
              </w:rPr>
              <w:t>2,958.6</w:t>
            </w:r>
          </w:p>
        </w:tc>
        <w:tc>
          <w:tcPr>
            <w:tcW w:w="773" w:type="dxa"/>
            <w:tcBorders>
              <w:top w:val="single" w:sz="8" w:space="0" w:color="000000"/>
              <w:left w:val="single" w:sz="8" w:space="0" w:color="000000"/>
              <w:bottom w:val="single" w:sz="8" w:space="0" w:color="000000"/>
              <w:right w:val="single" w:sz="8" w:space="0" w:color="000000"/>
            </w:tcBorders>
          </w:tcPr>
          <w:p>
            <w:pPr>
              <w:pStyle w:val="TableParagraph"/>
              <w:spacing w:before="0"/>
              <w:ind w:right="55"/>
              <w:rPr>
                <w:b/>
                <w:sz w:val="11"/>
              </w:rPr>
            </w:pPr>
            <w:r>
              <w:rPr>
                <w:b/>
                <w:w w:val="105"/>
                <w:sz w:val="11"/>
              </w:rPr>
              <w:t>3,072.9</w:t>
            </w:r>
          </w:p>
        </w:tc>
        <w:tc>
          <w:tcPr>
            <w:tcW w:w="624" w:type="dxa"/>
            <w:tcBorders>
              <w:top w:val="single" w:sz="8" w:space="0" w:color="000000"/>
              <w:left w:val="single" w:sz="8" w:space="0" w:color="000000"/>
              <w:bottom w:val="single" w:sz="8" w:space="0" w:color="000000"/>
              <w:right w:val="single" w:sz="8" w:space="0" w:color="000000"/>
            </w:tcBorders>
          </w:tcPr>
          <w:p>
            <w:pPr>
              <w:pStyle w:val="TableParagraph"/>
              <w:spacing w:before="0"/>
              <w:ind w:right="55"/>
              <w:rPr>
                <w:b/>
                <w:sz w:val="11"/>
              </w:rPr>
            </w:pPr>
            <w:r>
              <w:rPr>
                <w:b/>
                <w:w w:val="105"/>
                <w:sz w:val="11"/>
              </w:rPr>
              <w:t>100</w:t>
            </w:r>
          </w:p>
        </w:tc>
        <w:tc>
          <w:tcPr>
            <w:tcW w:w="474" w:type="dxa"/>
            <w:tcBorders>
              <w:top w:val="single" w:sz="8" w:space="0" w:color="000000"/>
              <w:left w:val="single" w:sz="8" w:space="0" w:color="000000"/>
              <w:bottom w:val="single" w:sz="8" w:space="0" w:color="000000"/>
            </w:tcBorders>
          </w:tcPr>
          <w:p>
            <w:pPr>
              <w:pStyle w:val="TableParagraph"/>
              <w:spacing w:before="0"/>
              <w:ind w:right="57"/>
              <w:rPr>
                <w:b/>
                <w:sz w:val="11"/>
              </w:rPr>
            </w:pPr>
            <w:r>
              <w:rPr>
                <w:b/>
                <w:w w:val="105"/>
                <w:sz w:val="11"/>
              </w:rPr>
              <w:t>6.3</w:t>
            </w:r>
          </w:p>
        </w:tc>
        <w:tc>
          <w:tcPr>
            <w:tcW w:w="526" w:type="dxa"/>
            <w:tcBorders>
              <w:top w:val="single" w:sz="8" w:space="0" w:color="000000"/>
              <w:bottom w:val="single" w:sz="8" w:space="0" w:color="000000"/>
            </w:tcBorders>
          </w:tcPr>
          <w:p>
            <w:pPr/>
          </w:p>
        </w:tc>
        <w:tc>
          <w:tcPr>
            <w:tcW w:w="376" w:type="dxa"/>
            <w:tcBorders>
              <w:top w:val="single" w:sz="8" w:space="0" w:color="000000"/>
              <w:bottom w:val="single" w:sz="8" w:space="0" w:color="000000"/>
              <w:right w:val="single" w:sz="8" w:space="0" w:color="000000"/>
            </w:tcBorders>
          </w:tcPr>
          <w:p>
            <w:pPr/>
          </w:p>
        </w:tc>
      </w:tr>
      <w:tr>
        <w:trPr>
          <w:trHeight w:val="146" w:hRule="exact"/>
        </w:trPr>
        <w:tc>
          <w:tcPr>
            <w:tcW w:w="200" w:type="dxa"/>
            <w:tcBorders>
              <w:top w:val="single" w:sz="8" w:space="0" w:color="000000"/>
              <w:left w:val="single" w:sz="8" w:space="0" w:color="000000"/>
              <w:bottom w:val="single" w:sz="4" w:space="0" w:color="000000"/>
            </w:tcBorders>
          </w:tcPr>
          <w:p>
            <w:pPr>
              <w:pStyle w:val="TableParagraph"/>
              <w:jc w:val="center"/>
              <w:rPr>
                <w:sz w:val="11"/>
              </w:rPr>
            </w:pPr>
            <w:r>
              <w:rPr>
                <w:w w:val="106"/>
                <w:sz w:val="11"/>
              </w:rPr>
              <w:t>1</w:t>
            </w:r>
          </w:p>
        </w:tc>
        <w:tc>
          <w:tcPr>
            <w:tcW w:w="1609" w:type="dxa"/>
            <w:tcBorders>
              <w:top w:val="single" w:sz="8" w:space="0" w:color="000000"/>
              <w:bottom w:val="single" w:sz="4" w:space="0" w:color="000000"/>
              <w:right w:val="single" w:sz="8" w:space="0" w:color="000000"/>
            </w:tcBorders>
          </w:tcPr>
          <w:p>
            <w:pPr>
              <w:pStyle w:val="TableParagraph"/>
              <w:ind w:left="59"/>
              <w:jc w:val="left"/>
              <w:rPr>
                <w:sz w:val="11"/>
              </w:rPr>
            </w:pPr>
            <w:r>
              <w:rPr>
                <w:w w:val="105"/>
                <w:sz w:val="11"/>
              </w:rPr>
              <w:t>Chiapas</w:t>
            </w:r>
          </w:p>
        </w:tc>
        <w:tc>
          <w:tcPr>
            <w:tcW w:w="666" w:type="dxa"/>
            <w:tcBorders>
              <w:top w:val="single" w:sz="8" w:space="0" w:color="000000"/>
              <w:left w:val="single" w:sz="8" w:space="0" w:color="000000"/>
              <w:bottom w:val="single" w:sz="4" w:space="0" w:color="000000"/>
              <w:right w:val="single" w:sz="3" w:space="0" w:color="000000"/>
            </w:tcBorders>
          </w:tcPr>
          <w:p>
            <w:pPr>
              <w:pStyle w:val="TableParagraph"/>
              <w:ind w:right="60"/>
              <w:rPr>
                <w:sz w:val="11"/>
              </w:rPr>
            </w:pPr>
            <w:r>
              <w:rPr>
                <w:w w:val="105"/>
                <w:sz w:val="11"/>
              </w:rPr>
              <w:t>439.3</w:t>
            </w:r>
          </w:p>
        </w:tc>
        <w:tc>
          <w:tcPr>
            <w:tcW w:w="666" w:type="dxa"/>
            <w:tcBorders>
              <w:top w:val="single" w:sz="8" w:space="0" w:color="000000"/>
              <w:left w:val="single" w:sz="3" w:space="0" w:color="000000"/>
              <w:bottom w:val="single" w:sz="4" w:space="0" w:color="000000"/>
              <w:right w:val="single" w:sz="4" w:space="0" w:color="000000"/>
            </w:tcBorders>
          </w:tcPr>
          <w:p>
            <w:pPr>
              <w:pStyle w:val="TableParagraph"/>
              <w:ind w:right="60"/>
              <w:rPr>
                <w:sz w:val="11"/>
              </w:rPr>
            </w:pPr>
            <w:r>
              <w:rPr>
                <w:w w:val="105"/>
                <w:sz w:val="11"/>
              </w:rPr>
              <w:t>595.6</w:t>
            </w:r>
          </w:p>
        </w:tc>
        <w:tc>
          <w:tcPr>
            <w:tcW w:w="665" w:type="dxa"/>
            <w:tcBorders>
              <w:top w:val="single" w:sz="8"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772.1</w:t>
            </w:r>
          </w:p>
        </w:tc>
        <w:tc>
          <w:tcPr>
            <w:tcW w:w="667" w:type="dxa"/>
            <w:tcBorders>
              <w:top w:val="single" w:sz="8"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943.6</w:t>
            </w:r>
          </w:p>
        </w:tc>
        <w:tc>
          <w:tcPr>
            <w:tcW w:w="665" w:type="dxa"/>
            <w:tcBorders>
              <w:top w:val="single" w:sz="8" w:space="0" w:color="000000"/>
              <w:left w:val="single" w:sz="4" w:space="0" w:color="000000"/>
              <w:bottom w:val="single" w:sz="4" w:space="0" w:color="000000"/>
              <w:right w:val="single" w:sz="4" w:space="0" w:color="000000"/>
            </w:tcBorders>
          </w:tcPr>
          <w:p>
            <w:pPr>
              <w:pStyle w:val="TableParagraph"/>
              <w:ind w:right="57"/>
              <w:rPr>
                <w:sz w:val="11"/>
              </w:rPr>
            </w:pPr>
            <w:r>
              <w:rPr>
                <w:w w:val="105"/>
                <w:sz w:val="11"/>
              </w:rPr>
              <w:t>906.3</w:t>
            </w:r>
          </w:p>
        </w:tc>
        <w:tc>
          <w:tcPr>
            <w:tcW w:w="666" w:type="dxa"/>
            <w:tcBorders>
              <w:top w:val="single" w:sz="8" w:space="0" w:color="000000"/>
              <w:left w:val="single" w:sz="4" w:space="0" w:color="000000"/>
              <w:bottom w:val="single" w:sz="4" w:space="0" w:color="000000"/>
              <w:right w:val="single" w:sz="3" w:space="0" w:color="000000"/>
            </w:tcBorders>
          </w:tcPr>
          <w:p>
            <w:pPr>
              <w:pStyle w:val="TableParagraph"/>
              <w:ind w:right="60"/>
              <w:rPr>
                <w:sz w:val="11"/>
              </w:rPr>
            </w:pPr>
            <w:r>
              <w:rPr>
                <w:w w:val="105"/>
                <w:sz w:val="11"/>
              </w:rPr>
              <w:t>799.9</w:t>
            </w:r>
          </w:p>
        </w:tc>
        <w:tc>
          <w:tcPr>
            <w:tcW w:w="668" w:type="dxa"/>
            <w:tcBorders>
              <w:top w:val="single" w:sz="8" w:space="0" w:color="000000"/>
              <w:left w:val="single" w:sz="3" w:space="0" w:color="000000"/>
              <w:bottom w:val="single" w:sz="4" w:space="0" w:color="000000"/>
              <w:right w:val="single" w:sz="4" w:space="0" w:color="000000"/>
            </w:tcBorders>
          </w:tcPr>
          <w:p>
            <w:pPr>
              <w:pStyle w:val="TableParagraph"/>
              <w:ind w:right="62"/>
              <w:rPr>
                <w:sz w:val="11"/>
              </w:rPr>
            </w:pPr>
            <w:r>
              <w:rPr>
                <w:w w:val="105"/>
                <w:sz w:val="11"/>
              </w:rPr>
              <w:t>605.9</w:t>
            </w:r>
          </w:p>
        </w:tc>
        <w:tc>
          <w:tcPr>
            <w:tcW w:w="773" w:type="dxa"/>
            <w:tcBorders>
              <w:top w:val="single" w:sz="8"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723.2</w:t>
            </w:r>
          </w:p>
        </w:tc>
        <w:tc>
          <w:tcPr>
            <w:tcW w:w="624" w:type="dxa"/>
            <w:tcBorders>
              <w:top w:val="single" w:sz="8" w:space="0" w:color="000000"/>
              <w:left w:val="single" w:sz="4" w:space="0" w:color="000000"/>
              <w:bottom w:val="single" w:sz="4" w:space="0" w:color="000000"/>
              <w:right w:val="single" w:sz="4" w:space="0" w:color="000000"/>
            </w:tcBorders>
          </w:tcPr>
          <w:p>
            <w:pPr>
              <w:pStyle w:val="TableParagraph"/>
              <w:ind w:right="60"/>
              <w:rPr>
                <w:sz w:val="11"/>
              </w:rPr>
            </w:pPr>
            <w:r>
              <w:rPr>
                <w:w w:val="105"/>
                <w:sz w:val="11"/>
              </w:rPr>
              <w:t>23.5</w:t>
            </w:r>
          </w:p>
        </w:tc>
        <w:tc>
          <w:tcPr>
            <w:tcW w:w="474" w:type="dxa"/>
            <w:tcBorders>
              <w:top w:val="single" w:sz="8" w:space="0" w:color="000000"/>
              <w:left w:val="single" w:sz="4" w:space="0" w:color="000000"/>
              <w:bottom w:val="single" w:sz="4" w:space="0" w:color="000000"/>
              <w:right w:val="single" w:sz="3" w:space="0" w:color="000000"/>
            </w:tcBorders>
          </w:tcPr>
          <w:p>
            <w:pPr>
              <w:pStyle w:val="TableParagraph"/>
              <w:ind w:right="62"/>
              <w:rPr>
                <w:sz w:val="11"/>
              </w:rPr>
            </w:pPr>
            <w:r>
              <w:rPr>
                <w:w w:val="105"/>
                <w:sz w:val="11"/>
              </w:rPr>
              <w:t>5.5</w:t>
            </w:r>
          </w:p>
        </w:tc>
        <w:tc>
          <w:tcPr>
            <w:tcW w:w="526" w:type="dxa"/>
            <w:tcBorders>
              <w:top w:val="single" w:sz="8" w:space="0" w:color="000000"/>
              <w:left w:val="single" w:sz="3" w:space="0" w:color="000000"/>
              <w:bottom w:val="single" w:sz="4" w:space="0" w:color="000000"/>
              <w:right w:val="single" w:sz="3" w:space="0" w:color="000000"/>
            </w:tcBorders>
          </w:tcPr>
          <w:p>
            <w:pPr>
              <w:pStyle w:val="TableParagraph"/>
              <w:ind w:right="60"/>
              <w:rPr>
                <w:sz w:val="11"/>
              </w:rPr>
            </w:pPr>
            <w:r>
              <w:rPr>
                <w:w w:val="105"/>
                <w:sz w:val="11"/>
              </w:rPr>
              <w:t>723.2</w:t>
            </w:r>
          </w:p>
        </w:tc>
        <w:tc>
          <w:tcPr>
            <w:tcW w:w="376" w:type="dxa"/>
            <w:tcBorders>
              <w:top w:val="single" w:sz="8" w:space="0" w:color="000000"/>
              <w:left w:val="single" w:sz="3" w:space="0" w:color="000000"/>
              <w:bottom w:val="single" w:sz="4" w:space="0" w:color="000000"/>
              <w:right w:val="single" w:sz="8" w:space="0" w:color="000000"/>
            </w:tcBorders>
          </w:tcPr>
          <w:p>
            <w:pPr>
              <w:pStyle w:val="TableParagraph"/>
              <w:ind w:right="53"/>
              <w:rPr>
                <w:sz w:val="11"/>
              </w:rPr>
            </w:pPr>
            <w:r>
              <w:rPr>
                <w:w w:val="105"/>
                <w:sz w:val="11"/>
              </w:rPr>
              <w:t>23.5</w:t>
            </w:r>
          </w:p>
        </w:tc>
      </w:tr>
      <w:tr>
        <w:trPr>
          <w:trHeight w:val="145" w:hRule="exact"/>
        </w:trPr>
        <w:tc>
          <w:tcPr>
            <w:tcW w:w="200" w:type="dxa"/>
            <w:tcBorders>
              <w:top w:val="single" w:sz="4" w:space="0" w:color="000000"/>
              <w:left w:val="single" w:sz="8" w:space="0" w:color="000000"/>
              <w:bottom w:val="single" w:sz="3" w:space="0" w:color="000000"/>
            </w:tcBorders>
          </w:tcPr>
          <w:p>
            <w:pPr>
              <w:pStyle w:val="TableParagraph"/>
              <w:spacing w:before="5"/>
              <w:jc w:val="center"/>
              <w:rPr>
                <w:sz w:val="11"/>
              </w:rPr>
            </w:pPr>
            <w:r>
              <w:rPr>
                <w:w w:val="106"/>
                <w:sz w:val="11"/>
              </w:rPr>
              <w:t>2</w:t>
            </w:r>
          </w:p>
        </w:tc>
        <w:tc>
          <w:tcPr>
            <w:tcW w:w="1609" w:type="dxa"/>
            <w:tcBorders>
              <w:top w:val="single" w:sz="4" w:space="0" w:color="000000"/>
              <w:bottom w:val="single" w:sz="3" w:space="0" w:color="000000"/>
              <w:right w:val="single" w:sz="8" w:space="0" w:color="000000"/>
            </w:tcBorders>
          </w:tcPr>
          <w:p>
            <w:pPr>
              <w:pStyle w:val="TableParagraph"/>
              <w:spacing w:before="5"/>
              <w:ind w:left="59"/>
              <w:jc w:val="left"/>
              <w:rPr>
                <w:sz w:val="11"/>
              </w:rPr>
            </w:pPr>
            <w:r>
              <w:rPr>
                <w:w w:val="105"/>
                <w:sz w:val="11"/>
              </w:rPr>
              <w:t>Guerrero</w:t>
            </w:r>
          </w:p>
        </w:tc>
        <w:tc>
          <w:tcPr>
            <w:tcW w:w="666" w:type="dxa"/>
            <w:tcBorders>
              <w:top w:val="single" w:sz="4" w:space="0" w:color="000000"/>
              <w:left w:val="single" w:sz="8" w:space="0" w:color="000000"/>
              <w:bottom w:val="single" w:sz="3" w:space="0" w:color="000000"/>
              <w:right w:val="single" w:sz="3" w:space="0" w:color="000000"/>
            </w:tcBorders>
          </w:tcPr>
          <w:p>
            <w:pPr>
              <w:pStyle w:val="TableParagraph"/>
              <w:spacing w:before="5"/>
              <w:ind w:right="60"/>
              <w:rPr>
                <w:sz w:val="11"/>
              </w:rPr>
            </w:pPr>
            <w:r>
              <w:rPr>
                <w:w w:val="105"/>
                <w:sz w:val="11"/>
              </w:rPr>
              <w:t>845.5</w:t>
            </w:r>
          </w:p>
        </w:tc>
        <w:tc>
          <w:tcPr>
            <w:tcW w:w="666" w:type="dxa"/>
            <w:tcBorders>
              <w:top w:val="single" w:sz="4" w:space="0" w:color="000000"/>
              <w:left w:val="single" w:sz="3" w:space="0" w:color="000000"/>
              <w:bottom w:val="single" w:sz="3" w:space="0" w:color="000000"/>
              <w:right w:val="single" w:sz="4" w:space="0" w:color="000000"/>
            </w:tcBorders>
          </w:tcPr>
          <w:p>
            <w:pPr>
              <w:pStyle w:val="TableParagraph"/>
              <w:spacing w:before="5"/>
              <w:ind w:right="60"/>
              <w:rPr>
                <w:sz w:val="11"/>
              </w:rPr>
            </w:pPr>
            <w:r>
              <w:rPr>
                <w:w w:val="105"/>
                <w:sz w:val="11"/>
              </w:rPr>
              <w:t>982.7</w:t>
            </w:r>
          </w:p>
        </w:tc>
        <w:tc>
          <w:tcPr>
            <w:tcW w:w="665" w:type="dxa"/>
            <w:tcBorders>
              <w:top w:val="single" w:sz="4" w:space="0" w:color="000000"/>
              <w:left w:val="single" w:sz="4" w:space="0" w:color="000000"/>
              <w:bottom w:val="single" w:sz="3" w:space="0" w:color="000000"/>
              <w:right w:val="single" w:sz="4" w:space="0" w:color="000000"/>
            </w:tcBorders>
          </w:tcPr>
          <w:p>
            <w:pPr>
              <w:pStyle w:val="TableParagraph"/>
              <w:spacing w:before="5"/>
              <w:ind w:right="57"/>
              <w:rPr>
                <w:sz w:val="11"/>
              </w:rPr>
            </w:pPr>
            <w:r>
              <w:rPr>
                <w:w w:val="105"/>
                <w:sz w:val="11"/>
              </w:rPr>
              <w:t>1,117.3</w:t>
            </w:r>
          </w:p>
        </w:tc>
        <w:tc>
          <w:tcPr>
            <w:tcW w:w="667" w:type="dxa"/>
            <w:tcBorders>
              <w:top w:val="single" w:sz="4" w:space="0" w:color="000000"/>
              <w:left w:val="single" w:sz="4" w:space="0" w:color="000000"/>
              <w:bottom w:val="single" w:sz="3" w:space="0" w:color="000000"/>
              <w:right w:val="single" w:sz="4" w:space="0" w:color="000000"/>
            </w:tcBorders>
          </w:tcPr>
          <w:p>
            <w:pPr>
              <w:pStyle w:val="TableParagraph"/>
              <w:spacing w:before="5"/>
              <w:ind w:right="60"/>
              <w:rPr>
                <w:sz w:val="11"/>
              </w:rPr>
            </w:pPr>
            <w:r>
              <w:rPr>
                <w:w w:val="105"/>
                <w:sz w:val="11"/>
              </w:rPr>
              <w:t>1,378.0</w:t>
            </w:r>
          </w:p>
        </w:tc>
        <w:tc>
          <w:tcPr>
            <w:tcW w:w="665" w:type="dxa"/>
            <w:tcBorders>
              <w:top w:val="single" w:sz="4" w:space="0" w:color="000000"/>
              <w:left w:val="single" w:sz="4" w:space="0" w:color="000000"/>
              <w:bottom w:val="single" w:sz="3" w:space="0" w:color="000000"/>
              <w:right w:val="single" w:sz="4" w:space="0" w:color="000000"/>
            </w:tcBorders>
          </w:tcPr>
          <w:p>
            <w:pPr>
              <w:pStyle w:val="TableParagraph"/>
              <w:spacing w:before="5"/>
              <w:ind w:right="57"/>
              <w:rPr>
                <w:sz w:val="11"/>
              </w:rPr>
            </w:pPr>
            <w:r>
              <w:rPr>
                <w:w w:val="105"/>
                <w:sz w:val="11"/>
              </w:rPr>
              <w:t>1,418.2</w:t>
            </w:r>
          </w:p>
        </w:tc>
        <w:tc>
          <w:tcPr>
            <w:tcW w:w="666" w:type="dxa"/>
            <w:tcBorders>
              <w:top w:val="single" w:sz="4" w:space="0" w:color="000000"/>
              <w:left w:val="single" w:sz="4" w:space="0" w:color="000000"/>
              <w:bottom w:val="single" w:sz="3" w:space="0" w:color="000000"/>
              <w:right w:val="single" w:sz="3" w:space="0" w:color="000000"/>
            </w:tcBorders>
          </w:tcPr>
          <w:p>
            <w:pPr>
              <w:pStyle w:val="TableParagraph"/>
              <w:spacing w:before="5"/>
              <w:ind w:right="60"/>
              <w:rPr>
                <w:sz w:val="11"/>
              </w:rPr>
            </w:pPr>
            <w:r>
              <w:rPr>
                <w:w w:val="105"/>
                <w:sz w:val="11"/>
              </w:rPr>
              <w:t>1,401.6</w:t>
            </w:r>
          </w:p>
        </w:tc>
        <w:tc>
          <w:tcPr>
            <w:tcW w:w="668" w:type="dxa"/>
            <w:tcBorders>
              <w:top w:val="single" w:sz="4" w:space="0" w:color="000000"/>
              <w:left w:val="single" w:sz="3" w:space="0" w:color="000000"/>
              <w:bottom w:val="single" w:sz="3" w:space="0" w:color="000000"/>
              <w:right w:val="single" w:sz="4" w:space="0" w:color="000000"/>
            </w:tcBorders>
          </w:tcPr>
          <w:p>
            <w:pPr>
              <w:pStyle w:val="TableParagraph"/>
              <w:spacing w:before="5"/>
              <w:ind w:right="62"/>
              <w:rPr>
                <w:sz w:val="11"/>
              </w:rPr>
            </w:pPr>
            <w:r>
              <w:rPr>
                <w:w w:val="105"/>
                <w:sz w:val="11"/>
              </w:rPr>
              <w:t>1,149.1</w:t>
            </w:r>
          </w:p>
        </w:tc>
        <w:tc>
          <w:tcPr>
            <w:tcW w:w="773" w:type="dxa"/>
            <w:tcBorders>
              <w:top w:val="single" w:sz="4" w:space="0" w:color="000000"/>
              <w:left w:val="single" w:sz="4" w:space="0" w:color="000000"/>
              <w:bottom w:val="single" w:sz="3" w:space="0" w:color="000000"/>
              <w:right w:val="single" w:sz="4" w:space="0" w:color="000000"/>
            </w:tcBorders>
          </w:tcPr>
          <w:p>
            <w:pPr>
              <w:pStyle w:val="TableParagraph"/>
              <w:spacing w:before="5"/>
              <w:ind w:right="60"/>
              <w:rPr>
                <w:sz w:val="11"/>
              </w:rPr>
            </w:pPr>
            <w:r>
              <w:rPr>
                <w:w w:val="105"/>
                <w:sz w:val="11"/>
              </w:rPr>
              <w:t>1,184.6</w:t>
            </w:r>
          </w:p>
        </w:tc>
        <w:tc>
          <w:tcPr>
            <w:tcW w:w="624" w:type="dxa"/>
            <w:tcBorders>
              <w:top w:val="single" w:sz="4" w:space="0" w:color="000000"/>
              <w:left w:val="single" w:sz="4" w:space="0" w:color="000000"/>
              <w:bottom w:val="single" w:sz="3" w:space="0" w:color="000000"/>
              <w:right w:val="single" w:sz="4" w:space="0" w:color="000000"/>
            </w:tcBorders>
          </w:tcPr>
          <w:p>
            <w:pPr>
              <w:pStyle w:val="TableParagraph"/>
              <w:spacing w:before="5"/>
              <w:ind w:right="60"/>
              <w:rPr>
                <w:sz w:val="11"/>
              </w:rPr>
            </w:pPr>
            <w:r>
              <w:rPr>
                <w:w w:val="105"/>
                <w:sz w:val="11"/>
              </w:rPr>
              <w:t>38.6</w:t>
            </w:r>
          </w:p>
        </w:tc>
        <w:tc>
          <w:tcPr>
            <w:tcW w:w="474" w:type="dxa"/>
            <w:tcBorders>
              <w:top w:val="single" w:sz="4" w:space="0" w:color="000000"/>
              <w:left w:val="single" w:sz="4" w:space="0" w:color="000000"/>
              <w:bottom w:val="single" w:sz="3" w:space="0" w:color="000000"/>
              <w:right w:val="single" w:sz="3" w:space="0" w:color="000000"/>
            </w:tcBorders>
          </w:tcPr>
          <w:p>
            <w:pPr>
              <w:pStyle w:val="TableParagraph"/>
              <w:spacing w:before="5"/>
              <w:ind w:right="62"/>
              <w:rPr>
                <w:sz w:val="11"/>
              </w:rPr>
            </w:pPr>
            <w:r>
              <w:rPr>
                <w:w w:val="105"/>
                <w:sz w:val="11"/>
              </w:rPr>
              <w:t>5.2</w:t>
            </w:r>
          </w:p>
        </w:tc>
        <w:tc>
          <w:tcPr>
            <w:tcW w:w="526" w:type="dxa"/>
            <w:tcBorders>
              <w:top w:val="single" w:sz="4" w:space="0" w:color="000000"/>
              <w:left w:val="single" w:sz="3" w:space="0" w:color="000000"/>
              <w:bottom w:val="single" w:sz="3" w:space="0" w:color="000000"/>
              <w:right w:val="single" w:sz="3" w:space="0" w:color="000000"/>
            </w:tcBorders>
          </w:tcPr>
          <w:p>
            <w:pPr>
              <w:pStyle w:val="TableParagraph"/>
              <w:spacing w:before="5"/>
              <w:ind w:left="64"/>
              <w:jc w:val="left"/>
              <w:rPr>
                <w:sz w:val="11"/>
              </w:rPr>
            </w:pPr>
            <w:r>
              <w:rPr>
                <w:w w:val="105"/>
                <w:sz w:val="11"/>
              </w:rPr>
              <w:t>1,907.9</w:t>
            </w:r>
          </w:p>
        </w:tc>
        <w:tc>
          <w:tcPr>
            <w:tcW w:w="376" w:type="dxa"/>
            <w:tcBorders>
              <w:top w:val="single" w:sz="4" w:space="0" w:color="000000"/>
              <w:left w:val="single" w:sz="3" w:space="0" w:color="000000"/>
              <w:bottom w:val="single" w:sz="3" w:space="0" w:color="000000"/>
              <w:right w:val="single" w:sz="8" w:space="0" w:color="000000"/>
            </w:tcBorders>
          </w:tcPr>
          <w:p>
            <w:pPr>
              <w:pStyle w:val="TableParagraph"/>
              <w:spacing w:before="5"/>
              <w:ind w:right="55"/>
              <w:rPr>
                <w:b/>
                <w:sz w:val="11"/>
              </w:rPr>
            </w:pPr>
            <w:r>
              <w:rPr>
                <w:b/>
                <w:w w:val="105"/>
                <w:sz w:val="11"/>
              </w:rPr>
              <w:t>62</w:t>
            </w:r>
          </w:p>
        </w:tc>
      </w:tr>
      <w:tr>
        <w:trPr>
          <w:trHeight w:val="150" w:hRule="exact"/>
        </w:trPr>
        <w:tc>
          <w:tcPr>
            <w:tcW w:w="200" w:type="dxa"/>
            <w:tcBorders>
              <w:top w:val="single" w:sz="3" w:space="0" w:color="000000"/>
              <w:left w:val="single" w:sz="8" w:space="0" w:color="000000"/>
              <w:bottom w:val="single" w:sz="8" w:space="0" w:color="000000"/>
            </w:tcBorders>
          </w:tcPr>
          <w:p>
            <w:pPr>
              <w:pStyle w:val="TableParagraph"/>
              <w:jc w:val="center"/>
              <w:rPr>
                <w:sz w:val="11"/>
              </w:rPr>
            </w:pPr>
            <w:r>
              <w:rPr>
                <w:w w:val="106"/>
                <w:sz w:val="11"/>
              </w:rPr>
              <w:t>3</w:t>
            </w:r>
          </w:p>
        </w:tc>
        <w:tc>
          <w:tcPr>
            <w:tcW w:w="1609" w:type="dxa"/>
            <w:tcBorders>
              <w:top w:val="single" w:sz="3" w:space="0" w:color="000000"/>
              <w:bottom w:val="single" w:sz="8" w:space="0" w:color="000000"/>
              <w:right w:val="single" w:sz="8" w:space="0" w:color="000000"/>
            </w:tcBorders>
          </w:tcPr>
          <w:p>
            <w:pPr>
              <w:pStyle w:val="TableParagraph"/>
              <w:ind w:left="59"/>
              <w:jc w:val="left"/>
              <w:rPr>
                <w:sz w:val="11"/>
              </w:rPr>
            </w:pPr>
            <w:r>
              <w:rPr>
                <w:w w:val="105"/>
                <w:sz w:val="11"/>
              </w:rPr>
              <w:t>Oaxaca</w:t>
            </w:r>
          </w:p>
        </w:tc>
        <w:tc>
          <w:tcPr>
            <w:tcW w:w="666" w:type="dxa"/>
            <w:tcBorders>
              <w:top w:val="single" w:sz="3" w:space="0" w:color="000000"/>
              <w:left w:val="single" w:sz="8" w:space="0" w:color="000000"/>
              <w:bottom w:val="single" w:sz="8" w:space="0" w:color="000000"/>
              <w:right w:val="single" w:sz="3" w:space="0" w:color="000000"/>
            </w:tcBorders>
          </w:tcPr>
          <w:p>
            <w:pPr>
              <w:pStyle w:val="TableParagraph"/>
              <w:ind w:right="60"/>
              <w:rPr>
                <w:sz w:val="11"/>
              </w:rPr>
            </w:pPr>
            <w:r>
              <w:rPr>
                <w:w w:val="105"/>
                <w:sz w:val="11"/>
              </w:rPr>
              <w:t>770.8</w:t>
            </w:r>
          </w:p>
        </w:tc>
        <w:tc>
          <w:tcPr>
            <w:tcW w:w="666" w:type="dxa"/>
            <w:tcBorders>
              <w:top w:val="single" w:sz="3" w:space="0" w:color="000000"/>
              <w:left w:val="single" w:sz="3" w:space="0" w:color="000000"/>
              <w:bottom w:val="single" w:sz="8" w:space="0" w:color="000000"/>
              <w:right w:val="single" w:sz="4" w:space="0" w:color="000000"/>
            </w:tcBorders>
          </w:tcPr>
          <w:p>
            <w:pPr>
              <w:pStyle w:val="TableParagraph"/>
              <w:ind w:right="60"/>
              <w:rPr>
                <w:sz w:val="11"/>
              </w:rPr>
            </w:pPr>
            <w:r>
              <w:rPr>
                <w:w w:val="105"/>
                <w:sz w:val="11"/>
              </w:rPr>
              <w:t>929.6</w:t>
            </w:r>
          </w:p>
        </w:tc>
        <w:tc>
          <w:tcPr>
            <w:tcW w:w="665" w:type="dxa"/>
            <w:tcBorders>
              <w:top w:val="single" w:sz="3" w:space="0" w:color="000000"/>
              <w:left w:val="single" w:sz="4" w:space="0" w:color="000000"/>
              <w:bottom w:val="single" w:sz="8" w:space="0" w:color="000000"/>
              <w:right w:val="single" w:sz="4" w:space="0" w:color="000000"/>
            </w:tcBorders>
          </w:tcPr>
          <w:p>
            <w:pPr>
              <w:pStyle w:val="TableParagraph"/>
              <w:ind w:right="57"/>
              <w:rPr>
                <w:sz w:val="11"/>
              </w:rPr>
            </w:pPr>
            <w:r>
              <w:rPr>
                <w:w w:val="105"/>
                <w:sz w:val="11"/>
              </w:rPr>
              <w:t>1,053.6</w:t>
            </w:r>
          </w:p>
        </w:tc>
        <w:tc>
          <w:tcPr>
            <w:tcW w:w="667" w:type="dxa"/>
            <w:tcBorders>
              <w:top w:val="single" w:sz="3" w:space="0" w:color="000000"/>
              <w:left w:val="single" w:sz="4" w:space="0" w:color="000000"/>
              <w:bottom w:val="single" w:sz="8" w:space="0" w:color="000000"/>
              <w:right w:val="single" w:sz="4" w:space="0" w:color="000000"/>
            </w:tcBorders>
          </w:tcPr>
          <w:p>
            <w:pPr>
              <w:pStyle w:val="TableParagraph"/>
              <w:ind w:right="60"/>
              <w:rPr>
                <w:sz w:val="11"/>
              </w:rPr>
            </w:pPr>
            <w:r>
              <w:rPr>
                <w:w w:val="105"/>
                <w:sz w:val="11"/>
              </w:rPr>
              <w:t>1,321.0</w:t>
            </w:r>
          </w:p>
        </w:tc>
        <w:tc>
          <w:tcPr>
            <w:tcW w:w="665" w:type="dxa"/>
            <w:tcBorders>
              <w:top w:val="single" w:sz="3" w:space="0" w:color="000000"/>
              <w:left w:val="single" w:sz="4" w:space="0" w:color="000000"/>
              <w:bottom w:val="single" w:sz="8" w:space="0" w:color="000000"/>
              <w:right w:val="single" w:sz="4" w:space="0" w:color="000000"/>
            </w:tcBorders>
          </w:tcPr>
          <w:p>
            <w:pPr>
              <w:pStyle w:val="TableParagraph"/>
              <w:ind w:right="57"/>
              <w:rPr>
                <w:sz w:val="11"/>
              </w:rPr>
            </w:pPr>
            <w:r>
              <w:rPr>
                <w:w w:val="105"/>
                <w:sz w:val="11"/>
              </w:rPr>
              <w:t>1,420.3</w:t>
            </w:r>
          </w:p>
        </w:tc>
        <w:tc>
          <w:tcPr>
            <w:tcW w:w="666" w:type="dxa"/>
            <w:tcBorders>
              <w:top w:val="single" w:sz="3" w:space="0" w:color="000000"/>
              <w:left w:val="single" w:sz="4" w:space="0" w:color="000000"/>
              <w:bottom w:val="single" w:sz="8" w:space="0" w:color="000000"/>
              <w:right w:val="single" w:sz="3" w:space="0" w:color="000000"/>
            </w:tcBorders>
          </w:tcPr>
          <w:p>
            <w:pPr>
              <w:pStyle w:val="TableParagraph"/>
              <w:ind w:right="60"/>
              <w:rPr>
                <w:sz w:val="11"/>
              </w:rPr>
            </w:pPr>
            <w:r>
              <w:rPr>
                <w:w w:val="105"/>
                <w:sz w:val="11"/>
              </w:rPr>
              <w:t>1,456.5</w:t>
            </w:r>
          </w:p>
        </w:tc>
        <w:tc>
          <w:tcPr>
            <w:tcW w:w="668" w:type="dxa"/>
            <w:tcBorders>
              <w:top w:val="single" w:sz="3" w:space="0" w:color="000000"/>
              <w:left w:val="single" w:sz="3" w:space="0" w:color="000000"/>
              <w:bottom w:val="single" w:sz="8" w:space="0" w:color="000000"/>
              <w:right w:val="single" w:sz="4" w:space="0" w:color="000000"/>
            </w:tcBorders>
          </w:tcPr>
          <w:p>
            <w:pPr>
              <w:pStyle w:val="TableParagraph"/>
              <w:ind w:right="62"/>
              <w:rPr>
                <w:sz w:val="11"/>
              </w:rPr>
            </w:pPr>
            <w:r>
              <w:rPr>
                <w:w w:val="105"/>
                <w:sz w:val="11"/>
              </w:rPr>
              <w:t>1,203.6</w:t>
            </w:r>
          </w:p>
        </w:tc>
        <w:tc>
          <w:tcPr>
            <w:tcW w:w="773" w:type="dxa"/>
            <w:tcBorders>
              <w:top w:val="single" w:sz="3" w:space="0" w:color="000000"/>
              <w:left w:val="single" w:sz="4" w:space="0" w:color="000000"/>
              <w:bottom w:val="single" w:sz="8" w:space="0" w:color="000000"/>
              <w:right w:val="single" w:sz="4" w:space="0" w:color="000000"/>
            </w:tcBorders>
          </w:tcPr>
          <w:p>
            <w:pPr>
              <w:pStyle w:val="TableParagraph"/>
              <w:ind w:right="60"/>
              <w:rPr>
                <w:sz w:val="11"/>
              </w:rPr>
            </w:pPr>
            <w:r>
              <w:rPr>
                <w:w w:val="105"/>
                <w:sz w:val="11"/>
              </w:rPr>
              <w:t>1,165.1</w:t>
            </w:r>
          </w:p>
        </w:tc>
        <w:tc>
          <w:tcPr>
            <w:tcW w:w="624" w:type="dxa"/>
            <w:tcBorders>
              <w:top w:val="single" w:sz="3" w:space="0" w:color="000000"/>
              <w:left w:val="single" w:sz="4" w:space="0" w:color="000000"/>
              <w:bottom w:val="single" w:sz="8" w:space="0" w:color="000000"/>
              <w:right w:val="single" w:sz="4" w:space="0" w:color="000000"/>
            </w:tcBorders>
          </w:tcPr>
          <w:p>
            <w:pPr>
              <w:pStyle w:val="TableParagraph"/>
              <w:ind w:right="60"/>
              <w:rPr>
                <w:sz w:val="11"/>
              </w:rPr>
            </w:pPr>
            <w:r>
              <w:rPr>
                <w:w w:val="105"/>
                <w:sz w:val="11"/>
              </w:rPr>
              <w:t>37.9</w:t>
            </w:r>
          </w:p>
        </w:tc>
        <w:tc>
          <w:tcPr>
            <w:tcW w:w="474" w:type="dxa"/>
            <w:tcBorders>
              <w:top w:val="single" w:sz="3" w:space="0" w:color="000000"/>
              <w:left w:val="single" w:sz="4" w:space="0" w:color="000000"/>
              <w:bottom w:val="single" w:sz="8" w:space="0" w:color="000000"/>
              <w:right w:val="single" w:sz="3" w:space="0" w:color="000000"/>
            </w:tcBorders>
          </w:tcPr>
          <w:p>
            <w:pPr>
              <w:pStyle w:val="TableParagraph"/>
              <w:ind w:right="62"/>
              <w:rPr>
                <w:sz w:val="11"/>
              </w:rPr>
            </w:pPr>
            <w:r>
              <w:rPr>
                <w:w w:val="105"/>
                <w:sz w:val="11"/>
              </w:rPr>
              <w:t>7.7</w:t>
            </w:r>
          </w:p>
        </w:tc>
        <w:tc>
          <w:tcPr>
            <w:tcW w:w="526" w:type="dxa"/>
            <w:tcBorders>
              <w:top w:val="single" w:sz="3" w:space="0" w:color="000000"/>
              <w:left w:val="single" w:sz="3" w:space="0" w:color="000000"/>
              <w:bottom w:val="single" w:sz="8" w:space="0" w:color="000000"/>
              <w:right w:val="single" w:sz="3" w:space="0" w:color="000000"/>
            </w:tcBorders>
          </w:tcPr>
          <w:p>
            <w:pPr>
              <w:pStyle w:val="TableParagraph"/>
              <w:ind w:left="64"/>
              <w:jc w:val="left"/>
              <w:rPr>
                <w:b/>
                <w:sz w:val="11"/>
              </w:rPr>
            </w:pPr>
            <w:r>
              <w:rPr>
                <w:b/>
                <w:w w:val="105"/>
                <w:sz w:val="11"/>
              </w:rPr>
              <w:t>3,072.9</w:t>
            </w:r>
          </w:p>
        </w:tc>
        <w:tc>
          <w:tcPr>
            <w:tcW w:w="376" w:type="dxa"/>
            <w:tcBorders>
              <w:top w:val="single" w:sz="3" w:space="0" w:color="000000"/>
              <w:left w:val="single" w:sz="3" w:space="0" w:color="000000"/>
              <w:bottom w:val="single" w:sz="8" w:space="0" w:color="000000"/>
              <w:right w:val="single" w:sz="8" w:space="0" w:color="000000"/>
            </w:tcBorders>
          </w:tcPr>
          <w:p>
            <w:pPr>
              <w:pStyle w:val="TableParagraph"/>
              <w:ind w:right="53"/>
              <w:rPr>
                <w:b/>
                <w:sz w:val="11"/>
              </w:rPr>
            </w:pPr>
            <w:r>
              <w:rPr>
                <w:b/>
                <w:w w:val="105"/>
                <w:sz w:val="11"/>
              </w:rPr>
              <w:t>100</w:t>
            </w:r>
          </w:p>
        </w:tc>
      </w:tr>
    </w:tbl>
    <w:p>
      <w:pPr>
        <w:spacing w:line="244" w:lineRule="auto" w:before="0"/>
        <w:ind w:left="181" w:right="334" w:firstLine="0"/>
        <w:jc w:val="left"/>
        <w:rPr>
          <w:sz w:val="21"/>
        </w:rPr>
      </w:pPr>
      <w:r>
        <w:rPr>
          <w:sz w:val="21"/>
        </w:rPr>
        <w:t>Fuente: Elaboración propia con información estadística del Banco de México. 2003-2009.   TCMA: Tasa de crecimiento media anual, FAA: Frecuencia absoluta acumulada  FRA:  Frecuencia relativa</w:t>
      </w:r>
      <w:r>
        <w:rPr>
          <w:spacing w:val="47"/>
          <w:sz w:val="21"/>
        </w:rPr>
        <w:t> </w:t>
      </w:r>
      <w:r>
        <w:rPr>
          <w:sz w:val="21"/>
        </w:rPr>
        <w:t>acumulada.</w:t>
      </w:r>
    </w:p>
    <w:p>
      <w:pPr>
        <w:pStyle w:val="BodyText"/>
        <w:rPr>
          <w:sz w:val="20"/>
        </w:rPr>
      </w:pPr>
    </w:p>
    <w:p>
      <w:pPr>
        <w:pStyle w:val="BodyText"/>
        <w:spacing w:line="364" w:lineRule="auto" w:before="172"/>
        <w:ind w:left="181" w:right="185"/>
        <w:jc w:val="both"/>
      </w:pPr>
      <w:r>
        <w:rPr/>
        <w:t>De acuerdo a los datos presentados anteriormente, es la Centro Occidente la que tiene mayor trascendencia en el volumen de remesas familiares, las  entidades federativas  que pertenecen a esta región socioeconómica, son las que tienen mayor tradición con relación a la migración, que son los estados que comprenden el bajío mexicano los cuales son Michoacán, Guanajuato y Jalisco que absorben el 35.1, 30.6 y 26.8% de las remesas de la región respectivamente (Cuadro</w:t>
      </w:r>
      <w:r>
        <w:rPr>
          <w:spacing w:val="59"/>
        </w:rPr>
        <w:t> </w:t>
      </w:r>
      <w:r>
        <w:rPr/>
        <w:t>7).</w:t>
      </w:r>
    </w:p>
    <w:p>
      <w:pPr>
        <w:pStyle w:val="BodyText"/>
        <w:rPr>
          <w:sz w:val="22"/>
        </w:rPr>
      </w:pPr>
    </w:p>
    <w:p>
      <w:pPr>
        <w:pStyle w:val="BodyText"/>
        <w:spacing w:line="364" w:lineRule="auto" w:before="155"/>
        <w:ind w:left="181" w:right="334"/>
      </w:pPr>
      <w:r>
        <w:rPr/>
        <w:t>La región que ocupa el segundo lugar es la Centro Este,  la cual  agrupa  los estados más céntricos del país. Dentro de los más significativos se tiene al Estado de México</w:t>
      </w:r>
    </w:p>
    <w:p>
      <w:pPr>
        <w:spacing w:after="0" w:line="364" w:lineRule="auto"/>
        <w:sectPr>
          <w:pgSz w:w="11900" w:h="16840"/>
          <w:pgMar w:header="0" w:footer="1676" w:top="1600" w:bottom="1860" w:left="1220" w:right="1200"/>
        </w:sectPr>
      </w:pPr>
    </w:p>
    <w:p>
      <w:pPr>
        <w:pStyle w:val="BodyText"/>
        <w:rPr>
          <w:sz w:val="20"/>
        </w:rPr>
      </w:pPr>
    </w:p>
    <w:p>
      <w:pPr>
        <w:pStyle w:val="BodyText"/>
        <w:spacing w:before="8"/>
        <w:rPr>
          <w:sz w:val="18"/>
        </w:rPr>
      </w:pPr>
    </w:p>
    <w:p>
      <w:pPr>
        <w:pStyle w:val="BodyText"/>
        <w:spacing w:line="364" w:lineRule="auto" w:before="74"/>
        <w:ind w:left="101" w:right="105"/>
        <w:jc w:val="both"/>
      </w:pPr>
      <w:r>
        <w:rPr/>
        <w:t>1,780.4 millones de dólares (28.8% de la región), seguido de Puebla y  el  Distrito Federal 1,250.7 (20.3%) y 1,153.5 (18.7%) millones de dólares </w:t>
      </w:r>
      <w:r>
        <w:rPr>
          <w:spacing w:val="21"/>
        </w:rPr>
        <w:t> </w:t>
      </w:r>
      <w:r>
        <w:rPr/>
        <w:t>respectivamente.</w:t>
      </w:r>
    </w:p>
    <w:p>
      <w:pPr>
        <w:pStyle w:val="BodyText"/>
        <w:rPr>
          <w:sz w:val="22"/>
        </w:rPr>
      </w:pPr>
    </w:p>
    <w:p>
      <w:pPr>
        <w:pStyle w:val="BodyText"/>
        <w:spacing w:line="364" w:lineRule="auto" w:before="155"/>
        <w:ind w:left="101" w:right="108"/>
        <w:jc w:val="both"/>
      </w:pPr>
      <w:r>
        <w:rPr/>
        <w:t>La región Pacífico Sur se ubica en el tercer lugar y comprende los estados Guerrero, Oaxaca y Chiapas 38.6, 37.9 y 23.5% absorben estas entidades dentro de esta  área.</w:t>
      </w:r>
    </w:p>
    <w:p>
      <w:pPr>
        <w:pStyle w:val="BodyText"/>
        <w:rPr>
          <w:sz w:val="22"/>
        </w:rPr>
      </w:pPr>
    </w:p>
    <w:p>
      <w:pPr>
        <w:pStyle w:val="BodyText"/>
        <w:spacing w:line="364" w:lineRule="auto" w:before="155"/>
        <w:ind w:left="101" w:right="106"/>
        <w:jc w:val="both"/>
      </w:pPr>
      <w:r>
        <w:rPr/>
        <w:t>El cuarto lugar es ocupado por la región Norte en donde los estados más importantes son: Sinaloa, Nayarit, Baja California y Sonora con una captación  de  remesas  familiares de 33.4, 24.2, 20.2 y 20.1%</w:t>
      </w:r>
      <w:r>
        <w:rPr>
          <w:spacing w:val="61"/>
        </w:rPr>
        <w:t> </w:t>
      </w:r>
      <w:r>
        <w:rPr/>
        <w:t>respectivamente.</w:t>
      </w:r>
    </w:p>
    <w:p>
      <w:pPr>
        <w:pStyle w:val="BodyText"/>
        <w:rPr>
          <w:sz w:val="22"/>
        </w:rPr>
      </w:pPr>
    </w:p>
    <w:p>
      <w:pPr>
        <w:pStyle w:val="Heading2"/>
        <w:numPr>
          <w:ilvl w:val="0"/>
          <w:numId w:val="11"/>
        </w:numPr>
        <w:tabs>
          <w:tab w:pos="568" w:val="left" w:leader="none"/>
        </w:tabs>
        <w:spacing w:line="240" w:lineRule="auto" w:before="147" w:after="0"/>
        <w:ind w:left="567" w:right="0" w:hanging="466"/>
        <w:jc w:val="both"/>
      </w:pPr>
      <w:r>
        <w:rPr/>
        <w:t>CONCLUSIONES</w:t>
      </w:r>
    </w:p>
    <w:p>
      <w:pPr>
        <w:pStyle w:val="BodyText"/>
        <w:rPr>
          <w:b/>
          <w:sz w:val="30"/>
        </w:rPr>
      </w:pPr>
    </w:p>
    <w:p>
      <w:pPr>
        <w:pStyle w:val="BodyText"/>
        <w:spacing w:line="364" w:lineRule="auto" w:before="244"/>
        <w:ind w:left="101" w:right="105"/>
        <w:jc w:val="both"/>
      </w:pPr>
      <w:r>
        <w:rPr/>
        <w:t>El proceso de globalización que se está acentuando en la economía mundial ha  revelado una mayor contribución de la migración de los individuos en el mundo particularmente con </w:t>
      </w:r>
      <w:r>
        <w:rPr>
          <w:spacing w:val="2"/>
        </w:rPr>
        <w:t>la </w:t>
      </w:r>
      <w:r>
        <w:rPr/>
        <w:t>apertura de los mercados, porque pasó de 1975 de  75  a  millones a 120 millones en 1990 y a 150 millones en 2006. Esta migración internacional ha aportado a la economía mundial alrededor de 298,825 millones de dólares, la tendencia es que los recursos fluyen de los países desarrollados que son demandantes de mano de obra hacia los países considerados en vías de </w:t>
      </w:r>
      <w:r>
        <w:rPr>
          <w:spacing w:val="14"/>
        </w:rPr>
        <w:t> </w:t>
      </w:r>
      <w:r>
        <w:rPr/>
        <w:t>desarrollo.</w:t>
      </w:r>
    </w:p>
    <w:p>
      <w:pPr>
        <w:pStyle w:val="BodyText"/>
        <w:rPr>
          <w:sz w:val="22"/>
        </w:rPr>
      </w:pPr>
    </w:p>
    <w:p>
      <w:pPr>
        <w:pStyle w:val="BodyText"/>
        <w:spacing w:line="364" w:lineRule="auto" w:before="155"/>
        <w:ind w:left="101" w:right="104"/>
        <w:jc w:val="both"/>
      </w:pPr>
      <w:r>
        <w:rPr/>
        <w:t>Las remesas familiares son conceptualizadas como los recursos económicos que  envían las personas que migran de sus países de origen a otro, ésta tiene la función de solventar muchas de las necesidades que posiblemente no podrían cubrirse si permanecieran en su país de origen. Estas divisas generalmente son empleadas en la economía nacional para la adquisición de bienes y servicios (específicamente en alimentos), educación, salud, etc., que contribuyen a mejorar la calidad de vida de los familiares de los</w:t>
      </w:r>
      <w:r>
        <w:rPr>
          <w:spacing w:val="26"/>
        </w:rPr>
        <w:t> </w:t>
      </w:r>
      <w:r>
        <w:rPr/>
        <w:t>migrantes.</w:t>
      </w:r>
    </w:p>
    <w:p>
      <w:pPr>
        <w:pStyle w:val="BodyText"/>
        <w:rPr>
          <w:sz w:val="22"/>
        </w:rPr>
      </w:pPr>
    </w:p>
    <w:p>
      <w:pPr>
        <w:pStyle w:val="BodyText"/>
        <w:spacing w:line="364" w:lineRule="auto" w:before="155"/>
        <w:ind w:left="101" w:right="105"/>
        <w:jc w:val="both"/>
      </w:pPr>
      <w:r>
        <w:rPr/>
        <w:t>América Latina según la información estadística que reporta el Fondo Internacional de Desarrollo Agrícola para 2006 tiene una captación del 22.7% de las remesas mundiales que significan 67,905 millones de dólares; de este monto México recibe 24,254  millones</w:t>
      </w:r>
    </w:p>
    <w:p>
      <w:pPr>
        <w:spacing w:after="0" w:line="364" w:lineRule="auto"/>
        <w:jc w:val="both"/>
        <w:sectPr>
          <w:footerReference w:type="default" r:id="rId279"/>
          <w:pgSz w:w="11900" w:h="16840"/>
          <w:pgMar w:footer="1679" w:header="0" w:top="1600" w:bottom="1860" w:left="1300" w:right="1280"/>
          <w:pgNumType w:start="190"/>
        </w:sectPr>
      </w:pPr>
    </w:p>
    <w:p>
      <w:pPr>
        <w:pStyle w:val="BodyText"/>
        <w:rPr>
          <w:sz w:val="20"/>
        </w:rPr>
      </w:pPr>
    </w:p>
    <w:p>
      <w:pPr>
        <w:pStyle w:val="BodyText"/>
        <w:spacing w:before="8"/>
        <w:rPr>
          <w:sz w:val="18"/>
        </w:rPr>
      </w:pPr>
    </w:p>
    <w:p>
      <w:pPr>
        <w:pStyle w:val="BodyText"/>
        <w:spacing w:line="364" w:lineRule="auto" w:before="74"/>
        <w:ind w:left="101" w:right="105"/>
        <w:jc w:val="both"/>
      </w:pPr>
      <w:r>
        <w:rPr/>
        <w:t>de dólares, lo que dentro de América Latina representa el 35.7% y en el contexto  mundial significa el 8.1% de las remesas mundiales. Estos datos revelan la importancia que tiene La República Mexicana en la captación de recursos económicos, al ser esta   la segunda fuente de generación de divisas para el país, sólo por debajo de producción de petróleo</w:t>
      </w:r>
      <w:r>
        <w:rPr>
          <w:spacing w:val="18"/>
        </w:rPr>
        <w:t> </w:t>
      </w:r>
      <w:r>
        <w:rPr/>
        <w:t>crudo.</w:t>
      </w:r>
    </w:p>
    <w:p>
      <w:pPr>
        <w:pStyle w:val="BodyText"/>
        <w:rPr>
          <w:sz w:val="22"/>
        </w:rPr>
      </w:pPr>
    </w:p>
    <w:p>
      <w:pPr>
        <w:pStyle w:val="BodyText"/>
        <w:spacing w:line="364" w:lineRule="auto" w:before="155"/>
        <w:ind w:left="101" w:right="103"/>
        <w:jc w:val="both"/>
      </w:pPr>
      <w:r>
        <w:rPr/>
        <w:t>Las remesas familiares enviadas por los migrantes mexicanos a sus familiares que radican a lo largo y ancho de la República Mexicana han presentado una tasa de crecimiento del 13.3% para el periodo 1995-2009, lo cual demuestra el dinamismo y la migración de los mexicanos principalmente hacia Estados Unidos; según los datos analizados en 2007 fueron 7.09 veces más que en 1995 y para 2009 ésta fue de 5.7 veces más.</w:t>
      </w:r>
    </w:p>
    <w:p>
      <w:pPr>
        <w:pStyle w:val="BodyText"/>
        <w:rPr>
          <w:sz w:val="22"/>
        </w:rPr>
      </w:pPr>
    </w:p>
    <w:p>
      <w:pPr>
        <w:pStyle w:val="BodyText"/>
        <w:spacing w:line="364" w:lineRule="auto" w:before="155"/>
        <w:ind w:left="101" w:right="103"/>
        <w:jc w:val="both"/>
      </w:pPr>
      <w:r>
        <w:rPr/>
        <w:t>La región Centro Occidente del México es la que capta el mayor número de remesas  con el 29.9% que significan 6,525.5 millones de dólares. En esta zona se encuentra las entidades federativas con mayor tradición en la migración y desde luego  en  la  captación de remesas para el país y que están enclavadas en el bajío mexicano que   son Michoacán que ocupa el primer lugar, el segundo lo tiene Guanajuato y en cuarto lugar se encuentra Jalisco; curiosamente el Estado de México ocupa el tercer lugar, a pesar de ser uno de más importantes en la aportación de Producto Interno Bruto del país.</w:t>
      </w:r>
    </w:p>
    <w:p>
      <w:pPr>
        <w:pStyle w:val="BodyText"/>
        <w:rPr>
          <w:sz w:val="22"/>
        </w:rPr>
      </w:pPr>
    </w:p>
    <w:p>
      <w:pPr>
        <w:pStyle w:val="BodyText"/>
        <w:rPr>
          <w:sz w:val="22"/>
        </w:rPr>
      </w:pPr>
    </w:p>
    <w:p>
      <w:pPr>
        <w:pStyle w:val="BodyText"/>
        <w:spacing w:before="7"/>
        <w:rPr>
          <w:sz w:val="25"/>
        </w:rPr>
      </w:pPr>
    </w:p>
    <w:p>
      <w:pPr>
        <w:pStyle w:val="Heading2"/>
        <w:numPr>
          <w:ilvl w:val="0"/>
          <w:numId w:val="11"/>
        </w:numPr>
        <w:tabs>
          <w:tab w:pos="481" w:val="left" w:leader="none"/>
        </w:tabs>
        <w:spacing w:line="240" w:lineRule="auto" w:before="1" w:after="0"/>
        <w:ind w:left="480" w:right="0" w:hanging="379"/>
        <w:jc w:val="both"/>
      </w:pPr>
      <w:r>
        <w:rPr/>
        <w:t>REFERENCIAS</w:t>
      </w:r>
      <w:r>
        <w:rPr>
          <w:spacing w:val="9"/>
        </w:rPr>
        <w:t> </w:t>
      </w:r>
      <w:r>
        <w:rPr/>
        <w:t>BIBLIOGRÁFICAS</w:t>
      </w:r>
    </w:p>
    <w:p>
      <w:pPr>
        <w:pStyle w:val="BodyText"/>
        <w:rPr>
          <w:b/>
          <w:sz w:val="30"/>
        </w:rPr>
      </w:pPr>
    </w:p>
    <w:p>
      <w:pPr>
        <w:pStyle w:val="ListParagraph"/>
        <w:numPr>
          <w:ilvl w:val="1"/>
          <w:numId w:val="11"/>
        </w:numPr>
        <w:tabs>
          <w:tab w:pos="803" w:val="left" w:leader="none"/>
        </w:tabs>
        <w:spacing w:line="240" w:lineRule="auto" w:before="247" w:after="0"/>
        <w:ind w:left="802" w:right="0" w:hanging="350"/>
        <w:jc w:val="left"/>
        <w:rPr>
          <w:sz w:val="23"/>
        </w:rPr>
      </w:pPr>
      <w:r>
        <w:rPr>
          <w:sz w:val="23"/>
        </w:rPr>
        <w:t>Consejo Nacional de Población. 2000. Series sobre</w:t>
      </w:r>
      <w:r>
        <w:rPr>
          <w:spacing w:val="63"/>
          <w:sz w:val="23"/>
        </w:rPr>
        <w:t> </w:t>
      </w:r>
      <w:r>
        <w:rPr>
          <w:sz w:val="23"/>
        </w:rPr>
        <w:t>migración</w:t>
      </w:r>
    </w:p>
    <w:p>
      <w:pPr>
        <w:pStyle w:val="BodyText"/>
        <w:rPr>
          <w:sz w:val="22"/>
        </w:rPr>
      </w:pPr>
    </w:p>
    <w:p>
      <w:pPr>
        <w:pStyle w:val="BodyText"/>
        <w:spacing w:before="1"/>
        <w:rPr>
          <w:sz w:val="25"/>
        </w:rPr>
      </w:pPr>
    </w:p>
    <w:p>
      <w:pPr>
        <w:pStyle w:val="ListParagraph"/>
        <w:numPr>
          <w:ilvl w:val="1"/>
          <w:numId w:val="11"/>
        </w:numPr>
        <w:tabs>
          <w:tab w:pos="803" w:val="left" w:leader="none"/>
        </w:tabs>
        <w:spacing w:line="364" w:lineRule="auto" w:before="0" w:after="0"/>
        <w:ind w:left="802" w:right="104" w:hanging="350"/>
        <w:jc w:val="both"/>
        <w:rPr>
          <w:sz w:val="23"/>
        </w:rPr>
      </w:pPr>
      <w:r>
        <w:rPr>
          <w:sz w:val="23"/>
        </w:rPr>
        <w:t>Mckinley, Brunson. 2003. International Organization for migration. Remesas de   los migrantes en las Américas, tendencias y opciones de políticas  para  los  países de la Conferencia Regional sobre Migración. VIII Conferencia Regional sobre Migración. Cancún Quintana Roo,</w:t>
      </w:r>
      <w:r>
        <w:rPr>
          <w:spacing w:val="53"/>
          <w:sz w:val="23"/>
        </w:rPr>
        <w:t> </w:t>
      </w:r>
      <w:r>
        <w:rPr>
          <w:sz w:val="23"/>
        </w:rPr>
        <w:t>México.</w:t>
      </w:r>
    </w:p>
    <w:p>
      <w:pPr>
        <w:spacing w:after="0" w:line="364" w:lineRule="auto"/>
        <w:jc w:val="both"/>
        <w:rPr>
          <w:sz w:val="23"/>
        </w:rPr>
        <w:sectPr>
          <w:pgSz w:w="11900" w:h="16840"/>
          <w:pgMar w:header="0" w:footer="1679" w:top="1600" w:bottom="1860" w:left="130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1"/>
          <w:numId w:val="11"/>
        </w:numPr>
        <w:tabs>
          <w:tab w:pos="463" w:val="left" w:leader="none"/>
        </w:tabs>
        <w:spacing w:line="240" w:lineRule="auto" w:before="0" w:after="0"/>
        <w:ind w:left="462" w:right="0" w:hanging="350"/>
        <w:jc w:val="left"/>
        <w:rPr>
          <w:sz w:val="23"/>
        </w:rPr>
      </w:pPr>
      <w:r>
        <w:rPr>
          <w:sz w:val="23"/>
        </w:rPr>
        <w:t>Fondo Monetario Internacional. 1993. Manual de la Balanza de </w:t>
      </w:r>
      <w:r>
        <w:rPr>
          <w:spacing w:val="11"/>
          <w:sz w:val="23"/>
        </w:rPr>
        <w:t> </w:t>
      </w:r>
      <w:r>
        <w:rPr>
          <w:sz w:val="23"/>
        </w:rPr>
        <w:t>Pagos.</w:t>
      </w:r>
    </w:p>
    <w:p>
      <w:pPr>
        <w:pStyle w:val="BodyText"/>
        <w:rPr>
          <w:sz w:val="22"/>
        </w:rPr>
      </w:pPr>
    </w:p>
    <w:p>
      <w:pPr>
        <w:pStyle w:val="ListParagraph"/>
        <w:numPr>
          <w:ilvl w:val="1"/>
          <w:numId w:val="11"/>
        </w:numPr>
        <w:tabs>
          <w:tab w:pos="463" w:val="left" w:leader="none"/>
        </w:tabs>
        <w:spacing w:line="364" w:lineRule="auto" w:before="195" w:after="0"/>
        <w:ind w:left="462" w:right="105" w:hanging="350"/>
        <w:jc w:val="both"/>
        <w:rPr>
          <w:sz w:val="23"/>
        </w:rPr>
      </w:pPr>
      <w:r>
        <w:rPr>
          <w:sz w:val="23"/>
        </w:rPr>
        <w:t>Lozano Ascencio Fernando. 2003. Tendencias actuales de las remesas de migrantes en América latina y el Caribe: una evaluación de su importancia económica y social. Seminario Regional “Remesas de Migrantes: ¿Una  alternativa para América Latina y el Caribe?. Caracas Venezuela. Julio de </w:t>
      </w:r>
      <w:r>
        <w:rPr>
          <w:spacing w:val="25"/>
          <w:sz w:val="23"/>
        </w:rPr>
        <w:t> </w:t>
      </w:r>
      <w:r>
        <w:rPr>
          <w:sz w:val="23"/>
        </w:rPr>
        <w:t>2004.</w:t>
      </w:r>
    </w:p>
    <w:p>
      <w:pPr>
        <w:pStyle w:val="BodyText"/>
        <w:spacing w:before="1"/>
        <w:rPr>
          <w:sz w:val="27"/>
        </w:rPr>
      </w:pPr>
    </w:p>
    <w:p>
      <w:pPr>
        <w:pStyle w:val="ListParagraph"/>
        <w:numPr>
          <w:ilvl w:val="1"/>
          <w:numId w:val="11"/>
        </w:numPr>
        <w:tabs>
          <w:tab w:pos="463" w:val="left" w:leader="none"/>
        </w:tabs>
        <w:spacing w:line="364" w:lineRule="auto" w:before="1" w:after="0"/>
        <w:ind w:left="462" w:right="106" w:hanging="350"/>
        <w:jc w:val="both"/>
        <w:rPr>
          <w:sz w:val="23"/>
        </w:rPr>
      </w:pPr>
      <w:r>
        <w:rPr>
          <w:sz w:val="23"/>
        </w:rPr>
        <w:t>Banco de México. 2007. Indicadores económicos y financieros de las remesas familiares en</w:t>
      </w:r>
      <w:r>
        <w:rPr>
          <w:spacing w:val="23"/>
          <w:sz w:val="23"/>
        </w:rPr>
        <w:t> </w:t>
      </w:r>
      <w:r>
        <w:rPr>
          <w:sz w:val="23"/>
        </w:rPr>
        <w:t>México.</w:t>
      </w:r>
    </w:p>
    <w:p>
      <w:pPr>
        <w:pStyle w:val="BodyText"/>
        <w:spacing w:before="4"/>
        <w:rPr>
          <w:sz w:val="27"/>
        </w:rPr>
      </w:pPr>
    </w:p>
    <w:p>
      <w:pPr>
        <w:pStyle w:val="ListParagraph"/>
        <w:numPr>
          <w:ilvl w:val="1"/>
          <w:numId w:val="11"/>
        </w:numPr>
        <w:tabs>
          <w:tab w:pos="463" w:val="left" w:leader="none"/>
        </w:tabs>
        <w:spacing w:line="364" w:lineRule="auto" w:before="0" w:after="0"/>
        <w:ind w:left="462" w:right="105" w:hanging="350"/>
        <w:jc w:val="both"/>
        <w:rPr>
          <w:sz w:val="23"/>
        </w:rPr>
      </w:pPr>
      <w:r>
        <w:rPr>
          <w:sz w:val="23"/>
        </w:rPr>
        <w:t>Canales Alejandro I. 2006. Las cifras sobre las remesas en México. ¿Son creibles?. Universidad de</w:t>
      </w:r>
      <w:r>
        <w:rPr>
          <w:spacing w:val="44"/>
          <w:sz w:val="23"/>
        </w:rPr>
        <w:t> </w:t>
      </w:r>
      <w:r>
        <w:rPr>
          <w:sz w:val="23"/>
        </w:rPr>
        <w:t>Guadalajara.</w:t>
      </w:r>
    </w:p>
    <w:p>
      <w:pPr>
        <w:pStyle w:val="BodyText"/>
        <w:spacing w:before="1"/>
        <w:rPr>
          <w:sz w:val="27"/>
        </w:rPr>
      </w:pPr>
    </w:p>
    <w:p>
      <w:pPr>
        <w:pStyle w:val="ListParagraph"/>
        <w:numPr>
          <w:ilvl w:val="1"/>
          <w:numId w:val="11"/>
        </w:numPr>
        <w:tabs>
          <w:tab w:pos="463" w:val="left" w:leader="none"/>
        </w:tabs>
        <w:spacing w:line="364" w:lineRule="auto" w:before="1" w:after="0"/>
        <w:ind w:left="462" w:right="105" w:hanging="350"/>
        <w:jc w:val="both"/>
        <w:rPr>
          <w:sz w:val="23"/>
        </w:rPr>
      </w:pPr>
      <w:r>
        <w:rPr>
          <w:sz w:val="23"/>
        </w:rPr>
        <w:t>Verea de Yturbide Mónica. 1994-2004. Migración y movilidad laboral en América del</w:t>
      </w:r>
      <w:r>
        <w:rPr>
          <w:spacing w:val="10"/>
          <w:sz w:val="23"/>
        </w:rPr>
        <w:t> </w:t>
      </w:r>
      <w:r>
        <w:rPr>
          <w:sz w:val="23"/>
        </w:rPr>
        <w:t>Norte.</w:t>
      </w:r>
    </w:p>
    <w:p>
      <w:pPr>
        <w:pStyle w:val="BodyText"/>
        <w:spacing w:before="4"/>
        <w:rPr>
          <w:sz w:val="27"/>
        </w:rPr>
      </w:pPr>
    </w:p>
    <w:p>
      <w:pPr>
        <w:pStyle w:val="ListParagraph"/>
        <w:numPr>
          <w:ilvl w:val="1"/>
          <w:numId w:val="11"/>
        </w:numPr>
        <w:tabs>
          <w:tab w:pos="463" w:val="left" w:leader="none"/>
        </w:tabs>
        <w:spacing w:line="364" w:lineRule="auto" w:before="0" w:after="0"/>
        <w:ind w:left="462" w:right="105" w:hanging="350"/>
        <w:jc w:val="both"/>
        <w:rPr>
          <w:sz w:val="23"/>
        </w:rPr>
      </w:pPr>
      <w:r>
        <w:rPr>
          <w:sz w:val="23"/>
        </w:rPr>
        <w:t>Fondo Multilateral de Inversiones (FOMIN). 2003. Receptores de remesas en México.</w:t>
      </w:r>
    </w:p>
    <w:p>
      <w:pPr>
        <w:pStyle w:val="BodyText"/>
        <w:spacing w:before="1"/>
        <w:rPr>
          <w:sz w:val="27"/>
        </w:rPr>
      </w:pPr>
    </w:p>
    <w:p>
      <w:pPr>
        <w:pStyle w:val="ListParagraph"/>
        <w:numPr>
          <w:ilvl w:val="1"/>
          <w:numId w:val="11"/>
        </w:numPr>
        <w:tabs>
          <w:tab w:pos="463" w:val="left" w:leader="none"/>
        </w:tabs>
        <w:spacing w:line="364" w:lineRule="auto" w:before="1" w:after="0"/>
        <w:ind w:left="462" w:right="106" w:hanging="350"/>
        <w:jc w:val="both"/>
        <w:rPr>
          <w:sz w:val="23"/>
        </w:rPr>
      </w:pPr>
      <w:r>
        <w:rPr>
          <w:sz w:val="23"/>
        </w:rPr>
        <w:t>Cámara de Diputados. 2004. El Impacto de las remesas familiares en México y  su uso productivo. Centro de Estudios Sociales y de Opinión </w:t>
      </w:r>
      <w:r>
        <w:rPr>
          <w:spacing w:val="13"/>
          <w:sz w:val="23"/>
        </w:rPr>
        <w:t> </w:t>
      </w:r>
      <w:r>
        <w:rPr>
          <w:sz w:val="23"/>
        </w:rPr>
        <w:t>Pública.</w:t>
      </w:r>
    </w:p>
    <w:p>
      <w:pPr>
        <w:spacing w:after="0" w:line="364" w:lineRule="auto"/>
        <w:jc w:val="both"/>
        <w:rPr>
          <w:sz w:val="23"/>
        </w:rPr>
        <w:sectPr>
          <w:pgSz w:w="11900" w:h="16840"/>
          <w:pgMar w:header="0" w:footer="1679" w:top="1600" w:bottom="1860" w:left="1640" w:right="1280"/>
        </w:sectPr>
      </w:pPr>
    </w:p>
    <w:p>
      <w:pPr>
        <w:pStyle w:val="BodyText"/>
        <w:rPr>
          <w:sz w:val="20"/>
        </w:rPr>
      </w:pPr>
    </w:p>
    <w:p>
      <w:pPr>
        <w:pStyle w:val="BodyText"/>
        <w:spacing w:before="6"/>
        <w:rPr>
          <w:sz w:val="19"/>
        </w:rPr>
      </w:pPr>
    </w:p>
    <w:p>
      <w:pPr>
        <w:pStyle w:val="Heading1"/>
        <w:numPr>
          <w:ilvl w:val="2"/>
          <w:numId w:val="11"/>
        </w:numPr>
        <w:tabs>
          <w:tab w:pos="1261" w:val="left" w:leader="none"/>
        </w:tabs>
        <w:spacing w:line="360" w:lineRule="auto" w:before="55" w:after="0"/>
        <w:ind w:left="341" w:right="350" w:firstLine="528"/>
        <w:jc w:val="left"/>
      </w:pPr>
      <w:r>
        <w:rPr/>
        <w:t>CAUSAS Y EFECTOS DE </w:t>
      </w:r>
      <w:r>
        <w:rPr>
          <w:spacing w:val="3"/>
        </w:rPr>
        <w:t>LA </w:t>
      </w:r>
      <w:r>
        <w:rPr/>
        <w:t>MIGRACIÓN Y REMESAS: ASPECTOS ECONÒMICOS Y</w:t>
      </w:r>
      <w:r>
        <w:rPr>
          <w:spacing w:val="-3"/>
        </w:rPr>
        <w:t> </w:t>
      </w:r>
      <w:r>
        <w:rPr/>
        <w:t>SOCIALES</w:t>
      </w:r>
    </w:p>
    <w:p>
      <w:pPr>
        <w:pStyle w:val="BodyText"/>
        <w:rPr>
          <w:b/>
          <w:sz w:val="34"/>
        </w:rPr>
      </w:pPr>
    </w:p>
    <w:p>
      <w:pPr>
        <w:pStyle w:val="Heading4"/>
        <w:spacing w:before="259"/>
        <w:ind w:left="345" w:right="352"/>
        <w:jc w:val="center"/>
      </w:pPr>
      <w:r>
        <w:rPr/>
        <w:t>Esther Figueroa Hernández</w:t>
      </w:r>
    </w:p>
    <w:p>
      <w:pPr>
        <w:spacing w:before="140"/>
        <w:ind w:left="345" w:right="353" w:firstLine="0"/>
        <w:jc w:val="center"/>
        <w:rPr>
          <w:sz w:val="19"/>
        </w:rPr>
      </w:pPr>
      <w:r>
        <w:rPr>
          <w:sz w:val="19"/>
        </w:rPr>
        <w:t>Universidad Autônoma del Estado de México.   </w:t>
      </w:r>
      <w:hyperlink r:id="rId17">
        <w:r>
          <w:rPr>
            <w:sz w:val="19"/>
          </w:rPr>
          <w:t>esfigue_3@yahoo.com.mx</w:t>
        </w:r>
      </w:hyperlink>
    </w:p>
    <w:p>
      <w:pPr>
        <w:pStyle w:val="BodyText"/>
        <w:spacing w:before="1"/>
        <w:rPr>
          <w:sz w:val="20"/>
        </w:rPr>
      </w:pPr>
    </w:p>
    <w:p>
      <w:pPr>
        <w:pStyle w:val="Heading4"/>
        <w:ind w:left="345" w:right="351"/>
        <w:jc w:val="center"/>
      </w:pPr>
      <w:r>
        <w:rPr/>
        <w:t>Orsohe Ramírez Abarca</w:t>
      </w:r>
    </w:p>
    <w:p>
      <w:pPr>
        <w:spacing w:before="142"/>
        <w:ind w:left="345" w:right="351" w:firstLine="0"/>
        <w:jc w:val="center"/>
        <w:rPr>
          <w:sz w:val="19"/>
        </w:rPr>
      </w:pPr>
      <w:r>
        <w:rPr>
          <w:sz w:val="19"/>
        </w:rPr>
        <w:t>Universidad Autônoma del Estado de México.   </w:t>
      </w:r>
      <w:hyperlink r:id="rId18">
        <w:r>
          <w:rPr>
            <w:sz w:val="19"/>
          </w:rPr>
          <w:t>orsohe@yahoo.com</w:t>
        </w:r>
      </w:hyperlink>
    </w:p>
    <w:p>
      <w:pPr>
        <w:pStyle w:val="BodyText"/>
        <w:spacing w:before="10"/>
        <w:rPr>
          <w:sz w:val="19"/>
        </w:rPr>
      </w:pPr>
    </w:p>
    <w:p>
      <w:pPr>
        <w:pStyle w:val="Heading4"/>
        <w:ind w:left="345" w:right="353"/>
        <w:jc w:val="center"/>
      </w:pPr>
      <w:r>
        <w:rPr/>
        <w:t>Francisco Pérez Soto</w:t>
      </w:r>
    </w:p>
    <w:p>
      <w:pPr>
        <w:spacing w:before="142"/>
        <w:ind w:left="345" w:right="348" w:firstLine="0"/>
        <w:jc w:val="center"/>
        <w:rPr>
          <w:sz w:val="19"/>
        </w:rPr>
      </w:pPr>
      <w:r>
        <w:rPr>
          <w:sz w:val="19"/>
        </w:rPr>
        <w:t>Universidad  Autônoma  Chapingo, </w:t>
      </w:r>
      <w:hyperlink r:id="rId19">
        <w:r>
          <w:rPr>
            <w:sz w:val="19"/>
          </w:rPr>
          <w:t>perezsotof@hotmail.com</w:t>
        </w:r>
      </w:hyperlink>
    </w:p>
    <w:p>
      <w:pPr>
        <w:pStyle w:val="BodyText"/>
        <w:spacing w:before="10"/>
        <w:rPr>
          <w:sz w:val="19"/>
        </w:rPr>
      </w:pPr>
    </w:p>
    <w:p>
      <w:pPr>
        <w:pStyle w:val="Heading4"/>
        <w:ind w:left="345" w:right="351"/>
        <w:jc w:val="center"/>
      </w:pPr>
      <w:r>
        <w:rPr/>
        <w:t>Gerónimo Barrios Puente</w:t>
      </w:r>
    </w:p>
    <w:p>
      <w:pPr>
        <w:spacing w:before="142"/>
        <w:ind w:left="345" w:right="353" w:firstLine="0"/>
        <w:jc w:val="center"/>
        <w:rPr>
          <w:sz w:val="19"/>
        </w:rPr>
      </w:pPr>
      <w:r>
        <w:rPr>
          <w:sz w:val="19"/>
        </w:rPr>
        <w:t>Universidad  Autônoma  Chapingo, </w:t>
      </w:r>
      <w:hyperlink r:id="rId139">
        <w:r>
          <w:rPr>
            <w:sz w:val="19"/>
          </w:rPr>
          <w:t>gbarrios@yahoo.com.mx</w:t>
        </w:r>
      </w:hyperlink>
    </w:p>
    <w:p>
      <w:pPr>
        <w:pStyle w:val="BodyText"/>
        <w:spacing w:before="10"/>
        <w:rPr>
          <w:sz w:val="19"/>
        </w:rPr>
      </w:pPr>
    </w:p>
    <w:p>
      <w:pPr>
        <w:pStyle w:val="Heading4"/>
        <w:ind w:left="345" w:right="351"/>
        <w:jc w:val="center"/>
      </w:pPr>
      <w:r>
        <w:rPr/>
        <w:t>Luis Enrique Espinosa Torres</w:t>
      </w:r>
    </w:p>
    <w:p>
      <w:pPr>
        <w:pStyle w:val="BodyText"/>
        <w:spacing w:before="4"/>
        <w:rPr>
          <w:b/>
          <w:sz w:val="21"/>
        </w:rPr>
      </w:pPr>
    </w:p>
    <w:p>
      <w:pPr>
        <w:spacing w:before="0"/>
        <w:ind w:left="345" w:right="350" w:firstLine="0"/>
        <w:jc w:val="center"/>
        <w:rPr>
          <w:sz w:val="19"/>
        </w:rPr>
      </w:pPr>
      <w:r>
        <w:rPr>
          <w:sz w:val="19"/>
        </w:rPr>
        <w:t>Universidad Autônoma del Estado de México.   </w:t>
      </w:r>
      <w:hyperlink r:id="rId280">
        <w:r>
          <w:rPr>
            <w:sz w:val="19"/>
          </w:rPr>
          <w:t>luisespinosatorres@yahoo.com</w:t>
        </w:r>
      </w:hyperlink>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26"/>
        </w:rPr>
      </w:pPr>
    </w:p>
    <w:p>
      <w:pPr>
        <w:pStyle w:val="ListParagraph"/>
        <w:numPr>
          <w:ilvl w:val="0"/>
          <w:numId w:val="13"/>
        </w:numPr>
        <w:tabs>
          <w:tab w:pos="361" w:val="left" w:leader="none"/>
        </w:tabs>
        <w:spacing w:line="240" w:lineRule="auto" w:before="0" w:after="0"/>
        <w:ind w:left="360" w:right="0" w:hanging="259"/>
        <w:jc w:val="both"/>
        <w:rPr>
          <w:b/>
          <w:sz w:val="31"/>
        </w:rPr>
      </w:pPr>
      <w:r>
        <w:rPr>
          <w:b/>
          <w:sz w:val="31"/>
        </w:rPr>
        <w:t>INTRODUCCIÓN</w:t>
      </w:r>
    </w:p>
    <w:p>
      <w:pPr>
        <w:pStyle w:val="BodyText"/>
        <w:spacing w:before="9"/>
        <w:rPr>
          <w:b/>
          <w:sz w:val="39"/>
        </w:rPr>
      </w:pPr>
    </w:p>
    <w:p>
      <w:pPr>
        <w:pStyle w:val="BodyText"/>
        <w:spacing w:line="364" w:lineRule="auto"/>
        <w:ind w:left="101" w:right="105"/>
        <w:jc w:val="both"/>
      </w:pPr>
      <w:r>
        <w:rPr/>
        <w:t>El mundo de los migrantes es un mundo de decisiones difíciles, a veces individuales y    a veces colectivas o familiares, aunque existen condiciones del entorno que son  comunes a todos los que deciden dejar su país de origen y probar suerte en otro. Para un mundo de grandes incertidumbres, de status migratorio incierto, posibilidades de deportación y situación laboral difícil. Pero la emigración es también quizás la única esperanza de conseguir mejores trabajos e ingresos, oportunidades de educación y hasta seguridad</w:t>
      </w:r>
      <w:r>
        <w:rPr>
          <w:spacing w:val="31"/>
        </w:rPr>
        <w:t> </w:t>
      </w:r>
      <w:r>
        <w:rPr/>
        <w:t>personal.</w:t>
      </w:r>
    </w:p>
    <w:p>
      <w:pPr>
        <w:pStyle w:val="BodyText"/>
        <w:spacing w:before="2"/>
        <w:rPr>
          <w:sz w:val="24"/>
        </w:rPr>
      </w:pPr>
    </w:p>
    <w:p>
      <w:pPr>
        <w:pStyle w:val="BodyText"/>
        <w:spacing w:line="364" w:lineRule="auto"/>
        <w:ind w:left="101" w:right="106"/>
        <w:jc w:val="both"/>
      </w:pPr>
      <w:r>
        <w:rPr/>
        <w:t>En general, la emigración puede percibirse simultáneamente como una oportunidad y como un problema:</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6"/>
        <w:jc w:val="both"/>
      </w:pPr>
      <w:r>
        <w:rPr/>
        <w:t>-Es una oportunidad porque el exterior ofrece mejores perspectivas y oportunidades  para el individuo que el país de origen y resulta, por ende, en una ventaja para los emigrantes (lo que algunos llaman "brain gain" o formación de talentos y </w:t>
      </w:r>
      <w:r>
        <w:rPr>
          <w:spacing w:val="30"/>
        </w:rPr>
        <w:t> </w:t>
      </w:r>
      <w:r>
        <w:rPr/>
        <w:t>habilidades).</w:t>
      </w:r>
    </w:p>
    <w:p>
      <w:pPr>
        <w:pStyle w:val="BodyText"/>
        <w:spacing w:before="2"/>
        <w:rPr>
          <w:sz w:val="24"/>
        </w:rPr>
      </w:pPr>
    </w:p>
    <w:p>
      <w:pPr>
        <w:pStyle w:val="BodyText"/>
        <w:spacing w:line="364" w:lineRule="auto"/>
        <w:ind w:left="101" w:right="102"/>
        <w:jc w:val="both"/>
      </w:pPr>
      <w:r>
        <w:rPr/>
        <w:t>-Es un problema porque el país de origen está "perdiendo" algo ("brain drain", fuga de talentos y habilidades, población  emprendedora) y porque, obviamente, la emigración  es una manifestación clara de las limitaciones del país </w:t>
      </w:r>
      <w:r>
        <w:rPr>
          <w:spacing w:val="7"/>
        </w:rPr>
        <w:t> </w:t>
      </w:r>
      <w:r>
        <w:rPr/>
        <w:t>mismo.</w:t>
      </w:r>
    </w:p>
    <w:p>
      <w:pPr>
        <w:pStyle w:val="BodyText"/>
        <w:spacing w:before="2"/>
        <w:rPr>
          <w:sz w:val="24"/>
        </w:rPr>
      </w:pPr>
    </w:p>
    <w:p>
      <w:pPr>
        <w:pStyle w:val="BodyText"/>
        <w:spacing w:line="364" w:lineRule="auto"/>
        <w:ind w:left="101" w:right="105"/>
        <w:jc w:val="both"/>
      </w:pPr>
      <w:r>
        <w:rPr/>
        <w:t>El país de origen siempre está en la mente de los emigrantes y el retorno (voluntario o involuntario), se mantiene vigente como una posibilidad. Sin embargo, parecería que el retorno no es la opción más factible para muchos</w:t>
      </w:r>
      <w:r>
        <w:rPr>
          <w:spacing w:val="62"/>
        </w:rPr>
        <w:t> </w:t>
      </w:r>
      <w:r>
        <w:rPr/>
        <w:t>porque:</w:t>
      </w:r>
    </w:p>
    <w:p>
      <w:pPr>
        <w:pStyle w:val="BodyText"/>
        <w:rPr>
          <w:sz w:val="24"/>
        </w:rPr>
      </w:pPr>
    </w:p>
    <w:p>
      <w:pPr>
        <w:pStyle w:val="BodyText"/>
        <w:ind w:left="166"/>
        <w:jc w:val="both"/>
      </w:pPr>
      <w:r>
        <w:rPr/>
        <w:t>-El país de origen difícilmente podrá ofrecer las mismas oportunidades;  y</w:t>
      </w:r>
    </w:p>
    <w:p>
      <w:pPr>
        <w:pStyle w:val="BodyText"/>
        <w:rPr>
          <w:sz w:val="22"/>
        </w:rPr>
      </w:pPr>
    </w:p>
    <w:p>
      <w:pPr>
        <w:pStyle w:val="BodyText"/>
        <w:spacing w:line="364" w:lineRule="auto" w:before="159"/>
        <w:ind w:left="101" w:right="105"/>
        <w:jc w:val="both"/>
      </w:pPr>
      <w:r>
        <w:rPr/>
        <w:t>-los programas de retorno auspiciados por gobiernos o instituciones internacionales resultan caros y poco atractivos. De hecho, muy pocos países de alta emigración han experimentado retornos significativos  (</w:t>
      </w:r>
      <w:hyperlink r:id="rId281">
        <w:r>
          <w:rPr/>
          <w:t>http://www.conectando.org.sv/Migracion.htm).</w:t>
        </w:r>
      </w:hyperlink>
    </w:p>
    <w:p>
      <w:pPr>
        <w:pStyle w:val="BodyText"/>
        <w:spacing w:before="4"/>
        <w:rPr>
          <w:sz w:val="27"/>
        </w:rPr>
      </w:pPr>
    </w:p>
    <w:p>
      <w:pPr>
        <w:pStyle w:val="BodyText"/>
        <w:spacing w:line="364" w:lineRule="auto"/>
        <w:ind w:left="101" w:right="105"/>
        <w:jc w:val="both"/>
      </w:pPr>
      <w:r>
        <w:rPr/>
        <w:t>El problema de la migración no es un tema nuevo, pues las migraciones masivas sin control se encaran desde la revolución industrial. No obstante, aunque el móvil de los nuevos emigrantes sigue siendo la búsqueda de mejores oportunidades materiales de vida, ya no ingresan a los países con el fin de poblar nuevas tierras y hacerlas producir; en cambio, muchos de ellos se incorporan a empleos mal remunerados, que requieren escasa calificación, y que por lo general se localizan en el medio  urbano.</w:t>
      </w:r>
    </w:p>
    <w:p>
      <w:pPr>
        <w:pStyle w:val="BodyText"/>
        <w:spacing w:before="1"/>
        <w:rPr>
          <w:sz w:val="27"/>
        </w:rPr>
      </w:pPr>
    </w:p>
    <w:p>
      <w:pPr>
        <w:pStyle w:val="BodyText"/>
        <w:spacing w:line="364" w:lineRule="auto" w:before="1"/>
        <w:ind w:left="101" w:right="105"/>
        <w:jc w:val="both"/>
      </w:pPr>
      <w:r>
        <w:rPr/>
        <w:t>Durante el último cuarto de siglo, la migración internacional ha aumentado a un ritmo cuatro veces mayor en relación al crecimiento de la población mundial. Cada año, millones de personas dejan sus pueblos y ciudades en países en desarrollo en busca   de trabajo y un mejor nivel de vida para ellos y su familia. Hoy en día, el número de emigrantes, aproximadamente 193 millones, sería equivalente a la población del quinto país más poblado del mundo (Suarez,</w:t>
      </w:r>
      <w:r>
        <w:rPr>
          <w:spacing w:val="51"/>
        </w:rPr>
        <w:t> </w:t>
      </w:r>
      <w:r>
        <w:rPr/>
        <w:t>2006).</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El fenómeno migratorio tiene dos componentes, uno social, donde el análisis del mercado laboral y la inversión en capital humano son determinantes y el otro componente es el económico, donde el estudio de la posible relación entre mayores grados de desarrollo y el flujo de remesas, es </w:t>
      </w:r>
      <w:r>
        <w:rPr>
          <w:spacing w:val="2"/>
        </w:rPr>
        <w:t> </w:t>
      </w:r>
      <w:r>
        <w:rPr/>
        <w:t>importante.</w:t>
      </w:r>
    </w:p>
    <w:p>
      <w:pPr>
        <w:pStyle w:val="BodyText"/>
        <w:rPr>
          <w:sz w:val="22"/>
        </w:rPr>
      </w:pPr>
    </w:p>
    <w:p>
      <w:pPr>
        <w:pStyle w:val="BodyText"/>
        <w:spacing w:line="364" w:lineRule="auto" w:before="155"/>
        <w:ind w:left="101" w:right="100"/>
        <w:jc w:val="both"/>
      </w:pPr>
      <w:r>
        <w:rPr/>
        <w:t>En México la migración y las remesas son fenómenos de una relevancia cada vez  mayor, tanto por la pérdida de fuerza de trabajo como por los efectos multiplicadores  que generan las remesas en las comunidades de origen. En la década de los noventa del siglo pasado la migración se intensificó, por un lado, debido a la fuerte crisis de la economía mexicana y al rezago del sector agrícola, y por otro, a que la economía estadounidense ha venido teniendo un auge relativamente importante, descontando la leve contracción que ha tenido a principios del nuevo siglo; no obstante, sigue habiendo demanda de trabajo para migrantes mexicanos (De la Rosa, Pérez y Romero, </w:t>
      </w:r>
      <w:r>
        <w:rPr>
          <w:spacing w:val="36"/>
        </w:rPr>
        <w:t> </w:t>
      </w:r>
      <w:r>
        <w:rPr/>
        <w:t>2006).</w:t>
      </w:r>
    </w:p>
    <w:p>
      <w:pPr>
        <w:pStyle w:val="BodyText"/>
        <w:spacing w:before="6"/>
        <w:rPr>
          <w:sz w:val="17"/>
        </w:rPr>
      </w:pPr>
    </w:p>
    <w:p>
      <w:pPr>
        <w:pStyle w:val="BodyText"/>
        <w:spacing w:line="364" w:lineRule="auto"/>
        <w:ind w:left="101" w:right="103"/>
        <w:jc w:val="both"/>
      </w:pPr>
      <w:r>
        <w:rPr/>
        <w:t>El objetivo de la investigación fue analizar las causas y efectos de la migración en sus aspectos sociales y económicos, así como el impacto de las remesas en base a la compilación de varios estudios relacionados a esta  temática.</w:t>
      </w:r>
    </w:p>
    <w:p>
      <w:pPr>
        <w:pStyle w:val="BodyText"/>
        <w:rPr>
          <w:sz w:val="22"/>
        </w:rPr>
      </w:pPr>
    </w:p>
    <w:p>
      <w:pPr>
        <w:pStyle w:val="Heading2"/>
        <w:numPr>
          <w:ilvl w:val="0"/>
          <w:numId w:val="13"/>
        </w:numPr>
        <w:tabs>
          <w:tab w:pos="447" w:val="left" w:leader="none"/>
        </w:tabs>
        <w:spacing w:line="240" w:lineRule="auto" w:before="147" w:after="0"/>
        <w:ind w:left="447" w:right="0" w:hanging="346"/>
        <w:jc w:val="both"/>
      </w:pPr>
      <w:r>
        <w:rPr/>
        <w:t>METODOLOGÍA</w:t>
      </w:r>
    </w:p>
    <w:p>
      <w:pPr>
        <w:pStyle w:val="BodyText"/>
        <w:rPr>
          <w:b/>
          <w:sz w:val="30"/>
        </w:rPr>
      </w:pPr>
    </w:p>
    <w:p>
      <w:pPr>
        <w:pStyle w:val="BodyText"/>
        <w:spacing w:line="364" w:lineRule="auto" w:before="244"/>
        <w:ind w:left="101" w:right="103"/>
        <w:jc w:val="both"/>
      </w:pPr>
      <w:r>
        <w:rPr/>
        <w:t>Se realizó una investigación documental a partir de la información encontrada por diferentes instituciones gubernamentales como: Instituto de Estadística Geografía e Informática (INEGI), Consejo Nacional de Población (CONAPO), Banco de México (BdeM), Secretaria de Economía (SE), Banco Mundial (BM), Comisión Económica para América Latina (CEPAL). Organización para la Cooperación y el Desarrollo Económico (OCDE), entre otras, que ayudará a analizar el contexto en el que se genera migración   y las</w:t>
      </w:r>
      <w:r>
        <w:rPr>
          <w:spacing w:val="14"/>
        </w:rPr>
        <w:t> </w:t>
      </w:r>
      <w:r>
        <w:rPr/>
        <w:t>remesas.</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2"/>
        <w:rPr>
          <w:sz w:val="19"/>
        </w:rPr>
      </w:pPr>
    </w:p>
    <w:p>
      <w:pPr>
        <w:pStyle w:val="Heading2"/>
        <w:numPr>
          <w:ilvl w:val="0"/>
          <w:numId w:val="13"/>
        </w:numPr>
        <w:tabs>
          <w:tab w:pos="539" w:val="left" w:leader="none"/>
        </w:tabs>
        <w:spacing w:line="240" w:lineRule="auto" w:before="61" w:after="0"/>
        <w:ind w:left="538" w:right="0" w:hanging="437"/>
        <w:jc w:val="both"/>
      </w:pPr>
      <w:r>
        <w:rPr/>
        <w:t>ANÁLISIS Y DISCUSIÓN DE</w:t>
      </w:r>
      <w:r>
        <w:rPr>
          <w:spacing w:val="9"/>
        </w:rPr>
        <w:t> </w:t>
      </w:r>
      <w:r>
        <w:rPr/>
        <w:t>RESULTADOS</w:t>
      </w:r>
    </w:p>
    <w:p>
      <w:pPr>
        <w:pStyle w:val="BodyText"/>
        <w:rPr>
          <w:b/>
          <w:sz w:val="30"/>
        </w:rPr>
      </w:pPr>
    </w:p>
    <w:p>
      <w:pPr>
        <w:pStyle w:val="Heading4"/>
        <w:spacing w:before="242"/>
        <w:jc w:val="both"/>
      </w:pPr>
      <w:r>
        <w:rPr/>
        <w:t>Causas de la migración</w:t>
      </w:r>
    </w:p>
    <w:p>
      <w:pPr>
        <w:pStyle w:val="BodyText"/>
        <w:spacing w:line="364" w:lineRule="auto" w:before="141"/>
        <w:ind w:left="101" w:right="103"/>
        <w:jc w:val="both"/>
      </w:pPr>
      <w:r>
        <w:rPr/>
        <w:t>Algunos estudios afirman que contrariamente a lo que convencionalmente se piensa, durante los ciclos de expansión económica en el país de origen, mayoritariamente en países en desarrollo o pobres altamente endeudados, las tasas de emigración  se  elevan hasta que el flujo migratorio alcanza su pico y subsecuentemente disminuye (ver Easterlin, 1961; Tomaske, 1971; Baines, 1991). Esto, según los autores, ocurre porque  a medida que el proceso de industrialización tiene lugar en el país de origen se eleva el salario real y las restricciones en la oferta migratoria se relajan, a ese ritmo, mayor número de potenciales emigrantes podrían financiar el costo de migrar, entonces, el salario del país de origen y el flujo migratorio están positivamente correlacionados, al menos en el corto</w:t>
      </w:r>
      <w:r>
        <w:rPr>
          <w:spacing w:val="28"/>
        </w:rPr>
        <w:t> </w:t>
      </w:r>
      <w:r>
        <w:rPr/>
        <w:t>plazo.</w:t>
      </w:r>
    </w:p>
    <w:p>
      <w:pPr>
        <w:pStyle w:val="BodyText"/>
        <w:rPr>
          <w:sz w:val="22"/>
        </w:rPr>
      </w:pPr>
    </w:p>
    <w:p>
      <w:pPr>
        <w:pStyle w:val="BodyText"/>
        <w:spacing w:line="364" w:lineRule="auto" w:before="155"/>
        <w:ind w:left="101" w:right="104"/>
        <w:jc w:val="both"/>
      </w:pPr>
      <w:r>
        <w:rPr/>
        <w:t>Son diversos los factores que contribuyen a que cuantiosos contingentes de población abandonen sus países de origen. Por una parte, existen factores estructurales que dan lugar a crisis sociopolíticas (guerra, violencia, persecución) y económicas (desempleo, subempleo, bajos salarios); mismas que se complementan con la oferta de trabajo y mejores ingresos en los países de mayor desarrollo. A lo anterior, se  suman  los  vínculos sociales que establecen los emigrantes a través de redes de amistad y familiares que permiten disminuir los obstáculos de la migración potenciando mayores desplazamientos.</w:t>
      </w:r>
    </w:p>
    <w:p>
      <w:pPr>
        <w:pStyle w:val="BodyText"/>
        <w:rPr>
          <w:sz w:val="22"/>
        </w:rPr>
      </w:pPr>
    </w:p>
    <w:p>
      <w:pPr>
        <w:pStyle w:val="Heading4"/>
        <w:spacing w:before="153"/>
        <w:jc w:val="both"/>
      </w:pPr>
      <w:r>
        <w:rPr/>
        <w:t>Efectos de la migración</w:t>
      </w:r>
    </w:p>
    <w:p>
      <w:pPr>
        <w:pStyle w:val="BodyText"/>
        <w:rPr>
          <w:b/>
          <w:sz w:val="22"/>
        </w:rPr>
      </w:pPr>
    </w:p>
    <w:p>
      <w:pPr>
        <w:pStyle w:val="BodyText"/>
        <w:spacing w:before="3"/>
        <w:rPr>
          <w:b/>
          <w:sz w:val="25"/>
        </w:rPr>
      </w:pPr>
    </w:p>
    <w:p>
      <w:pPr>
        <w:pStyle w:val="BodyText"/>
        <w:spacing w:line="364" w:lineRule="auto" w:before="1"/>
        <w:ind w:left="101" w:right="103"/>
        <w:jc w:val="both"/>
      </w:pPr>
      <w:r>
        <w:rPr/>
        <w:t>En relación a los efectos de la migración, uno de los impactos económicos más directos lo constituyen las transferencias de remesas que los trabajadores emigrantes realizan a sus familias en sus comunidades de origen. Dichas transferencias han crecido en paralelo con el aumento de los flujos migratorios, el creciente intercambio de bienes y servicios y la más libre circulación de capitales. Ante el notable crecimiento de las remesas, ha surgido una línea de  debate en torno al papel de las mismas  </w:t>
      </w:r>
      <w:r>
        <w:rPr>
          <w:spacing w:val="55"/>
        </w:rPr>
        <w:t> </w:t>
      </w:r>
      <w:r>
        <w:rPr/>
        <w:t>como fuente</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importante del desarrollo económico a nivel local y regional. Los  estudios realizados para entender el potencial de las remesas en el desarrollo económico, evidencian que éstas representan principalmente un complemento salarial, utilizadas para la reproducción cotidiana de la familia y la comunidad (ONU, 2002). Así pues, la inversión de remesas en actividades directamente productivas ha sido marginal; en todo caso, se invierten en pequeños negocios familiares en los sectores de comercio y sólo una muy pequeña parte se destina a la inversión</w:t>
      </w:r>
      <w:r>
        <w:rPr>
          <w:spacing w:val="59"/>
        </w:rPr>
        <w:t> </w:t>
      </w:r>
      <w:r>
        <w:rPr/>
        <w:t>productiva.</w:t>
      </w:r>
    </w:p>
    <w:p>
      <w:pPr>
        <w:pStyle w:val="BodyText"/>
        <w:rPr>
          <w:sz w:val="22"/>
        </w:rPr>
      </w:pPr>
    </w:p>
    <w:p>
      <w:pPr>
        <w:pStyle w:val="BodyText"/>
        <w:spacing w:line="364" w:lineRule="auto" w:before="155"/>
        <w:ind w:left="101" w:right="104"/>
        <w:jc w:val="both"/>
      </w:pPr>
      <w:r>
        <w:rPr/>
        <w:t>Si se desea que estos importantes flujos provenientes de las remesas influyan más directamente en el desarrollo económico, se requerirían políticas y programas mejor fundamentados, que tomen en cuenta el perfil de los emigrantes y sus intereses, objetivos, aptitudes, deseos, experiencias y posibilidades (Fernández </w:t>
      </w:r>
      <w:r>
        <w:rPr>
          <w:i/>
        </w:rPr>
        <w:t>et al</w:t>
      </w:r>
      <w:r>
        <w:rPr/>
        <w:t>.,  2005).</w:t>
      </w:r>
    </w:p>
    <w:p>
      <w:pPr>
        <w:pStyle w:val="BodyText"/>
        <w:rPr>
          <w:sz w:val="22"/>
        </w:rPr>
      </w:pPr>
    </w:p>
    <w:p>
      <w:pPr>
        <w:pStyle w:val="BodyText"/>
        <w:spacing w:line="364" w:lineRule="auto" w:before="157"/>
        <w:ind w:left="101" w:right="104"/>
        <w:jc w:val="both"/>
      </w:pPr>
      <w:r>
        <w:rPr/>
        <w:t>En relación a los efectos sociales, uno de los impactos más comunes dentro  del  proceso migratorio es la desintegración y las tensiones familiares. En cuanto a los impactos de la migración en las sociedades receptoras, se observa que el incremento masivo de los flujos migratorios las ha transformado en sociedades multiculturales, con gran diversidad de etnias. El crecimiento de la población inmigrante, en algunas localidades superando a la nativa, ha generado en ésta temor por la pérdida de homogeneidad y cohesión social. Por otro lado, la migración en Latinoamérica se distingue por el creciente número de mujeres emigrantes. Para las mujeres la vulnerabilidad se incrementa por los factores de riesgo a que se ven sometidas durante el trayecto y su incorporación en el mercado</w:t>
      </w:r>
      <w:r>
        <w:rPr>
          <w:spacing w:val="57"/>
        </w:rPr>
        <w:t> </w:t>
      </w:r>
      <w:r>
        <w:rPr/>
        <w:t>laboral.</w:t>
      </w:r>
    </w:p>
    <w:p>
      <w:pPr>
        <w:pStyle w:val="BodyText"/>
        <w:rPr>
          <w:sz w:val="22"/>
        </w:rPr>
      </w:pPr>
    </w:p>
    <w:p>
      <w:pPr>
        <w:pStyle w:val="BodyText"/>
        <w:spacing w:line="364" w:lineRule="auto" w:before="155"/>
        <w:ind w:left="101" w:right="105"/>
        <w:jc w:val="both"/>
      </w:pPr>
      <w:r>
        <w:rPr/>
        <w:t>La composición de la migración por sexo guarda estrecha relación con el grado de complementariedad entre los mercados de trabajo de los países, la demanda laboral en el sector servicios, los efectos de las redes y las modalidades de  la  reunificación familiar. La mayor parte de los análisis globales y regionales sobre la migración internacional se basan en la estimación de uno de los indicadores más accesibles a través de censos y encuestas: el llamado “stock” de emigrantes  internacionales,  es decir, el número de personas que residen dentro de un país distinto al de su lugar de</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nacimiento. Actualmente, a nivel mundial, y en base a la información de las Naciones Unidas, hasta el año 2005 más de 191 millones de personas vivían en algún país diferente al que nacieron. Se dice que esta cantidad de emigrantes podrían formar el quinto país más poblado del mundo, detrás de China, India, Estados Unidos  e  Indonesia.</w:t>
      </w:r>
    </w:p>
    <w:p>
      <w:pPr>
        <w:pStyle w:val="BodyText"/>
        <w:rPr>
          <w:sz w:val="22"/>
        </w:rPr>
      </w:pPr>
    </w:p>
    <w:p>
      <w:pPr>
        <w:pStyle w:val="BodyText"/>
        <w:spacing w:line="364" w:lineRule="auto" w:before="155"/>
        <w:ind w:left="101" w:right="103"/>
        <w:jc w:val="both"/>
      </w:pPr>
      <w:r>
        <w:rPr/>
        <w:t>En Europa existían alrededor de 65 millones de emigrantes en 2005, cifra que aumentó en 33% en relación a 1990, en Asia existían 53 millones de emigrantes, 8 millones más de lo que existía en América del Norte (USA y Canadá), donde vivían más de 45  millones de emigrantes, alrededor de 61% más que en 1990. Por su parte en Oceanía, ALC y África el flujo migratorio durante los últimos 16 años no ha cambiado. A partir de 2005, Europa alberga a más del 34% de la población emigrante en el mundo, mientras que en Asia y América del Norte la participación fue de 28% y 23%, respectivamente.   De acuerdo con el reporte de las Naciones Unidas acerca del Monitoreo  de  la  Población Mundial sobre Migración Internacional y Desarrollo (2006), dadas las bajas tasas de fertilidad en muchos de los países desarrollados, la migración neta se ha convertido en la mayor fuerza detrás del crecimiento de la población, representado tres cuartas partes durante el periodo 2000-2005. Si la tendencia continúa, entre los años 2010 y 2030, la migración neta representará virtualmente todo el crecimiento de la población en el mundo</w:t>
      </w:r>
      <w:r>
        <w:rPr>
          <w:spacing w:val="38"/>
        </w:rPr>
        <w:t> </w:t>
      </w:r>
      <w:r>
        <w:rPr/>
        <w:t>desarrollado.</w:t>
      </w:r>
    </w:p>
    <w:p>
      <w:pPr>
        <w:pStyle w:val="BodyText"/>
        <w:rPr>
          <w:sz w:val="22"/>
        </w:rPr>
      </w:pPr>
    </w:p>
    <w:p>
      <w:pPr>
        <w:pStyle w:val="BodyText"/>
        <w:spacing w:line="364" w:lineRule="auto" w:before="155"/>
        <w:ind w:left="101" w:right="103"/>
        <w:jc w:val="both"/>
      </w:pPr>
      <w:r>
        <w:rPr/>
        <w:t>La CEPAL (2006) estima una cifra cercana a los 25 millones de  emigrantes  procedentes de América Latina y el Caribe (ALC), en 2005 una proporción superior  a 13% del total de los emigrantes internacionales. Estados Unidos es  el  destino  preferente de la mayoría de los emigrantes de la región, y a la fecha alberga a 18 millones, más de la mitad del total de personas que ha emigrado a ese país, de los restantes 7 millones, 4 han emigrado a Europa y 3 a países diferentes al suyo dentro    de la región. Estas cifras acusan una considerable presencia de latinoamericanos y caribeños fuera de sus países de origen, a pesar de que en términos relativos sus repercusiones sobre las respectivas poblaciones nacionales son variadas: en muchas naciones</w:t>
      </w:r>
      <w:r>
        <w:rPr>
          <w:spacing w:val="46"/>
        </w:rPr>
        <w:t> </w:t>
      </w:r>
      <w:r>
        <w:rPr/>
        <w:t>caribeñas</w:t>
      </w:r>
      <w:r>
        <w:rPr>
          <w:spacing w:val="46"/>
        </w:rPr>
        <w:t> </w:t>
      </w:r>
      <w:r>
        <w:rPr/>
        <w:t>más</w:t>
      </w:r>
      <w:r>
        <w:rPr>
          <w:spacing w:val="46"/>
        </w:rPr>
        <w:t> </w:t>
      </w:r>
      <w:r>
        <w:rPr/>
        <w:t>de</w:t>
      </w:r>
      <w:r>
        <w:rPr>
          <w:spacing w:val="45"/>
        </w:rPr>
        <w:t> </w:t>
      </w:r>
      <w:r>
        <w:rPr/>
        <w:t>un</w:t>
      </w:r>
      <w:r>
        <w:rPr>
          <w:spacing w:val="47"/>
        </w:rPr>
        <w:t> </w:t>
      </w:r>
      <w:r>
        <w:rPr/>
        <w:t>20%</w:t>
      </w:r>
      <w:r>
        <w:rPr>
          <w:spacing w:val="46"/>
        </w:rPr>
        <w:t> </w:t>
      </w:r>
      <w:r>
        <w:rPr/>
        <w:t>de</w:t>
      </w:r>
      <w:r>
        <w:rPr>
          <w:spacing w:val="45"/>
        </w:rPr>
        <w:t> </w:t>
      </w:r>
      <w:r>
        <w:rPr/>
        <w:t>la</w:t>
      </w:r>
      <w:r>
        <w:rPr>
          <w:spacing w:val="45"/>
        </w:rPr>
        <w:t> </w:t>
      </w:r>
      <w:r>
        <w:rPr/>
        <w:t>población</w:t>
      </w:r>
      <w:r>
        <w:rPr>
          <w:spacing w:val="45"/>
        </w:rPr>
        <w:t> </w:t>
      </w:r>
      <w:r>
        <w:rPr/>
        <w:t>se</w:t>
      </w:r>
      <w:r>
        <w:rPr>
          <w:spacing w:val="46"/>
        </w:rPr>
        <w:t> </w:t>
      </w:r>
      <w:r>
        <w:rPr/>
        <w:t>encuentra</w:t>
      </w:r>
      <w:r>
        <w:rPr>
          <w:spacing w:val="45"/>
        </w:rPr>
        <w:t> </w:t>
      </w:r>
      <w:r>
        <w:rPr/>
        <w:t>en</w:t>
      </w:r>
      <w:r>
        <w:rPr>
          <w:spacing w:val="45"/>
        </w:rPr>
        <w:t> </w:t>
      </w:r>
      <w:r>
        <w:rPr/>
        <w:t>el</w:t>
      </w:r>
      <w:r>
        <w:rPr>
          <w:spacing w:val="48"/>
        </w:rPr>
        <w:t> </w:t>
      </w:r>
      <w:r>
        <w:rPr/>
        <w:t>exterior,</w:t>
      </w:r>
      <w:r>
        <w:rPr>
          <w:spacing w:val="47"/>
        </w:rPr>
        <w:t> </w:t>
      </w:r>
      <w:r>
        <w:rPr/>
        <w:t>en</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tanto que en América Latina los porcentajes más altos (entre 8% y 15%) corresponden   a Cuba, El Salvador, México, Nicaragua, República Dominicana y </w:t>
      </w:r>
      <w:r>
        <w:rPr>
          <w:spacing w:val="21"/>
        </w:rPr>
        <w:t> </w:t>
      </w:r>
      <w:r>
        <w:rPr/>
        <w:t>Uruguay.</w:t>
      </w:r>
    </w:p>
    <w:p>
      <w:pPr>
        <w:pStyle w:val="BodyText"/>
        <w:rPr>
          <w:sz w:val="22"/>
        </w:rPr>
      </w:pPr>
    </w:p>
    <w:p>
      <w:pPr>
        <w:pStyle w:val="BodyText"/>
        <w:spacing w:before="4"/>
        <w:rPr>
          <w:sz w:val="30"/>
        </w:rPr>
      </w:pPr>
    </w:p>
    <w:p>
      <w:pPr>
        <w:pStyle w:val="Heading4"/>
        <w:jc w:val="both"/>
      </w:pPr>
      <w:r>
        <w:rPr/>
        <w:t>Efecto Económico de la migración en los países  receptores</w:t>
      </w:r>
    </w:p>
    <w:p>
      <w:pPr>
        <w:pStyle w:val="BodyText"/>
        <w:rPr>
          <w:b/>
          <w:sz w:val="22"/>
        </w:rPr>
      </w:pPr>
    </w:p>
    <w:p>
      <w:pPr>
        <w:pStyle w:val="BodyText"/>
        <w:spacing w:before="10"/>
        <w:rPr>
          <w:b/>
          <w:sz w:val="24"/>
        </w:rPr>
      </w:pPr>
    </w:p>
    <w:p>
      <w:pPr>
        <w:spacing w:before="0"/>
        <w:ind w:left="101" w:right="0" w:firstLine="0"/>
        <w:jc w:val="both"/>
        <w:rPr>
          <w:b/>
          <w:sz w:val="23"/>
        </w:rPr>
      </w:pPr>
      <w:r>
        <w:rPr>
          <w:b/>
          <w:sz w:val="23"/>
        </w:rPr>
        <w:t>Empleo y salarios</w:t>
      </w:r>
    </w:p>
    <w:p>
      <w:pPr>
        <w:pStyle w:val="BodyText"/>
        <w:spacing w:line="364" w:lineRule="auto" w:before="141"/>
        <w:ind w:left="101" w:right="105"/>
        <w:jc w:val="both"/>
      </w:pPr>
      <w:r>
        <w:rPr/>
        <w:t>La migración afecta negativamente a las tasas de empleo y las remuneraciones en los países receptores. La lógica de este argumento es la siguiente: al inmigrar a un país los trabajadores migratorios entran en directa competencia por las plazas  de  trabajo con  los trabajadores locales. Como los trabajadores migratorios están muchas veces dispuestos a aceptar condiciones de trabajo inferiores, vale decir, salarios más bajos, imposibilidad de afiliación a la seguridad social y sindicalización, los empleadores los prefieren porque de este modo pueden reducir sus costos de operación y así  incrementar los márgenes de ganancia. En términos prácticos esto redunda en que los trabajadores migratorios desplazan a los trabajadores del país receptor y de esta  manera aumentan el desempleo, inciden negativamente en el nivel de salarios del mercado, o bien provocan simultáneamente desempleo y bajan el nivel de las remuneraciones en el mercado del país receptor. Según esta visión, la migración es especialmente perniciosa durante ciclos recesivos o de desaceleramiento económico (CIDH,</w:t>
      </w:r>
      <w:r>
        <w:rPr>
          <w:spacing w:val="14"/>
        </w:rPr>
        <w:t> </w:t>
      </w:r>
      <w:r>
        <w:rPr/>
        <w:t>2005).</w:t>
      </w:r>
    </w:p>
    <w:p>
      <w:pPr>
        <w:pStyle w:val="BodyText"/>
        <w:spacing w:line="364" w:lineRule="auto" w:before="197"/>
        <w:ind w:left="101" w:right="103"/>
        <w:jc w:val="both"/>
      </w:pPr>
      <w:r>
        <w:rPr/>
        <w:t>Investigadores en diversos países han estudiado el problema para confirmar la validez del argumento. </w:t>
      </w:r>
      <w:r>
        <w:rPr>
          <w:spacing w:val="2"/>
        </w:rPr>
        <w:t>En </w:t>
      </w:r>
      <w:r>
        <w:rPr/>
        <w:t>este sentido, la mayoría de los estudios concluyen que, en términos macroeconómicos, el impacto de la migración sobre el empleo y la remuneración en el mercado de trabajo es más bien exiguo. Tras revisar más de una docena de estudios que abordan el tema realizados en Europa, Estados Unidos, Canadá y Australia, la OECD concluye que, a nivel macroeconómico, la llegada de trabajadores migratorios tiene efectos leves, ya sea negativos o positivos, sobre el nivel de empleo y remuneración de los trabajadores locales (Tapinos, </w:t>
      </w:r>
      <w:r>
        <w:rPr>
          <w:spacing w:val="3"/>
        </w:rPr>
        <w:t> </w:t>
      </w:r>
      <w:r>
        <w:rPr/>
        <w:t>1993:161).</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4" w:firstLine="64"/>
        <w:jc w:val="both"/>
      </w:pPr>
      <w:r>
        <w:rPr/>
        <w:t>Otro estudio de la OECD que trató de medir si la influencia de la migración afectaba de manera negativa la tasa de desempleo durante ciclos recesivos llegó a conclusiones similares. Para comprobar la relación entre la llegada de trabajadores migratorios y el empleo durante ciclos recesivos, los investigadores compararon  el impacto migratorio  en dos períodos económicos (uno recesivo y otro de crecimiento) en varios países pertenecientes a la OECD (Los países seleccionados fueron: Estados Unidos, Luxemburgo, Noruega, Suiza, Francia, el Reino Unido y Japón). De este modo, intentaban establecer si las tasas migratorias aumentaban el nivel de desempleo. El estudio, sin embargo, no encontró evidencia que indicara que la migración aumenta las tasas de empleo durante ciclos recesivos (SOPEMI,</w:t>
      </w:r>
      <w:r>
        <w:rPr>
          <w:spacing w:val="62"/>
        </w:rPr>
        <w:t> </w:t>
      </w:r>
      <w:r>
        <w:rPr/>
        <w:t>1997).</w:t>
      </w:r>
    </w:p>
    <w:p>
      <w:pPr>
        <w:pStyle w:val="BodyText"/>
        <w:rPr>
          <w:sz w:val="22"/>
        </w:rPr>
      </w:pPr>
    </w:p>
    <w:p>
      <w:pPr>
        <w:pStyle w:val="BodyText"/>
        <w:spacing w:line="364" w:lineRule="auto" w:before="155"/>
        <w:ind w:left="101" w:right="104"/>
        <w:jc w:val="both"/>
      </w:pPr>
      <w:r>
        <w:rPr/>
        <w:t>Aunque existe evidencia de que en términos macroeconómicos el impacto de la inmigración en el mercado de trabajo y en las tasas de remuneración del país receptor es leve, muchos autores reconocen que la inmigración puede repercutir negativamente en el nivel de salarios y en las tasas de empleo en ciertos sectores o industrias específicas. De hecho, varios autores puntualizan que son los propios inmigrantes las principales víctimas de la llegada de nuevas personas, ya que muchas veces entran en directa competencia entre ellos, lo que lleva a que algunos pierdan sus puestos de trabajo (Stalker,</w:t>
      </w:r>
      <w:r>
        <w:rPr>
          <w:spacing w:val="24"/>
        </w:rPr>
        <w:t> </w:t>
      </w:r>
      <w:r>
        <w:rPr/>
        <w:t>2001).</w:t>
      </w:r>
    </w:p>
    <w:p>
      <w:pPr>
        <w:pStyle w:val="BodyText"/>
        <w:spacing w:before="4"/>
        <w:rPr>
          <w:sz w:val="17"/>
        </w:rPr>
      </w:pPr>
    </w:p>
    <w:p>
      <w:pPr>
        <w:pStyle w:val="BodyText"/>
        <w:spacing w:line="364" w:lineRule="auto"/>
        <w:ind w:left="101" w:right="102" w:firstLine="64"/>
        <w:jc w:val="both"/>
      </w:pPr>
      <w:r>
        <w:rPr/>
        <w:t>Más importante que enunciar lo que establecen los estudios es vital explicar por qué la presencia de trabajadores migratorios no influye de manera determinante en el nivel de salarios y en las tasas de desempleo a nivel macroeconómico. Para ello es necesario abordar varios puntos.</w:t>
      </w:r>
    </w:p>
    <w:p>
      <w:pPr>
        <w:pStyle w:val="BodyText"/>
        <w:spacing w:before="4"/>
        <w:rPr>
          <w:sz w:val="17"/>
        </w:rPr>
      </w:pPr>
    </w:p>
    <w:p>
      <w:pPr>
        <w:pStyle w:val="BodyText"/>
        <w:spacing w:line="364" w:lineRule="auto"/>
        <w:ind w:left="101" w:right="105"/>
        <w:jc w:val="both"/>
      </w:pPr>
      <w:r>
        <w:rPr/>
        <w:t>Primero, las tasas de desempleo y el nivel de salarios están más bien relacionados con ciclos económicos y con la estructura de la economía, y no con el número de personas   o la densidad poblacional. En otras palabras, más que el número de personas, la estructura económica y las capacidades de los trabajadores migratorios y los locales realmente determinan si el mercado podrá absorber de forma eficaz la mano de obra foránea sin deprimir las tasas de empleo y remuneración (Stalker, 2001; Sassen, </w:t>
      </w:r>
      <w:r>
        <w:rPr>
          <w:spacing w:val="35"/>
        </w:rPr>
        <w:t> </w:t>
      </w:r>
      <w:r>
        <w:rPr/>
        <w:t>1998).</w:t>
      </w:r>
    </w:p>
    <w:p>
      <w:pPr>
        <w:spacing w:after="0" w:line="364" w:lineRule="auto"/>
        <w:jc w:val="both"/>
        <w:sectPr>
          <w:footerReference w:type="default" r:id="rId282"/>
          <w:pgSz w:w="11900" w:h="16840"/>
          <w:pgMar w:footer="1679" w:header="0" w:top="1600" w:bottom="1860" w:left="1300" w:right="1280"/>
          <w:pgNumType w:start="200"/>
        </w:sectPr>
      </w:pPr>
    </w:p>
    <w:p>
      <w:pPr>
        <w:pStyle w:val="BodyText"/>
        <w:rPr>
          <w:sz w:val="20"/>
        </w:rPr>
      </w:pPr>
    </w:p>
    <w:p>
      <w:pPr>
        <w:pStyle w:val="BodyText"/>
        <w:spacing w:before="8"/>
        <w:rPr>
          <w:sz w:val="18"/>
        </w:rPr>
      </w:pPr>
    </w:p>
    <w:p>
      <w:pPr>
        <w:pStyle w:val="BodyText"/>
        <w:spacing w:line="364" w:lineRule="auto" w:before="74"/>
        <w:ind w:left="101" w:right="103"/>
        <w:jc w:val="both"/>
      </w:pPr>
      <w:r>
        <w:rPr/>
        <w:t>Segundo, los argumentos  que indican que la inmigración repercute de forma negativa  en las tasas de empleo y salarios parten de la falacia que trabajadores nacionales y extranjeros son sustituibles (es decir, que un extranjero realiza la misma labor que un nacional) y no complementarios (es decir, que un extranjero ocupe plazas que no son llenadas por locales). Los investigadores enfatizan que esto no es  siempre el  caso y que en general los trabajadores migratorios complementan y no sustituyen a los trabajadores locales. En este sentido, es vital recordar que en la mayoría de los países receptores, los nacionales simplemente no están dispuestos a hacer ciertos tipos de trabajos en razón de su peligrosidad y el tipo de tarea (por ejemplo labores físicamente extenuantes  como la construcción  y la recolección de productos agrícolas). Por ende,  es bastante común que los trabajadores migratorios ocupan plazas que no son llenadas por la fuerza laboral</w:t>
      </w:r>
      <w:r>
        <w:rPr>
          <w:spacing w:val="29"/>
        </w:rPr>
        <w:t> </w:t>
      </w:r>
      <w:r>
        <w:rPr/>
        <w:t>local.</w:t>
      </w:r>
    </w:p>
    <w:p>
      <w:pPr>
        <w:pStyle w:val="BodyText"/>
        <w:spacing w:before="4"/>
        <w:rPr>
          <w:sz w:val="17"/>
        </w:rPr>
      </w:pPr>
    </w:p>
    <w:p>
      <w:pPr>
        <w:pStyle w:val="BodyText"/>
        <w:spacing w:line="364" w:lineRule="auto"/>
        <w:ind w:left="101" w:right="105"/>
        <w:jc w:val="both"/>
      </w:pPr>
      <w:r>
        <w:rPr/>
        <w:t>A este respecto, Castles y Miller indican que, en general, la inmigración tiene efectos bastante dispares sobre distintos grupos o estratos sociales insertos en el mercado laboral. Esto tiene que ver, indican, con la segmentación del mercado laboral y con la característica dual de los flujos migratorios. En general, los trabajadores migratorios llegan o bien con un alto nivel de instrucción, y por lo tanto, ocupan plazas de trabajo    en el estrato más alto del mercado de trabajo (tales como médicos, abogados, altos ejecutivos, funcionarios de organismos internacionales e investigadores) o, por el contrario, arriban con un nivel de instrucción más bien limitado y por tanto aspiran a ocupar las plazas de trabajo del nivel más bajo del mercado (en ciertos servicios que    no requieren mano de obra calificada o bien construcción y </w:t>
      </w:r>
      <w:r>
        <w:rPr>
          <w:spacing w:val="14"/>
        </w:rPr>
        <w:t> </w:t>
      </w:r>
      <w:r>
        <w:rPr/>
        <w:t>agricultura).</w:t>
      </w:r>
    </w:p>
    <w:p>
      <w:pPr>
        <w:pStyle w:val="BodyText"/>
        <w:rPr>
          <w:sz w:val="22"/>
        </w:rPr>
      </w:pPr>
    </w:p>
    <w:p>
      <w:pPr>
        <w:pStyle w:val="BodyText"/>
        <w:spacing w:line="364" w:lineRule="auto" w:before="153"/>
        <w:ind w:left="101" w:right="104"/>
        <w:jc w:val="both"/>
      </w:pPr>
      <w:r>
        <w:rPr/>
        <w:t>Castles y Miller  (1998:166) indican que los inmigrantes con instrucción por lo general   no tienen dificultad en encontrar trabajo porque tienden a tener habilidades complementarias con la fuerza laboral nativa y por ello no compiten por las mismas plazas de trabajo. Los trabajadores migratorios sin instrucción, por el contrario, explican estos autores, tienden por lo general  a competir por puestos con trabajadores locales  de menor calificación que trabajan en el sector primario, servicios y en la industria de maquilas. Dado que estas personas compiten, en muchas ocasiones los trabajadores migratorios</w:t>
      </w:r>
      <w:r>
        <w:rPr>
          <w:spacing w:val="28"/>
        </w:rPr>
        <w:t> </w:t>
      </w:r>
      <w:r>
        <w:rPr/>
        <w:t>pueden</w:t>
      </w:r>
      <w:r>
        <w:rPr>
          <w:spacing w:val="26"/>
        </w:rPr>
        <w:t> </w:t>
      </w:r>
      <w:r>
        <w:rPr/>
        <w:t>quitarle</w:t>
      </w:r>
      <w:r>
        <w:rPr>
          <w:spacing w:val="22"/>
        </w:rPr>
        <w:t> </w:t>
      </w:r>
      <w:r>
        <w:rPr/>
        <w:t>puestos</w:t>
      </w:r>
      <w:r>
        <w:rPr>
          <w:spacing w:val="31"/>
        </w:rPr>
        <w:t> </w:t>
      </w:r>
      <w:r>
        <w:rPr/>
        <w:t>de</w:t>
      </w:r>
      <w:r>
        <w:rPr>
          <w:spacing w:val="24"/>
        </w:rPr>
        <w:t> </w:t>
      </w:r>
      <w:r>
        <w:rPr/>
        <w:t>trabajo</w:t>
      </w:r>
      <w:r>
        <w:rPr>
          <w:spacing w:val="24"/>
        </w:rPr>
        <w:t> </w:t>
      </w:r>
      <w:r>
        <w:rPr/>
        <w:t>a</w:t>
      </w:r>
      <w:r>
        <w:rPr>
          <w:spacing w:val="24"/>
        </w:rPr>
        <w:t> </w:t>
      </w:r>
      <w:r>
        <w:rPr/>
        <w:t>la</w:t>
      </w:r>
      <w:r>
        <w:rPr>
          <w:spacing w:val="26"/>
        </w:rPr>
        <w:t> </w:t>
      </w:r>
      <w:r>
        <w:rPr/>
        <w:t>población</w:t>
      </w:r>
      <w:r>
        <w:rPr>
          <w:spacing w:val="22"/>
        </w:rPr>
        <w:t> </w:t>
      </w:r>
      <w:r>
        <w:rPr/>
        <w:t>local.</w:t>
      </w:r>
      <w:r>
        <w:rPr>
          <w:spacing w:val="24"/>
        </w:rPr>
        <w:t> </w:t>
      </w:r>
      <w:r>
        <w:rPr/>
        <w:t>En</w:t>
      </w:r>
      <w:r>
        <w:rPr>
          <w:spacing w:val="26"/>
        </w:rPr>
        <w:t> </w:t>
      </w:r>
      <w:r>
        <w:rPr/>
        <w:t>otras</w:t>
      </w:r>
      <w:r>
        <w:rPr>
          <w:spacing w:val="28"/>
        </w:rPr>
        <w:t> </w:t>
      </w:r>
      <w:r>
        <w:rPr/>
        <w:t>palabras,</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los trabajadores locales con poca calificación son los sectores más afectados en términos de remuneración y trabajo por la llegada de </w:t>
      </w:r>
      <w:r>
        <w:rPr>
          <w:spacing w:val="8"/>
        </w:rPr>
        <w:t> </w:t>
      </w:r>
      <w:r>
        <w:rPr/>
        <w:t>inmigrantes.</w:t>
      </w:r>
    </w:p>
    <w:p>
      <w:pPr>
        <w:pStyle w:val="BodyText"/>
        <w:rPr>
          <w:sz w:val="22"/>
        </w:rPr>
      </w:pPr>
    </w:p>
    <w:p>
      <w:pPr>
        <w:pStyle w:val="BodyText"/>
        <w:spacing w:line="364" w:lineRule="auto" w:before="155"/>
        <w:ind w:left="101" w:right="105"/>
        <w:jc w:val="both"/>
      </w:pPr>
      <w:r>
        <w:rPr/>
        <w:t>En relación con el índice de desempleo, al menos en países desarrollados,  las  personas sin trabajo muchas veces prefieren cobrar el seguro de desempleo  o  continuar buscando empleo hasta encontrar una plaza que les acomode antes que aceptar ciertos trabajos considerados poco atractivos o muy pesados. Por lo tanto, la presencia de trabajadores migratorios dispuestos a tomar plazas de trabajo que los locales no desean no repercute negativamente en la situación de empleo local. Asimismo, como se indicó arriba, trabajadores extranjeros pueden traer ciertos talentos (conocimiento  de  idiomas,  experiencia,  formación)  o  contar  con  una</w:t>
      </w:r>
      <w:r>
        <w:rPr>
          <w:spacing w:val="29"/>
        </w:rPr>
        <w:t> </w:t>
      </w:r>
      <w:r>
        <w:rPr/>
        <w:t>especialización</w:t>
      </w:r>
    </w:p>
    <w:p>
      <w:pPr>
        <w:pStyle w:val="BodyText"/>
        <w:spacing w:line="350" w:lineRule="auto" w:before="2"/>
        <w:ind w:left="101" w:right="105"/>
        <w:jc w:val="both"/>
      </w:pPr>
      <w:r>
        <w:rPr/>
        <w:t>que es escasa y muy apreciada por la economía local como hoy en día son los conocimientos en programación y en tecnología de la información (Castles y Miller</w:t>
      </w:r>
      <w:r>
        <w:rPr>
          <w:position w:val="11"/>
          <w:sz w:val="15"/>
        </w:rPr>
        <w:t>, </w:t>
      </w:r>
      <w:r>
        <w:rPr/>
        <w:t>1998:166-7; Stalker, 2001:66).</w:t>
      </w:r>
    </w:p>
    <w:p>
      <w:pPr>
        <w:pStyle w:val="BodyText"/>
        <w:rPr>
          <w:sz w:val="22"/>
        </w:rPr>
      </w:pPr>
    </w:p>
    <w:p>
      <w:pPr>
        <w:pStyle w:val="BodyText"/>
        <w:spacing w:line="364" w:lineRule="auto" w:before="170"/>
        <w:ind w:left="101" w:right="105"/>
        <w:jc w:val="both"/>
      </w:pPr>
      <w:r>
        <w:rPr/>
        <w:t>Tercero, los inmigrantes no sólo quitan puestos de trabajo sino también los crean. Por  un lado, la presencia de estas  personas incrementa el nivel de consumo agregado   tanto de bienes como servicios y, por ende, genera fuentes de trabajo. En este sentido, alrededor de las comunidades de migrantes se crea una vasta red de servicios que emplea tanto a nacionales como a extranjeros. Por otro lado, los trabajadores  migratorios tienden a caracterizarse por un espíritu emprendedor,  muchas  veces  forman sus propios negocios y empresas que generan fuentes de empleo (Simon, 1994:230-33).</w:t>
      </w:r>
    </w:p>
    <w:p>
      <w:pPr>
        <w:pStyle w:val="BodyText"/>
        <w:spacing w:before="4"/>
        <w:rPr>
          <w:sz w:val="17"/>
        </w:rPr>
      </w:pPr>
    </w:p>
    <w:p>
      <w:pPr>
        <w:pStyle w:val="BodyText"/>
        <w:spacing w:line="364" w:lineRule="auto"/>
        <w:ind w:left="101" w:right="105"/>
        <w:jc w:val="both"/>
      </w:pPr>
      <w:r>
        <w:rPr/>
        <w:t>Cuarto, al asumir ciertas labores domésticas, en particular el cuidado de los niños, los trabajadores migratorios pueden indirectamente ayudar a trabajadores locales a insertarse en el mercado laboral. En otras palabras, la presencia de trabajadores migratorios que se encargan de esas labores libera mano de obra local, sobre todo mujeres muchas veces calificadas, que de otra manera no podrían insertarse en el mercado laboral. Esto es particularmente relevante en países en los que no existen programas estatales o subsidiados para el cuidado de niños en edad pre-escolar  (Stalker,</w:t>
      </w:r>
      <w:r>
        <w:rPr>
          <w:spacing w:val="22"/>
        </w:rPr>
        <w:t> </w:t>
      </w:r>
      <w:r>
        <w:rPr/>
        <w:t>2001:75-77).</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4"/>
        <w:jc w:val="both"/>
      </w:pPr>
      <w:r>
        <w:rPr/>
        <w:t>Quinto, la presencia de trabajadores migratorios dispuestos a  aceptar  una  remuneración baja ayuda a mantener a flote a ciertas empresas locales que necesariamente deberían invertir en tecnología para mantener líneas de producción competitivas. Gracias a la presencia de trabajadores migratorios, estas empresas no se ven obligadas a invertir en tecnología y no quiebran. De este modo no se pierden los puestos de trabajo en manos de trabajadores locales que se desempeñan como  mandos medios y altos de estas empresas (Stalker, </w:t>
      </w:r>
      <w:r>
        <w:rPr>
          <w:spacing w:val="7"/>
        </w:rPr>
        <w:t> </w:t>
      </w:r>
      <w:r>
        <w:rPr/>
        <w:t>2001:73-75).</w:t>
      </w:r>
    </w:p>
    <w:p>
      <w:pPr>
        <w:pStyle w:val="BodyText"/>
        <w:rPr>
          <w:sz w:val="22"/>
        </w:rPr>
      </w:pPr>
    </w:p>
    <w:p>
      <w:pPr>
        <w:spacing w:before="153"/>
        <w:ind w:left="101" w:right="0" w:firstLine="0"/>
        <w:jc w:val="both"/>
        <w:rPr>
          <w:b/>
          <w:i/>
          <w:sz w:val="23"/>
        </w:rPr>
      </w:pPr>
      <w:r>
        <w:rPr>
          <w:b/>
          <w:sz w:val="23"/>
        </w:rPr>
        <w:t>Efecto de la Inmigración sobre los </w:t>
      </w:r>
      <w:r>
        <w:rPr>
          <w:b/>
          <w:i/>
          <w:sz w:val="23"/>
        </w:rPr>
        <w:t>Sistemas de Seguridad  Social</w:t>
      </w:r>
    </w:p>
    <w:p>
      <w:pPr>
        <w:pStyle w:val="BodyText"/>
        <w:rPr>
          <w:b/>
          <w:i/>
          <w:sz w:val="22"/>
        </w:rPr>
      </w:pPr>
    </w:p>
    <w:p>
      <w:pPr>
        <w:pStyle w:val="BodyText"/>
        <w:spacing w:before="3"/>
        <w:rPr>
          <w:b/>
          <w:i/>
          <w:sz w:val="25"/>
        </w:rPr>
      </w:pPr>
    </w:p>
    <w:p>
      <w:pPr>
        <w:pStyle w:val="BodyText"/>
        <w:spacing w:line="364" w:lineRule="auto" w:before="1"/>
        <w:ind w:left="101" w:right="103"/>
        <w:jc w:val="both"/>
      </w:pPr>
      <w:r>
        <w:rPr/>
        <w:t>Otro de los argumentos comúnmente utilizados en torno a  las  repercusiones económicas de la inmigración es el efecto negativo que la presencia de los inmigrantes tiene sobre los sistemas sociales y de bienestar de los países receptores. El argumento  a este respecto es simple: la masiva llegada de inmigrantes y sus familias, muchos de  los cuales piden beneficios de salud y educación (para sus hijos) sobrecarga excesivamente los costos del sistema social y genera desajustes en las  cuentas  fiscales. Esta situación repercute de forma negativa en la economía del país </w:t>
      </w:r>
      <w:r>
        <w:rPr>
          <w:spacing w:val="31"/>
        </w:rPr>
        <w:t> </w:t>
      </w:r>
      <w:r>
        <w:rPr/>
        <w:t>receptor.</w:t>
      </w:r>
    </w:p>
    <w:p>
      <w:pPr>
        <w:pStyle w:val="BodyText"/>
        <w:rPr>
          <w:sz w:val="22"/>
        </w:rPr>
      </w:pPr>
    </w:p>
    <w:p>
      <w:pPr>
        <w:pStyle w:val="BodyText"/>
        <w:spacing w:line="364" w:lineRule="auto" w:before="155"/>
        <w:ind w:left="101" w:right="102" w:firstLine="64"/>
      </w:pPr>
      <w:r>
        <w:rPr/>
        <w:t>El estudio de la OECD anteriormente citado indica que no existe evidencia concluyente en torno a la incidencia de la presencia de inmigrantes en el sistema de bienestar de    los países receptores (Tapinos, 1993:170).  Otros estudios, sin embargo, señalan que  los inmigrantes, en especial los que están integrados al mercado del trabajo, más que una carga, representan un beneficio porque aportan al sistema social del país receptor. En Estados Unidos, por ejemplo, un estudio reciente de la Academia Nacional de Ciencias (NAS) concluyó que, si bien en los primeros años los inmigrantes contribuyen   a incrementar los costos del sistema de bienestar, sobre todo en educación, en el largo plazo (20 años) estas personas se convierten en contribuyentes  netos a través  del  pago de impuestos. En otras palabras, a través del pago de impuestos los inmigrantes contribuyen más de lo que gastan al sistema social o de bienestar del país receptor (Smith</w:t>
      </w:r>
      <w:r>
        <w:rPr>
          <w:spacing w:val="21"/>
        </w:rPr>
        <w:t> </w:t>
      </w:r>
      <w:r>
        <w:rPr/>
        <w:t>y</w:t>
      </w:r>
      <w:r>
        <w:rPr>
          <w:spacing w:val="16"/>
        </w:rPr>
        <w:t> </w:t>
      </w:r>
      <w:r>
        <w:rPr/>
        <w:t>Garry,</w:t>
      </w:r>
      <w:r>
        <w:rPr>
          <w:spacing w:val="21"/>
        </w:rPr>
        <w:t> </w:t>
      </w:r>
      <w:r>
        <w:rPr/>
        <w:t>1997).</w:t>
      </w:r>
      <w:r>
        <w:rPr>
          <w:spacing w:val="23"/>
        </w:rPr>
        <w:t> </w:t>
      </w:r>
      <w:r>
        <w:rPr/>
        <w:t>Un</w:t>
      </w:r>
      <w:r>
        <w:rPr>
          <w:spacing w:val="21"/>
        </w:rPr>
        <w:t> </w:t>
      </w:r>
      <w:r>
        <w:rPr/>
        <w:t>estudio</w:t>
      </w:r>
      <w:r>
        <w:rPr>
          <w:spacing w:val="21"/>
        </w:rPr>
        <w:t> </w:t>
      </w:r>
      <w:r>
        <w:rPr/>
        <w:t>similar</w:t>
      </w:r>
      <w:r>
        <w:rPr>
          <w:spacing w:val="19"/>
        </w:rPr>
        <w:t> </w:t>
      </w:r>
      <w:r>
        <w:rPr/>
        <w:t>llevado</w:t>
      </w:r>
      <w:r>
        <w:rPr>
          <w:spacing w:val="21"/>
        </w:rPr>
        <w:t> </w:t>
      </w:r>
      <w:r>
        <w:rPr/>
        <w:t>a</w:t>
      </w:r>
      <w:r>
        <w:rPr>
          <w:spacing w:val="17"/>
        </w:rPr>
        <w:t> </w:t>
      </w:r>
      <w:r>
        <w:rPr/>
        <w:t>cabo</w:t>
      </w:r>
      <w:r>
        <w:rPr>
          <w:spacing w:val="21"/>
        </w:rPr>
        <w:t> </w:t>
      </w:r>
      <w:r>
        <w:rPr/>
        <w:t>por</w:t>
      </w:r>
      <w:r>
        <w:rPr>
          <w:spacing w:val="19"/>
        </w:rPr>
        <w:t> </w:t>
      </w:r>
      <w:r>
        <w:rPr/>
        <w:t>la</w:t>
      </w:r>
      <w:r>
        <w:rPr>
          <w:spacing w:val="21"/>
        </w:rPr>
        <w:t> </w:t>
      </w:r>
      <w:r>
        <w:rPr/>
        <w:t>División</w:t>
      </w:r>
      <w:r>
        <w:rPr>
          <w:spacing w:val="21"/>
        </w:rPr>
        <w:t> </w:t>
      </w:r>
      <w:r>
        <w:rPr/>
        <w:t>Poblacional</w:t>
      </w:r>
      <w:r>
        <w:rPr>
          <w:spacing w:val="24"/>
        </w:rPr>
        <w:t> </w:t>
      </w:r>
      <w:r>
        <w:rPr/>
        <w:t>de</w:t>
      </w:r>
    </w:p>
    <w:p>
      <w:pPr>
        <w:spacing w:after="0" w:line="364" w:lineRule="auto"/>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8"/>
        <w:jc w:val="both"/>
      </w:pPr>
      <w:r>
        <w:rPr/>
        <w:t>Naciones Unidas llegó a la misma conclusión para el caso del Reino Unido (Naciones Unidas División de Población, 2000).</w:t>
      </w:r>
    </w:p>
    <w:p>
      <w:pPr>
        <w:pStyle w:val="BodyText"/>
        <w:rPr>
          <w:sz w:val="22"/>
        </w:rPr>
      </w:pPr>
    </w:p>
    <w:p>
      <w:pPr>
        <w:pStyle w:val="BodyText"/>
        <w:spacing w:line="364" w:lineRule="auto" w:before="155"/>
        <w:ind w:left="101" w:right="105"/>
        <w:jc w:val="both"/>
      </w:pPr>
      <w:r>
        <w:rPr/>
        <w:t>En cuanto a las razones que explican por qué los inmigrantes contribuyen al sistema social de los países receptores, Simon explica que los inmigrantes que se insertan al mercado laboral son en su mayoría personas jóvenes y fuertes que gozan de buena salud y están en sus años más productivos. Por ende, en promedio, no usan beneficios del sistema social, sobre todo salud y pensiones, que son los servicios más costosos.    Si bien muchos de los inmigrantes tienen familia, y por ello ocupan recursos del Estado destinados a educación y salud de sus hijos, muchos otros llegan solos y por ende no necesitan de estos servicios. Esto los transforma en contribuyentes netos. Simon también argumenta que los hijos de inmigrantes nacidos en el país receptor no deben  ser considerados únicamente como demandantes de servicios,  ya que una gran parte  de ellos devolverá los beneficios recibidos en educación y salud a través del pago de impuestos durante su vida productiva (Simon subraya, sin embargo, que los beneficios entregados por los inmigrantes al sistema de bienestar se anularían en el caso de que  se privatizaran la salud y los sistemas de pensiones (Simon, </w:t>
      </w:r>
      <w:r>
        <w:rPr>
          <w:spacing w:val="19"/>
        </w:rPr>
        <w:t> </w:t>
      </w:r>
      <w:r>
        <w:rPr/>
        <w:t>1994:233-241).</w:t>
      </w:r>
    </w:p>
    <w:p>
      <w:pPr>
        <w:pStyle w:val="BodyText"/>
        <w:rPr>
          <w:sz w:val="22"/>
        </w:rPr>
      </w:pPr>
    </w:p>
    <w:p>
      <w:pPr>
        <w:pStyle w:val="BodyText"/>
        <w:spacing w:line="364" w:lineRule="auto" w:before="155"/>
        <w:ind w:left="101" w:right="104"/>
        <w:jc w:val="both"/>
      </w:pPr>
      <w:r>
        <w:rPr/>
        <w:t>Por otro lado, es preciso subrayar que en muchos  países  los  inmigrantes, sobre todo los indocumentados, o bien no tienen acceso o tienen un acceso restringido a los beneficios estatales (esto es el resultado de políticas sociales que  discriminan  en  contra de los migrantes). Sin embargo, una gran parte de estas personas paga impuestos. Esto los convierte en contribuyentes netos del sistema social del  país que  los acoge. En relación con este punto, citando estudios realizados en Estados Unidos, Stalker subraya que en promedio, los inmigrantes tienden a hacer mayor uso de los beneficios sociales que los ciudadanos estadounidenses. Sin embargo, explica, esto se debe a que los inmigrantes son en general mucho más pobres que el promedio de la población local. Comparando la tendencia a usar los servicios de bienestar, estudios   han determinado que en Estados Unidos los inmigrantes tienden a ocupar menos los beneficios otorgados por el Estado que ciudadanos estadounidenses con ingresos similares.   Esto se debe  en  parte a  que el acceso de los trabajadores migratorios    </w:t>
      </w:r>
      <w:r>
        <w:rPr>
          <w:spacing w:val="6"/>
        </w:rPr>
        <w:t> </w:t>
      </w:r>
      <w:r>
        <w:rPr/>
        <w:t>es</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4"/>
        <w:jc w:val="both"/>
      </w:pPr>
      <w:r>
        <w:rPr/>
        <w:t>restringido y a que estas personas muchas veces son reacias a usar esos servicios porque le temen a las autoridades o simplemente no tienen información adecuada (Stalker, 2001:82-6).</w:t>
      </w:r>
    </w:p>
    <w:p>
      <w:pPr>
        <w:pStyle w:val="BodyText"/>
        <w:rPr>
          <w:sz w:val="22"/>
        </w:rPr>
      </w:pPr>
    </w:p>
    <w:p>
      <w:pPr>
        <w:pStyle w:val="BodyText"/>
        <w:spacing w:before="4"/>
        <w:rPr>
          <w:sz w:val="30"/>
        </w:rPr>
      </w:pPr>
    </w:p>
    <w:p>
      <w:pPr>
        <w:pStyle w:val="BodyText"/>
        <w:spacing w:line="364" w:lineRule="auto"/>
        <w:ind w:left="101" w:right="101" w:firstLine="64"/>
        <w:jc w:val="both"/>
      </w:pPr>
      <w:r>
        <w:rPr/>
        <w:t>Muchos autores también argumentan que la presencia de trabajadores migratorios ayuda al sistema de seguridad social porque contribuye a mejorar la estructura demográfica de los países receptores. Es importante destacar que, en los últimos años, en muchos países desarrollados la población ha envejecido de manera notable. En   estos países, la distribución de la población por edades se ha concentrado en el segmento mayor. Esto se debe a una combinación de bajas tasas de fecundidad, derivadas en parte de la mayor participación de las mujeres en el mercado laboral, y    del aumento de la expectativa de vida. En muchos países los sistemas de pensiones y de salud se pagan mediante las contribuciones de las personas laboralmente activas (</w:t>
      </w:r>
      <w:r>
        <w:rPr>
          <w:i/>
        </w:rPr>
        <w:t>pay as you go system</w:t>
      </w:r>
      <w:r>
        <w:rPr/>
        <w:t>). Esto quiere decir que las personas que se jubilan dependen de quienes siguen trabajando y contribuyendo al</w:t>
      </w:r>
      <w:r>
        <w:rPr>
          <w:spacing w:val="62"/>
        </w:rPr>
        <w:t> </w:t>
      </w:r>
      <w:r>
        <w:rPr/>
        <w:t>sistema.</w:t>
      </w:r>
    </w:p>
    <w:p>
      <w:pPr>
        <w:pStyle w:val="BodyText"/>
        <w:rPr>
          <w:sz w:val="22"/>
        </w:rPr>
      </w:pPr>
    </w:p>
    <w:p>
      <w:pPr>
        <w:pStyle w:val="BodyText"/>
        <w:spacing w:line="364" w:lineRule="auto" w:before="155"/>
        <w:ind w:left="101" w:right="102"/>
      </w:pPr>
      <w:r>
        <w:rPr/>
        <w:t>Dado que el creciente envejecimiento de la población amenaza la capacidad del Estado para financiar las pensiones y los sistemas de salud, muchos autores argumentan que    la presencia de trabajadores migratorios en los países receptores es muy positiva, ya que aumenta a través de su participación activa en el mercado de trabajo el número de personas que aportan a los sistemas previsionales. Esto permite mantener el nivel de prestaciones a sus afiliados, como jubilaciones o pensiones vitalicias. En  otras  palabras, la llegada de trabajadores migrantes ayuda a mejorar la proporción entre las personas activas que trabajan y contribuyen al sistema social y los benefactores del sistema como jubilados y personas discapacitadas. Por otro lado, los  inmigrantes  tienden a rejuvenecer la población porque la mayoría es gente joven que se caracteriza por tener tasas de fertilidad más altas. La presencia de estas personas, entonces, contribuye al sistema de bienestar porque ayuda a balancear la estructura demográfica de los países que los acogen (Comisión Interamericana de Derechos Humanos, 2005). Entre los efectos de la migración, relacionados con la salud de los migrantes y sus familias, destaca el relacionado con la transmisión del VIH/SIDA, ya sea desde el  </w:t>
      </w:r>
      <w:r>
        <w:rPr>
          <w:spacing w:val="19"/>
        </w:rPr>
        <w:t> </w:t>
      </w:r>
      <w:r>
        <w:rPr/>
        <w:t>punto</w:t>
      </w:r>
    </w:p>
    <w:p>
      <w:pPr>
        <w:spacing w:after="0" w:line="364" w:lineRule="auto"/>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2"/>
        <w:jc w:val="both"/>
      </w:pPr>
      <w:r>
        <w:rPr/>
        <w:t>de vista de algunos países de destino, que han llegado a considerarla como  “enfermedad de importación”, o desde la perspectiva de las comunidades de origen de los migrantes, donde se empiezan a observar incrementos en la incidencia de </w:t>
      </w:r>
      <w:r>
        <w:rPr>
          <w:spacing w:val="2"/>
        </w:rPr>
        <w:t>la </w:t>
      </w:r>
      <w:r>
        <w:rPr/>
        <w:t>enfermedad. Los estudios que abordan la problemática coinciden en que la migración  por sí misma no es un factor de riesgo de infección por VIH, sino que son  las  situaciones que los inmigrantes afrontan y las conductas  que se adoptan durante el  viaje y su estancia en el lugar de destino las que aumentan la vulnerabilidad y el riesgo ante la infección por VIH. La migración, que en su generalidad está constituida por hombres jóvenes solos -muchos de ellos dejando esposas-, incrementa los factores de riesgos, como la promiscuidad -con personas del mismo sexo, con mujeres nativas y trabajadoras sexuales, quienes a menudo poseen poca o nula información preventiva para evitar el VIH/SIDA. Para las mujeres migrantes la vulnerabilidad se incrementa por los factores de riesgo a que se ven sometidas durante el trayecto, incluyendo el intercambio o abuso sexual por parte de los intermediarios (traficantes, “polleros”, etc.)    y de los</w:t>
      </w:r>
      <w:r>
        <w:rPr>
          <w:spacing w:val="24"/>
        </w:rPr>
        <w:t> </w:t>
      </w:r>
      <w:r>
        <w:rPr/>
        <w:t>empleadores.</w:t>
      </w:r>
    </w:p>
    <w:p>
      <w:pPr>
        <w:pStyle w:val="BodyText"/>
        <w:rPr>
          <w:sz w:val="22"/>
        </w:rPr>
      </w:pPr>
    </w:p>
    <w:p>
      <w:pPr>
        <w:pStyle w:val="BodyText"/>
        <w:spacing w:line="364" w:lineRule="auto" w:before="155"/>
        <w:ind w:left="101" w:right="104"/>
        <w:jc w:val="both"/>
      </w:pPr>
      <w:r>
        <w:rPr/>
        <w:t>Lo anterior se agrava debido a que la población migrante (en especial la  indocumentada) frecuentemente vive en condiciones de hacinamiento, pobreza y anonimato; sufre la discriminación y la explotación; y tiene acceso limitado a servicios sociales, educativos y de salud. Hasta la fecha, apenas están siendo evaluadas las intervenciones existentes en el campo de la migración o la movilidad poblacional en relación con el VIH/SIDA y todavía son muy escasos los programas que involucran realmente a los países de origen, destino o tránsito, de una manera  concertada  y efectiva para prevenir y atender esta epidemia (Fernández, </w:t>
      </w:r>
      <w:r>
        <w:rPr>
          <w:spacing w:val="10"/>
        </w:rPr>
        <w:t> </w:t>
      </w:r>
      <w:r>
        <w:rPr/>
        <w:t>2005).</w:t>
      </w:r>
    </w:p>
    <w:p>
      <w:pPr>
        <w:pStyle w:val="BodyText"/>
        <w:rPr>
          <w:sz w:val="22"/>
        </w:rPr>
      </w:pPr>
    </w:p>
    <w:p>
      <w:pPr>
        <w:pStyle w:val="BodyText"/>
        <w:spacing w:before="11"/>
        <w:rPr>
          <w:sz w:val="29"/>
        </w:rPr>
      </w:pPr>
    </w:p>
    <w:p>
      <w:pPr>
        <w:pStyle w:val="Heading4"/>
        <w:jc w:val="both"/>
      </w:pPr>
      <w:r>
        <w:rPr/>
        <w:t>Inmigración y crecimiento económico</w:t>
      </w:r>
    </w:p>
    <w:p>
      <w:pPr>
        <w:pStyle w:val="BodyText"/>
        <w:rPr>
          <w:b/>
          <w:sz w:val="22"/>
        </w:rPr>
      </w:pPr>
    </w:p>
    <w:p>
      <w:pPr>
        <w:pStyle w:val="BodyText"/>
        <w:spacing w:before="3"/>
        <w:rPr>
          <w:b/>
          <w:sz w:val="25"/>
        </w:rPr>
      </w:pPr>
    </w:p>
    <w:p>
      <w:pPr>
        <w:pStyle w:val="BodyText"/>
        <w:spacing w:line="364" w:lineRule="auto" w:before="1"/>
        <w:ind w:left="101" w:right="105"/>
        <w:jc w:val="both"/>
      </w:pPr>
      <w:r>
        <w:rPr/>
        <w:t>A partir de la crisis del petróleo (1973), que derivó en una  fuerte  contracción  económica, sobre todo en Europa, ciertos grupos y partidos políticos comenzaron a cuestionar el impacto de la inmigración sobre el crecimiento económico de sus países. Esa   visión   persiste   en   algunos   sectores   que   argumentan   que   la   </w:t>
      </w:r>
      <w:r>
        <w:rPr>
          <w:spacing w:val="24"/>
        </w:rPr>
        <w:t> </w:t>
      </w:r>
      <w:r>
        <w:rPr/>
        <w:t>inmigración</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contemporánea es muy distinta y mucho menos benéfica que la de los años cincuenta    y sesenta. Investigaciones recientes, sin embargo, reafirman que la inmigración ejerce un efecto positivo en el crecimiento. En su estudio de 1993, la OECD indica que la inmigración contribuye de manera positiva al crecimiento del país receptor, aunque recalca que el efecto no es demasiado grande. El trabajo basa su aseveración en estudios realizados en Estados Unidos, Canadá, Australia y Europa (Tapinos, 1993:  157,</w:t>
      </w:r>
      <w:r>
        <w:rPr>
          <w:spacing w:val="11"/>
        </w:rPr>
        <w:t> </w:t>
      </w:r>
      <w:r>
        <w:rPr/>
        <w:t>165).</w:t>
      </w:r>
    </w:p>
    <w:p>
      <w:pPr>
        <w:pStyle w:val="BodyText"/>
        <w:spacing w:before="7"/>
      </w:pPr>
    </w:p>
    <w:p>
      <w:pPr>
        <w:pStyle w:val="BodyText"/>
        <w:spacing w:line="364" w:lineRule="auto"/>
        <w:ind w:left="101" w:right="100"/>
        <w:jc w:val="both"/>
      </w:pPr>
      <w:r>
        <w:rPr/>
        <w:t>Varios motivos determinan que la inmigración contribuya positivamente al crecimiento económico. Primero, como se explicó con anterioridad, la llegada  de  inmigrantes  genera más consumo y en muchas ocasiones contribuye a mejorar la productividad de   la economía (por ejemplo, al crear economías de escala en la producción). Los inmigrantes también contribuyen al ahorro, ya que en general tienen una fuerte propensión marginal a ahorrar. Más importante aún, la inmigración ayuda a aumentar la eficiencia económica y la productividad, ya que permite transferir trabajadores de áreas improductivas a sectores productivos de la economía. Un ejemplo muy gráfico es la llegada de trabajadoras que se emplean de niñeras o empleadas domésticas que permiten a mujeres, muchas de ellas profesionales, integrarse a la fuerza laboral. Por otro lado, el arribo de inmigrantes ayuda a evitar cuellos de botella en la producción, ya que estas personas pueden cubrir plazas de trabajo que por diversas razones el mercado laboral no está en capacidad de llenar (Tapinos, 1993:166-168; Stalker, 2000:90; Simon,</w:t>
      </w:r>
      <w:r>
        <w:rPr>
          <w:spacing w:val="34"/>
        </w:rPr>
        <w:t> </w:t>
      </w:r>
      <w:r>
        <w:rPr/>
        <w:t>1994:232-233).</w:t>
      </w:r>
    </w:p>
    <w:p>
      <w:pPr>
        <w:pStyle w:val="BodyText"/>
        <w:rPr>
          <w:sz w:val="22"/>
        </w:rPr>
      </w:pPr>
    </w:p>
    <w:p>
      <w:pPr>
        <w:pStyle w:val="BodyText"/>
        <w:spacing w:line="364" w:lineRule="auto" w:before="155"/>
        <w:ind w:left="101" w:right="102"/>
        <w:jc w:val="both"/>
      </w:pPr>
      <w:r>
        <w:rPr/>
        <w:t>Sin embargo, la inmigración también puede generar efectos negativos sobre el crecimiento. Mano de obra redundante en los lugares de trabajo puede disminuir la productividad (Simon, 1994:246-8). Por otro lado, como ya se indicó, la presencia de inmigrantes puede en determinados momentos inhibir el proceso de desarrollo tecnológico (empleadores pueden utilizar mano de obra barata y así mantener la competitividad) lo que en el largo plazo afecta negativamente el crecimiento (Stalker, 2000:200).</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81" w:right="102"/>
        <w:jc w:val="both"/>
      </w:pPr>
      <w:r>
        <w:rPr/>
        <w:t>En resumen, el impacto económico de la inmigración en los países receptores tiende a ser positivo, aunque marginal la mayoría de las veces. La inmigración  ayuda  a  solventar el sistema de seguridad social, tiene un efecto pequeño pero positivo en el crecimiento económico y no necesariamente deprime los sueldos o genera desempleo entre los trabajadores</w:t>
      </w:r>
      <w:r>
        <w:rPr>
          <w:spacing w:val="29"/>
        </w:rPr>
        <w:t> </w:t>
      </w:r>
      <w:r>
        <w:rPr/>
        <w:t>locales.</w:t>
      </w:r>
    </w:p>
    <w:p>
      <w:pPr>
        <w:pStyle w:val="BodyText"/>
        <w:spacing w:before="7"/>
        <w:rPr>
          <w:sz w:val="20"/>
        </w:rPr>
      </w:pPr>
    </w:p>
    <w:p>
      <w:pPr>
        <w:pStyle w:val="Heading4"/>
        <w:spacing w:before="1"/>
        <w:ind w:left="246"/>
        <w:jc w:val="both"/>
      </w:pPr>
      <w:r>
        <w:rPr/>
        <w:t>El impacto del éxodo de trabajadores</w:t>
      </w:r>
    </w:p>
    <w:p>
      <w:pPr>
        <w:pStyle w:val="BodyText"/>
        <w:spacing w:before="3"/>
        <w:rPr>
          <w:b/>
          <w:sz w:val="32"/>
        </w:rPr>
      </w:pPr>
    </w:p>
    <w:p>
      <w:pPr>
        <w:pStyle w:val="BodyText"/>
        <w:spacing w:line="364" w:lineRule="auto"/>
        <w:ind w:left="181" w:right="104" w:hanging="72"/>
        <w:jc w:val="both"/>
      </w:pPr>
      <w:r>
        <w:rPr/>
        <w:t>El impacto generado por el éxodo de trabajadores es quizás el único punto donde existe consenso sobre los efectos de la migración en la economía de los países. En general,  los autores coinciden en señalar que la fuga de mano de obra es negativa para el país emisor, sobre todo en el caso de mano de obra calificada. La pérdida de personal altamente capacitado como ingenieros, abogados, médicos, científicos y otros profesionales repercute negativamente en la productividad de la economía. Es preciso recordar que el Estado invirtió dinero en la formación de esta gente y que por ende su partida reviste una consecuencia negativa para el país emisor. En el caso de los científicos más calificados, su emigración significa que el país se verá privado de personas muy difíciles de sustituir y dificultará aún más el desarrollo de investigación local. El éxodo de personal médico como doctores, enfermeras, psicólogos  y paramédicos o bien de profesores también genera una grave pérdida para los países y generalmente puede generar escasez de profesionales en sectores  claves  como  la salud y la educación. Es preciso señalar, sin embargo, que en muchos países en desarrollo, el Estado tiende a formar más profesionales de los que el mercado laboral puede absorber (Stalker,</w:t>
      </w:r>
      <w:r>
        <w:rPr>
          <w:spacing w:val="44"/>
        </w:rPr>
        <w:t> </w:t>
      </w:r>
      <w:r>
        <w:rPr/>
        <w:t>2001:100-118).</w:t>
      </w:r>
    </w:p>
    <w:p>
      <w:pPr>
        <w:pStyle w:val="BodyText"/>
        <w:rPr>
          <w:sz w:val="22"/>
        </w:rPr>
      </w:pPr>
    </w:p>
    <w:p>
      <w:pPr>
        <w:pStyle w:val="BodyText"/>
        <w:rPr>
          <w:sz w:val="22"/>
        </w:rPr>
      </w:pPr>
    </w:p>
    <w:p>
      <w:pPr>
        <w:pStyle w:val="BodyText"/>
        <w:spacing w:line="364" w:lineRule="auto" w:before="135"/>
        <w:ind w:left="181" w:right="105" w:hanging="73"/>
        <w:jc w:val="both"/>
      </w:pPr>
      <w:r>
        <w:rPr/>
        <w:t>Parte del problema con respecto a la migración de personas calificadas de países emisores tiene que ver con las políticas de los países receptores que incentivan a los mejores elementos de países en desarrollo a migrar al ofrecerles mejores salarios y condiciones de trabajo. El otorgamiento de becas de estudios avanzados también actúa como imán para la emigración. En este sentido, muchos de los becados una vez finalizados sus estudios no retornan a sus países de origen.  En un    desarrollo reciente,</w:t>
      </w:r>
    </w:p>
    <w:p>
      <w:pPr>
        <w:spacing w:after="0" w:line="364" w:lineRule="auto"/>
        <w:jc w:val="both"/>
        <w:sectPr>
          <w:pgSz w:w="11900" w:h="16840"/>
          <w:pgMar w:header="0" w:footer="1679" w:top="1600" w:bottom="1860" w:left="1220" w:right="1280"/>
        </w:sectPr>
      </w:pPr>
    </w:p>
    <w:p>
      <w:pPr>
        <w:pStyle w:val="BodyText"/>
        <w:rPr>
          <w:sz w:val="20"/>
        </w:rPr>
      </w:pPr>
    </w:p>
    <w:p>
      <w:pPr>
        <w:pStyle w:val="BodyText"/>
        <w:spacing w:before="8"/>
        <w:rPr>
          <w:sz w:val="18"/>
        </w:rPr>
      </w:pPr>
    </w:p>
    <w:p>
      <w:pPr>
        <w:pStyle w:val="BodyText"/>
        <w:spacing w:line="364" w:lineRule="auto" w:before="74"/>
        <w:ind w:left="181" w:right="104"/>
        <w:jc w:val="both"/>
      </w:pPr>
      <w:r>
        <w:rPr/>
        <w:t>sin embargo, países tradicionalmente emisores han comenzado a recibir profesionales de países receptores (desarrollados), que son contratados por empresas  multinacionales o bien migran porque, a pesar de su calificación, no  encuentran  trabajos adecuados en sus países. Aunque esta es una tendencia creciente su número es aún bastante marginal (Stalker,</w:t>
      </w:r>
      <w:r>
        <w:rPr>
          <w:spacing w:val="57"/>
        </w:rPr>
        <w:t> </w:t>
      </w:r>
      <w:r>
        <w:rPr/>
        <w:t>2001:100-118).</w:t>
      </w:r>
    </w:p>
    <w:p>
      <w:pPr>
        <w:pStyle w:val="BodyText"/>
        <w:rPr>
          <w:sz w:val="22"/>
        </w:rPr>
      </w:pPr>
    </w:p>
    <w:p>
      <w:pPr>
        <w:pStyle w:val="BodyText"/>
        <w:spacing w:line="355" w:lineRule="auto" w:before="155"/>
        <w:ind w:left="181" w:right="102" w:hanging="73"/>
        <w:jc w:val="both"/>
      </w:pPr>
      <w:r>
        <w:rPr/>
        <w:t>En las Américas son evidentes los efectos negativos de la emigración para el desarrollo económico de los países. En Jamaica y Trinidad y Tobago, por ejemplo, el 60% de las personas con educación universitaria viven actualmente en Estados  Unidos.  Guyana, por otro lado, ha perdido casi el 70% de sus egresados universitarios (</w:t>
      </w:r>
      <w:r>
        <w:rPr>
          <w:position w:val="11"/>
          <w:sz w:val="15"/>
        </w:rPr>
        <w:t>Stalker,  </w:t>
      </w:r>
      <w:r>
        <w:rPr/>
        <w:t>2001:</w:t>
      </w:r>
      <w:r>
        <w:rPr>
          <w:position w:val="11"/>
          <w:sz w:val="15"/>
        </w:rPr>
        <w:t>103</w:t>
      </w:r>
      <w:r>
        <w:rPr/>
        <w:t>).</w:t>
      </w:r>
    </w:p>
    <w:p>
      <w:pPr>
        <w:pStyle w:val="BodyText"/>
        <w:spacing w:line="364" w:lineRule="auto"/>
        <w:ind w:left="181" w:right="106"/>
        <w:jc w:val="both"/>
      </w:pPr>
      <w:r>
        <w:rPr/>
        <w:t>Claramente, un éxodo tan masivo de las personas con mayor capacitación afecta el desarrollo de estos países.</w:t>
      </w:r>
    </w:p>
    <w:p>
      <w:pPr>
        <w:pStyle w:val="BodyText"/>
        <w:rPr>
          <w:sz w:val="22"/>
        </w:rPr>
      </w:pPr>
    </w:p>
    <w:p>
      <w:pPr>
        <w:pStyle w:val="BodyText"/>
        <w:spacing w:line="364" w:lineRule="auto" w:before="155"/>
        <w:ind w:left="181" w:right="104" w:hanging="73"/>
        <w:jc w:val="both"/>
      </w:pPr>
      <w:r>
        <w:rPr/>
        <w:t>Además, más arriba se indicó que ciertos países estimulan la emigración de personas  con poca calificación para reducir el volumen de mano de obra redundante que la economía no es capaz de absorber. A este respecto, el problema radica en que generalmente las personas más capacitadas y emprendedoras son las que emigran en busca de mejores oportunidades laborales  o una mejor  remuneración. De este modo, las propias acciones del estado lo privan de gente necesaria para estimular  el  desarrollo económico. Simon argumenta que esta tendencia afecta de  forma  significativa el desarrollo económico de un país (Stalker, </w:t>
      </w:r>
      <w:r>
        <w:rPr>
          <w:spacing w:val="10"/>
        </w:rPr>
        <w:t> </w:t>
      </w:r>
      <w:r>
        <w:rPr/>
        <w:t>2001:103-5).</w:t>
      </w:r>
    </w:p>
    <w:p>
      <w:pPr>
        <w:pStyle w:val="BodyText"/>
        <w:rPr>
          <w:sz w:val="22"/>
        </w:rPr>
      </w:pPr>
    </w:p>
    <w:p>
      <w:pPr>
        <w:pStyle w:val="Heading4"/>
        <w:spacing w:before="150"/>
        <w:ind w:left="181"/>
        <w:jc w:val="both"/>
      </w:pPr>
      <w:r>
        <w:rPr/>
        <w:t>Efectos socioeconómicos positivos de la  migración</w:t>
      </w:r>
    </w:p>
    <w:p>
      <w:pPr>
        <w:pStyle w:val="BodyText"/>
        <w:spacing w:before="2"/>
        <w:rPr>
          <w:b/>
          <w:sz w:val="29"/>
        </w:rPr>
      </w:pPr>
    </w:p>
    <w:p>
      <w:pPr>
        <w:pStyle w:val="BodyText"/>
        <w:spacing w:line="364" w:lineRule="auto"/>
        <w:ind w:left="181" w:right="105"/>
        <w:jc w:val="both"/>
      </w:pPr>
      <w:r>
        <w:rPr/>
        <w:t>Los beneficios más importantes y palpables de la migración se ven reflejados principalmente en los pueblos natales de los emigrados, así como en el incremento en   el nivel de vida de las familias de los mismos. Rionda (1990), se refiere a este punto de la siguiente manera: Desde hace muchos años migrantes han podido estabilizar su situación económica familiar e incluso abrir nuevas fuentes de ingresos en sus pueblos, como el comercio y los servicios, actividades en las que se comienza a invertir recursos de origen dolarizado. De igual manera,  a algunas familias les ayudó a comprar </w:t>
      </w:r>
      <w:r>
        <w:rPr>
          <w:spacing w:val="34"/>
        </w:rPr>
        <w:t> </w:t>
      </w:r>
      <w:r>
        <w:rPr/>
        <w:t>tierras.</w:t>
      </w:r>
    </w:p>
    <w:p>
      <w:pPr>
        <w:spacing w:after="0" w:line="364" w:lineRule="auto"/>
        <w:jc w:val="both"/>
        <w:sectPr>
          <w:pgSz w:w="11900" w:h="16840"/>
          <w:pgMar w:header="0" w:footer="1679" w:top="1600" w:bottom="1860" w:left="1220" w:right="1280"/>
        </w:sectPr>
      </w:pPr>
    </w:p>
    <w:p>
      <w:pPr>
        <w:pStyle w:val="BodyText"/>
        <w:rPr>
          <w:sz w:val="20"/>
        </w:rPr>
      </w:pPr>
    </w:p>
    <w:p>
      <w:pPr>
        <w:pStyle w:val="BodyText"/>
        <w:spacing w:before="8"/>
        <w:rPr>
          <w:sz w:val="18"/>
        </w:rPr>
      </w:pPr>
    </w:p>
    <w:p>
      <w:pPr>
        <w:pStyle w:val="BodyText"/>
        <w:spacing w:line="364" w:lineRule="auto" w:before="74"/>
        <w:ind w:left="101" w:right="102"/>
        <w:jc w:val="both"/>
      </w:pPr>
      <w:r>
        <w:rPr/>
        <w:t>Los recursos económicos que traen consigo los emigrados se reflejan primeramente en lo esencial para la subsistencia, y más marcado aún, en la vivienda. Existen varias estadísticas que muestran que el punto número uno donde invierten los emigrados al llegar a sus pueblos natales es en la construcción, compra o arreglo de sus casas. Las mejoras económicas permiten, por ejemplo, la utilización de otros materiales para las casas, apoyando un cambio cultural importante en las construcciones. En una encuesta realizada en Copándaro, Michoacán (pueblo con alta incidencia en migrantes, escogido por el investigador Rionda para sus trabajos de campo), el 27.8% de las casas tenía paredes de adobe, pero un dato saltaba a la vista: ninguna de las casas de familias que viven o vivieron del trabajo en el norte se encontraron paredes de ese material tradicional, sino de ladrillo; de igual manera, en las casas pertenecientes a familias migrantes no se encontró el uso de tierra apisonada para los pisos, sino el cemento (35%) y el mosaico (más del 50%) (Rionda, 1990:260). Los datos anteriores  son  indicios de un cambio en la mentalidad del emigrante, que repercuten directamente en    la vida de sus</w:t>
      </w:r>
      <w:r>
        <w:rPr>
          <w:spacing w:val="26"/>
        </w:rPr>
        <w:t> </w:t>
      </w:r>
      <w:r>
        <w:rPr/>
        <w:t>familias.</w:t>
      </w:r>
    </w:p>
    <w:p>
      <w:pPr>
        <w:pStyle w:val="BodyText"/>
        <w:rPr>
          <w:sz w:val="22"/>
        </w:rPr>
      </w:pPr>
    </w:p>
    <w:p>
      <w:pPr>
        <w:pStyle w:val="BodyText"/>
        <w:spacing w:line="364" w:lineRule="auto" w:before="155"/>
        <w:ind w:left="101" w:right="105"/>
        <w:jc w:val="both"/>
      </w:pPr>
      <w:r>
        <w:rPr/>
        <w:t>Después de satisfacer las necesidades primarias de la familia, los recursos, por </w:t>
      </w:r>
      <w:r>
        <w:rPr>
          <w:spacing w:val="2"/>
        </w:rPr>
        <w:t>lo </w:t>
      </w:r>
      <w:r>
        <w:rPr/>
        <w:t>general, fluyen hacia el arreglo físico del pueblo: empedrado, mejoras en la iglesia y la plaza, agua entubada, drenaje, servicio telefónico, etc., servicios que recibieron apoyo económico entusiasta de emigrados (López, 1990:180). Me parece que la utilización del dinero en servicios tan importantes y esenciales, así como en las demás mejoras anteriormente señaladas, ayudan al pueblo en conjunto a incrementar su nivel de vida, ya que a medida que un pueblo satisface sus necesidades más elementales, puede entonces pensar en buscar otro tipo de mejoras que los apoyen en otros aspectos de   su</w:t>
      </w:r>
      <w:r>
        <w:rPr>
          <w:spacing w:val="8"/>
        </w:rPr>
        <w:t> </w:t>
      </w:r>
      <w:r>
        <w:rPr/>
        <w:t>vida.</w:t>
      </w:r>
    </w:p>
    <w:p>
      <w:pPr>
        <w:pStyle w:val="BodyText"/>
        <w:rPr>
          <w:sz w:val="22"/>
        </w:rPr>
      </w:pPr>
    </w:p>
    <w:p>
      <w:pPr>
        <w:pStyle w:val="BodyText"/>
        <w:spacing w:line="364" w:lineRule="auto" w:before="155"/>
        <w:ind w:left="101" w:right="105"/>
        <w:jc w:val="both"/>
      </w:pPr>
      <w:r>
        <w:rPr/>
        <w:t>En cuanto a la agricultura, actividad principal en casi todos los pueblos natales de emigrados, en zonas de riego y cultivos comerciales se ha notado una inversión frecuente en maquinaria agrícola, así como en proyectos que tienen que ver con la crianza de animales. La mayor parte de los vehículos utilizados en la  agricultura  también  son  propiedad  de  las  familias  con  migrantes,  o  han  sido  comprados  </w:t>
      </w:r>
      <w:r>
        <w:rPr>
          <w:spacing w:val="46"/>
        </w:rPr>
        <w:t> </w:t>
      </w:r>
      <w:r>
        <w:rPr/>
        <w:t>con</w:t>
      </w:r>
    </w:p>
    <w:p>
      <w:pPr>
        <w:spacing w:after="0" w:line="364" w:lineRule="auto"/>
        <w:jc w:val="both"/>
        <w:sectPr>
          <w:footerReference w:type="default" r:id="rId283"/>
          <w:pgSz w:w="11900" w:h="16840"/>
          <w:pgMar w:footer="1679" w:header="0" w:top="1600" w:bottom="1860" w:left="1300" w:right="1280"/>
          <w:pgNumType w:start="210"/>
        </w:sectPr>
      </w:pPr>
    </w:p>
    <w:p>
      <w:pPr>
        <w:pStyle w:val="BodyText"/>
        <w:rPr>
          <w:sz w:val="20"/>
        </w:rPr>
      </w:pPr>
    </w:p>
    <w:p>
      <w:pPr>
        <w:pStyle w:val="BodyText"/>
        <w:spacing w:before="8"/>
        <w:rPr>
          <w:sz w:val="18"/>
        </w:rPr>
      </w:pPr>
    </w:p>
    <w:p>
      <w:pPr>
        <w:pStyle w:val="BodyText"/>
        <w:spacing w:line="364" w:lineRule="auto" w:before="74"/>
        <w:ind w:left="101" w:right="105"/>
        <w:jc w:val="both"/>
      </w:pPr>
      <w:r>
        <w:rPr/>
        <w:t>ahorros logrados en Estados Unidos. Son también familias campesinas con migrantes internacionales las que usan más intensivamente insumos industriales y tienen más cabezas de ganado. “Se estima más éxito en áreas de agricultura si el  migrante  invierte” (Calvo, 1993:40). Lo anterior parece un punto muy interesante,  ya que si se  dan mejoras en la agricultura en el país, que es muy importante en ese rubro, se estará cooperando para lograr beneficios futuros, económica y productivamente </w:t>
      </w:r>
      <w:r>
        <w:rPr>
          <w:spacing w:val="27"/>
        </w:rPr>
        <w:t> </w:t>
      </w:r>
      <w:r>
        <w:rPr/>
        <w:t>hablando.</w:t>
      </w:r>
    </w:p>
    <w:p>
      <w:pPr>
        <w:pStyle w:val="BodyText"/>
        <w:spacing w:line="364" w:lineRule="auto" w:before="5"/>
        <w:ind w:left="101" w:right="104"/>
        <w:jc w:val="both"/>
      </w:pPr>
      <w:r>
        <w:rPr/>
        <w:t>El incremento del nivel de vida se ve también reflejado en otras áreas económicas. Por ejemplo, se utiliza parte del dinero para establecer negocios comerciales y artesanales. Se considera esto importante porque gracias a esto, actividades terciarias como el comercio, se ven favorecidas e impulsadas, además, gracias a esto, llegan más productos básicos de consumo a los</w:t>
      </w:r>
      <w:r>
        <w:rPr>
          <w:spacing w:val="53"/>
        </w:rPr>
        <w:t> </w:t>
      </w:r>
      <w:r>
        <w:rPr/>
        <w:t>pueblos.</w:t>
      </w:r>
    </w:p>
    <w:p>
      <w:pPr>
        <w:pStyle w:val="BodyText"/>
        <w:rPr>
          <w:sz w:val="22"/>
        </w:rPr>
      </w:pPr>
    </w:p>
    <w:p>
      <w:pPr>
        <w:pStyle w:val="BodyText"/>
        <w:spacing w:line="364" w:lineRule="auto" w:before="153"/>
        <w:ind w:left="101" w:right="104"/>
        <w:jc w:val="both"/>
      </w:pPr>
      <w:r>
        <w:rPr/>
        <w:t>Pero los cambios que se dan no se limitan simplemente a terrenos económicos; la migración también logra realizar cambios sustanciales en la cultura y formas de pensar de la gente. “El incremento en el nivel de vida está muy ligado a este cambio en los patrones culturales” (Rionda, 1992:260). En la mayoría de los pueblos estudiados, sólo las familias migrantes han insistido en la necesidad de ampliar las redes telefónicas locales. De igual manera, se habla de pavimentar las calles, recubrir carreteras, automatizar servicios de agua, etc. Lo anterior es un ejemplo de un  cambio  trascendente en las formas de pensar de la gente, ya que aparece una mentalidad que involucra términos como ahorro, inversión, gasto, superación del nivel  de vida,  etc. Estas ideas parecen muy favorables tanto para las familias, como para los pueblos en cuestión.</w:t>
      </w:r>
    </w:p>
    <w:p>
      <w:pPr>
        <w:pStyle w:val="BodyText"/>
        <w:rPr>
          <w:sz w:val="22"/>
        </w:rPr>
      </w:pPr>
    </w:p>
    <w:p>
      <w:pPr>
        <w:pStyle w:val="BodyText"/>
        <w:spacing w:line="364" w:lineRule="auto" w:before="155"/>
        <w:ind w:left="101" w:right="104"/>
        <w:jc w:val="both"/>
      </w:pPr>
      <w:r>
        <w:rPr/>
        <w:t>Hablando de estos cambios culturales, Rionda (1993) afirma que se dan en dos escenarios: El cambio cultural se da en dos escenarios: individual y físico. Individual, se identifica en el incremento de las expectativas y la ambición del cambio  superado. Físico</w:t>
      </w:r>
      <w:r>
        <w:rPr>
          <w:b/>
        </w:rPr>
        <w:t>: </w:t>
      </w:r>
      <w:r>
        <w:rPr/>
        <w:t>cambio físico acelerado del pueblo, que se urbaniza; se depende cada vez  menos de la agricultura y cada vez más de actividades terciarias o de la </w:t>
      </w:r>
      <w:r>
        <w:rPr>
          <w:spacing w:val="25"/>
        </w:rPr>
        <w:t> </w:t>
      </w:r>
      <w:r>
        <w:rPr/>
        <w:t>ganadería.</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Finalmente, como otro aspecto social, se puede mencionar que las familias que han emigrado han concebido una conciencia de planificación mayor a las que tienen las familias que se han quedado aquí (Calvo, 1993:40). La necesidad de una mentalidad    de planificación familiar es muy importante, sobre todo en estos  pueblos,  donde  muchas veces el tener una familia numerosa impide que se brinde a ésta todo lo necesario para subsistir; es por eso que este punto debe resaltarse. Todas estas mejoras ubican a los migrantes documentados, o los que han tenido una experiencia  con éxito en el norte, en un lugar privilegiado en sus pueblos de origen. Calvo habla incluso de que logran adquirir un “prestigio social</w:t>
      </w:r>
      <w:r>
        <w:rPr>
          <w:spacing w:val="60"/>
        </w:rPr>
        <w:t> </w:t>
      </w:r>
      <w:r>
        <w:rPr/>
        <w:t>especial”.</w:t>
      </w:r>
    </w:p>
    <w:p>
      <w:pPr>
        <w:pStyle w:val="BodyText"/>
        <w:rPr>
          <w:sz w:val="22"/>
        </w:rPr>
      </w:pPr>
    </w:p>
    <w:p>
      <w:pPr>
        <w:pStyle w:val="Heading4"/>
        <w:spacing w:before="153"/>
        <w:jc w:val="both"/>
      </w:pPr>
      <w:r>
        <w:rPr/>
        <w:t>Efectos socioeconómicos negativos de la  migración</w:t>
      </w:r>
    </w:p>
    <w:p>
      <w:pPr>
        <w:pStyle w:val="BodyText"/>
        <w:rPr>
          <w:b/>
          <w:sz w:val="22"/>
        </w:rPr>
      </w:pPr>
    </w:p>
    <w:p>
      <w:pPr>
        <w:pStyle w:val="BodyText"/>
        <w:spacing w:before="1"/>
        <w:rPr>
          <w:b/>
          <w:sz w:val="25"/>
        </w:rPr>
      </w:pPr>
    </w:p>
    <w:p>
      <w:pPr>
        <w:pStyle w:val="BodyText"/>
        <w:spacing w:line="364" w:lineRule="auto"/>
        <w:ind w:left="101" w:right="104"/>
        <w:jc w:val="both"/>
      </w:pPr>
      <w:r>
        <w:rPr/>
        <w:t>Por otra parte, la migración también trae como consecuencia algunos puntos negativos que afectan sobre todo a la gente que no practica la migración. Raymond Wiest, citado por López en su libro “La casa dividida”, anota que las mejorías causadas por el dinero generado en el norte son meramente superficiales y engañosas en cuanto a su peso como indicadores de desarrollo, debido a que sólo benefician a un  pequeño  grupo social para el pueblo, caracterizado como una burguesía rural emergente. “Esta burguesía rural adquiere tierras que de otra manera estarían cultivadas por medieros, y esta presión en el mercado de tierras eleva artificialmente su precio, lo que aleja cada vez más al campesino de su medio de producción más inmediato” (López, </w:t>
      </w:r>
      <w:r>
        <w:rPr>
          <w:spacing w:val="32"/>
        </w:rPr>
        <w:t> </w:t>
      </w:r>
      <w:r>
        <w:rPr/>
        <w:t>1994:19).</w:t>
      </w:r>
    </w:p>
    <w:p>
      <w:pPr>
        <w:pStyle w:val="BodyText"/>
        <w:rPr>
          <w:sz w:val="22"/>
        </w:rPr>
      </w:pPr>
    </w:p>
    <w:p>
      <w:pPr>
        <w:pStyle w:val="BodyText"/>
        <w:spacing w:line="364" w:lineRule="auto" w:before="153"/>
        <w:ind w:left="101" w:right="105"/>
        <w:jc w:val="both"/>
      </w:pPr>
      <w:r>
        <w:rPr/>
        <w:t>Por ejemplo, la compra de lotes y casas, o construcción de éstas con dólares ha provocado una inflación de los precios por metro cuadrado, y con ello, se han elevado  los precios de los terrenos urbanizables y las casas; esto aleja cada vez más las posibilidades de que la gente que no migra pueda tener su propio hogar o comprar tierras para</w:t>
      </w:r>
      <w:r>
        <w:rPr>
          <w:spacing w:val="19"/>
        </w:rPr>
        <w:t> </w:t>
      </w:r>
      <w:r>
        <w:rPr/>
        <w:t>cultivar.</w:t>
      </w:r>
    </w:p>
    <w:p>
      <w:pPr>
        <w:pStyle w:val="BodyText"/>
        <w:rPr>
          <w:sz w:val="22"/>
        </w:rPr>
      </w:pPr>
    </w:p>
    <w:p>
      <w:pPr>
        <w:pStyle w:val="BodyText"/>
        <w:rPr>
          <w:sz w:val="22"/>
        </w:rPr>
      </w:pPr>
    </w:p>
    <w:p>
      <w:pPr>
        <w:pStyle w:val="BodyText"/>
        <w:spacing w:before="135"/>
        <w:ind w:left="101"/>
        <w:jc w:val="both"/>
      </w:pPr>
      <w:r>
        <w:rPr/>
        <w:t>Siendo la mayoría de las tierras propiedad de los migrantes, queda una cuestión al  aire:</w:t>
      </w:r>
    </w:p>
    <w:p>
      <w:pPr>
        <w:pStyle w:val="BodyText"/>
        <w:spacing w:line="367" w:lineRule="auto" w:before="136"/>
        <w:ind w:left="101" w:right="105"/>
        <w:jc w:val="both"/>
      </w:pPr>
      <w:r>
        <w:rPr/>
        <w:t>¿qué pasa con las tierras cuando los dueños están trabajando en los Estados Unidos? La  respuesta  no  es  nada  satisfactoria.  “El  acaparamiento  de  tierras  por  parte   </w:t>
      </w:r>
      <w:r>
        <w:rPr>
          <w:spacing w:val="35"/>
        </w:rPr>
        <w:t> </w:t>
      </w:r>
      <w:r>
        <w:rPr/>
        <w:t>de</w:t>
      </w:r>
    </w:p>
    <w:p>
      <w:pPr>
        <w:spacing w:after="0" w:line="367"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personas que emigran recurrentemente ha hecho que casi el 90% de la  tierra  productiva se halle prácticamente abandonada.”(López, 1994). El tener recursos y no trabajarlos es un error muy grande, ya que si se utilizaran se  podrían  generar  utilidades, sobre todo con la maquinaria que se importa. Esto a su vez, trae como consecuencia otro fenómeno: cada vez más mujeres y niños son  utilizados  para  trabajar en el</w:t>
      </w:r>
      <w:r>
        <w:rPr>
          <w:spacing w:val="23"/>
        </w:rPr>
        <w:t> </w:t>
      </w:r>
      <w:r>
        <w:rPr/>
        <w:t>campo.</w:t>
      </w:r>
    </w:p>
    <w:p>
      <w:pPr>
        <w:pStyle w:val="BodyText"/>
        <w:spacing w:before="7"/>
        <w:rPr>
          <w:sz w:val="20"/>
        </w:rPr>
      </w:pPr>
    </w:p>
    <w:p>
      <w:pPr>
        <w:pStyle w:val="BodyText"/>
        <w:spacing w:line="364" w:lineRule="auto" w:before="1"/>
        <w:ind w:left="101" w:right="105"/>
        <w:jc w:val="both"/>
      </w:pPr>
      <w:r>
        <w:rPr/>
        <w:t>La ausencia notoria de hombres de edad productiva, aunada a la renuencia de los migrantes que regresan a emplearse localmente en trabajos pesados y mal remunerados, ha traído como consecuencia que la mano de obra agrícola sea conformada cada vez por mujeres y niños (Calvo, </w:t>
      </w:r>
      <w:r>
        <w:rPr>
          <w:spacing w:val="6"/>
        </w:rPr>
        <w:t> </w:t>
      </w:r>
      <w:r>
        <w:rPr/>
        <w:t>1993:86).</w:t>
      </w:r>
    </w:p>
    <w:p>
      <w:pPr>
        <w:pStyle w:val="BodyText"/>
        <w:spacing w:before="6"/>
        <w:rPr>
          <w:sz w:val="17"/>
        </w:rPr>
      </w:pPr>
    </w:p>
    <w:p>
      <w:pPr>
        <w:pStyle w:val="BodyText"/>
        <w:spacing w:line="364" w:lineRule="auto"/>
        <w:ind w:left="101" w:right="105"/>
        <w:jc w:val="both"/>
      </w:pPr>
      <w:r>
        <w:rPr/>
        <w:t>A primera vista pareciera que es benéfico que las mujeres pertenezcan a la población económicamente activa, pero lamentablemente los trabajos que ellas y los  niños  realizan son muy mal remunerados. Incluso, muchas veces el patrón los contrata simplemente porque les puede pagar menos que a un hombre, lo que significa explotación de esas</w:t>
      </w:r>
      <w:r>
        <w:rPr>
          <w:spacing w:val="29"/>
        </w:rPr>
        <w:t> </w:t>
      </w:r>
      <w:r>
        <w:rPr/>
        <w:t>personas.</w:t>
      </w:r>
    </w:p>
    <w:p>
      <w:pPr>
        <w:pStyle w:val="BodyText"/>
        <w:spacing w:before="4"/>
        <w:rPr>
          <w:sz w:val="17"/>
        </w:rPr>
      </w:pPr>
    </w:p>
    <w:p>
      <w:pPr>
        <w:pStyle w:val="BodyText"/>
        <w:spacing w:line="364" w:lineRule="auto"/>
        <w:ind w:left="101" w:right="104"/>
        <w:jc w:val="both"/>
      </w:pPr>
      <w:r>
        <w:rPr/>
        <w:t>El uso de mano de obra infantil en la agricultura también trae diversas consecuencias. Generalmente, los hijos que comienzan a trabajar en el campo difícilmente dejan de hacerlo para concentrarse, por ejemplo, en seguir sus estudios, lo que disminuye los grados de educación nacionales.  Al  no tener una educación completa, es más difícil  que esos niños, al crecer, transmitan la necesidad de educación a sus hijos, lo que crea un círculo vicioso que no es difícil ubicar en el país, dadas las  estadísticas  de  educación</w:t>
      </w:r>
      <w:r>
        <w:rPr>
          <w:spacing w:val="16"/>
        </w:rPr>
        <w:t> </w:t>
      </w:r>
      <w:r>
        <w:rPr/>
        <w:t>vigentes.</w:t>
      </w:r>
    </w:p>
    <w:p>
      <w:pPr>
        <w:pStyle w:val="BodyText"/>
        <w:spacing w:before="4"/>
        <w:rPr>
          <w:sz w:val="17"/>
        </w:rPr>
      </w:pPr>
    </w:p>
    <w:p>
      <w:pPr>
        <w:pStyle w:val="BodyText"/>
        <w:spacing w:line="364" w:lineRule="auto"/>
        <w:ind w:left="101" w:right="104"/>
        <w:jc w:val="both"/>
      </w:pPr>
      <w:r>
        <w:rPr/>
        <w:t>Cuando crecen los hijos del emigrado, éstos pasan a tener el papel migratorio  del  padre, dando lugar a un fenómeno denominado “Migración por relevos”, lo que acentúa más la ausencia de los hombres  en edad productiva en las comunidades, impulsando   la mano de obra femenina e infantil en las obras de los pueblos (Calvo, 1993). Esta migración por relevos, creo yo, tiene mucho peso para que cada vez más mujeres y  niños</w:t>
      </w:r>
      <w:r>
        <w:rPr>
          <w:spacing w:val="51"/>
        </w:rPr>
        <w:t> </w:t>
      </w:r>
      <w:r>
        <w:rPr/>
        <w:t>trabajen</w:t>
      </w:r>
      <w:r>
        <w:rPr>
          <w:spacing w:val="52"/>
        </w:rPr>
        <w:t> </w:t>
      </w:r>
      <w:r>
        <w:rPr/>
        <w:t>en</w:t>
      </w:r>
      <w:r>
        <w:rPr>
          <w:spacing w:val="48"/>
        </w:rPr>
        <w:t> </w:t>
      </w:r>
      <w:r>
        <w:rPr/>
        <w:t>el</w:t>
      </w:r>
      <w:r>
        <w:rPr>
          <w:spacing w:val="53"/>
        </w:rPr>
        <w:t> </w:t>
      </w:r>
      <w:r>
        <w:rPr/>
        <w:t>campo;</w:t>
      </w:r>
      <w:r>
        <w:rPr>
          <w:spacing w:val="52"/>
        </w:rPr>
        <w:t> </w:t>
      </w:r>
      <w:r>
        <w:rPr/>
        <w:t>labor</w:t>
      </w:r>
      <w:r>
        <w:rPr>
          <w:spacing w:val="51"/>
        </w:rPr>
        <w:t> </w:t>
      </w:r>
      <w:r>
        <w:rPr/>
        <w:t>nada</w:t>
      </w:r>
      <w:r>
        <w:rPr>
          <w:spacing w:val="52"/>
        </w:rPr>
        <w:t> </w:t>
      </w:r>
      <w:r>
        <w:rPr/>
        <w:t>fácil,</w:t>
      </w:r>
      <w:r>
        <w:rPr>
          <w:spacing w:val="52"/>
        </w:rPr>
        <w:t> </w:t>
      </w:r>
      <w:r>
        <w:rPr/>
        <w:t>ya</w:t>
      </w:r>
      <w:r>
        <w:rPr>
          <w:spacing w:val="48"/>
        </w:rPr>
        <w:t> </w:t>
      </w:r>
      <w:r>
        <w:rPr/>
        <w:t>que</w:t>
      </w:r>
      <w:r>
        <w:rPr>
          <w:spacing w:val="48"/>
        </w:rPr>
        <w:t> </w:t>
      </w:r>
      <w:r>
        <w:rPr/>
        <w:t>requiere</w:t>
      </w:r>
      <w:r>
        <w:rPr>
          <w:spacing w:val="48"/>
        </w:rPr>
        <w:t> </w:t>
      </w:r>
      <w:r>
        <w:rPr/>
        <w:t>de</w:t>
      </w:r>
      <w:r>
        <w:rPr>
          <w:spacing w:val="48"/>
        </w:rPr>
        <w:t> </w:t>
      </w:r>
      <w:r>
        <w:rPr/>
        <w:t>un</w:t>
      </w:r>
      <w:r>
        <w:rPr>
          <w:spacing w:val="52"/>
        </w:rPr>
        <w:t> </w:t>
      </w:r>
      <w:r>
        <w:rPr/>
        <w:t>esfuerzo</w:t>
      </w:r>
      <w:r>
        <w:rPr>
          <w:spacing w:val="48"/>
        </w:rPr>
        <w:t> </w:t>
      </w:r>
      <w:r>
        <w:rPr/>
        <w:t>físico</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81" w:right="106"/>
        <w:jc w:val="both"/>
      </w:pPr>
      <w:r>
        <w:rPr/>
        <w:t>notable, con el que muchos niños en la mayoría de los casos no cuentan, por lo que tal trabajo puede ser un peligro, sobre todo para los</w:t>
      </w:r>
      <w:r>
        <w:rPr>
          <w:spacing w:val="63"/>
        </w:rPr>
        <w:t> </w:t>
      </w:r>
      <w:r>
        <w:rPr/>
        <w:t>infantes.</w:t>
      </w:r>
    </w:p>
    <w:p>
      <w:pPr>
        <w:pStyle w:val="BodyText"/>
        <w:spacing w:before="4"/>
        <w:rPr>
          <w:sz w:val="17"/>
        </w:rPr>
      </w:pPr>
    </w:p>
    <w:p>
      <w:pPr>
        <w:pStyle w:val="BodyText"/>
        <w:spacing w:line="364" w:lineRule="auto"/>
        <w:ind w:left="181" w:right="103"/>
        <w:jc w:val="both"/>
      </w:pPr>
      <w:r>
        <w:rPr/>
        <w:t>Otra desventaja que se da es la separación familiar. Muchas veces, el padre de familia es el miembro que falta en la casa. Siendo así, las familias quedan fragmentadas, y los niños deben habituarse a no ver a su padre por algún tiempo. No es difícil asumir que    al existir tal distancia entre las familias, existe una mayor posibilidad de que se den problemas familiares, como adulterio, falta de una figura paterna, entre </w:t>
      </w:r>
      <w:r>
        <w:rPr>
          <w:spacing w:val="17"/>
        </w:rPr>
        <w:t> </w:t>
      </w:r>
      <w:r>
        <w:rPr/>
        <w:t>otros.</w:t>
      </w:r>
    </w:p>
    <w:p>
      <w:pPr>
        <w:pStyle w:val="Heading5"/>
        <w:spacing w:before="194"/>
        <w:ind w:left="246"/>
        <w:jc w:val="both"/>
        <w:rPr>
          <w:i/>
        </w:rPr>
      </w:pPr>
      <w:r>
        <w:rPr>
          <w:i/>
        </w:rPr>
        <w:t>Remesas</w:t>
      </w:r>
    </w:p>
    <w:p>
      <w:pPr>
        <w:pStyle w:val="BodyText"/>
        <w:spacing w:before="1"/>
        <w:rPr>
          <w:b/>
          <w:i/>
          <w:sz w:val="24"/>
        </w:rPr>
      </w:pPr>
    </w:p>
    <w:p>
      <w:pPr>
        <w:pStyle w:val="BodyText"/>
        <w:spacing w:line="364" w:lineRule="auto" w:before="1"/>
        <w:ind w:left="181" w:right="104" w:firstLine="64"/>
        <w:jc w:val="both"/>
      </w:pPr>
      <w:r>
        <w:rPr/>
        <w:t>Para muchos estados las remesas son de vital importancia. Los envíos de dinero de nacionales radicados en el extranjero representan una de las fuentes de ingreso de divisas  más importantes  para muchos  países.  Para estados  como  Jordania o</w:t>
      </w:r>
      <w:r>
        <w:rPr>
          <w:spacing w:val="50"/>
        </w:rPr>
        <w:t> </w:t>
      </w:r>
      <w:r>
        <w:rPr/>
        <w:t>Yemen</w:t>
      </w:r>
    </w:p>
    <w:p>
      <w:pPr>
        <w:pStyle w:val="BodyText"/>
        <w:spacing w:line="355" w:lineRule="auto" w:before="5"/>
        <w:ind w:left="181" w:right="104"/>
        <w:jc w:val="both"/>
      </w:pPr>
      <w:r>
        <w:rPr/>
        <w:t>las remesas representan más de un 20% del valor del producto  interno bruto  (PIB) (</w:t>
      </w:r>
      <w:r>
        <w:rPr>
          <w:position w:val="11"/>
          <w:sz w:val="15"/>
        </w:rPr>
        <w:t>Stalker, 2001</w:t>
      </w:r>
      <w:r>
        <w:rPr/>
        <w:t>:</w:t>
      </w:r>
      <w:r>
        <w:rPr>
          <w:position w:val="11"/>
          <w:sz w:val="15"/>
        </w:rPr>
        <w:t>110</w:t>
      </w:r>
      <w:r>
        <w:rPr/>
        <w:t>). Por otro lado, para muchos países, estos envíos se transforman en un valioso instrumento de política macroeconómica, </w:t>
      </w:r>
      <w:r>
        <w:rPr>
          <w:spacing w:val="-4"/>
        </w:rPr>
        <w:t>ya </w:t>
      </w:r>
      <w:r>
        <w:rPr/>
        <w:t>que ocupan este dinero para  cuadrar</w:t>
      </w:r>
      <w:r>
        <w:rPr>
          <w:spacing w:val="32"/>
        </w:rPr>
        <w:t> </w:t>
      </w:r>
      <w:r>
        <w:rPr/>
        <w:t>balanzas</w:t>
      </w:r>
      <w:r>
        <w:rPr>
          <w:spacing w:val="34"/>
        </w:rPr>
        <w:t> </w:t>
      </w:r>
      <w:r>
        <w:rPr/>
        <w:t>de</w:t>
      </w:r>
      <w:r>
        <w:rPr>
          <w:spacing w:val="33"/>
        </w:rPr>
        <w:t> </w:t>
      </w:r>
      <w:r>
        <w:rPr/>
        <w:t>pagos</w:t>
      </w:r>
      <w:r>
        <w:rPr>
          <w:spacing w:val="34"/>
        </w:rPr>
        <w:t> </w:t>
      </w:r>
      <w:r>
        <w:rPr/>
        <w:t>deficitarias.</w:t>
      </w:r>
      <w:r>
        <w:rPr>
          <w:spacing w:val="33"/>
        </w:rPr>
        <w:t> </w:t>
      </w:r>
      <w:r>
        <w:rPr/>
        <w:t>En</w:t>
      </w:r>
      <w:r>
        <w:rPr>
          <w:spacing w:val="30"/>
        </w:rPr>
        <w:t> </w:t>
      </w:r>
      <w:r>
        <w:rPr/>
        <w:t>el</w:t>
      </w:r>
      <w:r>
        <w:rPr>
          <w:spacing w:val="34"/>
        </w:rPr>
        <w:t> </w:t>
      </w:r>
      <w:r>
        <w:rPr/>
        <w:t>caso</w:t>
      </w:r>
      <w:r>
        <w:rPr>
          <w:spacing w:val="30"/>
        </w:rPr>
        <w:t> </w:t>
      </w:r>
      <w:r>
        <w:rPr/>
        <w:t>de</w:t>
      </w:r>
      <w:r>
        <w:rPr>
          <w:spacing w:val="30"/>
        </w:rPr>
        <w:t> </w:t>
      </w:r>
      <w:r>
        <w:rPr/>
        <w:t>las</w:t>
      </w:r>
      <w:r>
        <w:rPr>
          <w:spacing w:val="34"/>
        </w:rPr>
        <w:t> </w:t>
      </w:r>
      <w:r>
        <w:rPr/>
        <w:t>Américas,</w:t>
      </w:r>
      <w:r>
        <w:rPr>
          <w:spacing w:val="33"/>
        </w:rPr>
        <w:t> </w:t>
      </w:r>
      <w:r>
        <w:rPr/>
        <w:t>las</w:t>
      </w:r>
      <w:r>
        <w:rPr>
          <w:spacing w:val="34"/>
        </w:rPr>
        <w:t> </w:t>
      </w:r>
      <w:r>
        <w:rPr/>
        <w:t>remesas</w:t>
      </w:r>
      <w:r>
        <w:rPr>
          <w:spacing w:val="31"/>
        </w:rPr>
        <w:t> </w:t>
      </w:r>
      <w:r>
        <w:rPr/>
        <w:t>son</w:t>
      </w:r>
    </w:p>
    <w:p>
      <w:pPr>
        <w:pStyle w:val="BodyText"/>
        <w:spacing w:line="364" w:lineRule="auto" w:before="15"/>
        <w:ind w:left="181" w:right="104"/>
        <w:jc w:val="both"/>
      </w:pPr>
      <w:r>
        <w:rPr/>
        <w:t>muy importantes en varios países. De las veinte principales naciones receptores de remesas del mundo, seis se encuentran en </w:t>
      </w:r>
      <w:r>
        <w:rPr>
          <w:spacing w:val="2"/>
        </w:rPr>
        <w:t>la </w:t>
      </w:r>
      <w:r>
        <w:rPr/>
        <w:t>región: México, República Dominicana, El Salvador, Brasil, Ecuador y Perú (Stalker,</w:t>
      </w:r>
      <w:r>
        <w:rPr>
          <w:spacing w:val="58"/>
        </w:rPr>
        <w:t> </w:t>
      </w:r>
      <w:r>
        <w:rPr/>
        <w:t>2001:110).</w:t>
      </w:r>
    </w:p>
    <w:p>
      <w:pPr>
        <w:pStyle w:val="BodyText"/>
        <w:rPr>
          <w:sz w:val="22"/>
        </w:rPr>
      </w:pPr>
    </w:p>
    <w:p>
      <w:pPr>
        <w:pStyle w:val="BodyText"/>
        <w:spacing w:before="7"/>
        <w:rPr>
          <w:sz w:val="30"/>
        </w:rPr>
      </w:pPr>
    </w:p>
    <w:p>
      <w:pPr>
        <w:pStyle w:val="BodyText"/>
        <w:spacing w:line="364" w:lineRule="auto"/>
        <w:ind w:left="181" w:right="105"/>
        <w:jc w:val="both"/>
      </w:pPr>
      <w:r>
        <w:rPr/>
        <w:t>El tema más relevante en torno a las remesas tiene que ver con los efectos que genera en la economía del país de origen de los trabajadores migratorios. Aún cuando no se  han realizado muchos estudios al respecto, los pocos que existen han suscitado bastante controversia. Algunos investigadores creen que el efecto de las remesas es negativo, otros por el  contrario lo consideran positivo. Lamentablemente, la discusión  no ha sido necesariamente saldada, de modo que es difícil brindar una visión acabada   y concluyente sobre el problema (Stalker,</w:t>
      </w:r>
      <w:r>
        <w:rPr>
          <w:spacing w:val="54"/>
        </w:rPr>
        <w:t> </w:t>
      </w:r>
      <w:r>
        <w:rPr/>
        <w:t>2001).</w:t>
      </w:r>
    </w:p>
    <w:p>
      <w:pPr>
        <w:pStyle w:val="BodyText"/>
        <w:spacing w:before="7"/>
        <w:rPr>
          <w:sz w:val="20"/>
        </w:rPr>
      </w:pPr>
    </w:p>
    <w:p>
      <w:pPr>
        <w:pStyle w:val="BodyText"/>
        <w:spacing w:line="364" w:lineRule="auto" w:before="1"/>
        <w:ind w:left="181" w:right="103" w:hanging="73"/>
        <w:jc w:val="both"/>
      </w:pPr>
      <w:r>
        <w:rPr/>
        <w:t>El debate sobre el efecto de las remesas enviadas a México ofrece un buen ejemplo del tenor de la discusión. Varios estudios realizados sobre el efecto de las remesas en comunidades  mexicanas   argumentan   que   la  migración   a  Estados  Unidos  genera</w:t>
      </w:r>
    </w:p>
    <w:p>
      <w:pPr>
        <w:spacing w:after="0" w:line="364" w:lineRule="auto"/>
        <w:jc w:val="both"/>
        <w:sectPr>
          <w:pgSz w:w="11900" w:h="16840"/>
          <w:pgMar w:header="0" w:footer="1679" w:top="1600" w:bottom="1860" w:left="1220" w:right="1280"/>
        </w:sectPr>
      </w:pPr>
    </w:p>
    <w:p>
      <w:pPr>
        <w:pStyle w:val="BodyText"/>
        <w:rPr>
          <w:sz w:val="20"/>
        </w:rPr>
      </w:pPr>
    </w:p>
    <w:p>
      <w:pPr>
        <w:pStyle w:val="BodyText"/>
        <w:spacing w:before="8"/>
        <w:rPr>
          <w:sz w:val="18"/>
        </w:rPr>
      </w:pPr>
    </w:p>
    <w:p>
      <w:pPr>
        <w:pStyle w:val="BodyText"/>
        <w:spacing w:line="364" w:lineRule="auto" w:before="74"/>
        <w:ind w:left="101" w:right="104"/>
        <w:jc w:val="both"/>
      </w:pPr>
      <w:r>
        <w:rPr/>
        <w:t>dependencia económica e inhibe el desarrollo autónomo. Un recuento de esos estudios encontró que la mayoría de los investigadores consideraba las remesas meramente como un paliativo, ya que generalmente son utilizadas para  adquirir  bienes  de consumo, salud, comida, vivienda, pero que rara vez se transforma en bienes de capital (herramientas, inversión), que podrían generar desarrollo y aumentar la producción (Durand y Massey, 1992:40-3). Un estudio reciente, sin embargo, sostiene todo lo contrario e indica que las remesas son una importante fuente  de  crecimiento  económico y que tienen un efecto positivo en la economía en términos macroeconómicos. El estudio sostiene que el arribo anual de alrededor de dos mil millones de dólares a México genera una actividad económica cercana al 3% del PIB (Durand, Parrado y Massey,</w:t>
      </w:r>
      <w:r>
        <w:rPr>
          <w:spacing w:val="52"/>
        </w:rPr>
        <w:t> </w:t>
      </w:r>
      <w:r>
        <w:rPr/>
        <w:t>1996:423-6).</w:t>
      </w:r>
    </w:p>
    <w:p>
      <w:pPr>
        <w:pStyle w:val="BodyText"/>
        <w:spacing w:before="3"/>
        <w:rPr>
          <w:sz w:val="20"/>
        </w:rPr>
      </w:pPr>
    </w:p>
    <w:p>
      <w:pPr>
        <w:pStyle w:val="Heading4"/>
        <w:jc w:val="both"/>
      </w:pPr>
      <w:r>
        <w:rPr/>
        <w:t>Remesas un negocio privado</w:t>
      </w:r>
    </w:p>
    <w:p>
      <w:pPr>
        <w:pStyle w:val="BodyText"/>
        <w:rPr>
          <w:b/>
          <w:sz w:val="22"/>
        </w:rPr>
      </w:pPr>
    </w:p>
    <w:p>
      <w:pPr>
        <w:pStyle w:val="BodyText"/>
        <w:spacing w:line="364" w:lineRule="auto" w:before="161"/>
        <w:ind w:left="101" w:right="105"/>
        <w:jc w:val="both"/>
      </w:pPr>
      <w:r>
        <w:rPr/>
        <w:t>Es falso que el Estado combata la pobreza a partir de las remesas,  pues  las  Secretarías de Economía y SEDESOL carecen de políticas para ese fin. Sólo engrosan sus arcas las empresas que suplen al Banxico en el manejo de esos flujos, advierten expertos</w:t>
      </w:r>
      <w:r>
        <w:rPr>
          <w:spacing w:val="40"/>
        </w:rPr>
        <w:t> </w:t>
      </w:r>
      <w:r>
        <w:rPr/>
        <w:t>(www.revistafutura.com.mx)</w:t>
      </w:r>
    </w:p>
    <w:p>
      <w:pPr>
        <w:pStyle w:val="BodyText"/>
        <w:rPr>
          <w:sz w:val="24"/>
        </w:rPr>
      </w:pPr>
    </w:p>
    <w:p>
      <w:pPr>
        <w:pStyle w:val="BodyText"/>
        <w:spacing w:line="364" w:lineRule="auto"/>
        <w:ind w:left="101" w:right="105"/>
        <w:jc w:val="both"/>
      </w:pPr>
      <w:r>
        <w:rPr/>
        <w:t>Los mexicanos expatriados a Estados Unidos envían tantas o más divisas al país que   las que generan la inversión extranjera directa y la maquila. Sin embargo,  esos  recursos (que provienen de casi 20 millones de emigrantes de las regiones más pobres del país: Michoacán, Oaxaca, el Estado de México o Guanajuato a Estados Unidos) no se traducen en un efecto multiplicador que contribuya al desarrollo  de  México,  sostienen</w:t>
      </w:r>
      <w:r>
        <w:rPr>
          <w:spacing w:val="23"/>
        </w:rPr>
        <w:t> </w:t>
      </w:r>
      <w:r>
        <w:rPr/>
        <w:t>especialistas.</w:t>
      </w:r>
    </w:p>
    <w:p>
      <w:pPr>
        <w:pStyle w:val="BodyText"/>
        <w:rPr>
          <w:sz w:val="24"/>
        </w:rPr>
      </w:pPr>
    </w:p>
    <w:p>
      <w:pPr>
        <w:pStyle w:val="BodyText"/>
        <w:spacing w:line="364" w:lineRule="auto"/>
        <w:ind w:left="101" w:right="104"/>
        <w:jc w:val="both"/>
      </w:pPr>
      <w:r>
        <w:rPr/>
        <w:t>Las remesas de esos “refugiados económicos”, como los denomina el geopolitólogo Jalife Rahme, rivalizan con los recursos que generan la exportación de petróleo, la inversión extranjera directa (IED), el turismo y la </w:t>
      </w:r>
      <w:r>
        <w:rPr>
          <w:spacing w:val="1"/>
        </w:rPr>
        <w:t> </w:t>
      </w:r>
      <w:r>
        <w:rPr/>
        <w:t>maquila.</w:t>
      </w:r>
    </w:p>
    <w:p>
      <w:pPr>
        <w:pStyle w:val="BodyText"/>
        <w:rPr>
          <w:sz w:val="24"/>
        </w:rPr>
      </w:pPr>
    </w:p>
    <w:p>
      <w:pPr>
        <w:pStyle w:val="BodyText"/>
        <w:spacing w:line="364" w:lineRule="auto"/>
        <w:ind w:left="101" w:right="104"/>
        <w:jc w:val="both"/>
      </w:pPr>
      <w:r>
        <w:rPr/>
        <w:t>Así quedó de manifiesto en el año “record” del 2006, cuando el país recibió casi 24 mil millones de dólares. Por ese motivo, México se ubicó como el mayor receptor de remesas   a   nivel   mundial,   después   de   la   India,   pero   arriba   de   El   </w:t>
      </w:r>
      <w:r>
        <w:rPr>
          <w:spacing w:val="14"/>
        </w:rPr>
        <w:t> </w:t>
      </w:r>
      <w:r>
        <w:rPr/>
        <w:t>Salvador.</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La “bonanza” por las remesas se anunció desde noviembre de 2004, cuando la legisladora Silvia Hernández, a la sazón presidenta de la Comisión de Relaciones Exteriores América del Norte, aseguró que México ya era “el primer receptor  de  remesas en el mundo”. Hernández aludía al ingreso de 13 mil 396 millones de dólares  en 2003, casi el 2.2% del Producto Interno Bruto (PIB) del país. Cuatro años después, tan sólo en el primer trimestre del 2007, el envío de dinero de los emigrantes superó las divisas por Inversión Extranjera Directa (IED) en el mismo periodo. Esas  cifras  coinciden con el análisis de la Comisión Económica y Social para Asia y el  Pacífico  (abril de 2006), que advirtió cómo en algunos países las remesas superan la ayuda  oficial para el desarrollo. En ese estudio, el caso de México es </w:t>
      </w:r>
      <w:r>
        <w:rPr>
          <w:spacing w:val="11"/>
        </w:rPr>
        <w:t> </w:t>
      </w:r>
      <w:r>
        <w:rPr/>
        <w:t>notorio.</w:t>
      </w:r>
    </w:p>
    <w:p>
      <w:pPr>
        <w:pStyle w:val="BodyText"/>
        <w:spacing w:before="2"/>
        <w:rPr>
          <w:sz w:val="24"/>
        </w:rPr>
      </w:pPr>
    </w:p>
    <w:p>
      <w:pPr>
        <w:pStyle w:val="BodyText"/>
        <w:spacing w:line="364" w:lineRule="auto"/>
        <w:ind w:left="101" w:right="104"/>
        <w:jc w:val="both"/>
      </w:pPr>
      <w:r>
        <w:rPr/>
        <w:t>Aunque el discurso oficial atribuye a las remesas un gran impacto en el desarrollo, el gobierno no retribuye apoyo alguno a sus emigrantes, denunció en Estados Unidos el diputado emigrante José Jacques Medina. El legislador del Partido de la Revolución Democrática (PRD) apuntó que, del monto que ejercerá el Presupuesto de Egresos de  la Federación de 2007 (más de 2 billones de pesos), apenas se asignaron mil 672 millones de pesos (unos 152 millones de dólares) a programas de atención para los millones de mexicanos que viven en el extranjero. Estimó que el gobierno  sólo  devolverá a los emigrantes el equivalente al 0.6% del total de las remesas que ellos envían a México. Sin embargo, a partir de 2007 ya no recibirán fondos los programas   de ayuda jurídica y social a los emigrantes (Atención a Migrantes Detenidos por Vigilantes de la Frontera, Atención a Repatriados y Visitas a Centros de Detención Migratoria).</w:t>
      </w:r>
    </w:p>
    <w:p>
      <w:pPr>
        <w:pStyle w:val="BodyText"/>
        <w:rPr>
          <w:sz w:val="24"/>
        </w:rPr>
      </w:pPr>
    </w:p>
    <w:p>
      <w:pPr>
        <w:pStyle w:val="BodyText"/>
        <w:spacing w:line="364" w:lineRule="auto"/>
        <w:ind w:left="101" w:right="105"/>
        <w:jc w:val="both"/>
      </w:pPr>
      <w:r>
        <w:rPr/>
        <w:t>García explica cómo es posible que un país de economía mediana e importante  potencial petrolero como México dependa de las divisas que envían esos refugiados económicos. “Son paradojas y contradicciones, pues, desde la década de los sesentas, estamos generando las bases de un crecimiento económico sustentado más en lo endógeno y en las bases nacionales. Realmente, los resultados actuales son un indicador bastante elocuente de que las estrategias económicas no han </w:t>
      </w:r>
      <w:r>
        <w:rPr>
          <w:spacing w:val="36"/>
        </w:rPr>
        <w:t> </w:t>
      </w:r>
      <w:r>
        <w:rPr/>
        <w:t>funcionado”.</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3"/>
        <w:jc w:val="both"/>
      </w:pPr>
      <w:r>
        <w:rPr/>
        <w:t>Para Canales, la pobreza es un problema económico que sólo se resuelve con políticas económicas. “Eso es lo que dicen los estudios y la teoría, pero en México la Secretaría de Desarrollo Social maneja la política contra la pobreza a través de políticas sociales.  Si realmente, se quiere combatir a la pobreza, debería incluirse en  la  política  económica que maneja la Secretaría de</w:t>
      </w:r>
      <w:r>
        <w:rPr>
          <w:spacing w:val="59"/>
        </w:rPr>
        <w:t> </w:t>
      </w:r>
      <w:r>
        <w:rPr/>
        <w:t>Economía”.</w:t>
      </w:r>
    </w:p>
    <w:p>
      <w:pPr>
        <w:pStyle w:val="BodyText"/>
        <w:spacing w:before="9"/>
      </w:pPr>
    </w:p>
    <w:p>
      <w:pPr>
        <w:pStyle w:val="Heading4"/>
        <w:ind w:left="166"/>
        <w:jc w:val="both"/>
      </w:pPr>
      <w:r>
        <w:rPr/>
        <w:t>No salen las cuentas</w:t>
      </w:r>
    </w:p>
    <w:p>
      <w:pPr>
        <w:pStyle w:val="BodyText"/>
        <w:rPr>
          <w:b/>
          <w:sz w:val="22"/>
        </w:rPr>
      </w:pPr>
    </w:p>
    <w:p>
      <w:pPr>
        <w:pStyle w:val="BodyText"/>
        <w:spacing w:line="364" w:lineRule="auto" w:before="161"/>
        <w:ind w:left="101" w:right="105"/>
        <w:jc w:val="both"/>
      </w:pPr>
      <w:r>
        <w:rPr/>
        <w:t>En el país, pese a la magnitud de esas transferencias transfronterizas, no existen estudios independientes que indiquen cuál es el volumen real de las remesas,  su impacto en la economía, así como la tendencia a futuro de esos flujos,  sostiene  Canales. Este especialista arroja luz sobre un hecho poco conocido: el  Banco  de México (Banxico) cambió su metodología para contabilizar el ingreso y monto de las remesas.</w:t>
      </w:r>
    </w:p>
    <w:p>
      <w:pPr>
        <w:pStyle w:val="BodyText"/>
        <w:rPr>
          <w:sz w:val="24"/>
        </w:rPr>
      </w:pPr>
    </w:p>
    <w:p>
      <w:pPr>
        <w:pStyle w:val="BodyText"/>
        <w:spacing w:line="364" w:lineRule="auto"/>
        <w:ind w:left="101" w:right="105"/>
        <w:jc w:val="both"/>
      </w:pPr>
      <w:r>
        <w:rPr/>
        <w:t>Por ello, es “más complejo comprender qué evalúa Banxico, pues  ya no hace pública   su metodología, que antes estaba disponible en su sitio electrónico. Su criterio ahora es discrecional. No se sabe qué está midiendo con relación a lo que medía hace cinco o seis años y eso hace pensar: ¿hay una doble contabilidad? o ¿se incluye  como  remesas a otras transferencias?”. Además, indica Canales, las cifras del Banxico no coinciden con las que aportan el Instituto Nacional de Estadística, Geografía e Informática (INEGI) y la Encuesta Nacional de Ingreso y Gasto en los Hogares. “Tampoco concuerda su estadística sobre el monto total de remesas con la del Buró de Análisis Económico del Departamento de Comercio de los Estados </w:t>
      </w:r>
      <w:r>
        <w:rPr>
          <w:spacing w:val="24"/>
        </w:rPr>
        <w:t> </w:t>
      </w:r>
      <w:r>
        <w:rPr/>
        <w:t>Unidos”.</w:t>
      </w:r>
    </w:p>
    <w:p>
      <w:pPr>
        <w:pStyle w:val="BodyText"/>
        <w:spacing w:before="2"/>
        <w:rPr>
          <w:sz w:val="24"/>
        </w:rPr>
      </w:pPr>
    </w:p>
    <w:p>
      <w:pPr>
        <w:pStyle w:val="BodyText"/>
        <w:spacing w:line="364" w:lineRule="auto"/>
        <w:ind w:left="101" w:right="103"/>
        <w:jc w:val="both"/>
      </w:pPr>
      <w:r>
        <w:rPr/>
        <w:t>Bajo el rubro Sustento de la Estadística de Remesas Familiares en registros contables, se lee: “El hecho de que casi la totalidad de la medición de las remesas que registra el Banco de México se derive de registros contables da solidez a tales cifras. Ello ha sido reconocido por las instituciones involucradas en los aspectos metodológicos  de  medición y de análisis de estos flujos”. Sin embargo, el texto no cita qué registros e instituciones fueron sus fuentes y</w:t>
      </w:r>
      <w:r>
        <w:rPr>
          <w:spacing w:val="42"/>
        </w:rPr>
        <w:t> </w:t>
      </w:r>
      <w:r>
        <w:rPr/>
        <w:t>avales.</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6"/>
        <w:rPr>
          <w:sz w:val="18"/>
        </w:rPr>
      </w:pPr>
    </w:p>
    <w:p>
      <w:pPr>
        <w:pStyle w:val="Heading4"/>
        <w:spacing w:before="74"/>
        <w:jc w:val="both"/>
      </w:pPr>
      <w:r>
        <w:rPr/>
        <w:t>Programas fallidos</w:t>
      </w:r>
    </w:p>
    <w:p>
      <w:pPr>
        <w:pStyle w:val="BodyText"/>
        <w:rPr>
          <w:b/>
          <w:sz w:val="22"/>
        </w:rPr>
      </w:pPr>
    </w:p>
    <w:p>
      <w:pPr>
        <w:pStyle w:val="BodyText"/>
        <w:spacing w:line="364" w:lineRule="auto" w:before="159"/>
        <w:ind w:left="101" w:right="105"/>
        <w:jc w:val="both"/>
      </w:pPr>
      <w:r>
        <w:rPr/>
        <w:t>García Páez señaló que no sólo en los últimos años de la administración de Fox sino inclusive desde mucho tiempo atrás, se percibía y se constató que los programas de desarrollo o asistencia social (OPORTUNIDADES  y  PROGRESA)  son  políticas atinadas cuando se circunscriben a corto plazo; sin embargo, para estimular el  desarrollo económico a largo plazo resultan insuficientes. “Se necesita otro tipo de políticas que realmente incidan sobre la ocupación, el salario y el crecimiento del producto en el país. Sólo así se evitará esa emigración de los pobres. Los programas   de los últimos gobiernos no han atenuado ni eliminado la tendencia a emigrar, lo que demuestra en buena medida la inefectividad de las políticas de asistencia </w:t>
      </w:r>
      <w:r>
        <w:rPr>
          <w:spacing w:val="22"/>
        </w:rPr>
        <w:t> </w:t>
      </w:r>
      <w:r>
        <w:rPr/>
        <w:t>social”.</w:t>
      </w:r>
    </w:p>
    <w:p>
      <w:pPr>
        <w:pStyle w:val="BodyText"/>
        <w:rPr>
          <w:sz w:val="24"/>
        </w:rPr>
      </w:pPr>
    </w:p>
    <w:p>
      <w:pPr>
        <w:pStyle w:val="BodyText"/>
        <w:spacing w:line="364" w:lineRule="auto"/>
        <w:ind w:left="101" w:right="105"/>
        <w:jc w:val="both"/>
      </w:pPr>
      <w:r>
        <w:rPr/>
        <w:t>Al respecto, Canales refiere que el programa denominado 3 x 1, en el que participan el gobierno federal, estatal y municipal para apoyar la economía de las zonas expulsoras de emigrantes, representa menos del 0.5% de las remesas. Es decir, sostiene que    “todo ese programa a nivel nacional es menor al uno por ciento y que el 99.5% de las remesas se destina a consumo en los hogares, por lo que es un engaño. Se miente al decir que se trata de un programa de desarrollo económico e inversión productiva. No   lo</w:t>
      </w:r>
      <w:r>
        <w:rPr>
          <w:spacing w:val="6"/>
        </w:rPr>
        <w:t> </w:t>
      </w:r>
      <w:r>
        <w:rPr/>
        <w:t>es”.</w:t>
      </w:r>
    </w:p>
    <w:p>
      <w:pPr>
        <w:pStyle w:val="BodyText"/>
        <w:rPr>
          <w:sz w:val="24"/>
        </w:rPr>
      </w:pPr>
    </w:p>
    <w:p>
      <w:pPr>
        <w:pStyle w:val="BodyText"/>
        <w:spacing w:line="364" w:lineRule="auto"/>
        <w:ind w:left="101" w:right="105"/>
        <w:jc w:val="both"/>
      </w:pPr>
      <w:r>
        <w:rPr/>
        <w:t>Por otra parte, el investigador señala que los programas 3 x 1 o Mi casa en México “son transferencias que no generan desarrollo”. Al compararlos con el de Industrialización Fronteriza que existe desde la década de 1980 (programa que apoya a las empresas trasnacionales y a la maquila para instalarse en la zona franca de la frontera),  se observa que a esas empresas se les facilitó mano de obra barata, capacitación e inversión en infraestructura (comunicaciones, carreteras y  aeropuertos).</w:t>
      </w:r>
    </w:p>
    <w:p>
      <w:pPr>
        <w:pStyle w:val="BodyText"/>
        <w:rPr>
          <w:sz w:val="24"/>
        </w:rPr>
      </w:pPr>
    </w:p>
    <w:p>
      <w:pPr>
        <w:pStyle w:val="BodyText"/>
        <w:spacing w:line="364" w:lineRule="auto"/>
        <w:ind w:left="101" w:right="105"/>
        <w:jc w:val="both"/>
      </w:pPr>
      <w:r>
        <w:rPr/>
        <w:t>En cambio, “a los proyectos con remesas como ocurre en Michoacán, sólo les dan el dinero y </w:t>
      </w:r>
      <w:r>
        <w:rPr>
          <w:i/>
        </w:rPr>
        <w:t>¡háganle como quieran! </w:t>
      </w:r>
      <w:r>
        <w:rPr/>
        <w:t>Sin carreteras, puertos para salida ni comunicaciones. No es un programa de desarrollo integral, simplemente es una transferencia de dinero. En los hechos, es un paliativo para la pobreza y es un  engaño”.</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2"/>
        <w:jc w:val="both"/>
      </w:pPr>
      <w:r>
        <w:rPr/>
        <w:t>La visión de Páez sobre el futuro es contundente. A partir de la posible entrada en vigor del capítulo VIII del Tratado de Libre Comercio de América del Norte, que significará el ingreso de maíz y frijol estadunidenses al agro mexicano, se  incrementará  la  emigración hacia el país del norte: “Esa desprotección absoluta de los aranceles en la agricultura pinta un panorama muy difícil”. Por ello, a partir del 2008 resultará más complejo pensar en programas de ayuda a corto </w:t>
      </w:r>
      <w:r>
        <w:rPr>
          <w:spacing w:val="4"/>
        </w:rPr>
        <w:t> </w:t>
      </w:r>
      <w:r>
        <w:rPr/>
        <w:t>plazo.</w:t>
      </w:r>
    </w:p>
    <w:p>
      <w:pPr>
        <w:pStyle w:val="BodyText"/>
        <w:rPr>
          <w:sz w:val="22"/>
        </w:rPr>
      </w:pPr>
    </w:p>
    <w:p>
      <w:pPr>
        <w:pStyle w:val="BodyText"/>
        <w:rPr>
          <w:sz w:val="22"/>
        </w:rPr>
      </w:pPr>
    </w:p>
    <w:p>
      <w:pPr>
        <w:pStyle w:val="BodyText"/>
        <w:rPr>
          <w:sz w:val="22"/>
        </w:rPr>
      </w:pPr>
    </w:p>
    <w:p>
      <w:pPr>
        <w:pStyle w:val="Heading4"/>
        <w:spacing w:before="191"/>
        <w:jc w:val="both"/>
      </w:pPr>
      <w:r>
        <w:rPr/>
        <w:t>Mitos y remesas</w:t>
      </w:r>
    </w:p>
    <w:p>
      <w:pPr>
        <w:pStyle w:val="BodyText"/>
        <w:rPr>
          <w:b/>
          <w:sz w:val="22"/>
        </w:rPr>
      </w:pPr>
    </w:p>
    <w:p>
      <w:pPr>
        <w:pStyle w:val="BodyText"/>
        <w:spacing w:line="364" w:lineRule="auto" w:before="159"/>
        <w:ind w:left="101" w:right="102"/>
        <w:jc w:val="both"/>
      </w:pPr>
      <w:r>
        <w:rPr/>
        <w:t>Canales hace un recuento de lo que llama mitos oficiales sobre las remesas,  “son  juicios que no contrastan suficientemente las fuentes y datos”. El primero se refiere al gran volumen de las remesas, que el Banxico situó en más de 23 mil millones de  dólares en el año 2006. El  economista explica: “Suponiendo sin conceder  que la cifra  de Banxico sea real, aún así las remesas representan menos del 2 o 3% del PIB, de México”.</w:t>
      </w:r>
    </w:p>
    <w:p>
      <w:pPr>
        <w:pStyle w:val="BodyText"/>
        <w:spacing w:before="2"/>
        <w:rPr>
          <w:sz w:val="24"/>
        </w:rPr>
      </w:pPr>
    </w:p>
    <w:p>
      <w:pPr>
        <w:pStyle w:val="BodyText"/>
        <w:spacing w:line="364" w:lineRule="auto"/>
        <w:ind w:left="101" w:right="103"/>
        <w:jc w:val="both"/>
      </w:pPr>
      <w:r>
        <w:rPr/>
        <w:t>Esa cifra podría considerar dos partidas hipotéticas: la de los pequeños negocios de emigrantes en Estados Unidos que compran insumos en México (llamada economía étnica o economía de la nostalgia) a través de transferencias bancarias y que aparecen como remesas sin serlo; y la del probable lavado de dinero desde el narcotráfico, aprovechando las transferencias electrónicas. Aunque esa última hipótesis, carece de elementos que la sustenten, advierte</w:t>
      </w:r>
      <w:r>
        <w:rPr>
          <w:spacing w:val="51"/>
        </w:rPr>
        <w:t> </w:t>
      </w:r>
      <w:r>
        <w:rPr/>
        <w:t>Canales.</w:t>
      </w:r>
    </w:p>
    <w:p>
      <w:pPr>
        <w:pStyle w:val="BodyText"/>
        <w:rPr>
          <w:sz w:val="24"/>
        </w:rPr>
      </w:pPr>
    </w:p>
    <w:p>
      <w:pPr>
        <w:pStyle w:val="BodyText"/>
        <w:spacing w:line="364" w:lineRule="auto"/>
        <w:ind w:left="101" w:right="105"/>
        <w:jc w:val="both"/>
      </w:pPr>
      <w:r>
        <w:rPr/>
        <w:t>Tampoco es real que las remesas constituyan la segunda fuente de divisas del país, subraya el investigador. “Nunca lo ha sido, ni en los años ochenta ni en los noventa,   ese es un mito. Nadie se tomó el trabajo de ver las cifras de Banxico </w:t>
      </w:r>
      <w:r>
        <w:rPr>
          <w:spacing w:val="-4"/>
        </w:rPr>
        <w:t>y, </w:t>
      </w:r>
      <w:r>
        <w:rPr/>
        <w:t>cuando se las estudia, uno se pregunta: </w:t>
      </w:r>
      <w:r>
        <w:rPr>
          <w:i/>
        </w:rPr>
        <w:t>¿qué pasa ahí? </w:t>
      </w:r>
      <w:r>
        <w:rPr/>
        <w:t>El comportamiento histórico de las remesas revela que el año que baja la IED, sube la exportación de maquiladoras y el año que  baja el petróleo, sube la IED y la maquila. Siempre hay dos o tres fuentes de divisas mayores que las remesas, así ocurrió en 2006 y </w:t>
      </w:r>
      <w:r>
        <w:rPr>
          <w:spacing w:val="1"/>
        </w:rPr>
        <w:t> </w:t>
      </w:r>
      <w:r>
        <w:rPr/>
        <w:t>2007”.</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Para el analista, detrás del discurso oficial de que las remesas constituyen la segunda fuente de divisas del país, se oculta la vulnerabilidad del comercio exterior mexicano.  “No hay una política de comercio y economía exterior del país; hasta ahora, ese rubro  ha dependido de la materia prima (petróleo crudo) y de la mano de obra barata (maquila)”.</w:t>
      </w:r>
    </w:p>
    <w:p>
      <w:pPr>
        <w:pStyle w:val="BodyText"/>
        <w:spacing w:before="9"/>
      </w:pPr>
    </w:p>
    <w:p>
      <w:pPr>
        <w:pStyle w:val="Heading4"/>
        <w:jc w:val="both"/>
      </w:pPr>
      <w:r>
        <w:rPr/>
        <w:t>Sin desarrollo</w:t>
      </w:r>
    </w:p>
    <w:p>
      <w:pPr>
        <w:pStyle w:val="BodyText"/>
        <w:rPr>
          <w:b/>
          <w:sz w:val="22"/>
        </w:rPr>
      </w:pPr>
    </w:p>
    <w:p>
      <w:pPr>
        <w:pStyle w:val="BodyText"/>
        <w:spacing w:line="364" w:lineRule="auto" w:before="161"/>
        <w:ind w:left="101" w:right="104"/>
        <w:jc w:val="both"/>
      </w:pPr>
      <w:r>
        <w:rPr/>
        <w:t>El analista desmenuza el mito de que las remesas contribuyen al desarrollo del país: un 10% de la población mexicana reside y trabaja en Estados Unidos; las remesas que envían a sus familias apenas representan el  4% del consumo interno; sólo cuatro de  cien pesos del consumo en los hogares del país se financian con remesas; por ello, “las remesas realmente no son tan importantes a nivel macroeconómico” sostiene Canales. El discurso oficial también asegura que las remesas reducen la pobreza. Éste es otro mito muy extendido. </w:t>
      </w:r>
      <w:r>
        <w:rPr>
          <w:spacing w:val="2"/>
        </w:rPr>
        <w:t>Se </w:t>
      </w:r>
      <w:r>
        <w:rPr/>
        <w:t>afirma que esos flujos mejoran notablemente la situación de las familias de los emigrantes, pero lo que llega no es suficiente para sacarlos de pobres.   En definitiva, este recurso no es una política de distribución del ingreso ni de reducción de la pobreza”,</w:t>
      </w:r>
      <w:r>
        <w:rPr>
          <w:spacing w:val="24"/>
        </w:rPr>
        <w:t> </w:t>
      </w:r>
      <w:r>
        <w:rPr/>
        <w:t>indica.</w:t>
      </w:r>
    </w:p>
    <w:p>
      <w:pPr>
        <w:pStyle w:val="BodyText"/>
        <w:spacing w:before="2"/>
        <w:rPr>
          <w:sz w:val="24"/>
        </w:rPr>
      </w:pPr>
    </w:p>
    <w:p>
      <w:pPr>
        <w:pStyle w:val="BodyText"/>
        <w:spacing w:line="364" w:lineRule="auto"/>
        <w:ind w:left="101" w:right="105"/>
        <w:jc w:val="both"/>
      </w:pPr>
      <w:r>
        <w:rPr/>
        <w:t>Otro mito ampliamente difundido es que los migrantes no ahorran, que malgastan sus recursos. Canales señala que eso es falso y se remite al estudio del INEGI sobre la estructura del gasto en los hogares, que compara el gasto en los hogares con y sin remesas. “Ambos gastan la misma cantidad en los mismos rubros, con la diferencia de que los hogares con emigrantes gastan más en vivienda, pero no más que la gente con su mismo nivel de ingresos. ¿Qué hace cualquier funcionario o un burócrata de carrera cuando lo nombran director de algo y le suben el salario?: lo mismo. Lo primero será mejorar su patrón de consumo y su infraestructura, por eso es un mito decir que los migrantes tienen un patrón de consumo derrochador diferente del resto de los mexicanos”. De acuerdo con su investigación, otro mito oficial es la tendencia al crecimiento infinito de las remesas. Canales establece que sólo aumentan esas transferencias cuando coinciden con momentos de crisis en México: “así  ocurrió de  1982</w:t>
      </w:r>
      <w:r>
        <w:rPr>
          <w:spacing w:val="28"/>
        </w:rPr>
        <w:t> </w:t>
      </w:r>
      <w:r>
        <w:rPr/>
        <w:t>a</w:t>
      </w:r>
      <w:r>
        <w:rPr>
          <w:spacing w:val="28"/>
        </w:rPr>
        <w:t> </w:t>
      </w:r>
      <w:r>
        <w:rPr/>
        <w:t>1983,</w:t>
      </w:r>
      <w:r>
        <w:rPr>
          <w:spacing w:val="28"/>
        </w:rPr>
        <w:t> </w:t>
      </w:r>
      <w:r>
        <w:rPr/>
        <w:t>de</w:t>
      </w:r>
      <w:r>
        <w:rPr>
          <w:spacing w:val="31"/>
        </w:rPr>
        <w:t> </w:t>
      </w:r>
      <w:r>
        <w:rPr/>
        <w:t>1986</w:t>
      </w:r>
      <w:r>
        <w:rPr>
          <w:spacing w:val="28"/>
        </w:rPr>
        <w:t> </w:t>
      </w:r>
      <w:r>
        <w:rPr/>
        <w:t>a</w:t>
      </w:r>
      <w:r>
        <w:rPr>
          <w:spacing w:val="28"/>
        </w:rPr>
        <w:t> </w:t>
      </w:r>
      <w:r>
        <w:rPr/>
        <w:t>1987</w:t>
      </w:r>
      <w:r>
        <w:rPr>
          <w:spacing w:val="31"/>
        </w:rPr>
        <w:t> </w:t>
      </w:r>
      <w:r>
        <w:rPr/>
        <w:t>y</w:t>
      </w:r>
      <w:r>
        <w:rPr>
          <w:spacing w:val="24"/>
        </w:rPr>
        <w:t> </w:t>
      </w:r>
      <w:r>
        <w:rPr/>
        <w:t>de</w:t>
      </w:r>
      <w:r>
        <w:rPr>
          <w:spacing w:val="26"/>
        </w:rPr>
        <w:t> </w:t>
      </w:r>
      <w:r>
        <w:rPr/>
        <w:t>1994</w:t>
      </w:r>
      <w:r>
        <w:rPr>
          <w:spacing w:val="26"/>
        </w:rPr>
        <w:t> </w:t>
      </w:r>
      <w:r>
        <w:rPr/>
        <w:t>a</w:t>
      </w:r>
      <w:r>
        <w:rPr>
          <w:spacing w:val="31"/>
        </w:rPr>
        <w:t> </w:t>
      </w:r>
      <w:r>
        <w:rPr/>
        <w:t>1995</w:t>
      </w:r>
      <w:r>
        <w:rPr>
          <w:spacing w:val="28"/>
        </w:rPr>
        <w:t> </w:t>
      </w:r>
      <w:r>
        <w:rPr/>
        <w:t>con</w:t>
      </w:r>
      <w:r>
        <w:rPr>
          <w:spacing w:val="28"/>
        </w:rPr>
        <w:t> </w:t>
      </w:r>
      <w:r>
        <w:rPr/>
        <w:t>la</w:t>
      </w:r>
      <w:r>
        <w:rPr>
          <w:spacing w:val="27"/>
        </w:rPr>
        <w:t> </w:t>
      </w:r>
      <w:r>
        <w:rPr/>
        <w:t>crisis</w:t>
      </w:r>
      <w:r>
        <w:rPr>
          <w:spacing w:val="27"/>
        </w:rPr>
        <w:t> </w:t>
      </w:r>
      <w:r>
        <w:rPr/>
        <w:t>de</w:t>
      </w:r>
      <w:r>
        <w:rPr>
          <w:spacing w:val="28"/>
        </w:rPr>
        <w:t> </w:t>
      </w:r>
      <w:r>
        <w:rPr/>
        <w:t>la</w:t>
      </w:r>
      <w:r>
        <w:rPr>
          <w:spacing w:val="26"/>
        </w:rPr>
        <w:t> </w:t>
      </w:r>
      <w:r>
        <w:rPr/>
        <w:t>inflación.</w:t>
      </w:r>
      <w:r>
        <w:rPr>
          <w:spacing w:val="28"/>
        </w:rPr>
        <w:t> </w:t>
      </w:r>
      <w:r>
        <w:rPr/>
        <w:t>En</w:t>
      </w:r>
      <w:r>
        <w:rPr>
          <w:spacing w:val="28"/>
        </w:rPr>
        <w:t> </w:t>
      </w:r>
      <w:r>
        <w:rPr/>
        <w:t>esos</w:t>
      </w:r>
    </w:p>
    <w:p>
      <w:pPr>
        <w:spacing w:after="0" w:line="364" w:lineRule="auto"/>
        <w:jc w:val="both"/>
        <w:sectPr>
          <w:footerReference w:type="default" r:id="rId284"/>
          <w:pgSz w:w="11900" w:h="16840"/>
          <w:pgMar w:footer="1679" w:header="0" w:top="1600" w:bottom="1860" w:left="1300" w:right="1280"/>
          <w:pgNumType w:start="220"/>
        </w:sectPr>
      </w:pPr>
    </w:p>
    <w:p>
      <w:pPr>
        <w:pStyle w:val="BodyText"/>
        <w:rPr>
          <w:sz w:val="20"/>
        </w:rPr>
      </w:pPr>
    </w:p>
    <w:p>
      <w:pPr>
        <w:pStyle w:val="BodyText"/>
        <w:spacing w:before="8"/>
        <w:rPr>
          <w:sz w:val="18"/>
        </w:rPr>
      </w:pPr>
    </w:p>
    <w:p>
      <w:pPr>
        <w:pStyle w:val="BodyText"/>
        <w:spacing w:line="364" w:lineRule="auto" w:before="74"/>
        <w:ind w:left="101" w:right="105"/>
        <w:jc w:val="both"/>
      </w:pPr>
      <w:r>
        <w:rPr/>
        <w:t>lapsos las remesas repuntaron y luego siguió un periodo de estabilidad”. Entretanto, de 2001 a 2004, el crecimiento de las remesas fue</w:t>
      </w:r>
      <w:r>
        <w:rPr>
          <w:spacing w:val="62"/>
        </w:rPr>
        <w:t> </w:t>
      </w:r>
      <w:r>
        <w:rPr/>
        <w:t>estable.</w:t>
      </w:r>
    </w:p>
    <w:p>
      <w:pPr>
        <w:pStyle w:val="BodyText"/>
        <w:spacing w:before="2"/>
        <w:rPr>
          <w:sz w:val="24"/>
        </w:rPr>
      </w:pPr>
    </w:p>
    <w:p>
      <w:pPr>
        <w:pStyle w:val="BodyText"/>
        <w:spacing w:line="364" w:lineRule="auto"/>
        <w:ind w:left="101" w:right="103"/>
        <w:jc w:val="both"/>
      </w:pPr>
      <w:r>
        <w:rPr/>
        <w:t>En los próximos años, las remesas se comportarán de forma estable, con un pequeño crecimiento estimado entre 5% y 10% para el periodo 2007-2010. “No hay razón para el discurso alarmista que ahora proviene del gobierno de Calderón”, se espera una baja   en el flujo de las remesas, sostiene este</w:t>
      </w:r>
      <w:r>
        <w:rPr>
          <w:spacing w:val="53"/>
        </w:rPr>
        <w:t> </w:t>
      </w:r>
      <w:r>
        <w:rPr/>
        <w:t>investigador.</w:t>
      </w:r>
    </w:p>
    <w:p>
      <w:pPr>
        <w:pStyle w:val="BodyText"/>
        <w:rPr>
          <w:sz w:val="24"/>
        </w:rPr>
      </w:pPr>
    </w:p>
    <w:p>
      <w:pPr>
        <w:pStyle w:val="Heading4"/>
        <w:jc w:val="both"/>
      </w:pPr>
      <w:r>
        <w:rPr/>
        <w:t>Sangría a las remesas</w:t>
      </w:r>
    </w:p>
    <w:p>
      <w:pPr>
        <w:pStyle w:val="BodyText"/>
        <w:rPr>
          <w:b/>
          <w:sz w:val="22"/>
        </w:rPr>
      </w:pPr>
    </w:p>
    <w:p>
      <w:pPr>
        <w:pStyle w:val="BodyText"/>
        <w:spacing w:line="364" w:lineRule="auto" w:before="159"/>
        <w:ind w:left="101" w:right="103"/>
        <w:jc w:val="both"/>
      </w:pPr>
      <w:r>
        <w:rPr/>
        <w:t>En el informe 2005 del Consejo Nacional de Población (CONAPO), se indica que la migración de mexicanos a Estados Unidos creció en las dos últimas décadas del siglo pasado. Entre 1980 y 2004 el número  de  personas residentes en aquel país, nacidas  en México, aumentó de 2.2 millones a 10.2 millones, es decir, se acrecentó casi cinco veces en ese lapso. Todos ellos, enviaron remesas a sus familias en México y eso significó el apogeo en las empresas que hicieron esas </w:t>
      </w:r>
      <w:r>
        <w:rPr>
          <w:spacing w:val="12"/>
        </w:rPr>
        <w:t> </w:t>
      </w:r>
      <w:r>
        <w:rPr/>
        <w:t>transferencias.</w:t>
      </w:r>
    </w:p>
    <w:p>
      <w:pPr>
        <w:pStyle w:val="BodyText"/>
        <w:rPr>
          <w:sz w:val="24"/>
        </w:rPr>
      </w:pPr>
    </w:p>
    <w:p>
      <w:pPr>
        <w:pStyle w:val="BodyText"/>
        <w:spacing w:line="364" w:lineRule="auto"/>
        <w:ind w:left="101" w:right="102"/>
        <w:jc w:val="both"/>
      </w:pPr>
      <w:r>
        <w:rPr/>
        <w:t>Eso obedeció al repliegue de Banxico en ese rubro, estiman los entrevistados. Sin embargo, la comisión por envío que erogan los emigrantes es tan alta que provocó su “inconformidad”, como señaló el estudio Costo de Envío de Remesas Familiares de Estados Unidos a México (julio 2005), del Centro de Estudios de las Finanzas Públicas, de la Cámara de Diputados. Ese análisis estableció que, al modificarse los lineamientos que normaban el funcionamiento de las casas de cambio en 1991, surgieron empresas “que operan como negocios mercantiles y que quedaron fuera del control de las autoridades financieras del país (Secretaría de Hacienda, Banxico y la Comisión Nacional Bancaria y de Valores)”. El texto señala que 49% de la población que envía remesas eroga comisiones que oscilan entre “5% y 10% de la cantidad remitida. Eso constituye una sangría muy</w:t>
      </w:r>
      <w:r>
        <w:rPr>
          <w:spacing w:val="43"/>
        </w:rPr>
        <w:t> </w:t>
      </w:r>
      <w:r>
        <w:rPr/>
        <w:t>importante”.</w:t>
      </w:r>
    </w:p>
    <w:p>
      <w:pPr>
        <w:pStyle w:val="BodyText"/>
        <w:spacing w:before="2"/>
        <w:rPr>
          <w:sz w:val="24"/>
        </w:rPr>
      </w:pPr>
    </w:p>
    <w:p>
      <w:pPr>
        <w:pStyle w:val="BodyText"/>
        <w:spacing w:line="364" w:lineRule="auto"/>
        <w:ind w:left="101" w:right="105" w:firstLine="64"/>
        <w:jc w:val="both"/>
      </w:pPr>
      <w:r>
        <w:rPr/>
        <w:t>La inversión de los recursos de migrantes: resultados de las alternativas vigentes (2 de febrero de 2007) destaca, en el rubro Abaratamiento de los Costos  de  las Transacciones de Remesas, que “en los últimos años se han reducido de manera importante los  costos  de  transferir  las remesas”.  Cita como  ejemplo que  han  bajado</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2"/>
        <w:jc w:val="both"/>
      </w:pPr>
      <w:r>
        <w:rPr/>
        <w:t>hasta 12.5 dólares los envíos de dinero (de 300 dólares en promedio) desde Illinois a México, entre 1999 y 2006. Sin embargo, el texto cuya fuente de datos es la CONAPO exhibe que en 2006 aún era alto el pago de comisiones: de hasta 11.9 dólares, como lo que cuesta enviar remesas a México desde Houston,  Texas.</w:t>
      </w:r>
    </w:p>
    <w:p>
      <w:pPr>
        <w:pStyle w:val="BodyText"/>
        <w:spacing w:before="2"/>
        <w:rPr>
          <w:sz w:val="24"/>
        </w:rPr>
      </w:pPr>
    </w:p>
    <w:p>
      <w:pPr>
        <w:pStyle w:val="BodyText"/>
        <w:spacing w:line="364" w:lineRule="auto"/>
        <w:ind w:left="101" w:right="104"/>
        <w:jc w:val="both"/>
      </w:pPr>
      <w:r>
        <w:rPr/>
        <w:t>Este interés de las operadoras internacionales en el manejo de los recursos de los emigrantes resulta para García Páez “un negocio privado, congruente con el espíritu   que mueve a la nueva estrategia de desarrollo. Es decir, un Estado menos intervencionista y que genera oportunidades de inversión rentables al sector privado, aunque en este caso se da justamente en el circuito de los servicios financieros”. Concluye que el gobierno no ha generado los mecanismos institucionales suficientes como para que las remesas se canalicen por el sistema financiero formal  y,  una vez  ahí, sean usadas con fines de inversión. “Por omisión, yo diría, el gobierno continúa confiando en que este tipo de actividades propias de una economía internacionalizada   o de una economía integrada al sector externo pueden resolver problemas no sólo de pobreza sino de generación de empleo en el</w:t>
      </w:r>
      <w:r>
        <w:rPr>
          <w:spacing w:val="58"/>
        </w:rPr>
        <w:t> </w:t>
      </w:r>
      <w:r>
        <w:rPr/>
        <w:t>país”.</w:t>
      </w:r>
    </w:p>
    <w:p>
      <w:pPr>
        <w:pStyle w:val="BodyText"/>
        <w:spacing w:before="2"/>
        <w:rPr>
          <w:sz w:val="24"/>
        </w:rPr>
      </w:pPr>
    </w:p>
    <w:p>
      <w:pPr>
        <w:spacing w:line="364" w:lineRule="auto" w:before="0"/>
        <w:ind w:left="101" w:right="104" w:firstLine="0"/>
        <w:jc w:val="both"/>
        <w:rPr>
          <w:i/>
          <w:sz w:val="23"/>
        </w:rPr>
      </w:pPr>
      <w:r>
        <w:rPr>
          <w:sz w:val="23"/>
        </w:rPr>
        <w:t>Para Canales, esto significa que los trabajadores migrantes “segregados  y  discriminados en su país anfitrión, reciben muy bajos ingresos por su trabajo precario” y pregunta: </w:t>
      </w:r>
      <w:r>
        <w:rPr>
          <w:i/>
          <w:sz w:val="23"/>
        </w:rPr>
        <w:t>“¿cómo es posible que alguien gane 700 u 800 dólares al mes y pueda </w:t>
      </w:r>
      <w:r>
        <w:rPr>
          <w:i/>
          <w:spacing w:val="46"/>
          <w:sz w:val="23"/>
        </w:rPr>
        <w:t> </w:t>
      </w:r>
      <w:r>
        <w:rPr>
          <w:i/>
          <w:sz w:val="23"/>
        </w:rPr>
        <w:t>enviar</w:t>
      </w:r>
    </w:p>
    <w:p>
      <w:pPr>
        <w:spacing w:line="367" w:lineRule="auto" w:before="5"/>
        <w:ind w:left="101" w:right="99" w:firstLine="0"/>
        <w:jc w:val="both"/>
        <w:rPr>
          <w:sz w:val="23"/>
        </w:rPr>
      </w:pPr>
      <w:r>
        <w:rPr>
          <w:i/>
          <w:sz w:val="23"/>
        </w:rPr>
        <w:t>300 o 400 dólares al mes? </w:t>
      </w:r>
      <w:r>
        <w:rPr>
          <w:sz w:val="23"/>
        </w:rPr>
        <w:t>Naturalmente, se queda sin nada para vivir allá, son  personas que están en condiciones de pobreza y envían dinero a sus familias que acá viven en situación de marginación. </w:t>
      </w:r>
      <w:r>
        <w:rPr>
          <w:i/>
          <w:sz w:val="23"/>
        </w:rPr>
        <w:t>Esto constituye una transferencia de pobre a pobre” </w:t>
      </w:r>
      <w:r>
        <w:rPr>
          <w:sz w:val="23"/>
        </w:rPr>
        <w:t>(Egremy,</w:t>
      </w:r>
      <w:r>
        <w:rPr>
          <w:spacing w:val="17"/>
          <w:sz w:val="23"/>
        </w:rPr>
        <w:t> </w:t>
      </w:r>
      <w:r>
        <w:rPr>
          <w:sz w:val="23"/>
        </w:rPr>
        <w:t>2007).</w:t>
      </w:r>
    </w:p>
    <w:p>
      <w:pPr>
        <w:pStyle w:val="BodyText"/>
        <w:spacing w:before="9"/>
      </w:pPr>
    </w:p>
    <w:p>
      <w:pPr>
        <w:pStyle w:val="BodyText"/>
        <w:spacing w:line="364" w:lineRule="auto"/>
        <w:ind w:left="101" w:right="105"/>
        <w:jc w:val="both"/>
      </w:pPr>
      <w:r>
        <w:rPr/>
        <w:t>En virtud de que se mantienen los altos costos de envío de remesas, la cancillería mexicana inauguró el 24 de septiembre, la 51 Jornada Informativa del Instituto de los Mexicanos en el Exterior: Intermediación Financiera y Remesas, como un intento por “crear un mecanismo de consulta institucional entre el gobierno de México y las compañías de envío de remesas”, que impulse medidas “que redunden en mejores servicios para los mexicanos que residen en el</w:t>
      </w:r>
      <w:r>
        <w:rPr>
          <w:spacing w:val="59"/>
        </w:rPr>
        <w:t> </w:t>
      </w:r>
      <w:r>
        <w:rPr/>
        <w:t>exterior”.</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4"/>
        <w:jc w:val="both"/>
      </w:pPr>
      <w:r>
        <w:rPr/>
        <w:t>Estuvieron presentes 36 representantes de compañías no bancarias dedicadas al envío de dinero a México: Manuel Orozco, del Programa de Remesas y Desarrollo Rural del Inter-American Dialogue; Roberto Suro, profesor de la Annenberg School for Communication (University of Southern California); y  Raúl  Hinojosa, Director General  de NAID Center (University of California Los</w:t>
      </w:r>
      <w:r>
        <w:rPr>
          <w:spacing w:val="61"/>
        </w:rPr>
        <w:t> </w:t>
      </w:r>
      <w:r>
        <w:rPr/>
        <w:t>Ángeles).</w:t>
      </w:r>
    </w:p>
    <w:p>
      <w:pPr>
        <w:pStyle w:val="BodyText"/>
        <w:rPr>
          <w:sz w:val="24"/>
        </w:rPr>
      </w:pPr>
    </w:p>
    <w:p>
      <w:pPr>
        <w:pStyle w:val="BodyText"/>
        <w:spacing w:line="364" w:lineRule="auto"/>
        <w:ind w:left="101" w:right="105"/>
        <w:jc w:val="both"/>
      </w:pPr>
      <w:r>
        <w:rPr/>
        <w:t>En la actualidad existe un fenómeno muy importante y de gran trascendencia para el país; éste es la migración de mexicanos a los Estados Unidos, cuya incidencia ha aumentado considerablemente en los últimos años. Las  repercusiones  socioeconómicas, tanto positivas como negativas, que la migración ha traído a los estados del centro y occidente del país, que son los estados con más incidencia en emigrantes (estadísticas muestran que esta región de occidente representa más de la tercera parte (41.7%) del volumen total de emigrados a Estados Unidos) (Calvo, 1993) durante los últimos 15 años, para comprobar y resaltar la importancia que tiene para el desarrollo de</w:t>
      </w:r>
      <w:r>
        <w:rPr>
          <w:spacing w:val="22"/>
        </w:rPr>
        <w:t> </w:t>
      </w:r>
      <w:r>
        <w:rPr/>
        <w:t>México.</w:t>
      </w:r>
    </w:p>
    <w:p>
      <w:pPr>
        <w:pStyle w:val="BodyText"/>
        <w:spacing w:before="4"/>
        <w:rPr>
          <w:sz w:val="17"/>
        </w:rPr>
      </w:pPr>
    </w:p>
    <w:p>
      <w:pPr>
        <w:pStyle w:val="BodyText"/>
        <w:spacing w:line="364" w:lineRule="auto"/>
        <w:ind w:left="101" w:right="102"/>
        <w:jc w:val="both"/>
      </w:pPr>
      <w:r>
        <w:rPr/>
        <w:t>En resumen, dado el  conocimiento actual no es posible pronunciarse definitivamente  con respecto al impacto de las remesas en las economías de los países emisores. Sólo se puede señalar que los expertos están divididos al respecto y que probablemente los efectos sean más bien de orden mixto, con elementos positivos y otros </w:t>
      </w:r>
      <w:r>
        <w:rPr>
          <w:spacing w:val="25"/>
        </w:rPr>
        <w:t> </w:t>
      </w:r>
      <w:r>
        <w:rPr/>
        <w:t>negativos.</w:t>
      </w:r>
    </w:p>
    <w:p>
      <w:pPr>
        <w:pStyle w:val="BodyText"/>
        <w:rPr>
          <w:sz w:val="22"/>
        </w:rPr>
      </w:pPr>
    </w:p>
    <w:p>
      <w:pPr>
        <w:pStyle w:val="BodyText"/>
        <w:spacing w:before="1"/>
        <w:rPr>
          <w:sz w:val="30"/>
        </w:rPr>
      </w:pPr>
    </w:p>
    <w:p>
      <w:pPr>
        <w:pStyle w:val="Heading2"/>
        <w:numPr>
          <w:ilvl w:val="0"/>
          <w:numId w:val="13"/>
        </w:numPr>
        <w:tabs>
          <w:tab w:pos="568" w:val="left" w:leader="none"/>
        </w:tabs>
        <w:spacing w:line="240" w:lineRule="auto" w:before="0" w:after="0"/>
        <w:ind w:left="567" w:right="0" w:hanging="466"/>
        <w:jc w:val="both"/>
      </w:pPr>
      <w:r>
        <w:rPr/>
        <w:t>CONCLUSIONES</w:t>
      </w:r>
    </w:p>
    <w:p>
      <w:pPr>
        <w:pStyle w:val="BodyText"/>
        <w:spacing w:before="6"/>
        <w:rPr>
          <w:b/>
          <w:sz w:val="39"/>
        </w:rPr>
      </w:pPr>
    </w:p>
    <w:p>
      <w:pPr>
        <w:pStyle w:val="BodyText"/>
        <w:spacing w:line="364" w:lineRule="auto" w:before="1"/>
        <w:ind w:left="101" w:right="105"/>
        <w:jc w:val="both"/>
      </w:pPr>
      <w:r>
        <w:rPr/>
        <w:t>El tema de los efectos económicos de la migración no sólo es controversial porque diversos  grupos lo usan como bandera de lucha para promover su visión particular  frente al mismo, sino también porque no existen estudios que  hayan  producido evidencia concluyente sobre las repercusiones económicas de la migración, tanto en países receptores como emisores. Al igual que grupos o partidos políticos proclives o contrarios a la migración,  economistas, politólogos y sociólogos dedicados  a  estudiar   el tema se muestran bastante divididos al respecto. Por otra parte, desentrañar las consecuencias</w:t>
      </w:r>
      <w:r>
        <w:rPr>
          <w:spacing w:val="33"/>
        </w:rPr>
        <w:t> </w:t>
      </w:r>
      <w:r>
        <w:rPr/>
        <w:t>económicas</w:t>
      </w:r>
      <w:r>
        <w:rPr>
          <w:spacing w:val="35"/>
        </w:rPr>
        <w:t> </w:t>
      </w:r>
      <w:r>
        <w:rPr/>
        <w:t>de</w:t>
      </w:r>
      <w:r>
        <w:rPr>
          <w:spacing w:val="31"/>
        </w:rPr>
        <w:t> </w:t>
      </w:r>
      <w:r>
        <w:rPr/>
        <w:t>la</w:t>
      </w:r>
      <w:r>
        <w:rPr>
          <w:spacing w:val="31"/>
        </w:rPr>
        <w:t> </w:t>
      </w:r>
      <w:r>
        <w:rPr/>
        <w:t>migración</w:t>
      </w:r>
      <w:r>
        <w:rPr>
          <w:spacing w:val="34"/>
        </w:rPr>
        <w:t> </w:t>
      </w:r>
      <w:r>
        <w:rPr/>
        <w:t>es</w:t>
      </w:r>
      <w:r>
        <w:rPr>
          <w:spacing w:val="35"/>
        </w:rPr>
        <w:t> </w:t>
      </w:r>
      <w:r>
        <w:rPr/>
        <w:t>una</w:t>
      </w:r>
      <w:r>
        <w:rPr>
          <w:spacing w:val="31"/>
        </w:rPr>
        <w:t> </w:t>
      </w:r>
      <w:r>
        <w:rPr/>
        <w:t>tarea</w:t>
      </w:r>
      <w:r>
        <w:rPr>
          <w:spacing w:val="34"/>
        </w:rPr>
        <w:t> </w:t>
      </w:r>
      <w:r>
        <w:rPr/>
        <w:t>extremadamente</w:t>
      </w:r>
      <w:r>
        <w:rPr>
          <w:spacing w:val="34"/>
        </w:rPr>
        <w:t> </w:t>
      </w:r>
      <w:r>
        <w:rPr/>
        <w:t>difícil</w:t>
      </w:r>
      <w:r>
        <w:rPr>
          <w:spacing w:val="35"/>
        </w:rPr>
        <w:t> </w:t>
      </w:r>
      <w:r>
        <w:rPr/>
        <w:t>dada</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la complejidad de la economía actual caracterizada por un alto nivel de interconexión, interdependencia y sofisticados niveles de tecnologización. Por si esto no fuese suficiente, estudios de este tipo se dificultan por la falta de información adecuada que permita realizar investigaciones que produzcan evidencia irrefutable sobre los  efectos  de la migración en la</w:t>
      </w:r>
      <w:r>
        <w:rPr>
          <w:spacing w:val="35"/>
        </w:rPr>
        <w:t> </w:t>
      </w:r>
      <w:r>
        <w:rPr/>
        <w:t>economía.</w:t>
      </w:r>
    </w:p>
    <w:p>
      <w:pPr>
        <w:pStyle w:val="BodyText"/>
        <w:rPr>
          <w:sz w:val="24"/>
        </w:rPr>
      </w:pPr>
    </w:p>
    <w:p>
      <w:pPr>
        <w:pStyle w:val="BodyText"/>
        <w:spacing w:line="364" w:lineRule="auto"/>
        <w:ind w:left="101" w:right="103"/>
        <w:jc w:val="both"/>
      </w:pPr>
      <w:r>
        <w:rPr/>
        <w:t>Otra debilidad de los estudios en esta materia es que éstos han sido  en  su  gran mayoría llevados a cabo en países desarrollados, por lo que no existe demasiada información sobre las consecuencias de la inmigración en países receptores no desarrollados. Asimismo, no se han realizado demasiados estudios sobre el impacto económico de la emigración en países emisores (Simon,  1994).</w:t>
      </w:r>
    </w:p>
    <w:p>
      <w:pPr>
        <w:pStyle w:val="BodyText"/>
        <w:rPr>
          <w:sz w:val="24"/>
        </w:rPr>
      </w:pPr>
    </w:p>
    <w:p>
      <w:pPr>
        <w:pStyle w:val="BodyText"/>
        <w:spacing w:line="364" w:lineRule="auto"/>
        <w:ind w:left="101" w:right="104"/>
        <w:jc w:val="both"/>
      </w:pPr>
      <w:r>
        <w:rPr/>
        <w:t>Los efectos de la migración repercuten a nivel nacional, debido al gran número de personas que la practican. Es conocido que el dinero que es  enviado  de  Estados Unidos hacia México representa la segunda fuente más importante de ingresos del país después del petróleo, y que sobrepasa, inclusive, al turismo. Al comparar ambas variables, la que tiene más peso es la que trata los efectos positivos de la migración, ya que contribuye en gran medida al mejoramiento de las condiciones de vida de las familias, y del pueblo en conjunto, además de traer mejoras en la agricultura,  por ejemplo.</w:t>
      </w:r>
    </w:p>
    <w:p>
      <w:pPr>
        <w:pStyle w:val="BodyText"/>
        <w:spacing w:line="364" w:lineRule="auto" w:before="197"/>
        <w:ind w:left="101" w:right="105"/>
        <w:jc w:val="both"/>
      </w:pPr>
      <w:r>
        <w:rPr/>
        <w:t>En este sentido, hasta ahora las investigaciones sobre las repercusiones económicas   de la migración sólo han sido capaces de presentar evidencia parcializada sobre ciertas industrias, sectores, o bien regiones en algunos países. Según un informe publicado    por la Organización de Cooperación y Desarrollo Económico (OECD) que revisó toda la literatura sobre el tema entre 1970 y 1993, los expertos dedicados a estudiar las repercusiones económicas de la migración sólo coinciden en dos  cosas:  primero,  que no hay evidencia concluyente sobre el asunto y que todos los estudios presentan debilidades; y segundo, que más allá de si es negativo o positivo, el efecto de la migración sobre la economía a nivel agregado es marginal </w:t>
      </w:r>
      <w:r>
        <w:rPr>
          <w:spacing w:val="21"/>
        </w:rPr>
        <w:t> </w:t>
      </w:r>
      <w:r>
        <w:rPr/>
        <w:t>(Tapinos,1993).</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La migración seguirá por un largo tiempo, tal vez hasta que las condiciones del país lleguen a ofrecer mayores beneficios económicos a toda la mano de obra que busca,  año tras año, mejorar su nivel de vida a través del “sueño </w:t>
      </w:r>
      <w:r>
        <w:rPr>
          <w:spacing w:val="16"/>
        </w:rPr>
        <w:t> </w:t>
      </w:r>
      <w:r>
        <w:rPr/>
        <w:t>americano”.</w:t>
      </w:r>
    </w:p>
    <w:p>
      <w:pPr>
        <w:pStyle w:val="BodyText"/>
        <w:spacing w:before="6"/>
        <w:rPr>
          <w:sz w:val="17"/>
        </w:rPr>
      </w:pPr>
    </w:p>
    <w:p>
      <w:pPr>
        <w:pStyle w:val="BodyText"/>
        <w:spacing w:line="364" w:lineRule="auto"/>
        <w:ind w:left="101" w:right="103"/>
        <w:jc w:val="both"/>
      </w:pPr>
      <w:r>
        <w:rPr/>
        <w:t>La migración que se ha venido dando desde hace años en  prácticamente  todo  el mundo trae importantes consecuencias para los países de origen, así  como  a  los países receptores. Su influencia no sólo se puede ver en el aspecto económico, que sin duda tiene una gran importancia para ambos países, sino que va más allá: afecta las relaciones sociales, la cultura, la política, etc., en países receptores como en los de origen de migrantes. Así, en los países origen de la emigración provoca profundos cambios en la estructura familiar, es común en países como México encontrar algunas regiones rurales donde la falta de hombres que trabajen la tierra es su característica común, siendo las mujeres y los hijos, en la mayoría de los casos, quienes tienen que hacerse cargo de ellas; mientras que en las zonas urbanas donde se da el fenómeno    de la migración, las mujeres e incluso los hijos adolescentes tienen que emplearse para llevar un ingreso al hogar mientras el jefe de familia o el migrante les envía recursos (o como complemento a éstos) para satisfacer sus necesidades básicas (Ortega y Ochoa, 2004).</w:t>
      </w:r>
    </w:p>
    <w:p>
      <w:pPr>
        <w:pStyle w:val="BodyText"/>
        <w:rPr>
          <w:sz w:val="22"/>
        </w:rPr>
      </w:pPr>
    </w:p>
    <w:p>
      <w:pPr>
        <w:pStyle w:val="BodyText"/>
        <w:spacing w:line="364" w:lineRule="auto" w:before="155"/>
        <w:ind w:left="101" w:right="103"/>
        <w:jc w:val="both"/>
      </w:pPr>
      <w:r>
        <w:rPr/>
        <w:t>Los países receptores también sufren cambios importantes en las regiones donde se asientan los migrantes, los cuales son más notorios en la medida en que el número de migrantes crece, dado que se puede llegar a modificar la economía, las relaciones sociales y los patrones culturales de la región, aunque esto no deja de lado que en muchas ocasiones el migrante sea discriminado por los nativos de la  región.  En  muchas ocasiones y pese a las consecuencias que la migración puede traer para los países receptores, los gobiernos de éstos se hacen de la "vista gorda" con  los  migrantes que tienen (de manera ilegal), debido a que necesitan la mano de obra para realizar trabajos que los nativos de esos países no desean realizar o piden mayores salarios para llevarlas a</w:t>
      </w:r>
      <w:r>
        <w:rPr>
          <w:spacing w:val="32"/>
        </w:rPr>
        <w:t> </w:t>
      </w:r>
      <w:r>
        <w:rPr/>
        <w:t>cabo.</w:t>
      </w:r>
    </w:p>
    <w:p>
      <w:pPr>
        <w:pStyle w:val="BodyText"/>
        <w:rPr>
          <w:sz w:val="22"/>
        </w:rPr>
      </w:pPr>
    </w:p>
    <w:p>
      <w:pPr>
        <w:pStyle w:val="BodyText"/>
        <w:spacing w:line="364" w:lineRule="auto" w:before="155"/>
        <w:ind w:left="101" w:right="104"/>
        <w:jc w:val="both"/>
      </w:pPr>
      <w:r>
        <w:rPr/>
        <w:t>Diversos factores contribuyen a que cuantiosos contingentes de población abandonen sus</w:t>
      </w:r>
      <w:r>
        <w:rPr>
          <w:spacing w:val="53"/>
        </w:rPr>
        <w:t> </w:t>
      </w:r>
      <w:r>
        <w:rPr/>
        <w:t>países</w:t>
      </w:r>
      <w:r>
        <w:rPr>
          <w:spacing w:val="53"/>
        </w:rPr>
        <w:t> </w:t>
      </w:r>
      <w:r>
        <w:rPr/>
        <w:t>de origen.</w:t>
      </w:r>
      <w:r>
        <w:rPr>
          <w:spacing w:val="52"/>
        </w:rPr>
        <w:t> </w:t>
      </w:r>
      <w:r>
        <w:rPr/>
        <w:t>Por</w:t>
      </w:r>
      <w:r>
        <w:rPr>
          <w:spacing w:val="51"/>
        </w:rPr>
        <w:t> </w:t>
      </w:r>
      <w:r>
        <w:rPr/>
        <w:t>una parte,</w:t>
      </w:r>
      <w:r>
        <w:rPr>
          <w:spacing w:val="52"/>
        </w:rPr>
        <w:t> </w:t>
      </w:r>
      <w:r>
        <w:rPr/>
        <w:t>existen factores</w:t>
      </w:r>
      <w:r>
        <w:rPr>
          <w:spacing w:val="51"/>
        </w:rPr>
        <w:t> </w:t>
      </w:r>
      <w:r>
        <w:rPr/>
        <w:t>de orden</w:t>
      </w:r>
      <w:r>
        <w:rPr>
          <w:spacing w:val="52"/>
        </w:rPr>
        <w:t> </w:t>
      </w:r>
      <w:r>
        <w:rPr/>
        <w:t>económico para los</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países de origen y destino, factores estructurales que dan lugar a crisis sociopolíticas (guerra, violencia, persecución) y económicas (desempleo, subempleo, bajos salarios); mismos que se complementan con la oferta de trabajo y mejores ingresos en los países de mayor desarrollo. A lo anterior se suman los vínculos sociales que establecen los migrantes a través de redes de amistad y familiares que permiten disminuir los obstáculos y costos de la migración, potenciando mayores  desplazamientos  (Fernández,</w:t>
      </w:r>
      <w:r>
        <w:rPr>
          <w:spacing w:val="24"/>
        </w:rPr>
        <w:t> </w:t>
      </w:r>
      <w:r>
        <w:rPr/>
        <w:t>2005).</w:t>
      </w:r>
    </w:p>
    <w:p>
      <w:pPr>
        <w:pStyle w:val="BodyText"/>
        <w:rPr>
          <w:sz w:val="22"/>
        </w:rPr>
      </w:pPr>
    </w:p>
    <w:p>
      <w:pPr>
        <w:pStyle w:val="BodyText"/>
        <w:spacing w:before="4"/>
        <w:rPr>
          <w:sz w:val="30"/>
        </w:rPr>
      </w:pPr>
    </w:p>
    <w:p>
      <w:pPr>
        <w:pStyle w:val="BodyText"/>
        <w:spacing w:line="364" w:lineRule="auto"/>
        <w:ind w:left="101" w:right="104"/>
        <w:jc w:val="both"/>
      </w:pPr>
      <w:r>
        <w:rPr/>
        <w:t>A modo de resumen, es posible concluir que, contrariamente a lo que se sostiene comúnmente, no existen pruebas concluyentes que los efectos de la migración sobre la economía sean negativos. Esto es especialmente cierto en el caso de los países receptores. En el caso de estos países, la poca  evidencia que  existe indica  que  el efecto es  positivo aunque leve. A  este respecto, la mayoría de los estudios coinciden  en que el impacto de la inmigración en el mercado de trabajo y en las tasas de remuneración del país receptor es leve en términos macroeconómicos. Sin embargo, muchos autores reconocen que la inmigración puede repercutir negativamente en el  nivel de salarios y en las tasas de empleo de los nacionales en ciertos sectores o industrias específicas. Respecto a los servicios sociales, la literatura  indica  que  el efecto de la inmigración es positivo, sobre todo dado los aportes de los trabajadores migratorios a través del pago de impuestos y por su contribución a rejuvenecer la población, lo que contribuye a balancear el costo de los servicios sociales estatales. De igual modo, las investigaciones concuerdan en que la migración tiene efectos positivos, aunque leves, sobre el crecimiento económico de los  países receptores.  En relación  con los países emisores, no existe consenso sobre los efectos económicos de las remesas, mientras que existe cierto acuerdo en que el éxodo de trabajadores migratorios, y no exclusivamente el de personas calificadas, tiene repercusiones negativas para el Estado emisor (Comisión Interamericana de Derechos Humanos, 2005).</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2"/>
        <w:jc w:val="both"/>
      </w:pPr>
      <w:r>
        <w:rPr/>
        <w:t>Las remesas representan en los hogares que las reciben alrededor de la mitad del ingreso corriente monetario, hecho que les permite a sus integrantes acceder al  mercado de bienes y servicios para satisfacer sus necesidades. Muchos de estos hogares (alrededor del 40%) son altamente vulnerables ante la posible interrupción del flujo de remesas, ya que es su única fuente de ingresos y, en consecuencia, dependen totalmente de esos</w:t>
      </w:r>
      <w:r>
        <w:rPr>
          <w:spacing w:val="30"/>
        </w:rPr>
        <w:t> </w:t>
      </w:r>
      <w:r>
        <w:rPr/>
        <w:t>recursos.</w:t>
      </w:r>
    </w:p>
    <w:p>
      <w:pPr>
        <w:pStyle w:val="BodyText"/>
        <w:spacing w:before="4"/>
        <w:rPr>
          <w:sz w:val="17"/>
        </w:rPr>
      </w:pPr>
    </w:p>
    <w:p>
      <w:pPr>
        <w:pStyle w:val="BodyText"/>
        <w:ind w:left="101"/>
        <w:jc w:val="both"/>
      </w:pPr>
      <w:r>
        <w:rPr/>
        <w:t>(</w:t>
      </w:r>
      <w:hyperlink r:id="rId285">
        <w:r>
          <w:rPr/>
          <w:t>http://catarina.udlap.mx/u_dl_a/tales/documentos/lri/lestrade_s_r/capitulo4.pdf).</w:t>
        </w:r>
      </w:hyperlink>
    </w:p>
    <w:p>
      <w:pPr>
        <w:pStyle w:val="BodyText"/>
        <w:rPr>
          <w:sz w:val="22"/>
        </w:rPr>
      </w:pPr>
    </w:p>
    <w:p>
      <w:pPr>
        <w:pStyle w:val="BodyText"/>
        <w:rPr>
          <w:sz w:val="22"/>
        </w:rPr>
      </w:pPr>
    </w:p>
    <w:p>
      <w:pPr>
        <w:pStyle w:val="BodyText"/>
        <w:rPr>
          <w:sz w:val="22"/>
        </w:rPr>
      </w:pPr>
    </w:p>
    <w:p>
      <w:pPr>
        <w:pStyle w:val="BodyText"/>
        <w:spacing w:line="364" w:lineRule="auto" w:before="171"/>
        <w:ind w:left="101" w:right="104"/>
        <w:jc w:val="both"/>
      </w:pPr>
      <w:r>
        <w:rPr/>
        <w:t>Los datos de diversas encuestas en México brindan valiosos elementos para configurar un patrón general del destino de las</w:t>
      </w:r>
      <w:r>
        <w:rPr>
          <w:spacing w:val="50"/>
        </w:rPr>
        <w:t> </w:t>
      </w:r>
      <w:r>
        <w:rPr/>
        <w:t>remesas:</w:t>
      </w:r>
    </w:p>
    <w:p>
      <w:pPr>
        <w:pStyle w:val="BodyText"/>
        <w:spacing w:before="5"/>
        <w:rPr>
          <w:sz w:val="17"/>
        </w:rPr>
      </w:pPr>
    </w:p>
    <w:p>
      <w:pPr>
        <w:pStyle w:val="ListParagraph"/>
        <w:numPr>
          <w:ilvl w:val="0"/>
          <w:numId w:val="14"/>
        </w:numPr>
        <w:tabs>
          <w:tab w:pos="802" w:val="left" w:leader="none"/>
          <w:tab w:pos="803" w:val="left" w:leader="none"/>
        </w:tabs>
        <w:spacing w:line="357" w:lineRule="auto" w:before="0" w:after="0"/>
        <w:ind w:left="802" w:right="105" w:hanging="350"/>
        <w:jc w:val="left"/>
        <w:rPr>
          <w:sz w:val="23"/>
        </w:rPr>
      </w:pPr>
      <w:r>
        <w:rPr>
          <w:sz w:val="23"/>
        </w:rPr>
        <w:t>Los hogares dedican la mayoría de estos ingresos a la satisfacción de necesidades</w:t>
      </w:r>
      <w:r>
        <w:rPr>
          <w:spacing w:val="22"/>
          <w:sz w:val="23"/>
        </w:rPr>
        <w:t> </w:t>
      </w:r>
      <w:r>
        <w:rPr>
          <w:sz w:val="23"/>
        </w:rPr>
        <w:t>básicas;</w:t>
      </w:r>
    </w:p>
    <w:p>
      <w:pPr>
        <w:pStyle w:val="BodyText"/>
        <w:spacing w:before="1"/>
        <w:rPr>
          <w:sz w:val="18"/>
        </w:rPr>
      </w:pPr>
    </w:p>
    <w:p>
      <w:pPr>
        <w:pStyle w:val="ListParagraph"/>
        <w:numPr>
          <w:ilvl w:val="0"/>
          <w:numId w:val="14"/>
        </w:numPr>
        <w:tabs>
          <w:tab w:pos="802" w:val="left" w:leader="none"/>
          <w:tab w:pos="803" w:val="left" w:leader="none"/>
        </w:tabs>
        <w:spacing w:line="355" w:lineRule="auto" w:before="0" w:after="0"/>
        <w:ind w:left="802" w:right="109" w:hanging="350"/>
        <w:jc w:val="left"/>
        <w:rPr>
          <w:sz w:val="23"/>
        </w:rPr>
      </w:pPr>
      <w:r>
        <w:rPr>
          <w:sz w:val="23"/>
        </w:rPr>
        <w:t>EL siguiente rubro en importancia es el gasto en vivienda (compra, mejora, ampliación o</w:t>
      </w:r>
      <w:r>
        <w:rPr>
          <w:spacing w:val="25"/>
          <w:sz w:val="23"/>
        </w:rPr>
        <w:t> </w:t>
      </w:r>
      <w:r>
        <w:rPr>
          <w:sz w:val="23"/>
        </w:rPr>
        <w:t>construcción);</w:t>
      </w:r>
    </w:p>
    <w:p>
      <w:pPr>
        <w:pStyle w:val="BodyText"/>
        <w:spacing w:before="4"/>
        <w:rPr>
          <w:sz w:val="18"/>
        </w:rPr>
      </w:pPr>
    </w:p>
    <w:p>
      <w:pPr>
        <w:pStyle w:val="ListParagraph"/>
        <w:numPr>
          <w:ilvl w:val="0"/>
          <w:numId w:val="14"/>
        </w:numPr>
        <w:tabs>
          <w:tab w:pos="802" w:val="left" w:leader="none"/>
          <w:tab w:pos="803" w:val="left" w:leader="none"/>
        </w:tabs>
        <w:spacing w:line="357" w:lineRule="auto" w:before="0" w:after="0"/>
        <w:ind w:left="802" w:right="104" w:hanging="350"/>
        <w:jc w:val="left"/>
        <w:rPr>
          <w:sz w:val="23"/>
        </w:rPr>
      </w:pPr>
      <w:r>
        <w:rPr>
          <w:sz w:val="23"/>
        </w:rPr>
        <w:t>Una proporción menos significativa de los recursos es dedicada a la llamada inversión</w:t>
      </w:r>
      <w:r>
        <w:rPr>
          <w:spacing w:val="19"/>
          <w:sz w:val="23"/>
        </w:rPr>
        <w:t> </w:t>
      </w:r>
      <w:r>
        <w:rPr>
          <w:sz w:val="23"/>
        </w:rPr>
        <w:t>productiva.</w:t>
      </w:r>
    </w:p>
    <w:p>
      <w:pPr>
        <w:pStyle w:val="BodyText"/>
        <w:rPr>
          <w:sz w:val="18"/>
        </w:rPr>
      </w:pPr>
    </w:p>
    <w:p>
      <w:pPr>
        <w:pStyle w:val="BodyText"/>
        <w:spacing w:line="364" w:lineRule="auto"/>
        <w:ind w:left="101" w:right="105"/>
        <w:jc w:val="both"/>
      </w:pPr>
      <w:r>
        <w:rPr/>
        <w:t>Si bien este patrón impone límites al papel que puede desempeñar el flujo de remesas en el desarrollo, existe evidencia que indica que las remesas, particularmente los  ahorros acumulados por los hogares y los migrantes, han aportado cuantiosos recursos para el desarrollo de las comunidades y micro-regiones con tradición migratoria, con importantes efectos multiplicadores en la actividad económica local y </w:t>
      </w:r>
      <w:r>
        <w:rPr>
          <w:spacing w:val="21"/>
        </w:rPr>
        <w:t> </w:t>
      </w:r>
      <w:r>
        <w:rPr/>
        <w:t>regional</w:t>
      </w:r>
    </w:p>
    <w:p>
      <w:pPr>
        <w:pStyle w:val="BodyText"/>
        <w:spacing w:before="6"/>
        <w:rPr>
          <w:sz w:val="17"/>
        </w:rPr>
      </w:pPr>
    </w:p>
    <w:p>
      <w:pPr>
        <w:pStyle w:val="BodyText"/>
        <w:ind w:left="101"/>
        <w:jc w:val="both"/>
      </w:pPr>
      <w:hyperlink r:id="rId285">
        <w:r>
          <w:rPr/>
          <w:t>http://catarina.udlap.mx/u_dl_a/tales/documentos/lri/lestrade_s_r/capitulo4.pdf).</w:t>
        </w:r>
      </w:hyperlink>
    </w:p>
    <w:p>
      <w:pPr>
        <w:pStyle w:val="BodyText"/>
        <w:rPr>
          <w:sz w:val="22"/>
        </w:rPr>
      </w:pPr>
    </w:p>
    <w:p>
      <w:pPr>
        <w:pStyle w:val="BodyText"/>
        <w:rPr>
          <w:sz w:val="22"/>
        </w:rPr>
      </w:pPr>
    </w:p>
    <w:p>
      <w:pPr>
        <w:pStyle w:val="BodyText"/>
        <w:rPr>
          <w:sz w:val="22"/>
        </w:rPr>
      </w:pPr>
    </w:p>
    <w:p>
      <w:pPr>
        <w:pStyle w:val="BodyText"/>
        <w:spacing w:line="364" w:lineRule="auto" w:before="171"/>
        <w:ind w:left="101" w:right="102"/>
        <w:jc w:val="both"/>
      </w:pPr>
      <w:r>
        <w:rPr/>
        <w:t>Las remesas impactan así no sólo en la construcción de casa familiar, en la adquisición de terrenos o en proyectos de urbanización impulsados por dólares, sino que también</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se reflejan en cuanto esfuerzo colectivo coordinado entre los emigrados y quienes se quedan  (</w:t>
      </w:r>
      <w:hyperlink r:id="rId286">
        <w:r>
          <w:rPr/>
          <w:t>http://catarina.udlap.mx/u_dl_a/tales/documentos/lri/lestrade_s_r/capitulo4).</w:t>
        </w:r>
      </w:hyperlink>
    </w:p>
    <w:p>
      <w:pPr>
        <w:pStyle w:val="BodyText"/>
        <w:rPr>
          <w:sz w:val="22"/>
        </w:rPr>
      </w:pPr>
    </w:p>
    <w:p>
      <w:pPr>
        <w:pStyle w:val="BodyText"/>
        <w:spacing w:before="10"/>
        <w:rPr>
          <w:sz w:val="29"/>
        </w:rPr>
      </w:pPr>
    </w:p>
    <w:p>
      <w:pPr>
        <w:pStyle w:val="Heading2"/>
        <w:numPr>
          <w:ilvl w:val="0"/>
          <w:numId w:val="13"/>
        </w:numPr>
        <w:tabs>
          <w:tab w:pos="481" w:val="left" w:leader="none"/>
        </w:tabs>
        <w:spacing w:line="240" w:lineRule="auto" w:before="1" w:after="0"/>
        <w:ind w:left="480" w:right="0" w:hanging="379"/>
        <w:jc w:val="both"/>
      </w:pPr>
      <w:r>
        <w:rPr/>
        <w:t>REFERENCIAS</w:t>
      </w:r>
      <w:r>
        <w:rPr>
          <w:spacing w:val="9"/>
        </w:rPr>
        <w:t> </w:t>
      </w:r>
      <w:r>
        <w:rPr/>
        <w:t>BIBLIOGRÀFICAS</w:t>
      </w:r>
    </w:p>
    <w:p>
      <w:pPr>
        <w:pStyle w:val="BodyText"/>
        <w:rPr>
          <w:b/>
          <w:sz w:val="30"/>
        </w:rPr>
      </w:pPr>
    </w:p>
    <w:p>
      <w:pPr>
        <w:pStyle w:val="BodyText"/>
        <w:spacing w:before="11"/>
        <w:rPr>
          <w:b/>
          <w:sz w:val="32"/>
        </w:rPr>
      </w:pPr>
    </w:p>
    <w:p>
      <w:pPr>
        <w:pStyle w:val="BodyText"/>
        <w:ind w:left="101"/>
        <w:jc w:val="both"/>
      </w:pPr>
      <w:r>
        <w:rPr/>
        <w:t>Baines, D. 1991. Emigration from Europe, 1815-1930. London,  Macmillan.</w:t>
      </w:r>
    </w:p>
    <w:p>
      <w:pPr>
        <w:pStyle w:val="BodyText"/>
        <w:rPr>
          <w:sz w:val="22"/>
        </w:rPr>
      </w:pPr>
    </w:p>
    <w:p>
      <w:pPr>
        <w:pStyle w:val="BodyText"/>
        <w:spacing w:before="10"/>
        <w:rPr>
          <w:sz w:val="24"/>
        </w:rPr>
      </w:pPr>
    </w:p>
    <w:p>
      <w:pPr>
        <w:pStyle w:val="BodyText"/>
        <w:spacing w:line="367" w:lineRule="auto"/>
        <w:ind w:left="101" w:right="105"/>
        <w:jc w:val="both"/>
      </w:pPr>
      <w:r>
        <w:rPr/>
        <w:t>Instituto Nacional de Migración: </w:t>
      </w:r>
      <w:hyperlink r:id="rId287">
        <w:r>
          <w:rPr/>
          <w:t>http://www.inami.gob.mx/</w:t>
        </w:r>
      </w:hyperlink>
      <w:r>
        <w:rPr/>
        <w:t> Anónimo. </w:t>
      </w:r>
      <w:r>
        <w:rPr>
          <w:i/>
        </w:rPr>
        <w:t>Urbanización y </w:t>
      </w:r>
      <w:r>
        <w:rPr>
          <w:i/>
        </w:rPr>
        <w:t>migración. </w:t>
      </w:r>
      <w:r>
        <w:rPr/>
        <w:t>Tomado de: Biblioteca Digital: (</w:t>
      </w:r>
      <w:hyperlink r:id="rId288">
        <w:r>
          <w:rPr/>
          <w:t>http://biblioteca.itesm.mx/cgi-</w:t>
        </w:r>
      </w:hyperlink>
      <w:r>
        <w:rPr/>
        <w:t> bin/nav/salta?cual=www:28192).</w:t>
      </w:r>
    </w:p>
    <w:p>
      <w:pPr>
        <w:pStyle w:val="BodyText"/>
        <w:rPr>
          <w:sz w:val="22"/>
        </w:rPr>
      </w:pPr>
    </w:p>
    <w:p>
      <w:pPr>
        <w:pStyle w:val="BodyText"/>
        <w:spacing w:line="364" w:lineRule="auto" w:before="150"/>
        <w:ind w:left="101" w:right="105"/>
        <w:jc w:val="both"/>
      </w:pPr>
      <w:r>
        <w:rPr/>
        <w:t>Calvo, T. </w:t>
      </w:r>
      <w:r>
        <w:rPr>
          <w:i/>
        </w:rPr>
        <w:t>et al</w:t>
      </w:r>
      <w:r>
        <w:rPr/>
        <w:t>. 1993. Movimientos de población en el Occidente de México</w:t>
      </w:r>
      <w:r>
        <w:rPr>
          <w:i/>
        </w:rPr>
        <w:t>. </w:t>
      </w:r>
      <w:r>
        <w:rPr/>
        <w:t>Centre d’Études Mexicaines et Centramericaines (CEMCA). El Colegio de Michoacán.    México,</w:t>
      </w:r>
    </w:p>
    <w:p>
      <w:pPr>
        <w:pStyle w:val="BodyText"/>
        <w:spacing w:before="5"/>
        <w:ind w:left="101"/>
        <w:jc w:val="both"/>
      </w:pPr>
      <w:r>
        <w:rPr/>
        <w:t>D.F. Zamora, Michoacán, 372 p.</w:t>
      </w:r>
    </w:p>
    <w:p>
      <w:pPr>
        <w:pStyle w:val="BodyText"/>
        <w:rPr>
          <w:sz w:val="22"/>
        </w:rPr>
      </w:pPr>
    </w:p>
    <w:p>
      <w:pPr>
        <w:pStyle w:val="BodyText"/>
        <w:spacing w:before="10"/>
        <w:rPr>
          <w:sz w:val="24"/>
        </w:rPr>
      </w:pPr>
    </w:p>
    <w:p>
      <w:pPr>
        <w:pStyle w:val="BodyText"/>
        <w:spacing w:line="367" w:lineRule="auto"/>
        <w:ind w:left="101" w:right="105"/>
        <w:jc w:val="both"/>
      </w:pPr>
      <w:r>
        <w:rPr/>
        <w:t>Carrillo, L. 2003. Continuará la migración si no se consolida crecimiento</w:t>
      </w:r>
      <w:r>
        <w:rPr>
          <w:i/>
        </w:rPr>
        <w:t>. </w:t>
      </w:r>
      <w:r>
        <w:rPr/>
        <w:t>Terra, México, febrero   (Tomado de: </w:t>
      </w:r>
      <w:hyperlink r:id="rId289">
        <w:r>
          <w:rPr/>
          <w:t>http://biblioteca.itesm.mx/cgi-bin/nav/salta?cual=bases:24).</w:t>
        </w:r>
      </w:hyperlink>
    </w:p>
    <w:p>
      <w:pPr>
        <w:pStyle w:val="BodyText"/>
        <w:spacing w:line="364" w:lineRule="auto" w:before="2"/>
        <w:ind w:left="101" w:right="318"/>
      </w:pPr>
      <w:r>
        <w:rPr/>
        <w:t>CEBEC/CAINCO. 2006. Información del Fondo de las Naciones Unidas para la Población y CEPAL (2006)</w:t>
      </w:r>
      <w:r>
        <w:rPr>
          <w:spacing w:val="58"/>
        </w:rPr>
        <w:t> </w:t>
      </w:r>
      <w:r>
        <w:rPr/>
        <w:t>(http://www.ibce.org.bo).</w:t>
      </w:r>
    </w:p>
    <w:p>
      <w:pPr>
        <w:pStyle w:val="BodyText"/>
        <w:spacing w:before="10"/>
        <w:rPr>
          <w:sz w:val="20"/>
        </w:rPr>
      </w:pPr>
    </w:p>
    <w:p>
      <w:pPr>
        <w:pStyle w:val="BodyText"/>
        <w:spacing w:line="364" w:lineRule="auto"/>
        <w:ind w:left="101" w:right="103"/>
        <w:jc w:val="both"/>
      </w:pPr>
      <w:r>
        <w:rPr/>
        <w:t>Comisión Interamericana de Derechos Humanos (CIDH). 2005. (</w:t>
      </w:r>
      <w:hyperlink r:id="rId290">
        <w:r>
          <w:rPr/>
          <w:t>www.cidh.oas.org/Default.htm).</w:t>
        </w:r>
      </w:hyperlink>
      <w:r>
        <w:rPr/>
        <w:t> Publicado en Revista Futuros No 11.Vol. III (http://www.revistafuturos.info).</w:t>
      </w:r>
    </w:p>
    <w:p>
      <w:pPr>
        <w:pStyle w:val="BodyText"/>
        <w:rPr>
          <w:sz w:val="24"/>
        </w:rPr>
      </w:pPr>
    </w:p>
    <w:p>
      <w:pPr>
        <w:pStyle w:val="BodyText"/>
        <w:tabs>
          <w:tab w:pos="1716" w:val="left" w:leader="none"/>
          <w:tab w:pos="4018" w:val="left" w:leader="none"/>
          <w:tab w:pos="6581" w:val="left" w:leader="none"/>
          <w:tab w:pos="8405" w:val="left" w:leader="none"/>
        </w:tabs>
        <w:spacing w:line="364" w:lineRule="auto"/>
        <w:ind w:left="101" w:right="105"/>
        <w:jc w:val="both"/>
      </w:pPr>
      <w:r>
        <w:rPr/>
        <w:t>De la Rosa Mendoza J. R., Pérez S. A. A. y  Amayo L. R. 2006. Migración y remesas,   de</w:t>
        <w:tab/>
        <w:t>creciente</w:t>
        <w:tab/>
        <w:t>importancia</w:t>
        <w:tab/>
        <w:t>para</w:t>
        <w:tab/>
        <w:t>México. (</w:t>
      </w:r>
      <w:hyperlink r:id="rId291">
        <w:r>
          <w:rPr/>
          <w:t>http://www.eumed.net/cursecon/ecolat/mx/2006.htm).</w:t>
        </w:r>
      </w:hyperlink>
    </w:p>
    <w:p>
      <w:pPr>
        <w:pStyle w:val="BodyText"/>
        <w:rPr>
          <w:sz w:val="24"/>
        </w:rPr>
      </w:pPr>
    </w:p>
    <w:p>
      <w:pPr>
        <w:pStyle w:val="BodyText"/>
        <w:spacing w:line="364" w:lineRule="auto"/>
        <w:ind w:left="101" w:right="105"/>
        <w:jc w:val="both"/>
      </w:pPr>
      <w:r>
        <w:rPr/>
        <w:t>Easterlin, R. 1961. Influences on European overseas emigration before world war I. National Bureau of Economic Research.</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tabs>
          <w:tab w:pos="1680" w:val="left" w:leader="none"/>
          <w:tab w:pos="2691" w:val="left" w:leader="none"/>
          <w:tab w:pos="4051" w:val="left" w:leader="none"/>
          <w:tab w:pos="5816" w:val="left" w:leader="none"/>
          <w:tab w:pos="6852" w:val="left" w:leader="none"/>
          <w:tab w:pos="8449" w:val="left" w:leader="none"/>
        </w:tabs>
        <w:spacing w:before="74"/>
        <w:ind w:left="101"/>
        <w:jc w:val="both"/>
      </w:pPr>
      <w:r>
        <w:rPr/>
        <w:t>Egremy</w:t>
        <w:tab/>
        <w:t>N.</w:t>
        <w:tab/>
        <w:t>2007.</w:t>
        <w:tab/>
        <w:t>Remesas</w:t>
        <w:tab/>
        <w:t>un</w:t>
        <w:tab/>
        <w:t>negocio</w:t>
        <w:tab/>
        <w:t>privado</w:t>
      </w:r>
    </w:p>
    <w:p>
      <w:pPr>
        <w:spacing w:line="364" w:lineRule="auto" w:before="134"/>
        <w:ind w:left="101" w:right="102" w:firstLine="0"/>
        <w:jc w:val="left"/>
        <w:rPr>
          <w:i/>
          <w:sz w:val="23"/>
        </w:rPr>
      </w:pPr>
      <w:r>
        <w:rPr>
          <w:i/>
          <w:sz w:val="23"/>
        </w:rPr>
        <w:t>(</w:t>
      </w:r>
      <w:hyperlink r:id="rId292">
        <w:r>
          <w:rPr>
            <w:i/>
            <w:sz w:val="23"/>
          </w:rPr>
          <w:t>http://revistafortuna.com.mx/2007/octubre/htm/Remesas_Negocio_Privado.htm).</w:t>
        </w:r>
      </w:hyperlink>
      <w:r>
        <w:rPr>
          <w:i/>
          <w:sz w:val="23"/>
        </w:rPr>
        <w:t> </w:t>
      </w:r>
      <w:r>
        <w:rPr>
          <w:i/>
          <w:sz w:val="23"/>
        </w:rPr>
        <w:t>Revisado 15/dic/2009.</w:t>
      </w:r>
    </w:p>
    <w:p>
      <w:pPr>
        <w:pStyle w:val="BodyText"/>
        <w:spacing w:before="5"/>
        <w:rPr>
          <w:i/>
          <w:sz w:val="24"/>
        </w:rPr>
      </w:pPr>
    </w:p>
    <w:p>
      <w:pPr>
        <w:pStyle w:val="BodyText"/>
        <w:tabs>
          <w:tab w:pos="2928" w:val="left" w:leader="none"/>
          <w:tab w:pos="6142" w:val="left" w:leader="none"/>
          <w:tab w:pos="7954" w:val="left" w:leader="none"/>
        </w:tabs>
        <w:spacing w:line="364" w:lineRule="auto"/>
        <w:ind w:left="101" w:right="102"/>
        <w:jc w:val="both"/>
      </w:pPr>
      <w:r>
        <w:rPr/>
        <w:t>Fernández, R. (2005) “Migraciones y remesas en el contexto de la globalización” 46va Reunión de la Junta de Gobernadores del Banco Inter-Americano de Desarrollo y de la Corporación</w:t>
        <w:tab/>
        <w:t>Inter-Americana</w:t>
        <w:tab/>
        <w:t>de</w:t>
        <w:tab/>
        <w:t>Inversiones. (</w:t>
      </w:r>
      <w:hyperlink r:id="rId293">
        <w:r>
          <w:rPr/>
          <w:t>http://www.cainco.org.bo/publicaciones/EstudioMigracionAspectosSocialesyEconomico</w:t>
        </w:r>
      </w:hyperlink>
      <w:r>
        <w:rPr/>
        <w:t> sCEBEC-CAIN.pdf)</w:t>
      </w:r>
    </w:p>
    <w:p>
      <w:pPr>
        <w:pStyle w:val="BodyText"/>
        <w:spacing w:before="2"/>
        <w:rPr>
          <w:sz w:val="24"/>
        </w:rPr>
      </w:pPr>
    </w:p>
    <w:p>
      <w:pPr>
        <w:pStyle w:val="BodyText"/>
        <w:spacing w:line="364" w:lineRule="auto"/>
        <w:ind w:left="101" w:right="105"/>
        <w:jc w:val="both"/>
      </w:pPr>
      <w:r>
        <w:rPr/>
        <w:t>Naciones Unidas División de Población. 2000. Replacement Migration ? Is it a Solution  to Declining and Aging Population? New York: United </w:t>
      </w:r>
      <w:r>
        <w:rPr>
          <w:spacing w:val="4"/>
        </w:rPr>
        <w:t> </w:t>
      </w:r>
      <w:r>
        <w:rPr/>
        <w:t>Nations.</w:t>
      </w:r>
    </w:p>
    <w:p>
      <w:pPr>
        <w:pStyle w:val="BodyText"/>
        <w:spacing w:before="7"/>
        <w:rPr>
          <w:sz w:val="20"/>
        </w:rPr>
      </w:pPr>
    </w:p>
    <w:p>
      <w:pPr>
        <w:pStyle w:val="BodyText"/>
        <w:spacing w:before="1"/>
        <w:ind w:left="101"/>
        <w:jc w:val="both"/>
      </w:pPr>
      <w:r>
        <w:rPr/>
        <w:t>Naciones Unidas . 2002. Internacional Migration Chart, New York. United  Nations.</w:t>
      </w:r>
    </w:p>
    <w:p>
      <w:pPr>
        <w:pStyle w:val="BodyText"/>
        <w:spacing w:before="1"/>
        <w:rPr>
          <w:sz w:val="32"/>
        </w:rPr>
      </w:pPr>
    </w:p>
    <w:p>
      <w:pPr>
        <w:spacing w:line="367" w:lineRule="auto" w:before="0"/>
        <w:ind w:left="101" w:right="107" w:firstLine="0"/>
        <w:jc w:val="both"/>
        <w:rPr>
          <w:sz w:val="23"/>
        </w:rPr>
      </w:pPr>
      <w:r>
        <w:rPr>
          <w:sz w:val="23"/>
        </w:rPr>
        <w:t>López C. G.1990. </w:t>
      </w:r>
      <w:r>
        <w:rPr>
          <w:i/>
          <w:sz w:val="23"/>
        </w:rPr>
        <w:t>Migración en el Occidente de México. </w:t>
      </w:r>
      <w:r>
        <w:rPr>
          <w:sz w:val="23"/>
        </w:rPr>
        <w:t>El Colegio de Michoacán, Zamora, Michoacán, 280 p.</w:t>
      </w:r>
    </w:p>
    <w:p>
      <w:pPr>
        <w:pStyle w:val="BodyText"/>
        <w:spacing w:before="5"/>
        <w:rPr>
          <w:sz w:val="20"/>
        </w:rPr>
      </w:pPr>
    </w:p>
    <w:p>
      <w:pPr>
        <w:spacing w:line="364" w:lineRule="auto" w:before="0"/>
        <w:ind w:left="101" w:right="105" w:firstLine="0"/>
        <w:jc w:val="both"/>
        <w:rPr>
          <w:sz w:val="23"/>
        </w:rPr>
      </w:pPr>
      <w:r>
        <w:rPr>
          <w:sz w:val="23"/>
        </w:rPr>
        <w:t>López C. G. 1994. </w:t>
      </w:r>
      <w:r>
        <w:rPr>
          <w:i/>
          <w:sz w:val="23"/>
        </w:rPr>
        <w:t>La casa dividida; un estudio de caso sobre la migración a Estados </w:t>
      </w:r>
      <w:r>
        <w:rPr>
          <w:i/>
          <w:sz w:val="23"/>
        </w:rPr>
        <w:t>Unidos en un pueblo michoacano. </w:t>
      </w:r>
      <w:r>
        <w:rPr>
          <w:sz w:val="23"/>
        </w:rPr>
        <w:t>El Colegio de Michoacán, Zamora, Michoacán, 169 pp.</w:t>
      </w:r>
    </w:p>
    <w:p>
      <w:pPr>
        <w:pStyle w:val="BodyText"/>
        <w:spacing w:before="5"/>
        <w:rPr>
          <w:sz w:val="20"/>
        </w:rPr>
      </w:pPr>
    </w:p>
    <w:p>
      <w:pPr>
        <w:pStyle w:val="BodyText"/>
        <w:spacing w:line="283" w:lineRule="auto"/>
        <w:ind w:left="101" w:right="108"/>
        <w:jc w:val="both"/>
      </w:pPr>
      <w:r>
        <w:rPr/>
        <w:t>Ortega R. C. y Ochoa B. R. 2004. Migración y remesas en México. Claridades Agropecuarias No. 129:3-27.  (</w:t>
      </w:r>
      <w:hyperlink r:id="rId294">
        <w:r>
          <w:rPr/>
          <w:t>http://www.infoaserca.gob.mx/claridades/revistas/129).</w:t>
        </w:r>
      </w:hyperlink>
    </w:p>
    <w:p>
      <w:pPr>
        <w:pStyle w:val="BodyText"/>
        <w:spacing w:before="10"/>
        <w:rPr>
          <w:sz w:val="19"/>
        </w:rPr>
      </w:pPr>
    </w:p>
    <w:p>
      <w:pPr>
        <w:spacing w:line="367" w:lineRule="auto" w:before="0"/>
        <w:ind w:left="101" w:right="103" w:firstLine="0"/>
        <w:jc w:val="both"/>
        <w:rPr>
          <w:sz w:val="23"/>
        </w:rPr>
      </w:pPr>
      <w:r>
        <w:rPr>
          <w:sz w:val="23"/>
        </w:rPr>
        <w:t>Rionda R. L. M. 1992. </w:t>
      </w:r>
      <w:r>
        <w:rPr>
          <w:i/>
          <w:sz w:val="23"/>
        </w:rPr>
        <w:t>Y jalaron pa’l norte… Migración, agrarismo y agricultura en </w:t>
      </w:r>
      <w:r>
        <w:rPr>
          <w:i/>
          <w:sz w:val="23"/>
        </w:rPr>
        <w:t>pueblos michoacanos. </w:t>
      </w:r>
      <w:r>
        <w:rPr>
          <w:sz w:val="23"/>
        </w:rPr>
        <w:t>Instituto Nacional de Antropología e Historia, El Colegio de Michoacán, México, D.F. 303</w:t>
      </w:r>
      <w:r>
        <w:rPr>
          <w:spacing w:val="35"/>
          <w:sz w:val="23"/>
        </w:rPr>
        <w:t> </w:t>
      </w:r>
      <w:r>
        <w:rPr>
          <w:sz w:val="23"/>
        </w:rPr>
        <w:t>p.</w:t>
      </w:r>
    </w:p>
    <w:p>
      <w:pPr>
        <w:pStyle w:val="BodyText"/>
        <w:spacing w:before="2"/>
        <w:rPr>
          <w:sz w:val="20"/>
        </w:rPr>
      </w:pPr>
    </w:p>
    <w:p>
      <w:pPr>
        <w:pStyle w:val="BodyText"/>
        <w:spacing w:line="283" w:lineRule="auto" w:before="1"/>
        <w:ind w:left="101" w:right="105"/>
        <w:jc w:val="both"/>
      </w:pPr>
      <w:r>
        <w:rPr/>
        <w:t>Simon, J. 1994. “On the Economic Consequences of Immigration: Lessons from Immigration Policies.” In Economic Aspects of International Migration, edited by Herbert Giersch. Berlin: Springer- Verlag, 223 p.</w:t>
      </w:r>
    </w:p>
    <w:p>
      <w:pPr>
        <w:pStyle w:val="BodyText"/>
        <w:rPr>
          <w:sz w:val="22"/>
        </w:rPr>
      </w:pPr>
    </w:p>
    <w:p>
      <w:pPr>
        <w:pStyle w:val="BodyText"/>
        <w:spacing w:before="10"/>
        <w:rPr>
          <w:sz w:val="29"/>
        </w:rPr>
      </w:pPr>
    </w:p>
    <w:p>
      <w:pPr>
        <w:pStyle w:val="BodyText"/>
        <w:ind w:left="101"/>
        <w:jc w:val="both"/>
      </w:pPr>
      <w:r>
        <w:rPr/>
        <w:t>SOPEMI, 1997. Trends in International Migration. Paris.  OECD.</w:t>
      </w:r>
    </w:p>
    <w:p>
      <w:pPr>
        <w:spacing w:after="0"/>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before="74"/>
        <w:ind w:left="101"/>
        <w:jc w:val="both"/>
      </w:pPr>
      <w:r>
        <w:rPr/>
        <w:t>Suárez Núñez del Prado  David. 2006. Migración: aspectos sociales y  económicos.</w:t>
      </w:r>
    </w:p>
    <w:p>
      <w:pPr>
        <w:pStyle w:val="BodyText"/>
        <w:spacing w:before="7"/>
        <w:rPr>
          <w:sz w:val="30"/>
        </w:rPr>
      </w:pPr>
    </w:p>
    <w:p>
      <w:pPr>
        <w:pStyle w:val="BodyText"/>
        <w:spacing w:line="280" w:lineRule="auto"/>
        <w:ind w:left="101" w:right="105"/>
        <w:jc w:val="both"/>
      </w:pPr>
      <w:r>
        <w:rPr/>
        <w:t>Stalker, P. 2001. The No-Nonsense Guide to International Migration. Oxford: New Internationalist Publications; Stalker, Peter. 2000. Workers Without Frontiers:  The  Impact of Globalization on International Migration. Boulder. CO.  Lynne  Rienner Publisher, pp.</w:t>
      </w:r>
      <w:r>
        <w:rPr>
          <w:spacing w:val="23"/>
        </w:rPr>
        <w:t> </w:t>
      </w:r>
      <w:r>
        <w:rPr/>
        <w:t>84-90.</w:t>
      </w:r>
    </w:p>
    <w:p>
      <w:pPr>
        <w:pStyle w:val="BodyText"/>
        <w:rPr>
          <w:sz w:val="27"/>
        </w:rPr>
      </w:pPr>
    </w:p>
    <w:p>
      <w:pPr>
        <w:pStyle w:val="BodyText"/>
        <w:spacing w:line="278" w:lineRule="auto"/>
        <w:ind w:left="101" w:right="106"/>
        <w:jc w:val="both"/>
      </w:pPr>
      <w:r>
        <w:rPr/>
        <w:t>Smith, J. y Garry E. 1997. The New Americans: Economic, Demographic, and Fiscal Effects of Immigration. National Academy</w:t>
      </w:r>
      <w:r>
        <w:rPr>
          <w:spacing w:val="51"/>
        </w:rPr>
        <w:t> </w:t>
      </w:r>
      <w:r>
        <w:rPr/>
        <w:t>Press.</w:t>
      </w:r>
    </w:p>
    <w:p>
      <w:pPr>
        <w:pStyle w:val="BodyText"/>
        <w:rPr>
          <w:sz w:val="27"/>
        </w:rPr>
      </w:pPr>
    </w:p>
    <w:p>
      <w:pPr>
        <w:pStyle w:val="BodyText"/>
        <w:spacing w:line="283" w:lineRule="auto"/>
        <w:ind w:left="101" w:right="105"/>
        <w:jc w:val="both"/>
      </w:pPr>
      <w:r>
        <w:rPr/>
        <w:t>Stephen C. y Mark J. M. 1998. The Age of Migration (2nd edition). New York: The  Guilford Press, pp.</w:t>
      </w:r>
      <w:r>
        <w:rPr>
          <w:spacing w:val="28"/>
        </w:rPr>
        <w:t> </w:t>
      </w:r>
      <w:r>
        <w:rPr/>
        <w:t>166.</w:t>
      </w:r>
    </w:p>
    <w:p>
      <w:pPr>
        <w:pStyle w:val="BodyText"/>
        <w:spacing w:before="7"/>
        <w:rPr>
          <w:sz w:val="26"/>
        </w:rPr>
      </w:pPr>
    </w:p>
    <w:p>
      <w:pPr>
        <w:pStyle w:val="BodyText"/>
        <w:spacing w:line="280" w:lineRule="auto"/>
        <w:ind w:left="101" w:right="105"/>
        <w:jc w:val="both"/>
      </w:pPr>
      <w:r>
        <w:rPr/>
        <w:t>Tapinos, G. 1993. The Macroeconomic Impact of Immigration: Review of the Literature Published Since the Mid 1970s, in Trends in International Migration. Paris: OECD, pp, 157-77.</w:t>
      </w:r>
    </w:p>
    <w:p>
      <w:pPr>
        <w:pStyle w:val="BodyText"/>
        <w:spacing w:before="9"/>
        <w:rPr>
          <w:sz w:val="26"/>
        </w:rPr>
      </w:pPr>
    </w:p>
    <w:p>
      <w:pPr>
        <w:pStyle w:val="BodyText"/>
        <w:spacing w:line="280" w:lineRule="auto"/>
        <w:ind w:left="101" w:right="102"/>
      </w:pPr>
      <w:r>
        <w:rPr/>
        <w:t>Weiner, M. 1995. The Global Migration Crisis: Challenges to States and Human Rights. New York: Harper Collins College Publisher, pp. 140-144. (</w:t>
      </w:r>
      <w:hyperlink r:id="rId296">
        <w:r>
          <w:rPr/>
          <w:t>http://www.conectando.org.sv/Estrategia/Migracion.htm).</w:t>
        </w:r>
      </w:hyperlink>
    </w:p>
    <w:p>
      <w:pPr>
        <w:pStyle w:val="BodyText"/>
        <w:rPr>
          <w:sz w:val="22"/>
        </w:rPr>
      </w:pPr>
    </w:p>
    <w:p>
      <w:pPr>
        <w:pStyle w:val="BodyText"/>
        <w:spacing w:before="1"/>
        <w:rPr>
          <w:sz w:val="21"/>
        </w:rPr>
      </w:pPr>
    </w:p>
    <w:p>
      <w:pPr>
        <w:pStyle w:val="BodyText"/>
        <w:spacing w:line="528" w:lineRule="auto"/>
        <w:ind w:left="101" w:right="5188"/>
      </w:pPr>
      <w:hyperlink r:id="rId297">
        <w:r>
          <w:rPr/>
          <w:t>www.revistafortuna.com.mx</w:t>
        </w:r>
      </w:hyperlink>
      <w:r>
        <w:rPr/>
        <w:t> </w:t>
      </w:r>
      <w:hyperlink r:id="rId298">
        <w:r>
          <w:rPr/>
          <w:t>www.revistafutura.com.mx</w:t>
        </w:r>
      </w:hyperlink>
    </w:p>
    <w:p>
      <w:pPr>
        <w:pStyle w:val="BodyText"/>
        <w:spacing w:before="8"/>
        <w:ind w:left="101"/>
        <w:jc w:val="both"/>
      </w:pPr>
      <w:r>
        <w:rPr/>
        <w:t>(</w:t>
      </w:r>
      <w:hyperlink r:id="rId285">
        <w:r>
          <w:rPr/>
          <w:t>http://catarina.udlap.mx/u_dl_a/tales/documentos/lri/lestrade_s_r/capitulo4.pdf)</w:t>
        </w:r>
      </w:hyperlink>
    </w:p>
    <w:p>
      <w:pPr>
        <w:spacing w:after="0"/>
        <w:jc w:val="both"/>
        <w:sectPr>
          <w:footerReference w:type="default" r:id="rId295"/>
          <w:pgSz w:w="11900" w:h="16840"/>
          <w:pgMar w:footer="1679" w:header="0" w:top="1600" w:bottom="1860" w:left="1300" w:right="1280"/>
          <w:pgNumType w:start="230"/>
        </w:sectPr>
      </w:pPr>
    </w:p>
    <w:p>
      <w:pPr>
        <w:pStyle w:val="BodyText"/>
        <w:rPr>
          <w:sz w:val="20"/>
        </w:rPr>
      </w:pPr>
    </w:p>
    <w:p>
      <w:pPr>
        <w:pStyle w:val="BodyText"/>
        <w:spacing w:before="6"/>
        <w:rPr>
          <w:sz w:val="19"/>
        </w:rPr>
      </w:pPr>
    </w:p>
    <w:p>
      <w:pPr>
        <w:pStyle w:val="Heading1"/>
        <w:numPr>
          <w:ilvl w:val="2"/>
          <w:numId w:val="11"/>
        </w:numPr>
        <w:tabs>
          <w:tab w:pos="757" w:val="left" w:leader="none"/>
        </w:tabs>
        <w:spacing w:line="360" w:lineRule="auto" w:before="55" w:after="0"/>
        <w:ind w:left="548" w:right="369" w:hanging="183"/>
        <w:jc w:val="left"/>
      </w:pPr>
      <w:r>
        <w:rPr/>
        <w:t>MIGRACIÓN Y REMESAS: ALGUNOS ASPECTOS DEL IMPACTO MICRO Y MACROECONÓMICO</w:t>
      </w:r>
      <w:r>
        <w:rPr>
          <w:spacing w:val="2"/>
        </w:rPr>
        <w:t> </w:t>
      </w:r>
      <w:r>
        <w:rPr/>
        <w:t>EN</w:t>
      </w:r>
    </w:p>
    <w:p>
      <w:pPr>
        <w:spacing w:before="7"/>
        <w:ind w:left="345" w:right="350" w:firstLine="0"/>
        <w:jc w:val="center"/>
        <w:rPr>
          <w:b/>
          <w:sz w:val="35"/>
        </w:rPr>
      </w:pPr>
      <w:r>
        <w:rPr>
          <w:b/>
          <w:sz w:val="35"/>
        </w:rPr>
        <w:t>MÉXICO</w:t>
      </w:r>
    </w:p>
    <w:p>
      <w:pPr>
        <w:pStyle w:val="BodyText"/>
        <w:rPr>
          <w:b/>
          <w:sz w:val="34"/>
        </w:rPr>
      </w:pPr>
    </w:p>
    <w:p>
      <w:pPr>
        <w:pStyle w:val="Heading4"/>
        <w:spacing w:before="200"/>
        <w:ind w:left="345" w:right="350"/>
        <w:jc w:val="center"/>
      </w:pPr>
      <w:r>
        <w:rPr/>
        <w:t>Jesús Loera Martínez</w:t>
      </w:r>
    </w:p>
    <w:p>
      <w:pPr>
        <w:spacing w:before="126"/>
        <w:ind w:left="345" w:right="348" w:firstLine="0"/>
        <w:jc w:val="center"/>
        <w:rPr>
          <w:sz w:val="19"/>
        </w:rPr>
      </w:pPr>
      <w:r>
        <w:rPr>
          <w:sz w:val="19"/>
        </w:rPr>
        <w:t>Universidad Autónoma Chapingo.  jloeramtz2004@yahoo,  com.mx;  </w:t>
      </w:r>
      <w:hyperlink r:id="rId20">
        <w:r>
          <w:rPr>
            <w:sz w:val="19"/>
          </w:rPr>
          <w:t>jloeramtz2004@gmail.com</w:t>
        </w:r>
      </w:hyperlink>
    </w:p>
    <w:p>
      <w:pPr>
        <w:pStyle w:val="BodyText"/>
        <w:spacing w:before="10"/>
        <w:rPr>
          <w:sz w:val="19"/>
        </w:rPr>
      </w:pPr>
    </w:p>
    <w:p>
      <w:pPr>
        <w:pStyle w:val="Heading4"/>
        <w:ind w:left="345" w:right="352"/>
        <w:jc w:val="center"/>
      </w:pPr>
      <w:r>
        <w:rPr/>
        <w:t>Esther Figueroa Hernández</w:t>
      </w:r>
    </w:p>
    <w:p>
      <w:pPr>
        <w:spacing w:before="128"/>
        <w:ind w:left="345" w:right="353" w:firstLine="0"/>
        <w:jc w:val="center"/>
        <w:rPr>
          <w:sz w:val="19"/>
        </w:rPr>
      </w:pPr>
      <w:r>
        <w:rPr>
          <w:sz w:val="19"/>
        </w:rPr>
        <w:t>Universidad Autónoma del Estado de México,   </w:t>
      </w:r>
      <w:hyperlink r:id="rId17">
        <w:r>
          <w:rPr>
            <w:sz w:val="19"/>
          </w:rPr>
          <w:t>esfigue_3@yahoo.com.mx</w:t>
        </w:r>
      </w:hyperlink>
    </w:p>
    <w:p>
      <w:pPr>
        <w:pStyle w:val="BodyText"/>
        <w:spacing w:before="5"/>
        <w:rPr>
          <w:sz w:val="19"/>
        </w:rPr>
      </w:pPr>
    </w:p>
    <w:p>
      <w:pPr>
        <w:pStyle w:val="Heading4"/>
        <w:ind w:left="345" w:right="350"/>
        <w:jc w:val="center"/>
      </w:pPr>
      <w:r>
        <w:rPr/>
        <w:t>Daniel Sepúlveda Jiménez</w:t>
      </w:r>
    </w:p>
    <w:p>
      <w:pPr>
        <w:spacing w:before="128"/>
        <w:ind w:left="345" w:right="350" w:firstLine="0"/>
        <w:jc w:val="center"/>
        <w:rPr>
          <w:sz w:val="19"/>
        </w:rPr>
      </w:pPr>
      <w:r>
        <w:rPr>
          <w:sz w:val="19"/>
        </w:rPr>
        <w:t>Universidad  Autónoma  Chapingo, </w:t>
      </w:r>
      <w:hyperlink r:id="rId299">
        <w:r>
          <w:rPr>
            <w:sz w:val="19"/>
          </w:rPr>
          <w:t>sepjim700@yahoo.com.mx</w:t>
        </w:r>
      </w:hyperlink>
    </w:p>
    <w:p>
      <w:pPr>
        <w:pStyle w:val="BodyText"/>
        <w:spacing w:before="10"/>
        <w:rPr>
          <w:sz w:val="19"/>
        </w:rPr>
      </w:pPr>
    </w:p>
    <w:p>
      <w:pPr>
        <w:pStyle w:val="Heading4"/>
        <w:ind w:left="345" w:right="353"/>
        <w:jc w:val="center"/>
      </w:pPr>
      <w:r>
        <w:rPr/>
        <w:t>Francisco Pérez Soto</w:t>
      </w:r>
    </w:p>
    <w:p>
      <w:pPr>
        <w:spacing w:before="126"/>
        <w:ind w:left="345" w:right="348" w:firstLine="0"/>
        <w:jc w:val="center"/>
        <w:rPr>
          <w:sz w:val="19"/>
        </w:rPr>
      </w:pPr>
      <w:r>
        <w:rPr>
          <w:sz w:val="19"/>
        </w:rPr>
        <w:t>Universidad  Autónoma  Chapingo, </w:t>
      </w:r>
      <w:hyperlink r:id="rId19">
        <w:r>
          <w:rPr>
            <w:sz w:val="19"/>
          </w:rPr>
          <w:t>perezsotof@hotmail.com</w:t>
        </w:r>
      </w:hyperlink>
    </w:p>
    <w:p>
      <w:pPr>
        <w:pStyle w:val="Heading4"/>
        <w:spacing w:before="118"/>
        <w:ind w:left="345" w:right="351"/>
        <w:jc w:val="center"/>
      </w:pPr>
      <w:r>
        <w:rPr/>
        <w:t>Orsohe Ramírez Abarca</w:t>
      </w:r>
    </w:p>
    <w:p>
      <w:pPr>
        <w:spacing w:before="126"/>
        <w:ind w:left="345" w:right="348" w:firstLine="0"/>
        <w:jc w:val="center"/>
        <w:rPr>
          <w:sz w:val="19"/>
        </w:rPr>
      </w:pPr>
      <w:r>
        <w:rPr>
          <w:sz w:val="19"/>
        </w:rPr>
        <w:t>Universidad Autónoma del Estado de México,   </w:t>
      </w:r>
      <w:hyperlink r:id="rId300">
        <w:r>
          <w:rPr>
            <w:sz w:val="19"/>
          </w:rPr>
          <w:t>orsohe@yahoo.com.mx</w:t>
        </w:r>
      </w:hyperlink>
    </w:p>
    <w:p>
      <w:pPr>
        <w:pStyle w:val="BodyText"/>
        <w:spacing w:before="7"/>
        <w:rPr>
          <w:sz w:val="19"/>
        </w:rPr>
      </w:pPr>
    </w:p>
    <w:p>
      <w:pPr>
        <w:pStyle w:val="Heading4"/>
        <w:spacing w:before="1"/>
        <w:ind w:left="345" w:right="351"/>
        <w:jc w:val="center"/>
      </w:pPr>
      <w:r>
        <w:rPr/>
        <w:t>Gerónimo Barrios Puente</w:t>
      </w:r>
    </w:p>
    <w:p>
      <w:pPr>
        <w:spacing w:before="126"/>
        <w:ind w:left="345" w:right="353" w:firstLine="0"/>
        <w:jc w:val="center"/>
        <w:rPr>
          <w:sz w:val="19"/>
        </w:rPr>
      </w:pPr>
      <w:r>
        <w:rPr>
          <w:sz w:val="19"/>
        </w:rPr>
        <w:t>Universidad  Autónoma  Chapingo, </w:t>
      </w:r>
      <w:hyperlink r:id="rId139">
        <w:r>
          <w:rPr>
            <w:sz w:val="19"/>
          </w:rPr>
          <w:t>gbarrios@yahoo.com.mx</w:t>
        </w:r>
      </w:hyperlink>
    </w:p>
    <w:p>
      <w:pPr>
        <w:pStyle w:val="BodyText"/>
        <w:rPr>
          <w:sz w:val="18"/>
        </w:rPr>
      </w:pPr>
    </w:p>
    <w:p>
      <w:pPr>
        <w:pStyle w:val="BodyText"/>
        <w:rPr>
          <w:sz w:val="18"/>
        </w:rPr>
      </w:pPr>
    </w:p>
    <w:p>
      <w:pPr>
        <w:pStyle w:val="BodyText"/>
        <w:spacing w:before="7"/>
        <w:rPr>
          <w:sz w:val="16"/>
        </w:rPr>
      </w:pPr>
    </w:p>
    <w:p>
      <w:pPr>
        <w:pStyle w:val="ListParagraph"/>
        <w:numPr>
          <w:ilvl w:val="0"/>
          <w:numId w:val="15"/>
        </w:numPr>
        <w:tabs>
          <w:tab w:pos="361" w:val="left" w:leader="none"/>
        </w:tabs>
        <w:spacing w:line="240" w:lineRule="auto" w:before="0" w:after="0"/>
        <w:ind w:left="360" w:right="0" w:hanging="259"/>
        <w:jc w:val="both"/>
        <w:rPr>
          <w:b/>
          <w:sz w:val="31"/>
        </w:rPr>
      </w:pPr>
      <w:r>
        <w:rPr>
          <w:b/>
          <w:sz w:val="31"/>
        </w:rPr>
        <w:t>INTRODUCCIÓN</w:t>
      </w:r>
    </w:p>
    <w:p>
      <w:pPr>
        <w:pStyle w:val="BodyText"/>
        <w:rPr>
          <w:b/>
          <w:sz w:val="30"/>
        </w:rPr>
      </w:pPr>
    </w:p>
    <w:p>
      <w:pPr>
        <w:pStyle w:val="BodyText"/>
        <w:spacing w:line="364" w:lineRule="auto" w:before="201"/>
        <w:ind w:left="101" w:right="105"/>
        <w:jc w:val="both"/>
      </w:pPr>
      <w:r>
        <w:rPr/>
        <w:t>El escaso dinamismo de la economía mexicana, su baja capacidad de absorción de mano de obra y las consecuentes altas tasas de desempleo registradas en los últimos años, han propiciado la expulsión de personas económicamente activas hacia Estados Unidos de Norteamérica.</w:t>
      </w:r>
    </w:p>
    <w:p>
      <w:pPr>
        <w:pStyle w:val="BodyText"/>
        <w:spacing w:before="4"/>
        <w:rPr>
          <w:sz w:val="17"/>
        </w:rPr>
      </w:pPr>
    </w:p>
    <w:p>
      <w:pPr>
        <w:pStyle w:val="BodyText"/>
        <w:spacing w:line="364" w:lineRule="auto"/>
        <w:ind w:left="101" w:right="104"/>
        <w:jc w:val="both"/>
      </w:pPr>
      <w:r>
        <w:rPr/>
        <w:t>La búsqueda de oportunidades para procurar un mejor nivel de vida, ha dado lugar en nuestro país a un proceso migratorio de dimensiones sociales y económicas insospechadas: México se ha convertido en una de las principales potencias mundiales exportadoras de mano de obra hacia los Estados Unidos de Norteamérica, y las divisas captadas por concepto de las remesas que envían los emigrantes hacia sus familiares  en México, tienen una importancia económica y social </w:t>
      </w:r>
      <w:r>
        <w:rPr>
          <w:spacing w:val="7"/>
        </w:rPr>
        <w:t> </w:t>
      </w:r>
      <w:r>
        <w:rPr/>
        <w:t>creciente.</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Durante varios años, México ha sido el primer expulsor de mano de  obra  a  nivel mundial y, en el 2008, el tercer destino de remesas en el mundo, después de la India y China. De acuerdo con datos del Banco de México (2009), durante 2008  el  flujo  mundial de remesas ascendió a 433 mil millones de dólares, de  los cuales la India  captó 51,974 mdd, seguido por China con 40,641 y en tercer lugar México con 25,145 millones de</w:t>
      </w:r>
      <w:r>
        <w:rPr>
          <w:spacing w:val="18"/>
        </w:rPr>
        <w:t> </w:t>
      </w:r>
      <w:r>
        <w:rPr/>
        <w:t>dólares.</w:t>
      </w:r>
    </w:p>
    <w:p>
      <w:pPr>
        <w:pStyle w:val="BodyText"/>
        <w:spacing w:before="4"/>
        <w:rPr>
          <w:sz w:val="17"/>
        </w:rPr>
      </w:pPr>
    </w:p>
    <w:p>
      <w:pPr>
        <w:pStyle w:val="BodyText"/>
        <w:spacing w:line="364" w:lineRule="auto"/>
        <w:ind w:left="101" w:right="105"/>
        <w:jc w:val="both"/>
      </w:pPr>
      <w:r>
        <w:rPr/>
        <w:t>En ese mismo año, en América Latina este flujo de divisas  alcanzó  un  monto  de 60,267 mdd; México recibió un 41% de ese total, seguido por  Colombia  con  7.3% (4,482 mdd) y Guatemala con 7% (4,315 mdd), siendo estos tres países los mayores receptores de remesas en el continente.</w:t>
      </w:r>
    </w:p>
    <w:p>
      <w:pPr>
        <w:pStyle w:val="BodyText"/>
        <w:spacing w:before="4"/>
        <w:rPr>
          <w:sz w:val="17"/>
        </w:rPr>
      </w:pPr>
    </w:p>
    <w:p>
      <w:pPr>
        <w:pStyle w:val="BodyText"/>
        <w:spacing w:line="364" w:lineRule="auto"/>
        <w:ind w:left="101" w:right="104"/>
        <w:jc w:val="both"/>
      </w:pPr>
      <w:r>
        <w:rPr/>
        <w:t>Efectivamente, las remesas que envían los emigrantes hacia sus familiares en México,  se han convertido en la última década en un flujo de divisas de suma  importancia para  la economía del país, ya que, al nivel macroeconómico, este flujo constituye uno de los principales rubros en el renglón de las transferencias registradas en  la  Cuenta  Corriente de la Balanza de Pagos, además de haberse consolidado como la segunda fuente de captación de divisas, después de las exportaciones petroleras y muy por encima de rubros tan importantes como la inversión extranjera directa (IED) y, al nivel microeconómico, funge como una verdadera inyección de recursos frescos para elevar  el bienestar de las familias que las reciben; asimismo,  constituyen  un  motor fundamental en regiones y sectores productivos específicos de la economía </w:t>
      </w:r>
      <w:r>
        <w:rPr>
          <w:spacing w:val="34"/>
        </w:rPr>
        <w:t> </w:t>
      </w:r>
      <w:r>
        <w:rPr/>
        <w:t>nacional.</w:t>
      </w:r>
    </w:p>
    <w:p>
      <w:pPr>
        <w:pStyle w:val="BodyText"/>
        <w:spacing w:before="4"/>
        <w:rPr>
          <w:sz w:val="17"/>
        </w:rPr>
      </w:pPr>
    </w:p>
    <w:p>
      <w:pPr>
        <w:pStyle w:val="BodyText"/>
        <w:spacing w:line="364" w:lineRule="auto"/>
        <w:ind w:left="101" w:right="103"/>
        <w:jc w:val="both"/>
      </w:pPr>
      <w:r>
        <w:rPr/>
        <w:t>En suma, desde la perspectiva económica, tanto a los niveles micro como macroeconómico, las divisas captadas en México vía remesas familiares constituyen un importante motor del desarrollo y bienestar social, no sólo en las regiones  dinámicamente expulsoras de mano de obra, sino para todo el país a través del “efecto multiplicador” de esos recursos frescos en la  economía.</w:t>
      </w:r>
    </w:p>
    <w:p>
      <w:pPr>
        <w:pStyle w:val="BodyText"/>
        <w:spacing w:before="4"/>
        <w:rPr>
          <w:sz w:val="17"/>
        </w:rPr>
      </w:pPr>
    </w:p>
    <w:p>
      <w:pPr>
        <w:pStyle w:val="BodyText"/>
        <w:spacing w:line="364" w:lineRule="auto"/>
        <w:ind w:left="101" w:right="105"/>
        <w:jc w:val="both"/>
      </w:pPr>
      <w:r>
        <w:rPr/>
        <w:t>Sin embargo, y a pesar de los beneficios económicos que hasta la fecha se registran  con el envío de remesas familiares, recientemente se ha puesto de manifiesto que existen aspectos sociales y políticos negativos de las divisas captadas por esta vía: por un</w:t>
      </w:r>
      <w:r>
        <w:rPr>
          <w:spacing w:val="52"/>
        </w:rPr>
        <w:t> </w:t>
      </w:r>
      <w:r>
        <w:rPr/>
        <w:t>lado</w:t>
      </w:r>
      <w:r>
        <w:rPr>
          <w:spacing w:val="54"/>
        </w:rPr>
        <w:t> </w:t>
      </w:r>
      <w:r>
        <w:rPr/>
        <w:t>podrían</w:t>
      </w:r>
      <w:r>
        <w:rPr>
          <w:spacing w:val="54"/>
        </w:rPr>
        <w:t> </w:t>
      </w:r>
      <w:r>
        <w:rPr/>
        <w:t>estar</w:t>
      </w:r>
      <w:r>
        <w:rPr>
          <w:spacing w:val="56"/>
        </w:rPr>
        <w:t> </w:t>
      </w:r>
      <w:r>
        <w:rPr/>
        <w:t>propiciando</w:t>
      </w:r>
      <w:r>
        <w:rPr>
          <w:spacing w:val="54"/>
        </w:rPr>
        <w:t> </w:t>
      </w:r>
      <w:r>
        <w:rPr/>
        <w:t>un</w:t>
      </w:r>
      <w:r>
        <w:rPr>
          <w:spacing w:val="57"/>
        </w:rPr>
        <w:t> </w:t>
      </w:r>
      <w:r>
        <w:rPr/>
        <w:t>alto</w:t>
      </w:r>
      <w:r>
        <w:rPr>
          <w:spacing w:val="52"/>
        </w:rPr>
        <w:t> </w:t>
      </w:r>
      <w:r>
        <w:rPr/>
        <w:t>índice</w:t>
      </w:r>
      <w:r>
        <w:rPr>
          <w:spacing w:val="57"/>
        </w:rPr>
        <w:t> </w:t>
      </w:r>
      <w:r>
        <w:rPr/>
        <w:t>de</w:t>
      </w:r>
      <w:r>
        <w:rPr>
          <w:spacing w:val="54"/>
        </w:rPr>
        <w:t> </w:t>
      </w:r>
      <w:r>
        <w:rPr/>
        <w:t>delincuencia</w:t>
      </w:r>
      <w:r>
        <w:rPr>
          <w:spacing w:val="54"/>
        </w:rPr>
        <w:t> </w:t>
      </w:r>
      <w:r>
        <w:rPr/>
        <w:t>en</w:t>
      </w:r>
      <w:r>
        <w:rPr>
          <w:spacing w:val="52"/>
        </w:rPr>
        <w:t> </w:t>
      </w:r>
      <w:r>
        <w:rPr/>
        <w:t>las</w:t>
      </w:r>
      <w:r>
        <w:rPr>
          <w:spacing w:val="53"/>
        </w:rPr>
        <w:t> </w:t>
      </w:r>
      <w:r>
        <w:rPr/>
        <w:t>localidades</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altamente receptoras de este dinero, lo cual se ocasionaría por los padres  ausentes  que sólo se comunican con sus hijos a través de una transferencia bancaria y, por otro, muchos gobiernos están demasiado confiados en que éstas seguirán creciendo en el futuro y se desentienden de su responsabilidad de promover el desarrollo y combate a   la</w:t>
      </w:r>
      <w:r>
        <w:rPr>
          <w:spacing w:val="11"/>
        </w:rPr>
        <w:t> </w:t>
      </w:r>
      <w:r>
        <w:rPr/>
        <w:t>pobreza.</w:t>
      </w:r>
    </w:p>
    <w:p>
      <w:pPr>
        <w:pStyle w:val="BodyText"/>
        <w:spacing w:before="4"/>
        <w:rPr>
          <w:sz w:val="17"/>
        </w:rPr>
      </w:pPr>
    </w:p>
    <w:p>
      <w:pPr>
        <w:pStyle w:val="BodyText"/>
        <w:spacing w:line="364" w:lineRule="auto"/>
        <w:ind w:left="101" w:right="102"/>
        <w:jc w:val="both"/>
      </w:pPr>
      <w:r>
        <w:rPr/>
        <w:t>Ciertamente, las remesas no pueden sustituir de manera permanente las políticas de desarrollo incluyente, que los países en vías de desarrollo necesitan  con  urgencia desde hace mucho tiempo. Además, la mayor preocupación consiste en  la  sostenibilidad de este flujo de dinero. ¿Hasta cuándo será posible mantener este vigoroso apoyo económico y social hacia sectores necesitados de la población mexicana?</w:t>
      </w:r>
    </w:p>
    <w:p>
      <w:pPr>
        <w:pStyle w:val="BodyText"/>
        <w:spacing w:before="6"/>
        <w:rPr>
          <w:sz w:val="17"/>
        </w:rPr>
      </w:pPr>
    </w:p>
    <w:p>
      <w:pPr>
        <w:pStyle w:val="BodyText"/>
        <w:spacing w:line="364" w:lineRule="auto"/>
        <w:ind w:left="101" w:right="105"/>
        <w:jc w:val="both"/>
      </w:pPr>
      <w:r>
        <w:rPr/>
        <w:t>Es claro que a medida que los países en vías de desarrollo tienen mayor población, tienden a enviar más personas en edad laboral hacia otras naciones, en especial a Estados Unidos. Por tal razón, son estas economías las que más reciben los beneficios de los envíos de remesas familiares, mismas que dan constancia  del  producto  generado por los emigrantes con esfuerzo y tezón, así como de los lazos de unión familiar que aún</w:t>
      </w:r>
      <w:r>
        <w:rPr>
          <w:spacing w:val="29"/>
        </w:rPr>
        <w:t> </w:t>
      </w:r>
      <w:r>
        <w:rPr/>
        <w:t>persisten.</w:t>
      </w:r>
    </w:p>
    <w:p>
      <w:pPr>
        <w:pStyle w:val="BodyText"/>
        <w:rPr>
          <w:sz w:val="22"/>
        </w:rPr>
      </w:pPr>
    </w:p>
    <w:p>
      <w:pPr>
        <w:pStyle w:val="BodyText"/>
        <w:rPr>
          <w:sz w:val="22"/>
        </w:rPr>
      </w:pPr>
    </w:p>
    <w:p>
      <w:pPr>
        <w:pStyle w:val="BodyText"/>
        <w:spacing w:before="8"/>
        <w:rPr>
          <w:sz w:val="24"/>
        </w:rPr>
      </w:pPr>
    </w:p>
    <w:p>
      <w:pPr>
        <w:pStyle w:val="Heading3"/>
        <w:numPr>
          <w:ilvl w:val="1"/>
          <w:numId w:val="16"/>
        </w:numPr>
        <w:tabs>
          <w:tab w:pos="803" w:val="left" w:leader="none"/>
        </w:tabs>
        <w:spacing w:line="240" w:lineRule="auto" w:before="1" w:after="0"/>
        <w:ind w:left="802" w:right="0" w:hanging="701"/>
        <w:jc w:val="both"/>
      </w:pPr>
      <w:r>
        <w:rPr/>
        <w:t>Antecedentes migratorios</w:t>
      </w:r>
      <w:r>
        <w:rPr>
          <w:spacing w:val="36"/>
        </w:rPr>
        <w:t> </w:t>
      </w:r>
      <w:r>
        <w:rPr/>
        <w:t>México-EEUU</w:t>
      </w:r>
    </w:p>
    <w:p>
      <w:pPr>
        <w:pStyle w:val="BodyText"/>
        <w:rPr>
          <w:b/>
          <w:sz w:val="26"/>
        </w:rPr>
      </w:pPr>
    </w:p>
    <w:p>
      <w:pPr>
        <w:pStyle w:val="BodyText"/>
        <w:spacing w:line="364" w:lineRule="auto" w:before="215"/>
        <w:ind w:left="101" w:right="104"/>
        <w:jc w:val="both"/>
      </w:pPr>
      <w:r>
        <w:rPr/>
        <w:t>De acuerdo con la Coordinación Nacional de Atención a Migrantes del CEN del PRI, el antecedente migratorio de la población mexicana a los Estados  Unidos  de  Norteamérica se remonta a hace más de 150 años, a raíz de la firma del Tratado de Guadalupe Hidalgo el 2 de febrero de 1848, mediante el cual Estados Unidos se anexó más de la mitad del territorio</w:t>
      </w:r>
      <w:r>
        <w:rPr>
          <w:spacing w:val="40"/>
        </w:rPr>
        <w:t> </w:t>
      </w:r>
      <w:r>
        <w:rPr/>
        <w:t>mexicano.</w:t>
      </w:r>
    </w:p>
    <w:p>
      <w:pPr>
        <w:pStyle w:val="BodyText"/>
        <w:rPr>
          <w:sz w:val="22"/>
        </w:rPr>
      </w:pPr>
    </w:p>
    <w:p>
      <w:pPr>
        <w:pStyle w:val="BodyText"/>
        <w:spacing w:line="364" w:lineRule="auto" w:before="155"/>
        <w:ind w:left="101" w:right="105"/>
        <w:jc w:val="both"/>
      </w:pPr>
      <w:r>
        <w:rPr/>
        <w:t>Los mexicanos que radicaban en los territorios afectados, de pronto se vieron envueltos en la ciudadanía norteamericana, a la cual no tuvieron acceso de manera automática. Los  Texas Rangers,  creados    </w:t>
      </w:r>
      <w:r>
        <w:rPr>
          <w:spacing w:val="59"/>
        </w:rPr>
        <w:t> </w:t>
      </w:r>
      <w:r>
        <w:rPr/>
        <w:t>desde entonces, iniciaron desalojos, asesinatos  y todo</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6"/>
        <w:jc w:val="both"/>
      </w:pPr>
      <w:r>
        <w:rPr/>
        <w:t>tipo de atropellos a los derechos de los mexicanos que eran propietarios en aquellos territorios.</w:t>
      </w:r>
    </w:p>
    <w:p>
      <w:pPr>
        <w:pStyle w:val="BodyText"/>
        <w:spacing w:before="10"/>
        <w:rPr>
          <w:sz w:val="20"/>
        </w:rPr>
      </w:pPr>
    </w:p>
    <w:p>
      <w:pPr>
        <w:pStyle w:val="BodyText"/>
        <w:spacing w:line="364" w:lineRule="auto"/>
        <w:ind w:left="101" w:right="102"/>
        <w:jc w:val="both"/>
      </w:pPr>
      <w:r>
        <w:rPr/>
        <w:t>La Ley de Tierras, promovida por diputados de California y aprobada por el Congreso   de los Estados Unidos en 1851, tenía el aparente objetivo de precisar los títulos de propiedad; en realidad, permitió consumar la expropiación de las tierras a sus dueños legítimos. Así, éstos se convirtieron en los primeros “braceros” que han contribuido al desarrollo económico de los EUA, realizando las labores más difíciles y percibiendo los salarios más</w:t>
      </w:r>
      <w:r>
        <w:rPr>
          <w:spacing w:val="20"/>
        </w:rPr>
        <w:t> </w:t>
      </w:r>
      <w:r>
        <w:rPr/>
        <w:t>bajos.</w:t>
      </w:r>
    </w:p>
    <w:p>
      <w:pPr>
        <w:pStyle w:val="BodyText"/>
        <w:spacing w:before="7"/>
        <w:rPr>
          <w:sz w:val="20"/>
        </w:rPr>
      </w:pPr>
    </w:p>
    <w:p>
      <w:pPr>
        <w:pStyle w:val="BodyText"/>
        <w:spacing w:line="364" w:lineRule="auto" w:before="1"/>
        <w:ind w:left="101" w:right="102"/>
        <w:jc w:val="both"/>
      </w:pPr>
      <w:r>
        <w:rPr/>
        <w:t>En 1891, el Congreso de los EUA promulgó la Ley de Inmigración con restricciones terrestres desde México; esta Ley se modificó en 1917 incrementándose  las restricciones para impedir el acceso a analfabetas, alcohólicos e individuos con propósitos inmorales. En 1921 se decretó una nueva ley que permitió  el  acceso  a cuotas de inmigrantes, para hacer frente al incremento de la demanda de mano de obra durante el periodo de la primera</w:t>
      </w:r>
      <w:r>
        <w:rPr>
          <w:spacing w:val="47"/>
        </w:rPr>
        <w:t> </w:t>
      </w:r>
      <w:r>
        <w:rPr/>
        <w:t>posguerra.</w:t>
      </w:r>
    </w:p>
    <w:p>
      <w:pPr>
        <w:pStyle w:val="BodyText"/>
        <w:spacing w:before="6"/>
        <w:rPr>
          <w:sz w:val="17"/>
        </w:rPr>
      </w:pPr>
    </w:p>
    <w:p>
      <w:pPr>
        <w:pStyle w:val="BodyText"/>
        <w:spacing w:line="364" w:lineRule="auto"/>
        <w:ind w:left="101" w:right="105"/>
        <w:jc w:val="both"/>
      </w:pPr>
      <w:r>
        <w:rPr/>
        <w:t>En 1924, al solucionarse el problema de escasez de mano de obra,  se  integró  la Patrulla Fronteriza y  se institucionalizaron las labores  de  deportación, introduciéndose el concepto de “trabajador ilegal”.</w:t>
      </w:r>
    </w:p>
    <w:p>
      <w:pPr>
        <w:pStyle w:val="BodyText"/>
        <w:spacing w:before="6"/>
        <w:rPr>
          <w:sz w:val="17"/>
        </w:rPr>
      </w:pPr>
    </w:p>
    <w:p>
      <w:pPr>
        <w:pStyle w:val="BodyText"/>
        <w:spacing w:line="364" w:lineRule="auto"/>
        <w:ind w:left="101" w:right="104"/>
        <w:jc w:val="both"/>
      </w:pPr>
      <w:r>
        <w:rPr/>
        <w:t>Diversas leyes y acuerdos han sido suscritos y cancelados desde entonces, todos motivados por las necesidades del mercado laboral estadounidense: se abre la frontera al flujo de inmigrantes mexicanos si se tiene un déficit de mano de obra, y se cierra si   se tiene</w:t>
      </w:r>
      <w:r>
        <w:rPr>
          <w:spacing w:val="21"/>
        </w:rPr>
        <w:t> </w:t>
      </w:r>
      <w:r>
        <w:rPr/>
        <w:t>superávit.</w:t>
      </w:r>
    </w:p>
    <w:p>
      <w:pPr>
        <w:pStyle w:val="BodyText"/>
        <w:spacing w:before="4"/>
        <w:rPr>
          <w:sz w:val="17"/>
        </w:rPr>
      </w:pPr>
    </w:p>
    <w:p>
      <w:pPr>
        <w:pStyle w:val="BodyText"/>
        <w:spacing w:line="364" w:lineRule="auto"/>
        <w:ind w:left="101" w:right="103"/>
        <w:jc w:val="both"/>
      </w:pPr>
      <w:r>
        <w:rPr/>
        <w:t>Hoy en día, el impacto potencial para México de casi cualquier reforma migratoria en Estados Unidos  es importante, por varias razones. En términos económicos, debido a   la magnitud e impacto micro y macroeconómico de las remesas que envían los mexicanos que laboran en EUA, y en términos sociales debido al gran número de compatriotas que laboran y viven allá en condiciones precarias, a quienes ni siquiera  eso se les puede ofrecer en su propia tierra  y que, de ser deportados, representarían   un problema social y económico para nuestro</w:t>
      </w:r>
      <w:r>
        <w:rPr>
          <w:spacing w:val="54"/>
        </w:rPr>
        <w:t> </w:t>
      </w:r>
      <w:r>
        <w:rPr/>
        <w:t>país.</w:t>
      </w:r>
    </w:p>
    <w:p>
      <w:pPr>
        <w:spacing w:after="0" w:line="364" w:lineRule="auto"/>
        <w:jc w:val="both"/>
        <w:sectPr>
          <w:pgSz w:w="11900" w:h="16840"/>
          <w:pgMar w:header="0" w:footer="1679" w:top="1600" w:bottom="1860" w:left="1300" w:right="1280"/>
        </w:sectPr>
      </w:pPr>
    </w:p>
    <w:p>
      <w:pPr>
        <w:pStyle w:val="BodyText"/>
        <w:rPr>
          <w:sz w:val="20"/>
        </w:rPr>
      </w:pPr>
    </w:p>
    <w:p>
      <w:pPr>
        <w:pStyle w:val="Heading3"/>
        <w:numPr>
          <w:ilvl w:val="1"/>
          <w:numId w:val="16"/>
        </w:numPr>
        <w:tabs>
          <w:tab w:pos="652" w:val="left" w:leader="none"/>
        </w:tabs>
        <w:spacing w:line="240" w:lineRule="auto" w:before="257" w:after="0"/>
        <w:ind w:left="651" w:right="0" w:hanging="530"/>
        <w:jc w:val="both"/>
        <w:rPr>
          <w:sz w:val="17"/>
        </w:rPr>
      </w:pPr>
      <w:r>
        <w:rPr/>
        <w:t>La conceptualización de las</w:t>
      </w:r>
      <w:r>
        <w:rPr>
          <w:spacing w:val="36"/>
        </w:rPr>
        <w:t> </w:t>
      </w:r>
      <w:r>
        <w:rPr/>
        <w:t>remesas</w:t>
      </w:r>
      <w:r>
        <w:rPr>
          <w:position w:val="12"/>
          <w:sz w:val="17"/>
        </w:rPr>
        <w:t>89</w:t>
      </w:r>
    </w:p>
    <w:p>
      <w:pPr>
        <w:pStyle w:val="BodyText"/>
        <w:rPr>
          <w:b/>
          <w:sz w:val="32"/>
        </w:rPr>
      </w:pPr>
    </w:p>
    <w:p>
      <w:pPr>
        <w:pStyle w:val="BodyText"/>
        <w:spacing w:before="4"/>
        <w:rPr>
          <w:b/>
          <w:sz w:val="33"/>
        </w:rPr>
      </w:pPr>
    </w:p>
    <w:p>
      <w:pPr>
        <w:pStyle w:val="BodyText"/>
        <w:spacing w:line="364" w:lineRule="auto"/>
        <w:ind w:left="121" w:right="103"/>
        <w:jc w:val="both"/>
      </w:pPr>
      <w:r>
        <w:rPr/>
        <w:t>Las remesas podemos entenderlas como el envío de dinero hacia México, que realizan todas aquellas personas connacionales que radican en otro país, por ejemplo, en Estados Unidos, sin importar su situación legal -documentada o  indocumentada-.</w:t>
      </w:r>
    </w:p>
    <w:p>
      <w:pPr>
        <w:pStyle w:val="BodyText"/>
        <w:rPr>
          <w:sz w:val="22"/>
        </w:rPr>
      </w:pPr>
    </w:p>
    <w:p>
      <w:pPr>
        <w:pStyle w:val="BodyText"/>
        <w:rPr>
          <w:sz w:val="22"/>
        </w:rPr>
      </w:pPr>
    </w:p>
    <w:p>
      <w:pPr>
        <w:pStyle w:val="BodyText"/>
        <w:spacing w:before="3"/>
        <w:rPr>
          <w:sz w:val="24"/>
        </w:rPr>
      </w:pPr>
    </w:p>
    <w:p>
      <w:pPr>
        <w:pStyle w:val="Heading4"/>
        <w:ind w:left="121"/>
        <w:jc w:val="both"/>
      </w:pPr>
      <w:r>
        <w:rPr/>
        <w:t>Diferentes tipos de remesas</w:t>
      </w:r>
    </w:p>
    <w:p>
      <w:pPr>
        <w:pStyle w:val="BodyText"/>
        <w:spacing w:line="367" w:lineRule="auto" w:before="196"/>
        <w:ind w:left="121" w:right="105"/>
        <w:jc w:val="both"/>
      </w:pPr>
      <w:r>
        <w:rPr/>
        <w:t>En primer lugar, se tienen las </w:t>
      </w:r>
      <w:r>
        <w:rPr>
          <w:b/>
        </w:rPr>
        <w:t>remesas familiares</w:t>
      </w:r>
      <w:r>
        <w:rPr/>
        <w:t>, que conforman la mayor parte de    los ingresos por esta vía. Estas remesas son enviadas por los emigrantes  a  sus  familias en México para su sostenimiento. Cuando se usan para  inversión,  generalmente se destinan</w:t>
      </w:r>
      <w:r>
        <w:rPr>
          <w:spacing w:val="29"/>
        </w:rPr>
        <w:t> </w:t>
      </w:r>
      <w:r>
        <w:rPr/>
        <w:t>a:</w:t>
      </w:r>
    </w:p>
    <w:p>
      <w:pPr>
        <w:pStyle w:val="ListParagraph"/>
        <w:numPr>
          <w:ilvl w:val="0"/>
          <w:numId w:val="17"/>
        </w:numPr>
        <w:tabs>
          <w:tab w:pos="472" w:val="left" w:leader="none"/>
        </w:tabs>
        <w:spacing w:line="240" w:lineRule="auto" w:before="120" w:after="0"/>
        <w:ind w:left="472" w:right="0" w:hanging="351"/>
        <w:jc w:val="both"/>
        <w:rPr>
          <w:sz w:val="23"/>
        </w:rPr>
      </w:pPr>
      <w:r>
        <w:rPr>
          <w:sz w:val="23"/>
        </w:rPr>
        <w:t>Mejoramiento de las condiciones de</w:t>
      </w:r>
      <w:r>
        <w:rPr>
          <w:spacing w:val="51"/>
          <w:sz w:val="23"/>
        </w:rPr>
        <w:t> </w:t>
      </w:r>
      <w:r>
        <w:rPr>
          <w:sz w:val="23"/>
        </w:rPr>
        <w:t>vivienda.</w:t>
      </w:r>
    </w:p>
    <w:p>
      <w:pPr>
        <w:pStyle w:val="ListParagraph"/>
        <w:numPr>
          <w:ilvl w:val="0"/>
          <w:numId w:val="17"/>
        </w:numPr>
        <w:tabs>
          <w:tab w:pos="472" w:val="left" w:leader="none"/>
        </w:tabs>
        <w:spacing w:line="240" w:lineRule="auto" w:before="136" w:after="0"/>
        <w:ind w:left="472" w:right="0" w:hanging="351"/>
        <w:jc w:val="both"/>
        <w:rPr>
          <w:sz w:val="23"/>
        </w:rPr>
      </w:pPr>
      <w:r>
        <w:rPr>
          <w:sz w:val="23"/>
        </w:rPr>
        <w:t>Compras de</w:t>
      </w:r>
      <w:r>
        <w:rPr>
          <w:spacing w:val="21"/>
          <w:sz w:val="23"/>
        </w:rPr>
        <w:t> </w:t>
      </w:r>
      <w:r>
        <w:rPr>
          <w:sz w:val="23"/>
        </w:rPr>
        <w:t>terrenos.</w:t>
      </w:r>
    </w:p>
    <w:p>
      <w:pPr>
        <w:pStyle w:val="ListParagraph"/>
        <w:numPr>
          <w:ilvl w:val="0"/>
          <w:numId w:val="17"/>
        </w:numPr>
        <w:tabs>
          <w:tab w:pos="472" w:val="left" w:leader="none"/>
        </w:tabs>
        <w:spacing w:line="364" w:lineRule="auto" w:before="141" w:after="0"/>
        <w:ind w:left="472" w:right="106" w:hanging="351"/>
        <w:jc w:val="left"/>
        <w:rPr>
          <w:sz w:val="23"/>
        </w:rPr>
      </w:pPr>
      <w:r>
        <w:rPr>
          <w:sz w:val="23"/>
        </w:rPr>
        <w:t>Capital de trabajo y activos fijos de pequeños negocios familiares o pequeñas unidades</w:t>
      </w:r>
      <w:r>
        <w:rPr>
          <w:spacing w:val="21"/>
          <w:sz w:val="23"/>
        </w:rPr>
        <w:t> </w:t>
      </w:r>
      <w:r>
        <w:rPr>
          <w:sz w:val="23"/>
        </w:rPr>
        <w:t>agrícolas.</w:t>
      </w:r>
    </w:p>
    <w:p>
      <w:pPr>
        <w:pStyle w:val="BodyText"/>
        <w:rPr>
          <w:sz w:val="22"/>
        </w:rPr>
      </w:pPr>
    </w:p>
    <w:p>
      <w:pPr>
        <w:pStyle w:val="BodyText"/>
        <w:spacing w:before="4"/>
        <w:rPr>
          <w:sz w:val="30"/>
        </w:rPr>
      </w:pPr>
    </w:p>
    <w:p>
      <w:pPr>
        <w:pStyle w:val="BodyText"/>
        <w:spacing w:line="364" w:lineRule="auto"/>
        <w:ind w:left="121" w:right="104"/>
        <w:jc w:val="both"/>
      </w:pPr>
      <w:r>
        <w:rPr/>
        <w:t>En segundo lugar, están los </w:t>
      </w:r>
      <w:r>
        <w:rPr>
          <w:b/>
        </w:rPr>
        <w:t>ahorros que los emigrantes repatrían  como  inversiones</w:t>
      </w:r>
      <w:r>
        <w:rPr/>
        <w:t>, ya sea de tipo personal o empresarial. En estricto rigor, estos envíos no forman parte del concepto de remesas, pero por la forma como se realizan, es muy probable que en su mayoría se computen dentro de los volúmenes consignados en las estadísticas de remesas. No se ha detectado ni información ni patrones claros  en relación con estas inversiones, aunque en términos generales incluyen dos rubros principales:</w:t>
      </w:r>
    </w:p>
    <w:p>
      <w:pPr>
        <w:pStyle w:val="ListParagraph"/>
        <w:numPr>
          <w:ilvl w:val="0"/>
          <w:numId w:val="18"/>
        </w:numPr>
        <w:tabs>
          <w:tab w:pos="472" w:val="left" w:leader="none"/>
        </w:tabs>
        <w:spacing w:line="364" w:lineRule="auto" w:before="197" w:after="0"/>
        <w:ind w:left="472" w:right="105" w:hanging="351"/>
        <w:jc w:val="left"/>
        <w:rPr>
          <w:sz w:val="23"/>
        </w:rPr>
      </w:pPr>
      <w:r>
        <w:rPr/>
        <w:pict>
          <v:line style="position:absolute;mso-position-horizontal-relative:page;mso-position-vertical-relative:paragraph;z-index:10336;mso-wrap-distance-left:0;mso-wrap-distance-right:0" from="70.080002pt,54.17638pt" to="210.239999pt,54.17638pt" stroked="true" strokeweight=".6pt" strokecolor="#000000">
            <w10:wrap type="topAndBottom"/>
          </v:line>
        </w:pict>
      </w:r>
      <w:r>
        <w:rPr>
          <w:sz w:val="23"/>
        </w:rPr>
        <w:t>Inversiones de tipo empresarial destinadas a negocios en la localidad o región de origen (sobresalen tiendas y</w:t>
      </w:r>
      <w:r>
        <w:rPr>
          <w:spacing w:val="47"/>
          <w:sz w:val="23"/>
        </w:rPr>
        <w:t> </w:t>
      </w:r>
      <w:r>
        <w:rPr>
          <w:sz w:val="23"/>
        </w:rPr>
        <w:t>restaurantes).</w:t>
      </w:r>
    </w:p>
    <w:p>
      <w:pPr>
        <w:spacing w:line="367" w:lineRule="auto" w:before="58"/>
        <w:ind w:left="471" w:right="690" w:hanging="351"/>
        <w:jc w:val="left"/>
        <w:rPr>
          <w:sz w:val="21"/>
        </w:rPr>
      </w:pPr>
      <w:r>
        <w:rPr>
          <w:position w:val="10"/>
          <w:sz w:val="12"/>
        </w:rPr>
        <w:t>89 </w:t>
      </w:r>
      <w:r>
        <w:rPr>
          <w:sz w:val="21"/>
        </w:rPr>
        <w:t>Este apartado está basado en una extracción libre de la dirección electrónica: </w:t>
      </w:r>
      <w:hyperlink r:id="rId301">
        <w:r>
          <w:rPr>
            <w:sz w:val="21"/>
          </w:rPr>
          <w:t>http://www.eclac.cl/Celade/proyectos/migracion/Torres.doc</w:t>
        </w:r>
      </w:hyperlink>
    </w:p>
    <w:p>
      <w:pPr>
        <w:spacing w:after="0" w:line="367" w:lineRule="auto"/>
        <w:jc w:val="left"/>
        <w:rPr>
          <w:sz w:val="21"/>
        </w:rPr>
        <w:sectPr>
          <w:pgSz w:w="11900" w:h="16840"/>
          <w:pgMar w:header="0" w:footer="1679" w:top="1600" w:bottom="1860" w:left="1280" w:right="1280"/>
        </w:sectPr>
      </w:pPr>
    </w:p>
    <w:p>
      <w:pPr>
        <w:pStyle w:val="BodyText"/>
        <w:rPr>
          <w:sz w:val="20"/>
        </w:rPr>
      </w:pPr>
    </w:p>
    <w:p>
      <w:pPr>
        <w:pStyle w:val="BodyText"/>
        <w:spacing w:before="8"/>
        <w:rPr>
          <w:sz w:val="18"/>
        </w:rPr>
      </w:pPr>
    </w:p>
    <w:p>
      <w:pPr>
        <w:pStyle w:val="ListParagraph"/>
        <w:numPr>
          <w:ilvl w:val="0"/>
          <w:numId w:val="18"/>
        </w:numPr>
        <w:tabs>
          <w:tab w:pos="452" w:val="left" w:leader="none"/>
        </w:tabs>
        <w:spacing w:line="364" w:lineRule="auto" w:before="74" w:after="0"/>
        <w:ind w:left="452" w:right="105" w:hanging="351"/>
        <w:jc w:val="left"/>
        <w:rPr>
          <w:sz w:val="23"/>
        </w:rPr>
      </w:pPr>
      <w:r>
        <w:rPr>
          <w:sz w:val="23"/>
        </w:rPr>
        <w:t>Inversiones personales, bajo la forma predominante de adquisiciones de casas o pequeñas propiedades</w:t>
      </w:r>
      <w:r>
        <w:rPr>
          <w:spacing w:val="37"/>
          <w:sz w:val="23"/>
        </w:rPr>
        <w:t> </w:t>
      </w:r>
      <w:r>
        <w:rPr>
          <w:sz w:val="23"/>
        </w:rPr>
        <w:t>agrícolas.</w:t>
      </w:r>
    </w:p>
    <w:p>
      <w:pPr>
        <w:pStyle w:val="BodyText"/>
        <w:rPr>
          <w:sz w:val="22"/>
        </w:rPr>
      </w:pPr>
    </w:p>
    <w:p>
      <w:pPr>
        <w:pStyle w:val="BodyText"/>
        <w:rPr>
          <w:sz w:val="22"/>
        </w:rPr>
      </w:pPr>
    </w:p>
    <w:p>
      <w:pPr>
        <w:pStyle w:val="BodyText"/>
        <w:spacing w:line="367" w:lineRule="auto" w:before="132"/>
        <w:ind w:left="101" w:right="105"/>
        <w:jc w:val="both"/>
      </w:pPr>
      <w:r>
        <w:rPr/>
        <w:t>En tercer lugar, se tienen las </w:t>
      </w:r>
      <w:r>
        <w:rPr>
          <w:b/>
        </w:rPr>
        <w:t>remesas colectivas</w:t>
      </w:r>
      <w:r>
        <w:rPr/>
        <w:t>, que tienen su origen en las colectas que realizan los emigrantes en Estados Unidos a través de sus organizaciones, con el  fin de patrocinar alguna acción o proyecto en su localidad de origen. Se pueden  distinguir tres destinos</w:t>
      </w:r>
      <w:r>
        <w:rPr>
          <w:spacing w:val="34"/>
        </w:rPr>
        <w:t> </w:t>
      </w:r>
      <w:r>
        <w:rPr/>
        <w:t>genéricos:</w:t>
      </w:r>
    </w:p>
    <w:p>
      <w:pPr>
        <w:pStyle w:val="ListParagraph"/>
        <w:numPr>
          <w:ilvl w:val="0"/>
          <w:numId w:val="19"/>
        </w:numPr>
        <w:tabs>
          <w:tab w:pos="452" w:val="left" w:leader="none"/>
        </w:tabs>
        <w:spacing w:line="240" w:lineRule="auto" w:before="117" w:after="0"/>
        <w:ind w:left="452" w:right="0" w:hanging="351"/>
        <w:jc w:val="both"/>
        <w:rPr>
          <w:sz w:val="23"/>
        </w:rPr>
      </w:pPr>
      <w:r>
        <w:rPr>
          <w:sz w:val="23"/>
        </w:rPr>
        <w:t>Patrocinio de fiestas cívicas o</w:t>
      </w:r>
      <w:r>
        <w:rPr>
          <w:spacing w:val="42"/>
          <w:sz w:val="23"/>
        </w:rPr>
        <w:t> </w:t>
      </w:r>
      <w:r>
        <w:rPr>
          <w:sz w:val="23"/>
        </w:rPr>
        <w:t>religiosas.</w:t>
      </w:r>
    </w:p>
    <w:p>
      <w:pPr>
        <w:pStyle w:val="BodyText"/>
        <w:rPr>
          <w:sz w:val="22"/>
        </w:rPr>
      </w:pPr>
    </w:p>
    <w:p>
      <w:pPr>
        <w:pStyle w:val="BodyText"/>
        <w:spacing w:before="1"/>
        <w:rPr>
          <w:sz w:val="25"/>
        </w:rPr>
      </w:pPr>
    </w:p>
    <w:p>
      <w:pPr>
        <w:pStyle w:val="ListParagraph"/>
        <w:numPr>
          <w:ilvl w:val="0"/>
          <w:numId w:val="19"/>
        </w:numPr>
        <w:tabs>
          <w:tab w:pos="452" w:val="left" w:leader="none"/>
        </w:tabs>
        <w:spacing w:line="240" w:lineRule="auto" w:before="0" w:after="0"/>
        <w:ind w:left="452" w:right="0" w:hanging="351"/>
        <w:jc w:val="both"/>
        <w:rPr>
          <w:sz w:val="23"/>
        </w:rPr>
      </w:pPr>
      <w:r>
        <w:rPr>
          <w:sz w:val="23"/>
        </w:rPr>
        <w:t>Obras</w:t>
      </w:r>
      <w:r>
        <w:rPr>
          <w:spacing w:val="22"/>
          <w:sz w:val="23"/>
        </w:rPr>
        <w:t> </w:t>
      </w:r>
      <w:r>
        <w:rPr>
          <w:sz w:val="23"/>
        </w:rPr>
        <w:t>comunitarias.</w:t>
      </w:r>
    </w:p>
    <w:p>
      <w:pPr>
        <w:pStyle w:val="BodyText"/>
        <w:spacing w:before="5"/>
        <w:rPr>
          <w:sz w:val="32"/>
        </w:rPr>
      </w:pPr>
    </w:p>
    <w:p>
      <w:pPr>
        <w:pStyle w:val="ListParagraph"/>
        <w:numPr>
          <w:ilvl w:val="0"/>
          <w:numId w:val="19"/>
        </w:numPr>
        <w:tabs>
          <w:tab w:pos="452" w:val="left" w:leader="none"/>
        </w:tabs>
        <w:spacing w:line="240" w:lineRule="auto" w:before="1" w:after="0"/>
        <w:ind w:left="452" w:right="0" w:hanging="351"/>
        <w:jc w:val="both"/>
        <w:rPr>
          <w:sz w:val="23"/>
        </w:rPr>
      </w:pPr>
      <w:r>
        <w:rPr>
          <w:sz w:val="23"/>
        </w:rPr>
        <w:t>Proyectos de tipo</w:t>
      </w:r>
      <w:r>
        <w:rPr>
          <w:spacing w:val="37"/>
          <w:sz w:val="23"/>
        </w:rPr>
        <w:t> </w:t>
      </w:r>
      <w:r>
        <w:rPr>
          <w:sz w:val="23"/>
        </w:rPr>
        <w:t>empresarial.</w:t>
      </w:r>
    </w:p>
    <w:p>
      <w:pPr>
        <w:pStyle w:val="BodyText"/>
        <w:spacing w:before="3"/>
        <w:rPr>
          <w:sz w:val="32"/>
        </w:rPr>
      </w:pPr>
    </w:p>
    <w:p>
      <w:pPr>
        <w:pStyle w:val="BodyText"/>
        <w:spacing w:line="364" w:lineRule="auto"/>
        <w:ind w:left="101" w:right="105"/>
        <w:jc w:val="both"/>
      </w:pPr>
      <w:r>
        <w:rPr/>
        <w:t>Los usos más frecuentes son los dos primeros, aunque hay una clara tendencia a la concentración de esfuerzos y recursos en las obras comunitarias. Los proyectos del último tipo son menos frecuentes.</w:t>
      </w:r>
    </w:p>
    <w:p>
      <w:pPr>
        <w:pStyle w:val="BodyText"/>
        <w:rPr>
          <w:sz w:val="22"/>
        </w:rPr>
      </w:pPr>
    </w:p>
    <w:p>
      <w:pPr>
        <w:pStyle w:val="BodyText"/>
        <w:rPr>
          <w:sz w:val="22"/>
        </w:rPr>
      </w:pPr>
    </w:p>
    <w:p>
      <w:pPr>
        <w:pStyle w:val="BodyText"/>
        <w:spacing w:before="8"/>
      </w:pPr>
    </w:p>
    <w:p>
      <w:pPr>
        <w:pStyle w:val="Heading3"/>
        <w:numPr>
          <w:ilvl w:val="1"/>
          <w:numId w:val="16"/>
        </w:numPr>
        <w:tabs>
          <w:tab w:pos="632" w:val="left" w:leader="none"/>
        </w:tabs>
        <w:spacing w:line="240" w:lineRule="auto" w:before="0" w:after="0"/>
        <w:ind w:left="631" w:right="0" w:hanging="530"/>
        <w:jc w:val="both"/>
      </w:pPr>
      <w:r>
        <w:rPr/>
        <w:t>La cuantificación de las remesas y su</w:t>
      </w:r>
      <w:r>
        <w:rPr>
          <w:spacing w:val="39"/>
        </w:rPr>
        <w:t> </w:t>
      </w:r>
      <w:r>
        <w:rPr/>
        <w:t>problemática</w:t>
      </w:r>
    </w:p>
    <w:p>
      <w:pPr>
        <w:pStyle w:val="BodyText"/>
        <w:spacing w:before="3"/>
        <w:rPr>
          <w:b/>
          <w:sz w:val="24"/>
        </w:rPr>
      </w:pPr>
    </w:p>
    <w:p>
      <w:pPr>
        <w:pStyle w:val="BodyText"/>
        <w:spacing w:line="364" w:lineRule="auto"/>
        <w:ind w:left="101" w:right="104"/>
        <w:jc w:val="both"/>
      </w:pPr>
      <w:r>
        <w:rPr/>
        <w:t>Puesto que no existe un método homogéneo para la cuantificación de las remesas, es característico que las cifras varíen de una fuente a otra y, en casos extremos, que no sean del todo confiables. En México, las cifras más confiables son las que cuantifica y publica el Banco de México, que es la institución oficial encargada de contabilizar las remesas; no obstante, se tienen otras fuentes de información como las que proveen El Colegio de la Frontera Norte o el INEGI.</w:t>
      </w:r>
    </w:p>
    <w:p>
      <w:pPr>
        <w:pStyle w:val="BodyText"/>
        <w:spacing w:before="2"/>
        <w:rPr>
          <w:sz w:val="24"/>
        </w:rPr>
      </w:pPr>
    </w:p>
    <w:p>
      <w:pPr>
        <w:pStyle w:val="BodyText"/>
        <w:spacing w:line="364" w:lineRule="auto"/>
        <w:ind w:left="101" w:right="106"/>
        <w:jc w:val="both"/>
      </w:pPr>
      <w:r>
        <w:rPr/>
        <w:t>A partir de 1994, el Banco de México incorporó en la Balanza de Pagos el monto de las transferencias electrónicas de remesas, así como una estimación de las transferencias en efectivo y en especie. Los registros se llevan a cabo en dos partidas: </w:t>
      </w:r>
      <w:r>
        <w:rPr>
          <w:u w:val="single"/>
        </w:rPr>
        <w:t>remesas familiares</w:t>
      </w:r>
      <w:r>
        <w:rPr/>
        <w:t>, en el rubro de </w:t>
      </w:r>
      <w:r>
        <w:rPr>
          <w:b/>
        </w:rPr>
        <w:t>transferencias</w:t>
      </w:r>
      <w:r>
        <w:rPr/>
        <w:t>, y </w:t>
      </w:r>
      <w:r>
        <w:rPr>
          <w:u w:val="single"/>
        </w:rPr>
        <w:t>otros </w:t>
      </w:r>
      <w:r>
        <w:rPr/>
        <w:t>en el rubro de </w:t>
      </w:r>
      <w:r>
        <w:rPr>
          <w:b/>
        </w:rPr>
        <w:t>servicios  factoriales</w:t>
      </w:r>
      <w:r>
        <w:rPr/>
        <w:t>.</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6"/>
        <w:rPr>
          <w:sz w:val="18"/>
        </w:rPr>
      </w:pPr>
    </w:p>
    <w:p>
      <w:pPr>
        <w:pStyle w:val="BodyText"/>
        <w:spacing w:line="364" w:lineRule="auto" w:before="74"/>
        <w:ind w:left="101" w:right="105"/>
        <w:jc w:val="both"/>
      </w:pPr>
      <w:r>
        <w:rPr>
          <w:b/>
        </w:rPr>
        <w:t>Partida “Remesas Familiares”</w:t>
      </w:r>
      <w:r>
        <w:rPr/>
        <w:t>. En ella se registran las transferencias realizadas por  los emigrantes que se mencionan a continuación: a) mexicanos que habitualmente residen en el extranjero legal o ilegalmente, b) estadounidenses descendientes de mexicanos y c) mexicanos que emigran temporalmente por un periodo promedio de    seis meses y retornan a</w:t>
      </w:r>
      <w:r>
        <w:rPr>
          <w:spacing w:val="34"/>
        </w:rPr>
        <w:t> </w:t>
      </w:r>
      <w:r>
        <w:rPr/>
        <w:t>México.</w:t>
      </w:r>
    </w:p>
    <w:p>
      <w:pPr>
        <w:pStyle w:val="BodyText"/>
        <w:spacing w:before="9"/>
      </w:pPr>
    </w:p>
    <w:p>
      <w:pPr>
        <w:pStyle w:val="BodyText"/>
        <w:spacing w:line="367" w:lineRule="auto"/>
        <w:ind w:left="101" w:right="105"/>
        <w:jc w:val="both"/>
      </w:pPr>
      <w:r>
        <w:rPr>
          <w:b/>
        </w:rPr>
        <w:t>Partida “Otros”</w:t>
      </w:r>
      <w:r>
        <w:rPr/>
        <w:t>. En ella se registran las divisas que entran al país por el trabajo en Estados Unidos de los trabajadores fronterizos, denominados  </w:t>
      </w:r>
      <w:r>
        <w:rPr>
          <w:i/>
        </w:rPr>
        <w:t>commuters</w:t>
      </w:r>
      <w:r>
        <w:rPr/>
        <w:t>.</w:t>
      </w:r>
    </w:p>
    <w:p>
      <w:pPr>
        <w:pStyle w:val="BodyText"/>
        <w:rPr>
          <w:sz w:val="24"/>
        </w:rPr>
      </w:pPr>
    </w:p>
    <w:p>
      <w:pPr>
        <w:pStyle w:val="BodyText"/>
        <w:spacing w:line="364" w:lineRule="auto"/>
        <w:ind w:left="101" w:right="105"/>
        <w:jc w:val="both"/>
      </w:pPr>
      <w:r>
        <w:rPr/>
        <w:t>La estimación exacta de las remesas familiares es compleja, ya que los envíos  se  hacen en cantidades irregulares mediante giros postales, cheques de caja, cheques de viajero, cheques personales, órdenes de pago, dinero en efectivo  enviado  con  personas que retornan a México, y los ahorros que trae consigo el propio </w:t>
      </w:r>
      <w:r>
        <w:rPr>
          <w:spacing w:val="30"/>
        </w:rPr>
        <w:t> </w:t>
      </w:r>
      <w:r>
        <w:rPr/>
        <w:t>emigrante.</w:t>
      </w:r>
    </w:p>
    <w:p>
      <w:pPr>
        <w:pStyle w:val="BodyText"/>
        <w:spacing w:before="2"/>
        <w:rPr>
          <w:sz w:val="24"/>
        </w:rPr>
      </w:pPr>
    </w:p>
    <w:p>
      <w:pPr>
        <w:pStyle w:val="BodyText"/>
        <w:spacing w:line="364" w:lineRule="auto"/>
        <w:ind w:left="101" w:right="105"/>
        <w:jc w:val="both"/>
      </w:pPr>
      <w:r>
        <w:rPr/>
        <w:t>Las cifras más confiables a nivel nacional son las que contabiliza y publica el Banco de México; sin embargo quizá disten mucho de ser exactas pese al avance metodológico para su medición. Por ejemplo, resulta de gran complejidad contabilizar las </w:t>
      </w:r>
      <w:r>
        <w:rPr>
          <w:b/>
        </w:rPr>
        <w:t>“transferencias de bolsillo”, </w:t>
      </w:r>
      <w:r>
        <w:rPr/>
        <w:t>es decir, la cantidad de dinero que los emigrantes temporales traen consigo a su retorno a</w:t>
      </w:r>
      <w:r>
        <w:rPr>
          <w:spacing w:val="56"/>
        </w:rPr>
        <w:t> </w:t>
      </w:r>
      <w:r>
        <w:rPr/>
        <w:t>México.</w:t>
      </w:r>
    </w:p>
    <w:p>
      <w:pPr>
        <w:pStyle w:val="BodyText"/>
        <w:spacing w:before="2"/>
        <w:rPr>
          <w:sz w:val="24"/>
        </w:rPr>
      </w:pPr>
    </w:p>
    <w:p>
      <w:pPr>
        <w:pStyle w:val="BodyText"/>
        <w:spacing w:line="364" w:lineRule="auto"/>
        <w:ind w:left="101" w:right="104"/>
        <w:jc w:val="both"/>
      </w:pPr>
      <w:r>
        <w:rPr/>
        <w:t>Antes de 1989, en la Balanza de Pagos de México sólo se registraban como remesas familiares las divisas captadas mediante giros postales y telegráficos. A partir de ese  año el Banco de México incluyó los </w:t>
      </w:r>
      <w:r>
        <w:rPr>
          <w:i/>
        </w:rPr>
        <w:t>Money Orders </w:t>
      </w:r>
      <w:r>
        <w:rPr/>
        <w:t>y los cheques personales, siempre y cuando esos documentos fuesen adquiridos y remitidos desde Estados Unidos y se convirtieran a efectivo en México en bancos  y casas de cambio. No se  incluían el  dinero en efectivo y los envíos en</w:t>
      </w:r>
      <w:r>
        <w:rPr>
          <w:spacing w:val="45"/>
        </w:rPr>
        <w:t> </w:t>
      </w:r>
      <w:r>
        <w:rPr/>
        <w:t>especie.</w:t>
      </w:r>
    </w:p>
    <w:p>
      <w:pPr>
        <w:pStyle w:val="BodyText"/>
        <w:rPr>
          <w:sz w:val="24"/>
        </w:rPr>
      </w:pPr>
    </w:p>
    <w:p>
      <w:pPr>
        <w:pStyle w:val="BodyText"/>
        <w:spacing w:line="364" w:lineRule="auto"/>
        <w:ind w:left="101" w:right="105"/>
        <w:jc w:val="both"/>
      </w:pPr>
      <w:r>
        <w:rPr/>
        <w:t>Para complicar aún más las cosas, las operaciones electrónicas se incrementaron con   el avance tecnológico y se volvió más compleja la tarea de contabilizar las remesas de manera exacta. Es por ello que, a partir de 1994, el Banco de México incluyó en la Balanza de Pagos el monto de las transferencias electrónicas, así como una estimación de las transferencias de bolsillo y en especie, estas últimas calculadas mediante un apartado especial que se incluyó en la Encuesta de Turismo aplicada por dicho </w:t>
      </w:r>
      <w:r>
        <w:rPr>
          <w:spacing w:val="36"/>
        </w:rPr>
        <w:t> </w:t>
      </w:r>
      <w:r>
        <w:rPr/>
        <w:t>Banco.</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4"/>
        <w:rPr>
          <w:sz w:val="19"/>
        </w:rPr>
      </w:pPr>
    </w:p>
    <w:p>
      <w:pPr>
        <w:pStyle w:val="Heading2"/>
        <w:numPr>
          <w:ilvl w:val="0"/>
          <w:numId w:val="15"/>
        </w:numPr>
        <w:tabs>
          <w:tab w:pos="447" w:val="left" w:leader="none"/>
        </w:tabs>
        <w:spacing w:line="240" w:lineRule="auto" w:before="61" w:after="0"/>
        <w:ind w:left="447" w:right="0" w:hanging="346"/>
        <w:jc w:val="both"/>
      </w:pPr>
      <w:r>
        <w:rPr/>
        <w:t>METODOLOGÍA</w:t>
      </w:r>
    </w:p>
    <w:p>
      <w:pPr>
        <w:pStyle w:val="BodyText"/>
        <w:rPr>
          <w:b/>
          <w:sz w:val="30"/>
        </w:rPr>
      </w:pPr>
    </w:p>
    <w:p>
      <w:pPr>
        <w:pStyle w:val="BodyText"/>
        <w:rPr>
          <w:b/>
          <w:sz w:val="44"/>
        </w:rPr>
      </w:pPr>
    </w:p>
    <w:p>
      <w:pPr>
        <w:pStyle w:val="BodyText"/>
        <w:spacing w:line="364" w:lineRule="auto"/>
        <w:ind w:left="101" w:right="105"/>
        <w:jc w:val="both"/>
      </w:pPr>
      <w:r>
        <w:rPr/>
        <w:t>En México hay una vasta literatura disponible en la cual se aborda el problema de la migración. En ella se observa que existen diversos enfoques para analizar el proceso migratorio del campo hacia las grandes urbes mexicanas y, principalmente, hacia otros países como los Estados Unidos de</w:t>
      </w:r>
      <w:r>
        <w:rPr>
          <w:spacing w:val="55"/>
        </w:rPr>
        <w:t> </w:t>
      </w:r>
      <w:r>
        <w:rPr/>
        <w:t>Norteamérica.</w:t>
      </w:r>
    </w:p>
    <w:p>
      <w:pPr>
        <w:pStyle w:val="BodyText"/>
        <w:spacing w:before="4"/>
        <w:rPr>
          <w:sz w:val="17"/>
        </w:rPr>
      </w:pPr>
    </w:p>
    <w:p>
      <w:pPr>
        <w:pStyle w:val="BodyText"/>
        <w:spacing w:line="364" w:lineRule="auto"/>
        <w:ind w:left="101" w:right="104"/>
        <w:jc w:val="both"/>
      </w:pPr>
      <w:r>
        <w:rPr/>
        <w:t>El enfoque económico es el que nos interesa aplicar en este trabajo. En particular, nos interesa analizar el impacto micro y macroeconómico de las remesas que ingresan al país. Al nivel microeconómico, se analiza el impacto por regiones en cuanto a los  montos y destino de las remesas entre distintos propósitos  (consumo,  ahorro,  inversión), y al nivel macroeconómico se analiza el impacto de las  remesas  en  el sentido de constituir un “contrapeso” a los déficits recurrentes en la cuenta corriente de  la balanza de pagos; además, se analiza su importancia respecto de otros rubros que son de interés por constituir algunas de las principales fuentes de captación de divisas para México, tales como la exportación de petróleo, turismo, exportaciones agropecuarias e inversión extranjera</w:t>
      </w:r>
      <w:r>
        <w:rPr>
          <w:spacing w:val="47"/>
        </w:rPr>
        <w:t> </w:t>
      </w:r>
      <w:r>
        <w:rPr/>
        <w:t>directa.</w:t>
      </w:r>
    </w:p>
    <w:p>
      <w:pPr>
        <w:pStyle w:val="BodyText"/>
        <w:spacing w:before="4"/>
        <w:rPr>
          <w:sz w:val="17"/>
        </w:rPr>
      </w:pPr>
    </w:p>
    <w:p>
      <w:pPr>
        <w:pStyle w:val="BodyText"/>
        <w:spacing w:line="364" w:lineRule="auto"/>
        <w:ind w:left="101" w:right="105"/>
        <w:jc w:val="both"/>
      </w:pPr>
      <w:r>
        <w:rPr/>
        <w:t>La información estadística contenida en este trabajo, se integra por series históricas obtenidas a partir de distintas fuentes oficiales, las cuales sirvieron de base  para  realizar algunos cálculos propios; con todos esos datos se procedió al análisis para cumplir con los objetivos de esta</w:t>
      </w:r>
      <w:r>
        <w:rPr>
          <w:spacing w:val="46"/>
        </w:rPr>
        <w:t> </w:t>
      </w:r>
      <w:r>
        <w:rPr/>
        <w:t>investigación.</w:t>
      </w:r>
    </w:p>
    <w:p>
      <w:pPr>
        <w:pStyle w:val="BodyText"/>
        <w:rPr>
          <w:sz w:val="22"/>
        </w:rPr>
      </w:pPr>
    </w:p>
    <w:p>
      <w:pPr>
        <w:pStyle w:val="BodyText"/>
        <w:rPr>
          <w:sz w:val="22"/>
        </w:rPr>
      </w:pPr>
    </w:p>
    <w:p>
      <w:pPr>
        <w:pStyle w:val="BodyText"/>
        <w:spacing w:before="5"/>
        <w:rPr>
          <w:sz w:val="21"/>
        </w:rPr>
      </w:pPr>
    </w:p>
    <w:p>
      <w:pPr>
        <w:pStyle w:val="Heading2"/>
        <w:numPr>
          <w:ilvl w:val="0"/>
          <w:numId w:val="15"/>
        </w:numPr>
        <w:tabs>
          <w:tab w:pos="539" w:val="left" w:leader="none"/>
        </w:tabs>
        <w:spacing w:line="240" w:lineRule="auto" w:before="1" w:after="0"/>
        <w:ind w:left="538" w:right="0" w:hanging="437"/>
        <w:jc w:val="both"/>
      </w:pPr>
      <w:r>
        <w:rPr/>
        <w:t>ANALISIS Y DISCUSIÓN DE</w:t>
      </w:r>
      <w:r>
        <w:rPr>
          <w:spacing w:val="10"/>
        </w:rPr>
        <w:t> </w:t>
      </w:r>
      <w:r>
        <w:rPr/>
        <w:t>RESULTADOS</w:t>
      </w:r>
    </w:p>
    <w:p>
      <w:pPr>
        <w:pStyle w:val="BodyText"/>
        <w:rPr>
          <w:b/>
          <w:sz w:val="30"/>
        </w:rPr>
      </w:pPr>
    </w:p>
    <w:p>
      <w:pPr>
        <w:pStyle w:val="Heading3"/>
        <w:numPr>
          <w:ilvl w:val="1"/>
          <w:numId w:val="20"/>
        </w:numPr>
        <w:tabs>
          <w:tab w:pos="695" w:val="left" w:leader="none"/>
        </w:tabs>
        <w:spacing w:line="364" w:lineRule="auto" w:before="193" w:after="0"/>
        <w:ind w:left="802" w:right="104" w:hanging="701"/>
        <w:jc w:val="left"/>
      </w:pPr>
      <w:r>
        <w:rPr/>
        <w:t>Comportamiento de las remesas durante 2008 con respecto al  año 2007 y avances a Junio de</w:t>
      </w:r>
      <w:r>
        <w:rPr>
          <w:spacing w:val="33"/>
        </w:rPr>
        <w:t> </w:t>
      </w:r>
      <w:r>
        <w:rPr/>
        <w:t>2009</w:t>
      </w:r>
    </w:p>
    <w:p>
      <w:pPr>
        <w:pStyle w:val="BodyText"/>
        <w:spacing w:line="364" w:lineRule="auto" w:before="203"/>
        <w:ind w:left="101" w:right="105"/>
        <w:jc w:val="both"/>
      </w:pPr>
      <w:r>
        <w:rPr/>
        <w:t>De acuerdo con datos de los Informes de Gobierno del presidente Felipe Calderón, durante 2006, el monto de divisas captado en México vía remesas familiares ascendió</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6"/>
        <w:rPr>
          <w:sz w:val="18"/>
        </w:rPr>
      </w:pPr>
    </w:p>
    <w:p>
      <w:pPr>
        <w:pStyle w:val="BodyText"/>
        <w:spacing w:line="364" w:lineRule="auto" w:before="74"/>
        <w:ind w:left="181" w:right="105"/>
        <w:jc w:val="both"/>
      </w:pPr>
      <w:r>
        <w:rPr/>
        <w:t>a 23,054 millones de dólares, cifra que significó un incremento de </w:t>
      </w:r>
      <w:r>
        <w:rPr>
          <w:b/>
        </w:rPr>
        <w:t>15% con respecto a 2005</w:t>
      </w:r>
      <w:r>
        <w:rPr/>
        <w:t>. En tanto que, durante 2007, el monto total acumulado de  remesas  que  ingresaron a México ascendió a 23,979 millones de dólares, cifra que representa un incremento de apenas </w:t>
      </w:r>
      <w:r>
        <w:rPr>
          <w:b/>
        </w:rPr>
        <w:t>4% con respecto al año 2006 </w:t>
      </w:r>
      <w:r>
        <w:rPr/>
        <w:t>(Cuadro </w:t>
      </w:r>
      <w:r>
        <w:rPr>
          <w:spacing w:val="12"/>
        </w:rPr>
        <w:t> </w:t>
      </w:r>
      <w:r>
        <w:rPr/>
        <w:t>1).</w:t>
      </w:r>
    </w:p>
    <w:p>
      <w:pPr>
        <w:pStyle w:val="BodyText"/>
        <w:rPr>
          <w:sz w:val="22"/>
        </w:rPr>
      </w:pPr>
    </w:p>
    <w:p>
      <w:pPr>
        <w:pStyle w:val="BodyText"/>
        <w:rPr>
          <w:sz w:val="22"/>
        </w:rPr>
      </w:pPr>
    </w:p>
    <w:p>
      <w:pPr>
        <w:pStyle w:val="Heading4"/>
        <w:spacing w:line="386" w:lineRule="auto" w:before="197" w:after="6"/>
        <w:ind w:left="3572" w:right="403" w:hanging="2225"/>
      </w:pPr>
      <w:r>
        <w:rPr/>
        <w:t>Cuadro 1. México: fuentes de captación de divisas 2005-2009 (Millones de dólares)</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94"/>
        <w:gridCol w:w="1567"/>
        <w:gridCol w:w="1567"/>
        <w:gridCol w:w="1418"/>
        <w:gridCol w:w="1219"/>
        <w:gridCol w:w="972"/>
      </w:tblGrid>
      <w:tr>
        <w:trPr>
          <w:trHeight w:val="487" w:hRule="exact"/>
        </w:trPr>
        <w:tc>
          <w:tcPr>
            <w:tcW w:w="1994" w:type="dxa"/>
          </w:tcPr>
          <w:p>
            <w:pPr>
              <w:pStyle w:val="TableParagraph"/>
              <w:spacing w:before="0"/>
              <w:ind w:left="496"/>
              <w:jc w:val="left"/>
              <w:rPr>
                <w:b/>
                <w:sz w:val="21"/>
              </w:rPr>
            </w:pPr>
            <w:r>
              <w:rPr>
                <w:b/>
                <w:sz w:val="21"/>
              </w:rPr>
              <w:t>Concepto</w:t>
            </w:r>
          </w:p>
        </w:tc>
        <w:tc>
          <w:tcPr>
            <w:tcW w:w="1567" w:type="dxa"/>
          </w:tcPr>
          <w:p>
            <w:pPr>
              <w:pStyle w:val="TableParagraph"/>
              <w:spacing w:before="0"/>
              <w:ind w:left="348" w:right="348"/>
              <w:jc w:val="center"/>
              <w:rPr>
                <w:b/>
                <w:sz w:val="21"/>
              </w:rPr>
            </w:pPr>
            <w:r>
              <w:rPr>
                <w:b/>
                <w:sz w:val="21"/>
              </w:rPr>
              <w:t>2005</w:t>
            </w:r>
          </w:p>
        </w:tc>
        <w:tc>
          <w:tcPr>
            <w:tcW w:w="1567" w:type="dxa"/>
          </w:tcPr>
          <w:p>
            <w:pPr>
              <w:pStyle w:val="TableParagraph"/>
              <w:spacing w:before="0"/>
              <w:ind w:left="348" w:right="348"/>
              <w:jc w:val="center"/>
              <w:rPr>
                <w:b/>
                <w:sz w:val="21"/>
              </w:rPr>
            </w:pPr>
            <w:r>
              <w:rPr>
                <w:b/>
                <w:sz w:val="21"/>
              </w:rPr>
              <w:t>2006</w:t>
            </w:r>
          </w:p>
        </w:tc>
        <w:tc>
          <w:tcPr>
            <w:tcW w:w="1418" w:type="dxa"/>
          </w:tcPr>
          <w:p>
            <w:pPr>
              <w:pStyle w:val="TableParagraph"/>
              <w:spacing w:before="0"/>
              <w:ind w:left="465"/>
              <w:jc w:val="left"/>
              <w:rPr>
                <w:b/>
                <w:sz w:val="21"/>
              </w:rPr>
            </w:pPr>
            <w:r>
              <w:rPr>
                <w:b/>
                <w:sz w:val="21"/>
              </w:rPr>
              <w:t>2007</w:t>
            </w:r>
          </w:p>
        </w:tc>
        <w:tc>
          <w:tcPr>
            <w:tcW w:w="1219" w:type="dxa"/>
          </w:tcPr>
          <w:p>
            <w:pPr>
              <w:pStyle w:val="TableParagraph"/>
              <w:spacing w:before="0"/>
              <w:ind w:left="176" w:right="175"/>
              <w:jc w:val="center"/>
              <w:rPr>
                <w:b/>
                <w:sz w:val="21"/>
              </w:rPr>
            </w:pPr>
            <w:r>
              <w:rPr>
                <w:b/>
                <w:sz w:val="21"/>
              </w:rPr>
              <w:t>2008</w:t>
            </w:r>
          </w:p>
        </w:tc>
        <w:tc>
          <w:tcPr>
            <w:tcW w:w="972" w:type="dxa"/>
          </w:tcPr>
          <w:p>
            <w:pPr>
              <w:pStyle w:val="TableParagraph"/>
              <w:spacing w:before="0"/>
              <w:ind w:left="52" w:right="52"/>
              <w:jc w:val="center"/>
              <w:rPr>
                <w:b/>
                <w:sz w:val="21"/>
              </w:rPr>
            </w:pPr>
            <w:r>
              <w:rPr>
                <w:b/>
                <w:sz w:val="21"/>
              </w:rPr>
              <w:t>2009(*)</w:t>
            </w:r>
          </w:p>
        </w:tc>
      </w:tr>
      <w:tr>
        <w:trPr>
          <w:trHeight w:val="490" w:hRule="exact"/>
        </w:trPr>
        <w:tc>
          <w:tcPr>
            <w:tcW w:w="1994" w:type="dxa"/>
          </w:tcPr>
          <w:p>
            <w:pPr>
              <w:pStyle w:val="TableParagraph"/>
              <w:ind w:left="62"/>
              <w:jc w:val="left"/>
              <w:rPr>
                <w:sz w:val="21"/>
              </w:rPr>
            </w:pPr>
            <w:r>
              <w:rPr>
                <w:sz w:val="21"/>
              </w:rPr>
              <w:t>Petróleo</w:t>
            </w:r>
          </w:p>
        </w:tc>
        <w:tc>
          <w:tcPr>
            <w:tcW w:w="1567" w:type="dxa"/>
          </w:tcPr>
          <w:p>
            <w:pPr>
              <w:pStyle w:val="TableParagraph"/>
              <w:ind w:right="355"/>
              <w:rPr>
                <w:sz w:val="21"/>
              </w:rPr>
            </w:pPr>
            <w:r>
              <w:rPr>
                <w:sz w:val="21"/>
              </w:rPr>
              <w:t>31,891.0</w:t>
            </w:r>
          </w:p>
        </w:tc>
        <w:tc>
          <w:tcPr>
            <w:tcW w:w="1567" w:type="dxa"/>
          </w:tcPr>
          <w:p>
            <w:pPr>
              <w:pStyle w:val="TableParagraph"/>
              <w:ind w:left="352" w:right="348"/>
              <w:jc w:val="center"/>
              <w:rPr>
                <w:sz w:val="21"/>
              </w:rPr>
            </w:pPr>
            <w:r>
              <w:rPr>
                <w:sz w:val="21"/>
              </w:rPr>
              <w:t>34,707.1</w:t>
            </w:r>
          </w:p>
        </w:tc>
        <w:tc>
          <w:tcPr>
            <w:tcW w:w="1418" w:type="dxa"/>
          </w:tcPr>
          <w:p>
            <w:pPr>
              <w:pStyle w:val="TableParagraph"/>
              <w:ind w:right="281"/>
              <w:rPr>
                <w:sz w:val="21"/>
              </w:rPr>
            </w:pPr>
            <w:r>
              <w:rPr>
                <w:sz w:val="21"/>
              </w:rPr>
              <w:t>37,932.3</w:t>
            </w:r>
          </w:p>
        </w:tc>
        <w:tc>
          <w:tcPr>
            <w:tcW w:w="1219" w:type="dxa"/>
          </w:tcPr>
          <w:p>
            <w:pPr>
              <w:pStyle w:val="TableParagraph"/>
              <w:ind w:left="176" w:right="174"/>
              <w:jc w:val="center"/>
              <w:rPr>
                <w:sz w:val="21"/>
              </w:rPr>
            </w:pPr>
            <w:r>
              <w:rPr>
                <w:sz w:val="21"/>
              </w:rPr>
              <w:t>43,341.5</w:t>
            </w:r>
          </w:p>
        </w:tc>
        <w:tc>
          <w:tcPr>
            <w:tcW w:w="972" w:type="dxa"/>
          </w:tcPr>
          <w:p>
            <w:pPr>
              <w:pStyle w:val="TableParagraph"/>
              <w:ind w:left="52" w:right="52"/>
              <w:jc w:val="center"/>
              <w:rPr>
                <w:sz w:val="21"/>
              </w:rPr>
            </w:pPr>
            <w:r>
              <w:rPr>
                <w:sz w:val="21"/>
              </w:rPr>
              <w:t>10,489.0</w:t>
            </w:r>
          </w:p>
        </w:tc>
      </w:tr>
      <w:tr>
        <w:trPr>
          <w:trHeight w:val="485" w:hRule="exact"/>
        </w:trPr>
        <w:tc>
          <w:tcPr>
            <w:tcW w:w="1994" w:type="dxa"/>
          </w:tcPr>
          <w:p>
            <w:pPr>
              <w:pStyle w:val="TableParagraph"/>
              <w:spacing w:line="239" w:lineRule="exact" w:before="0"/>
              <w:ind w:left="62"/>
              <w:jc w:val="left"/>
              <w:rPr>
                <w:b/>
                <w:sz w:val="21"/>
              </w:rPr>
            </w:pPr>
            <w:r>
              <w:rPr>
                <w:b/>
                <w:sz w:val="21"/>
              </w:rPr>
              <w:t>Remesas</w:t>
            </w:r>
          </w:p>
        </w:tc>
        <w:tc>
          <w:tcPr>
            <w:tcW w:w="1567" w:type="dxa"/>
          </w:tcPr>
          <w:p>
            <w:pPr>
              <w:pStyle w:val="TableParagraph"/>
              <w:spacing w:line="239" w:lineRule="exact" w:before="0"/>
              <w:ind w:right="356"/>
              <w:rPr>
                <w:b/>
                <w:sz w:val="21"/>
              </w:rPr>
            </w:pPr>
            <w:r>
              <w:rPr>
                <w:b/>
                <w:sz w:val="21"/>
              </w:rPr>
              <w:t>20,034.8</w:t>
            </w:r>
          </w:p>
        </w:tc>
        <w:tc>
          <w:tcPr>
            <w:tcW w:w="1567" w:type="dxa"/>
          </w:tcPr>
          <w:p>
            <w:pPr>
              <w:pStyle w:val="TableParagraph"/>
              <w:spacing w:line="239" w:lineRule="exact" w:before="0"/>
              <w:ind w:left="352" w:right="348"/>
              <w:jc w:val="center"/>
              <w:rPr>
                <w:b/>
                <w:sz w:val="21"/>
              </w:rPr>
            </w:pPr>
            <w:r>
              <w:rPr>
                <w:b/>
                <w:sz w:val="21"/>
              </w:rPr>
              <w:t>23,054.0</w:t>
            </w:r>
          </w:p>
        </w:tc>
        <w:tc>
          <w:tcPr>
            <w:tcW w:w="1418" w:type="dxa"/>
          </w:tcPr>
          <w:p>
            <w:pPr>
              <w:pStyle w:val="TableParagraph"/>
              <w:spacing w:line="239" w:lineRule="exact" w:before="0"/>
              <w:ind w:right="281"/>
              <w:rPr>
                <w:b/>
                <w:sz w:val="21"/>
              </w:rPr>
            </w:pPr>
            <w:r>
              <w:rPr>
                <w:b/>
                <w:sz w:val="21"/>
              </w:rPr>
              <w:t>23,979.0</w:t>
            </w:r>
          </w:p>
        </w:tc>
        <w:tc>
          <w:tcPr>
            <w:tcW w:w="1219" w:type="dxa"/>
          </w:tcPr>
          <w:p>
            <w:pPr>
              <w:pStyle w:val="TableParagraph"/>
              <w:spacing w:line="239" w:lineRule="exact" w:before="0"/>
              <w:ind w:left="176" w:right="175"/>
              <w:jc w:val="center"/>
              <w:rPr>
                <w:b/>
                <w:sz w:val="21"/>
              </w:rPr>
            </w:pPr>
            <w:r>
              <w:rPr>
                <w:b/>
                <w:sz w:val="21"/>
              </w:rPr>
              <w:t>25,145.1</w:t>
            </w:r>
          </w:p>
        </w:tc>
        <w:tc>
          <w:tcPr>
            <w:tcW w:w="972" w:type="dxa"/>
          </w:tcPr>
          <w:p>
            <w:pPr>
              <w:pStyle w:val="TableParagraph"/>
              <w:spacing w:line="239" w:lineRule="exact" w:before="0"/>
              <w:ind w:left="52" w:right="52"/>
              <w:jc w:val="center"/>
              <w:rPr>
                <w:b/>
                <w:sz w:val="21"/>
              </w:rPr>
            </w:pPr>
            <w:r>
              <w:rPr>
                <w:b/>
                <w:sz w:val="21"/>
              </w:rPr>
              <w:t>11,353.4</w:t>
            </w:r>
          </w:p>
        </w:tc>
      </w:tr>
      <w:tr>
        <w:trPr>
          <w:trHeight w:val="490" w:hRule="exact"/>
        </w:trPr>
        <w:tc>
          <w:tcPr>
            <w:tcW w:w="1994" w:type="dxa"/>
          </w:tcPr>
          <w:p>
            <w:pPr>
              <w:pStyle w:val="TableParagraph"/>
              <w:spacing w:before="4"/>
              <w:ind w:left="62"/>
              <w:jc w:val="left"/>
              <w:rPr>
                <w:sz w:val="21"/>
              </w:rPr>
            </w:pPr>
            <w:r>
              <w:rPr>
                <w:sz w:val="21"/>
              </w:rPr>
              <w:t>Turismo</w:t>
            </w:r>
          </w:p>
        </w:tc>
        <w:tc>
          <w:tcPr>
            <w:tcW w:w="1567" w:type="dxa"/>
          </w:tcPr>
          <w:p>
            <w:pPr>
              <w:pStyle w:val="TableParagraph"/>
              <w:spacing w:before="4"/>
              <w:ind w:right="356"/>
              <w:rPr>
                <w:sz w:val="21"/>
              </w:rPr>
            </w:pPr>
            <w:r>
              <w:rPr>
                <w:sz w:val="21"/>
              </w:rPr>
              <w:t>11,803.0</w:t>
            </w:r>
          </w:p>
        </w:tc>
        <w:tc>
          <w:tcPr>
            <w:tcW w:w="1567" w:type="dxa"/>
          </w:tcPr>
          <w:p>
            <w:pPr>
              <w:pStyle w:val="TableParagraph"/>
              <w:spacing w:before="4"/>
              <w:ind w:left="352" w:right="348"/>
              <w:jc w:val="center"/>
              <w:rPr>
                <w:sz w:val="21"/>
              </w:rPr>
            </w:pPr>
            <w:r>
              <w:rPr>
                <w:sz w:val="21"/>
              </w:rPr>
              <w:t>12,177.0</w:t>
            </w:r>
          </w:p>
        </w:tc>
        <w:tc>
          <w:tcPr>
            <w:tcW w:w="1418" w:type="dxa"/>
          </w:tcPr>
          <w:p>
            <w:pPr>
              <w:pStyle w:val="TableParagraph"/>
              <w:spacing w:before="4"/>
              <w:ind w:right="281"/>
              <w:rPr>
                <w:sz w:val="21"/>
              </w:rPr>
            </w:pPr>
            <w:r>
              <w:rPr>
                <w:sz w:val="21"/>
              </w:rPr>
              <w:t>12,901.0</w:t>
            </w:r>
          </w:p>
        </w:tc>
        <w:tc>
          <w:tcPr>
            <w:tcW w:w="1219" w:type="dxa"/>
          </w:tcPr>
          <w:p>
            <w:pPr>
              <w:pStyle w:val="TableParagraph"/>
              <w:spacing w:before="4"/>
              <w:ind w:left="176" w:right="174"/>
              <w:jc w:val="center"/>
              <w:rPr>
                <w:sz w:val="21"/>
              </w:rPr>
            </w:pPr>
            <w:r>
              <w:rPr>
                <w:sz w:val="21"/>
              </w:rPr>
              <w:t>13,289.0</w:t>
            </w:r>
          </w:p>
        </w:tc>
        <w:tc>
          <w:tcPr>
            <w:tcW w:w="972" w:type="dxa"/>
          </w:tcPr>
          <w:p>
            <w:pPr>
              <w:pStyle w:val="TableParagraph"/>
              <w:spacing w:before="4"/>
              <w:ind w:left="52" w:right="52"/>
              <w:jc w:val="center"/>
              <w:rPr>
                <w:sz w:val="21"/>
              </w:rPr>
            </w:pPr>
            <w:r>
              <w:rPr>
                <w:sz w:val="21"/>
              </w:rPr>
              <w:t>6,047.6</w:t>
            </w:r>
          </w:p>
        </w:tc>
      </w:tr>
      <w:tr>
        <w:trPr>
          <w:trHeight w:val="487" w:hRule="exact"/>
        </w:trPr>
        <w:tc>
          <w:tcPr>
            <w:tcW w:w="1994" w:type="dxa"/>
          </w:tcPr>
          <w:p>
            <w:pPr>
              <w:pStyle w:val="TableParagraph"/>
              <w:spacing w:before="0"/>
              <w:ind w:left="62"/>
              <w:jc w:val="left"/>
              <w:rPr>
                <w:sz w:val="21"/>
              </w:rPr>
            </w:pPr>
            <w:r>
              <w:rPr>
                <w:sz w:val="21"/>
              </w:rPr>
              <w:t>Agropecuarias</w:t>
            </w:r>
          </w:p>
        </w:tc>
        <w:tc>
          <w:tcPr>
            <w:tcW w:w="1567" w:type="dxa"/>
          </w:tcPr>
          <w:p>
            <w:pPr>
              <w:pStyle w:val="TableParagraph"/>
              <w:spacing w:before="0"/>
              <w:ind w:right="298"/>
              <w:rPr>
                <w:sz w:val="21"/>
              </w:rPr>
            </w:pPr>
            <w:r>
              <w:rPr>
                <w:sz w:val="21"/>
              </w:rPr>
              <w:t>6,008.0</w:t>
            </w:r>
          </w:p>
        </w:tc>
        <w:tc>
          <w:tcPr>
            <w:tcW w:w="1567" w:type="dxa"/>
          </w:tcPr>
          <w:p>
            <w:pPr>
              <w:pStyle w:val="TableParagraph"/>
              <w:spacing w:before="0"/>
              <w:ind w:left="348" w:right="348"/>
              <w:jc w:val="center"/>
              <w:rPr>
                <w:sz w:val="21"/>
              </w:rPr>
            </w:pPr>
            <w:r>
              <w:rPr>
                <w:sz w:val="21"/>
              </w:rPr>
              <w:t>6,852.8</w:t>
            </w:r>
          </w:p>
        </w:tc>
        <w:tc>
          <w:tcPr>
            <w:tcW w:w="1418" w:type="dxa"/>
          </w:tcPr>
          <w:p>
            <w:pPr>
              <w:pStyle w:val="TableParagraph"/>
              <w:spacing w:before="0"/>
              <w:ind w:right="343"/>
              <w:rPr>
                <w:sz w:val="21"/>
              </w:rPr>
            </w:pPr>
            <w:r>
              <w:rPr>
                <w:sz w:val="21"/>
              </w:rPr>
              <w:t>7,435.0</w:t>
            </w:r>
          </w:p>
        </w:tc>
        <w:tc>
          <w:tcPr>
            <w:tcW w:w="1219" w:type="dxa"/>
          </w:tcPr>
          <w:p>
            <w:pPr>
              <w:pStyle w:val="TableParagraph"/>
              <w:spacing w:before="0"/>
              <w:ind w:left="176" w:right="172"/>
              <w:jc w:val="center"/>
              <w:rPr>
                <w:sz w:val="21"/>
              </w:rPr>
            </w:pPr>
            <w:r>
              <w:rPr>
                <w:sz w:val="21"/>
              </w:rPr>
              <w:t>7916.1</w:t>
            </w:r>
          </w:p>
        </w:tc>
        <w:tc>
          <w:tcPr>
            <w:tcW w:w="972" w:type="dxa"/>
          </w:tcPr>
          <w:p>
            <w:pPr>
              <w:pStyle w:val="TableParagraph"/>
              <w:spacing w:before="0"/>
              <w:ind w:left="52" w:right="52"/>
              <w:jc w:val="center"/>
              <w:rPr>
                <w:sz w:val="21"/>
              </w:rPr>
            </w:pPr>
            <w:r>
              <w:rPr>
                <w:sz w:val="21"/>
              </w:rPr>
              <w:t>4,598.4</w:t>
            </w:r>
          </w:p>
        </w:tc>
      </w:tr>
      <w:tr>
        <w:trPr>
          <w:trHeight w:val="488" w:hRule="exact"/>
        </w:trPr>
        <w:tc>
          <w:tcPr>
            <w:tcW w:w="1994" w:type="dxa"/>
            <w:tcBorders>
              <w:bottom w:val="single" w:sz="3" w:space="0" w:color="000000"/>
            </w:tcBorders>
          </w:tcPr>
          <w:p>
            <w:pPr>
              <w:pStyle w:val="TableParagraph"/>
              <w:ind w:left="62"/>
              <w:jc w:val="left"/>
              <w:rPr>
                <w:sz w:val="21"/>
              </w:rPr>
            </w:pPr>
            <w:r>
              <w:rPr>
                <w:sz w:val="21"/>
              </w:rPr>
              <w:t>IED(**)</w:t>
            </w:r>
          </w:p>
        </w:tc>
        <w:tc>
          <w:tcPr>
            <w:tcW w:w="1567" w:type="dxa"/>
            <w:tcBorders>
              <w:bottom w:val="single" w:sz="3" w:space="0" w:color="000000"/>
            </w:tcBorders>
          </w:tcPr>
          <w:p>
            <w:pPr>
              <w:pStyle w:val="TableParagraph"/>
              <w:ind w:right="356"/>
              <w:rPr>
                <w:sz w:val="21"/>
              </w:rPr>
            </w:pPr>
            <w:r>
              <w:rPr>
                <w:sz w:val="21"/>
              </w:rPr>
              <w:t>21,976.8</w:t>
            </w:r>
          </w:p>
        </w:tc>
        <w:tc>
          <w:tcPr>
            <w:tcW w:w="1567" w:type="dxa"/>
            <w:tcBorders>
              <w:bottom w:val="single" w:sz="3" w:space="0" w:color="000000"/>
            </w:tcBorders>
          </w:tcPr>
          <w:p>
            <w:pPr>
              <w:pStyle w:val="TableParagraph"/>
              <w:ind w:left="352" w:right="348"/>
              <w:jc w:val="center"/>
              <w:rPr>
                <w:sz w:val="21"/>
              </w:rPr>
            </w:pPr>
            <w:r>
              <w:rPr>
                <w:sz w:val="21"/>
              </w:rPr>
              <w:t>19,428.0</w:t>
            </w:r>
          </w:p>
        </w:tc>
        <w:tc>
          <w:tcPr>
            <w:tcW w:w="1418" w:type="dxa"/>
            <w:tcBorders>
              <w:bottom w:val="single" w:sz="3" w:space="0" w:color="000000"/>
            </w:tcBorders>
          </w:tcPr>
          <w:p>
            <w:pPr>
              <w:pStyle w:val="TableParagraph"/>
              <w:ind w:right="281"/>
              <w:rPr>
                <w:sz w:val="21"/>
              </w:rPr>
            </w:pPr>
            <w:r>
              <w:rPr>
                <w:sz w:val="21"/>
              </w:rPr>
              <w:t>21,528.1</w:t>
            </w:r>
          </w:p>
        </w:tc>
        <w:tc>
          <w:tcPr>
            <w:tcW w:w="1219" w:type="dxa"/>
            <w:tcBorders>
              <w:bottom w:val="single" w:sz="3" w:space="0" w:color="000000"/>
            </w:tcBorders>
          </w:tcPr>
          <w:p>
            <w:pPr>
              <w:pStyle w:val="TableParagraph"/>
              <w:ind w:left="176" w:right="174"/>
              <w:jc w:val="center"/>
              <w:rPr>
                <w:sz w:val="21"/>
              </w:rPr>
            </w:pPr>
            <w:r>
              <w:rPr>
                <w:sz w:val="21"/>
              </w:rPr>
              <w:t>22,481.2</w:t>
            </w:r>
          </w:p>
        </w:tc>
        <w:tc>
          <w:tcPr>
            <w:tcW w:w="972" w:type="dxa"/>
            <w:tcBorders>
              <w:bottom w:val="single" w:sz="3" w:space="0" w:color="000000"/>
            </w:tcBorders>
          </w:tcPr>
          <w:p>
            <w:pPr>
              <w:pStyle w:val="TableParagraph"/>
              <w:ind w:left="52" w:right="52"/>
              <w:jc w:val="center"/>
              <w:rPr>
                <w:sz w:val="21"/>
              </w:rPr>
            </w:pPr>
            <w:r>
              <w:rPr>
                <w:sz w:val="21"/>
              </w:rPr>
              <w:t>9,976.0</w:t>
            </w:r>
          </w:p>
        </w:tc>
      </w:tr>
    </w:tbl>
    <w:p>
      <w:pPr>
        <w:spacing w:line="273" w:lineRule="auto" w:before="2"/>
        <w:ind w:left="181" w:right="103" w:firstLine="0"/>
        <w:jc w:val="both"/>
        <w:rPr>
          <w:sz w:val="21"/>
        </w:rPr>
      </w:pPr>
      <w:r>
        <w:rPr>
          <w:sz w:val="21"/>
        </w:rPr>
        <w:t>Fuente: Para el año 2005, cifras del 6° Informe de Gobierno del Presidente Vicente Fox. Septiembre de 2006. Para el año 2006, cifras del 1° Informe de Gobierno del Presidente Felipe Calderón. Septiembre de 2007. Para el año 2007 y 2008,  cifras  del  2</w:t>
      </w:r>
      <w:r>
        <w:rPr>
          <w:position w:val="10"/>
          <w:sz w:val="13"/>
        </w:rPr>
        <w:t>o  </w:t>
      </w:r>
      <w:r>
        <w:rPr>
          <w:sz w:val="21"/>
        </w:rPr>
        <w:t>y  3° Informes  de Gobierno del Presidente Felipe Calderón. Septiembre de 2008 y  2009.</w:t>
      </w:r>
    </w:p>
    <w:p>
      <w:pPr>
        <w:spacing w:before="129"/>
        <w:ind w:left="181" w:right="0" w:firstLine="0"/>
        <w:jc w:val="both"/>
        <w:rPr>
          <w:sz w:val="23"/>
        </w:rPr>
      </w:pPr>
      <w:r>
        <w:rPr>
          <w:sz w:val="21"/>
        </w:rPr>
        <w:t>(*) Datos al mes de Junio. (**) Inversión Extranjera  Directa</w:t>
      </w:r>
      <w:r>
        <w:rPr>
          <w:sz w:val="23"/>
        </w:rPr>
        <w:t>.</w:t>
      </w:r>
    </w:p>
    <w:p>
      <w:pPr>
        <w:pStyle w:val="BodyText"/>
        <w:rPr>
          <w:sz w:val="22"/>
        </w:rPr>
      </w:pPr>
    </w:p>
    <w:p>
      <w:pPr>
        <w:pStyle w:val="BodyText"/>
        <w:spacing w:before="6"/>
        <w:rPr>
          <w:sz w:val="26"/>
        </w:rPr>
      </w:pPr>
    </w:p>
    <w:p>
      <w:pPr>
        <w:pStyle w:val="BodyText"/>
        <w:spacing w:line="364" w:lineRule="auto"/>
        <w:ind w:left="181" w:right="99"/>
        <w:jc w:val="both"/>
      </w:pPr>
      <w:r>
        <w:rPr/>
        <w:t>Durante 2008 se captaron 25,145.1 millones de dólares, de manera tal que se mantuvo casi invariable la tasa de crecimiento de las divisas por remesas, la cual fue de </w:t>
      </w:r>
      <w:r>
        <w:rPr>
          <w:b/>
        </w:rPr>
        <w:t>4.8% respecto al monto de 2007 </w:t>
      </w:r>
      <w:r>
        <w:rPr/>
        <w:t>(Cuadro 1).</w:t>
      </w:r>
    </w:p>
    <w:p>
      <w:pPr>
        <w:pStyle w:val="BodyText"/>
        <w:spacing w:before="6"/>
        <w:rPr>
          <w:sz w:val="17"/>
        </w:rPr>
      </w:pPr>
    </w:p>
    <w:p>
      <w:pPr>
        <w:pStyle w:val="BodyText"/>
        <w:spacing w:line="364" w:lineRule="auto"/>
        <w:ind w:left="181" w:right="104"/>
        <w:jc w:val="both"/>
      </w:pPr>
      <w:r>
        <w:rPr/>
        <w:t>Las divisas captadas por remesas mostraron en 2007 la tasa anual de crecimiento más pequeña del último quinquenio, y durante 2008 esa tasa de crecimiento con respecto al monto de 2007 prácticamente no varió. A pesar de ello, las remesas se mantuvieron en la segunda posición como fuente de captación de divisas para México, después del petróleo, y superando al turismo, a las exportaciones agropecuarias y a la inversión extranjera directa (Cuadro</w:t>
      </w:r>
      <w:r>
        <w:rPr>
          <w:spacing w:val="29"/>
        </w:rPr>
        <w:t> </w:t>
      </w:r>
      <w:r>
        <w:rPr/>
        <w:t>2).</w:t>
      </w:r>
    </w:p>
    <w:p>
      <w:pPr>
        <w:spacing w:after="0" w:line="364" w:lineRule="auto"/>
        <w:jc w:val="both"/>
        <w:sectPr>
          <w:pgSz w:w="11900" w:h="16840"/>
          <w:pgMar w:header="0" w:footer="1679" w:top="1600" w:bottom="1860" w:left="1220" w:right="1280"/>
        </w:sectPr>
      </w:pPr>
    </w:p>
    <w:p>
      <w:pPr>
        <w:pStyle w:val="BodyText"/>
        <w:rPr>
          <w:sz w:val="20"/>
        </w:rPr>
      </w:pPr>
    </w:p>
    <w:p>
      <w:pPr>
        <w:pStyle w:val="BodyText"/>
        <w:spacing w:before="6"/>
        <w:rPr>
          <w:sz w:val="18"/>
        </w:rPr>
      </w:pPr>
    </w:p>
    <w:p>
      <w:pPr>
        <w:pStyle w:val="Heading4"/>
        <w:spacing w:before="74"/>
        <w:ind w:left="523" w:right="452"/>
        <w:jc w:val="center"/>
      </w:pPr>
      <w:r>
        <w:rPr/>
        <w:t>Cuadro 2. México: magnitud de las remesas con respecto a otras fuentes  de</w:t>
      </w:r>
    </w:p>
    <w:p>
      <w:pPr>
        <w:spacing w:before="136"/>
        <w:ind w:left="522" w:right="452" w:firstLine="0"/>
        <w:jc w:val="center"/>
        <w:rPr>
          <w:b/>
          <w:sz w:val="21"/>
        </w:rPr>
      </w:pPr>
      <w:r>
        <w:rPr>
          <w:b/>
          <w:sz w:val="21"/>
        </w:rPr>
        <w:t>captación de divisas 2005-2009 (en  porcentaje)</w:t>
      </w:r>
    </w:p>
    <w:p>
      <w:pPr>
        <w:pStyle w:val="BodyText"/>
        <w:spacing w:before="6" w:after="1"/>
        <w:rPr>
          <w:b/>
          <w:sz w:val="2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71"/>
        <w:gridCol w:w="1460"/>
        <w:gridCol w:w="1460"/>
        <w:gridCol w:w="1422"/>
        <w:gridCol w:w="1237"/>
        <w:gridCol w:w="1087"/>
      </w:tblGrid>
      <w:tr>
        <w:trPr>
          <w:trHeight w:val="485" w:hRule="exact"/>
        </w:trPr>
        <w:tc>
          <w:tcPr>
            <w:tcW w:w="2071" w:type="dxa"/>
          </w:tcPr>
          <w:p>
            <w:pPr>
              <w:pStyle w:val="TableParagraph"/>
              <w:spacing w:before="0"/>
              <w:ind w:left="62"/>
              <w:jc w:val="left"/>
              <w:rPr>
                <w:b/>
                <w:sz w:val="21"/>
              </w:rPr>
            </w:pPr>
            <w:r>
              <w:rPr>
                <w:b/>
                <w:sz w:val="21"/>
              </w:rPr>
              <w:t>Concepto</w:t>
            </w:r>
          </w:p>
        </w:tc>
        <w:tc>
          <w:tcPr>
            <w:tcW w:w="1460" w:type="dxa"/>
            <w:tcBorders>
              <w:right w:val="single" w:sz="3" w:space="0" w:color="000000"/>
            </w:tcBorders>
          </w:tcPr>
          <w:p>
            <w:pPr>
              <w:pStyle w:val="TableParagraph"/>
              <w:spacing w:before="0"/>
              <w:ind w:left="442" w:right="442"/>
              <w:jc w:val="center"/>
              <w:rPr>
                <w:b/>
                <w:sz w:val="21"/>
              </w:rPr>
            </w:pPr>
            <w:r>
              <w:rPr>
                <w:b/>
                <w:sz w:val="21"/>
              </w:rPr>
              <w:t>2005</w:t>
            </w:r>
          </w:p>
        </w:tc>
        <w:tc>
          <w:tcPr>
            <w:tcW w:w="1460" w:type="dxa"/>
            <w:tcBorders>
              <w:left w:val="single" w:sz="3" w:space="0" w:color="000000"/>
            </w:tcBorders>
          </w:tcPr>
          <w:p>
            <w:pPr>
              <w:pStyle w:val="TableParagraph"/>
              <w:spacing w:before="0"/>
              <w:ind w:right="485"/>
              <w:rPr>
                <w:b/>
                <w:sz w:val="21"/>
              </w:rPr>
            </w:pPr>
            <w:r>
              <w:rPr>
                <w:b/>
                <w:sz w:val="21"/>
              </w:rPr>
              <w:t>2006</w:t>
            </w:r>
          </w:p>
        </w:tc>
        <w:tc>
          <w:tcPr>
            <w:tcW w:w="1422" w:type="dxa"/>
            <w:tcBorders>
              <w:right w:val="single" w:sz="3" w:space="0" w:color="000000"/>
            </w:tcBorders>
          </w:tcPr>
          <w:p>
            <w:pPr>
              <w:pStyle w:val="TableParagraph"/>
              <w:spacing w:before="0"/>
              <w:ind w:left="362" w:right="365"/>
              <w:jc w:val="center"/>
              <w:rPr>
                <w:b/>
                <w:sz w:val="21"/>
              </w:rPr>
            </w:pPr>
            <w:r>
              <w:rPr>
                <w:b/>
                <w:sz w:val="21"/>
              </w:rPr>
              <w:t>2007</w:t>
            </w:r>
          </w:p>
        </w:tc>
        <w:tc>
          <w:tcPr>
            <w:tcW w:w="1237" w:type="dxa"/>
            <w:tcBorders>
              <w:left w:val="single" w:sz="3" w:space="0" w:color="000000"/>
            </w:tcBorders>
          </w:tcPr>
          <w:p>
            <w:pPr>
              <w:pStyle w:val="TableParagraph"/>
              <w:spacing w:before="0"/>
              <w:ind w:left="374"/>
              <w:jc w:val="left"/>
              <w:rPr>
                <w:b/>
                <w:sz w:val="21"/>
              </w:rPr>
            </w:pPr>
            <w:r>
              <w:rPr>
                <w:b/>
                <w:sz w:val="21"/>
              </w:rPr>
              <w:t>2008</w:t>
            </w:r>
          </w:p>
        </w:tc>
        <w:tc>
          <w:tcPr>
            <w:tcW w:w="1087" w:type="dxa"/>
          </w:tcPr>
          <w:p>
            <w:pPr>
              <w:pStyle w:val="TableParagraph"/>
              <w:spacing w:before="0"/>
              <w:ind w:left="175" w:right="173"/>
              <w:jc w:val="center"/>
              <w:rPr>
                <w:b/>
                <w:sz w:val="21"/>
              </w:rPr>
            </w:pPr>
            <w:r>
              <w:rPr>
                <w:b/>
                <w:sz w:val="21"/>
              </w:rPr>
              <w:t>2009(*)</w:t>
            </w:r>
          </w:p>
        </w:tc>
      </w:tr>
      <w:tr>
        <w:trPr>
          <w:trHeight w:val="490" w:hRule="exact"/>
        </w:trPr>
        <w:tc>
          <w:tcPr>
            <w:tcW w:w="2071" w:type="dxa"/>
          </w:tcPr>
          <w:p>
            <w:pPr>
              <w:pStyle w:val="TableParagraph"/>
              <w:ind w:left="62"/>
              <w:jc w:val="left"/>
              <w:rPr>
                <w:sz w:val="21"/>
              </w:rPr>
            </w:pPr>
            <w:r>
              <w:rPr>
                <w:sz w:val="21"/>
              </w:rPr>
              <w:t>Petróleo</w:t>
            </w:r>
          </w:p>
        </w:tc>
        <w:tc>
          <w:tcPr>
            <w:tcW w:w="1460" w:type="dxa"/>
            <w:tcBorders>
              <w:right w:val="single" w:sz="3" w:space="0" w:color="000000"/>
            </w:tcBorders>
          </w:tcPr>
          <w:p>
            <w:pPr>
              <w:pStyle w:val="TableParagraph"/>
              <w:ind w:left="442" w:right="442"/>
              <w:jc w:val="center"/>
              <w:rPr>
                <w:sz w:val="21"/>
              </w:rPr>
            </w:pPr>
            <w:r>
              <w:rPr>
                <w:sz w:val="21"/>
              </w:rPr>
              <w:t>62.8</w:t>
            </w:r>
          </w:p>
        </w:tc>
        <w:tc>
          <w:tcPr>
            <w:tcW w:w="1460" w:type="dxa"/>
            <w:tcBorders>
              <w:left w:val="single" w:sz="3" w:space="0" w:color="000000"/>
            </w:tcBorders>
          </w:tcPr>
          <w:p>
            <w:pPr>
              <w:pStyle w:val="TableParagraph"/>
              <w:ind w:right="454"/>
              <w:rPr>
                <w:sz w:val="21"/>
              </w:rPr>
            </w:pPr>
            <w:r>
              <w:rPr>
                <w:sz w:val="21"/>
              </w:rPr>
              <w:t>66.4</w:t>
            </w:r>
          </w:p>
        </w:tc>
        <w:tc>
          <w:tcPr>
            <w:tcW w:w="1422" w:type="dxa"/>
            <w:tcBorders>
              <w:right w:val="single" w:sz="3" w:space="0" w:color="000000"/>
            </w:tcBorders>
          </w:tcPr>
          <w:p>
            <w:pPr>
              <w:pStyle w:val="TableParagraph"/>
              <w:ind w:left="365" w:right="365"/>
              <w:jc w:val="center"/>
              <w:rPr>
                <w:sz w:val="21"/>
              </w:rPr>
            </w:pPr>
            <w:r>
              <w:rPr>
                <w:sz w:val="21"/>
              </w:rPr>
              <w:t>63.2</w:t>
            </w:r>
          </w:p>
        </w:tc>
        <w:tc>
          <w:tcPr>
            <w:tcW w:w="1237" w:type="dxa"/>
            <w:tcBorders>
              <w:left w:val="single" w:sz="3" w:space="0" w:color="000000"/>
            </w:tcBorders>
          </w:tcPr>
          <w:p>
            <w:pPr>
              <w:pStyle w:val="TableParagraph"/>
              <w:ind w:left="405"/>
              <w:jc w:val="left"/>
              <w:rPr>
                <w:sz w:val="21"/>
              </w:rPr>
            </w:pPr>
            <w:r>
              <w:rPr>
                <w:sz w:val="21"/>
              </w:rPr>
              <w:t>58.1</w:t>
            </w:r>
          </w:p>
        </w:tc>
        <w:tc>
          <w:tcPr>
            <w:tcW w:w="1087" w:type="dxa"/>
          </w:tcPr>
          <w:p>
            <w:pPr>
              <w:pStyle w:val="TableParagraph"/>
              <w:ind w:left="175" w:right="171"/>
              <w:jc w:val="center"/>
              <w:rPr>
                <w:sz w:val="21"/>
              </w:rPr>
            </w:pPr>
            <w:r>
              <w:rPr>
                <w:sz w:val="21"/>
              </w:rPr>
              <w:t>108.2</w:t>
            </w:r>
          </w:p>
        </w:tc>
      </w:tr>
      <w:tr>
        <w:trPr>
          <w:trHeight w:val="487" w:hRule="exact"/>
        </w:trPr>
        <w:tc>
          <w:tcPr>
            <w:tcW w:w="2071" w:type="dxa"/>
          </w:tcPr>
          <w:p>
            <w:pPr>
              <w:pStyle w:val="TableParagraph"/>
              <w:spacing w:before="0"/>
              <w:ind w:left="62"/>
              <w:jc w:val="left"/>
              <w:rPr>
                <w:sz w:val="21"/>
              </w:rPr>
            </w:pPr>
            <w:r>
              <w:rPr>
                <w:sz w:val="21"/>
              </w:rPr>
              <w:t>Remesas</w:t>
            </w:r>
          </w:p>
        </w:tc>
        <w:tc>
          <w:tcPr>
            <w:tcW w:w="1460" w:type="dxa"/>
            <w:tcBorders>
              <w:right w:val="single" w:sz="3" w:space="0" w:color="000000"/>
            </w:tcBorders>
          </w:tcPr>
          <w:p>
            <w:pPr>
              <w:pStyle w:val="TableParagraph"/>
              <w:spacing w:before="0"/>
              <w:ind w:left="444" w:right="442"/>
              <w:jc w:val="center"/>
              <w:rPr>
                <w:sz w:val="21"/>
              </w:rPr>
            </w:pPr>
            <w:r>
              <w:rPr>
                <w:sz w:val="21"/>
              </w:rPr>
              <w:t>100.0</w:t>
            </w:r>
          </w:p>
        </w:tc>
        <w:tc>
          <w:tcPr>
            <w:tcW w:w="1460" w:type="dxa"/>
            <w:tcBorders>
              <w:left w:val="single" w:sz="3" w:space="0" w:color="000000"/>
            </w:tcBorders>
          </w:tcPr>
          <w:p>
            <w:pPr>
              <w:pStyle w:val="TableParagraph"/>
              <w:spacing w:before="0"/>
              <w:ind w:right="454"/>
              <w:rPr>
                <w:sz w:val="21"/>
              </w:rPr>
            </w:pPr>
            <w:r>
              <w:rPr>
                <w:sz w:val="21"/>
              </w:rPr>
              <w:t>100.0</w:t>
            </w:r>
          </w:p>
        </w:tc>
        <w:tc>
          <w:tcPr>
            <w:tcW w:w="1422" w:type="dxa"/>
            <w:tcBorders>
              <w:right w:val="single" w:sz="3" w:space="0" w:color="000000"/>
            </w:tcBorders>
          </w:tcPr>
          <w:p>
            <w:pPr>
              <w:pStyle w:val="TableParagraph"/>
              <w:spacing w:before="0"/>
              <w:ind w:left="365" w:right="365"/>
              <w:jc w:val="center"/>
              <w:rPr>
                <w:sz w:val="21"/>
              </w:rPr>
            </w:pPr>
            <w:r>
              <w:rPr>
                <w:sz w:val="21"/>
              </w:rPr>
              <w:t>100.00</w:t>
            </w:r>
          </w:p>
        </w:tc>
        <w:tc>
          <w:tcPr>
            <w:tcW w:w="1237" w:type="dxa"/>
            <w:tcBorders>
              <w:left w:val="single" w:sz="3" w:space="0" w:color="000000"/>
            </w:tcBorders>
          </w:tcPr>
          <w:p>
            <w:pPr>
              <w:pStyle w:val="TableParagraph"/>
              <w:spacing w:before="0"/>
              <w:ind w:left="348"/>
              <w:jc w:val="left"/>
              <w:rPr>
                <w:sz w:val="21"/>
              </w:rPr>
            </w:pPr>
            <w:r>
              <w:rPr>
                <w:sz w:val="21"/>
              </w:rPr>
              <w:t>100.0</w:t>
            </w:r>
          </w:p>
        </w:tc>
        <w:tc>
          <w:tcPr>
            <w:tcW w:w="1087" w:type="dxa"/>
          </w:tcPr>
          <w:p>
            <w:pPr>
              <w:pStyle w:val="TableParagraph"/>
              <w:spacing w:before="0"/>
              <w:ind w:left="175" w:right="170"/>
              <w:jc w:val="center"/>
              <w:rPr>
                <w:sz w:val="21"/>
              </w:rPr>
            </w:pPr>
            <w:r>
              <w:rPr>
                <w:sz w:val="21"/>
              </w:rPr>
              <w:t>100.0</w:t>
            </w:r>
          </w:p>
        </w:tc>
      </w:tr>
      <w:tr>
        <w:trPr>
          <w:trHeight w:val="486" w:hRule="exact"/>
        </w:trPr>
        <w:tc>
          <w:tcPr>
            <w:tcW w:w="2071" w:type="dxa"/>
            <w:tcBorders>
              <w:bottom w:val="single" w:sz="3" w:space="0" w:color="000000"/>
            </w:tcBorders>
          </w:tcPr>
          <w:p>
            <w:pPr>
              <w:pStyle w:val="TableParagraph"/>
              <w:ind w:left="62"/>
              <w:jc w:val="left"/>
              <w:rPr>
                <w:sz w:val="21"/>
              </w:rPr>
            </w:pPr>
            <w:r>
              <w:rPr>
                <w:sz w:val="21"/>
              </w:rPr>
              <w:t>Turismo</w:t>
            </w:r>
          </w:p>
        </w:tc>
        <w:tc>
          <w:tcPr>
            <w:tcW w:w="1460" w:type="dxa"/>
            <w:tcBorders>
              <w:bottom w:val="single" w:sz="3" w:space="0" w:color="000000"/>
              <w:right w:val="single" w:sz="3" w:space="0" w:color="000000"/>
            </w:tcBorders>
          </w:tcPr>
          <w:p>
            <w:pPr>
              <w:pStyle w:val="TableParagraph"/>
              <w:ind w:left="444" w:right="442"/>
              <w:jc w:val="center"/>
              <w:rPr>
                <w:sz w:val="21"/>
              </w:rPr>
            </w:pPr>
            <w:r>
              <w:rPr>
                <w:sz w:val="21"/>
              </w:rPr>
              <w:t>169.7</w:t>
            </w:r>
          </w:p>
        </w:tc>
        <w:tc>
          <w:tcPr>
            <w:tcW w:w="1460" w:type="dxa"/>
            <w:tcBorders>
              <w:left w:val="single" w:sz="3" w:space="0" w:color="000000"/>
              <w:bottom w:val="single" w:sz="3" w:space="0" w:color="000000"/>
            </w:tcBorders>
          </w:tcPr>
          <w:p>
            <w:pPr>
              <w:pStyle w:val="TableParagraph"/>
              <w:ind w:right="454"/>
              <w:rPr>
                <w:sz w:val="21"/>
              </w:rPr>
            </w:pPr>
            <w:r>
              <w:rPr>
                <w:sz w:val="21"/>
              </w:rPr>
              <w:t>189.3</w:t>
            </w:r>
          </w:p>
        </w:tc>
        <w:tc>
          <w:tcPr>
            <w:tcW w:w="1422" w:type="dxa"/>
            <w:tcBorders>
              <w:bottom w:val="single" w:sz="3" w:space="0" w:color="000000"/>
              <w:right w:val="single" w:sz="3" w:space="0" w:color="000000"/>
            </w:tcBorders>
          </w:tcPr>
          <w:p>
            <w:pPr>
              <w:pStyle w:val="TableParagraph"/>
              <w:ind w:left="365" w:right="363"/>
              <w:jc w:val="center"/>
              <w:rPr>
                <w:sz w:val="21"/>
              </w:rPr>
            </w:pPr>
            <w:r>
              <w:rPr>
                <w:sz w:val="21"/>
              </w:rPr>
              <w:t>185.8</w:t>
            </w:r>
          </w:p>
        </w:tc>
        <w:tc>
          <w:tcPr>
            <w:tcW w:w="1237" w:type="dxa"/>
            <w:tcBorders>
              <w:left w:val="single" w:sz="3" w:space="0" w:color="000000"/>
              <w:bottom w:val="single" w:sz="3" w:space="0" w:color="000000"/>
            </w:tcBorders>
          </w:tcPr>
          <w:p>
            <w:pPr>
              <w:pStyle w:val="TableParagraph"/>
              <w:ind w:left="348"/>
              <w:jc w:val="left"/>
              <w:rPr>
                <w:sz w:val="21"/>
              </w:rPr>
            </w:pPr>
            <w:r>
              <w:rPr>
                <w:sz w:val="21"/>
              </w:rPr>
              <w:t>189.0</w:t>
            </w:r>
          </w:p>
        </w:tc>
        <w:tc>
          <w:tcPr>
            <w:tcW w:w="1087" w:type="dxa"/>
            <w:tcBorders>
              <w:bottom w:val="single" w:sz="3" w:space="0" w:color="000000"/>
            </w:tcBorders>
          </w:tcPr>
          <w:p>
            <w:pPr>
              <w:pStyle w:val="TableParagraph"/>
              <w:ind w:left="175" w:right="171"/>
              <w:jc w:val="center"/>
              <w:rPr>
                <w:sz w:val="21"/>
              </w:rPr>
            </w:pPr>
            <w:r>
              <w:rPr>
                <w:sz w:val="21"/>
              </w:rPr>
              <w:t>187.7</w:t>
            </w:r>
          </w:p>
        </w:tc>
      </w:tr>
      <w:tr>
        <w:trPr>
          <w:trHeight w:val="488" w:hRule="exact"/>
        </w:trPr>
        <w:tc>
          <w:tcPr>
            <w:tcW w:w="2071" w:type="dxa"/>
            <w:tcBorders>
              <w:top w:val="single" w:sz="3" w:space="0" w:color="000000"/>
            </w:tcBorders>
          </w:tcPr>
          <w:p>
            <w:pPr>
              <w:pStyle w:val="TableParagraph"/>
              <w:spacing w:before="4"/>
              <w:ind w:left="62"/>
              <w:jc w:val="left"/>
              <w:rPr>
                <w:sz w:val="21"/>
              </w:rPr>
            </w:pPr>
            <w:r>
              <w:rPr>
                <w:sz w:val="21"/>
              </w:rPr>
              <w:t>Agropecuarias</w:t>
            </w:r>
          </w:p>
        </w:tc>
        <w:tc>
          <w:tcPr>
            <w:tcW w:w="1460" w:type="dxa"/>
            <w:tcBorders>
              <w:top w:val="single" w:sz="3" w:space="0" w:color="000000"/>
              <w:right w:val="single" w:sz="3" w:space="0" w:color="000000"/>
            </w:tcBorders>
          </w:tcPr>
          <w:p>
            <w:pPr>
              <w:pStyle w:val="TableParagraph"/>
              <w:spacing w:before="4"/>
              <w:ind w:left="444" w:right="442"/>
              <w:jc w:val="center"/>
              <w:rPr>
                <w:sz w:val="21"/>
              </w:rPr>
            </w:pPr>
            <w:r>
              <w:rPr>
                <w:sz w:val="21"/>
              </w:rPr>
              <w:t>333.4</w:t>
            </w:r>
          </w:p>
        </w:tc>
        <w:tc>
          <w:tcPr>
            <w:tcW w:w="1460" w:type="dxa"/>
            <w:tcBorders>
              <w:top w:val="single" w:sz="3" w:space="0" w:color="000000"/>
              <w:left w:val="single" w:sz="3" w:space="0" w:color="000000"/>
            </w:tcBorders>
          </w:tcPr>
          <w:p>
            <w:pPr>
              <w:pStyle w:val="TableParagraph"/>
              <w:spacing w:before="4"/>
              <w:ind w:right="454"/>
              <w:rPr>
                <w:sz w:val="21"/>
              </w:rPr>
            </w:pPr>
            <w:r>
              <w:rPr>
                <w:sz w:val="21"/>
              </w:rPr>
              <w:t>336.4</w:t>
            </w:r>
          </w:p>
        </w:tc>
        <w:tc>
          <w:tcPr>
            <w:tcW w:w="1422" w:type="dxa"/>
            <w:tcBorders>
              <w:top w:val="single" w:sz="3" w:space="0" w:color="000000"/>
              <w:right w:val="single" w:sz="3" w:space="0" w:color="000000"/>
            </w:tcBorders>
          </w:tcPr>
          <w:p>
            <w:pPr>
              <w:pStyle w:val="TableParagraph"/>
              <w:spacing w:before="4"/>
              <w:ind w:left="365" w:right="363"/>
              <w:jc w:val="center"/>
              <w:rPr>
                <w:sz w:val="21"/>
              </w:rPr>
            </w:pPr>
            <w:r>
              <w:rPr>
                <w:sz w:val="21"/>
              </w:rPr>
              <w:t>322.5</w:t>
            </w:r>
          </w:p>
        </w:tc>
        <w:tc>
          <w:tcPr>
            <w:tcW w:w="1237" w:type="dxa"/>
            <w:tcBorders>
              <w:top w:val="single" w:sz="3" w:space="0" w:color="000000"/>
              <w:left w:val="single" w:sz="3" w:space="0" w:color="000000"/>
            </w:tcBorders>
          </w:tcPr>
          <w:p>
            <w:pPr>
              <w:pStyle w:val="TableParagraph"/>
              <w:spacing w:before="4"/>
              <w:ind w:left="348"/>
              <w:jc w:val="left"/>
              <w:rPr>
                <w:sz w:val="21"/>
              </w:rPr>
            </w:pPr>
            <w:r>
              <w:rPr>
                <w:sz w:val="21"/>
              </w:rPr>
              <w:t>317.6</w:t>
            </w:r>
          </w:p>
        </w:tc>
        <w:tc>
          <w:tcPr>
            <w:tcW w:w="1087" w:type="dxa"/>
            <w:tcBorders>
              <w:top w:val="single" w:sz="3" w:space="0" w:color="000000"/>
            </w:tcBorders>
          </w:tcPr>
          <w:p>
            <w:pPr>
              <w:pStyle w:val="TableParagraph"/>
              <w:spacing w:before="4"/>
              <w:ind w:left="175" w:right="170"/>
              <w:jc w:val="center"/>
              <w:rPr>
                <w:sz w:val="21"/>
              </w:rPr>
            </w:pPr>
            <w:r>
              <w:rPr>
                <w:sz w:val="21"/>
              </w:rPr>
              <w:t>246.8</w:t>
            </w:r>
          </w:p>
        </w:tc>
      </w:tr>
      <w:tr>
        <w:trPr>
          <w:trHeight w:val="487" w:hRule="exact"/>
        </w:trPr>
        <w:tc>
          <w:tcPr>
            <w:tcW w:w="2071" w:type="dxa"/>
          </w:tcPr>
          <w:p>
            <w:pPr>
              <w:pStyle w:val="TableParagraph"/>
              <w:ind w:left="62"/>
              <w:jc w:val="left"/>
              <w:rPr>
                <w:sz w:val="21"/>
              </w:rPr>
            </w:pPr>
            <w:r>
              <w:rPr>
                <w:sz w:val="21"/>
              </w:rPr>
              <w:t>IED(**)</w:t>
            </w:r>
          </w:p>
        </w:tc>
        <w:tc>
          <w:tcPr>
            <w:tcW w:w="1460" w:type="dxa"/>
            <w:tcBorders>
              <w:right w:val="single" w:sz="3" w:space="0" w:color="000000"/>
            </w:tcBorders>
          </w:tcPr>
          <w:p>
            <w:pPr>
              <w:pStyle w:val="TableParagraph"/>
              <w:ind w:left="444" w:right="442"/>
              <w:jc w:val="center"/>
              <w:rPr>
                <w:sz w:val="21"/>
              </w:rPr>
            </w:pPr>
            <w:r>
              <w:rPr>
                <w:sz w:val="21"/>
              </w:rPr>
              <w:t>91.16</w:t>
            </w:r>
          </w:p>
        </w:tc>
        <w:tc>
          <w:tcPr>
            <w:tcW w:w="1460" w:type="dxa"/>
            <w:tcBorders>
              <w:left w:val="single" w:sz="3" w:space="0" w:color="000000"/>
            </w:tcBorders>
          </w:tcPr>
          <w:p>
            <w:pPr>
              <w:pStyle w:val="TableParagraph"/>
              <w:ind w:right="454"/>
              <w:rPr>
                <w:sz w:val="21"/>
              </w:rPr>
            </w:pPr>
            <w:r>
              <w:rPr>
                <w:sz w:val="21"/>
              </w:rPr>
              <w:t>118.6</w:t>
            </w:r>
          </w:p>
        </w:tc>
        <w:tc>
          <w:tcPr>
            <w:tcW w:w="1422" w:type="dxa"/>
            <w:tcBorders>
              <w:right w:val="single" w:sz="3" w:space="0" w:color="000000"/>
            </w:tcBorders>
          </w:tcPr>
          <w:p>
            <w:pPr>
              <w:pStyle w:val="TableParagraph"/>
              <w:ind w:left="365" w:right="363"/>
              <w:jc w:val="center"/>
              <w:rPr>
                <w:sz w:val="21"/>
              </w:rPr>
            </w:pPr>
            <w:r>
              <w:rPr>
                <w:sz w:val="21"/>
              </w:rPr>
              <w:t>111.3</w:t>
            </w:r>
          </w:p>
        </w:tc>
        <w:tc>
          <w:tcPr>
            <w:tcW w:w="1237" w:type="dxa"/>
            <w:tcBorders>
              <w:left w:val="single" w:sz="3" w:space="0" w:color="000000"/>
            </w:tcBorders>
          </w:tcPr>
          <w:p>
            <w:pPr>
              <w:pStyle w:val="TableParagraph"/>
              <w:ind w:left="348"/>
              <w:jc w:val="left"/>
              <w:rPr>
                <w:sz w:val="21"/>
              </w:rPr>
            </w:pPr>
            <w:r>
              <w:rPr>
                <w:sz w:val="21"/>
              </w:rPr>
              <w:t>111.8</w:t>
            </w:r>
          </w:p>
        </w:tc>
        <w:tc>
          <w:tcPr>
            <w:tcW w:w="1087" w:type="dxa"/>
          </w:tcPr>
          <w:p>
            <w:pPr>
              <w:pStyle w:val="TableParagraph"/>
              <w:ind w:left="175" w:right="171"/>
              <w:jc w:val="center"/>
              <w:rPr>
                <w:sz w:val="21"/>
              </w:rPr>
            </w:pPr>
            <w:r>
              <w:rPr>
                <w:sz w:val="21"/>
              </w:rPr>
              <w:t>113.8</w:t>
            </w:r>
          </w:p>
        </w:tc>
      </w:tr>
    </w:tbl>
    <w:p>
      <w:pPr>
        <w:spacing w:before="2"/>
        <w:ind w:left="181" w:right="0" w:firstLine="0"/>
        <w:jc w:val="both"/>
        <w:rPr>
          <w:sz w:val="21"/>
        </w:rPr>
      </w:pPr>
      <w:r>
        <w:rPr>
          <w:sz w:val="21"/>
        </w:rPr>
        <w:t>Fuente: Elaboración propia con datos del Cuadro  1.</w:t>
      </w:r>
    </w:p>
    <w:p>
      <w:pPr>
        <w:pStyle w:val="BodyText"/>
        <w:spacing w:before="8"/>
        <w:rPr>
          <w:sz w:val="20"/>
        </w:rPr>
      </w:pPr>
    </w:p>
    <w:p>
      <w:pPr>
        <w:spacing w:before="0"/>
        <w:ind w:left="181" w:right="0" w:firstLine="0"/>
        <w:jc w:val="both"/>
        <w:rPr>
          <w:sz w:val="21"/>
        </w:rPr>
      </w:pPr>
      <w:r>
        <w:rPr>
          <w:sz w:val="21"/>
        </w:rPr>
        <w:t>(*) Datos al mes de Junio. (**) Inversión Extranjera  Directa.</w:t>
      </w:r>
    </w:p>
    <w:p>
      <w:pPr>
        <w:pStyle w:val="BodyText"/>
        <w:rPr>
          <w:sz w:val="20"/>
        </w:rPr>
      </w:pPr>
    </w:p>
    <w:p>
      <w:pPr>
        <w:pStyle w:val="BodyText"/>
        <w:rPr>
          <w:sz w:val="20"/>
        </w:rPr>
      </w:pPr>
    </w:p>
    <w:p>
      <w:pPr>
        <w:pStyle w:val="BodyText"/>
        <w:spacing w:line="364" w:lineRule="auto" w:before="172"/>
        <w:ind w:left="181" w:right="102"/>
        <w:jc w:val="both"/>
      </w:pPr>
      <w:r>
        <w:rPr/>
        <w:t>Obsérvese en el Cuadro 2, que en el año 2007 se redujo la importancia porcentual de   las remesas con respecto a las demás fuentes de captación de divisas, en comparación con 2006. Esa pérdida de importancia relativa de las remesas se observa también durante 2008, especialmente con respecto a la exportación de crudo. La clara desaceleración en la tasa de crecimiento de las divisas captadas por remesas, aunada   a una ligera recuperación en los demás rubros, da lugar a dicha pérdida de importancia relativa de esta fuente de</w:t>
      </w:r>
      <w:r>
        <w:rPr>
          <w:spacing w:val="34"/>
        </w:rPr>
        <w:t> </w:t>
      </w:r>
      <w:r>
        <w:rPr/>
        <w:t>divisas.</w:t>
      </w:r>
    </w:p>
    <w:p>
      <w:pPr>
        <w:pStyle w:val="BodyText"/>
        <w:spacing w:before="4"/>
        <w:rPr>
          <w:sz w:val="17"/>
        </w:rPr>
      </w:pPr>
    </w:p>
    <w:p>
      <w:pPr>
        <w:pStyle w:val="BodyText"/>
        <w:spacing w:line="364" w:lineRule="auto"/>
        <w:ind w:left="181" w:right="102"/>
        <w:jc w:val="both"/>
      </w:pPr>
      <w:r>
        <w:rPr/>
        <w:t>La situación de crisis que prevalece en la economía a nivel mundial podría profundizar   la pérdida de dinamismo en esta fuente de dólares frescos para México, sobre todo por la desaceleración de la industria de la construcción en el  vecino país del </w:t>
      </w:r>
      <w:r>
        <w:rPr>
          <w:spacing w:val="23"/>
        </w:rPr>
        <w:t> </w:t>
      </w:r>
      <w:r>
        <w:rPr/>
        <w:t>norte.</w:t>
      </w:r>
    </w:p>
    <w:p>
      <w:pPr>
        <w:pStyle w:val="BodyText"/>
        <w:spacing w:before="4"/>
        <w:rPr>
          <w:sz w:val="17"/>
        </w:rPr>
      </w:pPr>
    </w:p>
    <w:p>
      <w:pPr>
        <w:pStyle w:val="BodyText"/>
        <w:spacing w:line="364" w:lineRule="auto"/>
        <w:ind w:left="181" w:right="103"/>
        <w:jc w:val="both"/>
      </w:pPr>
      <w:r>
        <w:rPr/>
        <w:t>Banco de México (2008), estima que en el periodo octubre-noviembre de ese año, los mexicanos representaron un 5% del total de la fuerza laboral en los Estados Unidos; fueron un 13% del total de trabajadores empleados en la industria de la construcción de ese país, y un 7% del total que se ocupa en las manufacturas. En ese mismo periodo,   la tasa de desempleo en la industria de la construcción fue de 8%, de un 6% en las manufacturas, en tanto que en los sectores de servicios y no agrícolas  fue  inferior  a 2%.</w:t>
      </w:r>
    </w:p>
    <w:p>
      <w:pPr>
        <w:spacing w:after="0" w:line="364" w:lineRule="auto"/>
        <w:jc w:val="both"/>
        <w:sectPr>
          <w:footerReference w:type="default" r:id="rId302"/>
          <w:pgSz w:w="11900" w:h="16840"/>
          <w:pgMar w:footer="1679" w:header="0" w:top="1600" w:bottom="1860" w:left="1220" w:right="1280"/>
          <w:pgNumType w:start="240"/>
        </w:sectPr>
      </w:pPr>
    </w:p>
    <w:p>
      <w:pPr>
        <w:pStyle w:val="BodyText"/>
        <w:rPr>
          <w:sz w:val="20"/>
        </w:rPr>
      </w:pPr>
    </w:p>
    <w:p>
      <w:pPr>
        <w:pStyle w:val="BodyText"/>
        <w:spacing w:before="8"/>
        <w:rPr>
          <w:sz w:val="18"/>
        </w:rPr>
      </w:pPr>
    </w:p>
    <w:p>
      <w:pPr>
        <w:pStyle w:val="BodyText"/>
        <w:spacing w:line="364" w:lineRule="auto" w:before="74"/>
        <w:ind w:left="101" w:right="105"/>
        <w:jc w:val="both"/>
      </w:pPr>
      <w:r>
        <w:rPr/>
        <w:t>Lo expuesto es de suma importancia, debido al hecho de que si un albañil mexicano pierde su empleo en Estados Unidos, seguramente dos albañiles mexicanos perderán  su empleo en México al bajar el flujo de dólares para continuar construyendo la casa de la familia de ese</w:t>
      </w:r>
      <w:r>
        <w:rPr>
          <w:spacing w:val="29"/>
        </w:rPr>
        <w:t> </w:t>
      </w:r>
      <w:r>
        <w:rPr/>
        <w:t>emigrante.</w:t>
      </w:r>
    </w:p>
    <w:p>
      <w:pPr>
        <w:pStyle w:val="BodyText"/>
        <w:spacing w:line="364" w:lineRule="auto" w:before="164"/>
        <w:ind w:left="101" w:right="105"/>
        <w:jc w:val="both"/>
      </w:pPr>
      <w:r>
        <w:rPr/>
        <w:t>Con base en el Anexo Estadístico del 3</w:t>
      </w:r>
      <w:r>
        <w:rPr>
          <w:position w:val="11"/>
          <w:sz w:val="15"/>
        </w:rPr>
        <w:t>er </w:t>
      </w:r>
      <w:r>
        <w:rPr/>
        <w:t>Informe de Gobierno del Presidente Felipe Calderón, al mes de junio de 2009 el avance de las cifras de los rubros analizados muestra que la captación de divisas por remesas familiares asciende a 11,353.4  millones de dólares, esto representa 255.3 millones de dólares menos que lo captado   en el mismo periodo de</w:t>
      </w:r>
      <w:r>
        <w:rPr>
          <w:spacing w:val="33"/>
        </w:rPr>
        <w:t> </w:t>
      </w:r>
      <w:r>
        <w:rPr/>
        <w:t>2008.</w:t>
      </w:r>
    </w:p>
    <w:p>
      <w:pPr>
        <w:pStyle w:val="BodyText"/>
        <w:spacing w:before="4"/>
        <w:rPr>
          <w:sz w:val="17"/>
        </w:rPr>
      </w:pPr>
    </w:p>
    <w:p>
      <w:pPr>
        <w:pStyle w:val="BodyText"/>
        <w:spacing w:line="364" w:lineRule="auto"/>
        <w:ind w:left="101" w:right="103"/>
        <w:jc w:val="both"/>
      </w:pPr>
      <w:r>
        <w:rPr/>
        <w:t>También los demás conceptos de captación de divisas muestran decrementos durante  el primer semestre de 2009, con respecto al mismo periodo de 2008: por turismo se captaron 6,047.6 millones de dólares contra los 7,338 millones a junio de 2008; las exportaciones agropecuarias sumaron 4,598.4 millones de dólares contra 4,860; en  tanto que las exportaciones de petróleo crudo ascendieron en ese periodo a 10,489 millones de dólares  frente a</w:t>
      </w:r>
      <w:r>
        <w:rPr>
          <w:spacing w:val="38"/>
        </w:rPr>
        <w:t> </w:t>
      </w:r>
      <w:r>
        <w:rPr/>
        <w:t>22,607.</w:t>
      </w:r>
    </w:p>
    <w:p>
      <w:pPr>
        <w:pStyle w:val="BodyText"/>
        <w:spacing w:before="4"/>
        <w:rPr>
          <w:sz w:val="17"/>
        </w:rPr>
      </w:pPr>
    </w:p>
    <w:p>
      <w:pPr>
        <w:pStyle w:val="BodyText"/>
        <w:spacing w:line="364" w:lineRule="auto"/>
        <w:ind w:left="101" w:right="105"/>
        <w:jc w:val="both"/>
      </w:pPr>
      <w:r>
        <w:rPr/>
        <w:t>En cuanto al comportamiento de la inversión extranjera directa (IED), debe señalarse  que durante el primer semestre de 2009 se captaron 9,976 millones de dólares, de los cuales solamente 1,467.4 corresponden a inversión nueva, es decir, el monto restante corresponde a reinversión. Obsérvese que la IED acumulada en el periodo es claramente menor al monto de remesas que entraron al </w:t>
      </w:r>
      <w:r>
        <w:rPr>
          <w:spacing w:val="10"/>
        </w:rPr>
        <w:t> </w:t>
      </w:r>
      <w:r>
        <w:rPr/>
        <w:t>país.</w:t>
      </w:r>
    </w:p>
    <w:p>
      <w:pPr>
        <w:pStyle w:val="BodyText"/>
        <w:spacing w:before="6"/>
        <w:rPr>
          <w:sz w:val="17"/>
        </w:rPr>
      </w:pPr>
    </w:p>
    <w:p>
      <w:pPr>
        <w:pStyle w:val="BodyText"/>
        <w:spacing w:line="364" w:lineRule="auto"/>
        <w:ind w:left="101" w:right="102"/>
        <w:jc w:val="both"/>
      </w:pPr>
      <w:r>
        <w:rPr/>
        <w:t>Ciertamente, la tendencia descrita es de una franca desaceleración en la tasa de crecimiento de las remesas, pero es muy probable que éstas sigan conservando su importancia relativa como segunda fuente de captación de divisas  para  México,  al cierre del presente año. Lo anterior, debido a que los montos de dólares captados por turismo y por exportaciones agropecuarias están todavía muy lejos de igualar a lo que  se recibe en México por remesas; en tanto que el monto ingresado por IED a junio de 2009 es claramente menor a lo captado por</w:t>
      </w:r>
      <w:r>
        <w:rPr>
          <w:spacing w:val="61"/>
        </w:rPr>
        <w:t> </w:t>
      </w:r>
      <w:r>
        <w:rPr/>
        <w:t>remesas.</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6"/>
        <w:rPr>
          <w:sz w:val="18"/>
        </w:rPr>
      </w:pPr>
    </w:p>
    <w:p>
      <w:pPr>
        <w:pStyle w:val="BodyText"/>
        <w:spacing w:line="364" w:lineRule="auto" w:before="74"/>
        <w:ind w:left="101" w:right="104"/>
        <w:jc w:val="both"/>
      </w:pPr>
      <w:r>
        <w:rPr/>
        <w:t>Por el momento, las cantidades registradas </w:t>
      </w:r>
      <w:r>
        <w:rPr>
          <w:b/>
        </w:rPr>
        <w:t>hasta el mes de junio de 2009 </w:t>
      </w:r>
      <w:r>
        <w:rPr/>
        <w:t>muestran que las remesas representan un 187.7% con respecto a turismo (fue 158.2% en el  mismo periodo de 2008) y un 246.8% con respecto a exportaciones agropecuarias (238.8% en el mismo periodo de 2008). En tanto que, con relación las exportaciones de petróleo crudo, por primera vez las remesas superan este rubro, alcanzando  un  histórico 108.2% contra un 51.35% en el primer semestre de </w:t>
      </w:r>
      <w:r>
        <w:rPr>
          <w:spacing w:val="12"/>
        </w:rPr>
        <w:t> </w:t>
      </w:r>
      <w:r>
        <w:rPr/>
        <w:t>2008.</w:t>
      </w:r>
    </w:p>
    <w:p>
      <w:pPr>
        <w:pStyle w:val="BodyText"/>
        <w:spacing w:before="4"/>
        <w:rPr>
          <w:sz w:val="17"/>
        </w:rPr>
      </w:pPr>
    </w:p>
    <w:p>
      <w:pPr>
        <w:pStyle w:val="BodyText"/>
        <w:spacing w:line="364" w:lineRule="auto"/>
        <w:ind w:left="101" w:right="105"/>
        <w:jc w:val="both"/>
      </w:pPr>
      <w:r>
        <w:rPr/>
        <w:t>A pesar de la tendencia al primer semestre de 2009, las remesas podrían cerrar el año con un monto de casi mil millones de dólares más que lo captado en 2008, es decir, ascenderían a unos 26,000 millones de dólares; mientras que las estimaciones indican que las exportaciones de crudo cerrarán el presente año con un monto de 50,000 millones de dólares. En este escenario, al cierre de 2009 las remesas bajarían drásticamente su importancia relativa como fuente de captación de divisas frente a la exportación de crudo, siendo sólo un 52% de éstas. Pero, como se mencionó anteriormente, conservarían su importancia relativa como segunda fuente de captación de divisas para el país.</w:t>
      </w:r>
    </w:p>
    <w:p>
      <w:pPr>
        <w:pStyle w:val="BodyText"/>
        <w:rPr>
          <w:sz w:val="22"/>
        </w:rPr>
      </w:pPr>
    </w:p>
    <w:p>
      <w:pPr>
        <w:pStyle w:val="BodyText"/>
        <w:rPr>
          <w:sz w:val="22"/>
        </w:rPr>
      </w:pPr>
    </w:p>
    <w:p>
      <w:pPr>
        <w:pStyle w:val="BodyText"/>
        <w:spacing w:before="7"/>
      </w:pPr>
    </w:p>
    <w:p>
      <w:pPr>
        <w:pStyle w:val="Heading4"/>
        <w:jc w:val="both"/>
      </w:pPr>
      <w:r>
        <w:rPr/>
        <w:t>Las causas de la pérdida de dinamismo en la tasa de crecimiento de las  remesas</w:t>
      </w:r>
    </w:p>
    <w:p>
      <w:pPr>
        <w:pStyle w:val="BodyText"/>
        <w:rPr>
          <w:b/>
          <w:sz w:val="22"/>
        </w:rPr>
      </w:pPr>
    </w:p>
    <w:p>
      <w:pPr>
        <w:pStyle w:val="BodyText"/>
        <w:spacing w:line="364" w:lineRule="auto" w:before="161"/>
        <w:ind w:left="101" w:right="102"/>
        <w:jc w:val="both"/>
      </w:pPr>
      <w:r>
        <w:rPr/>
        <w:t>Aunque en términos absolutos los montos anuales de las divisas  que  ingresan  a  México por remesas siguen aumentando año con año, su tasa relativa de crecimiento anual ha perdido dinamismo. La principal causa de este comportamiento relativo decreciente sigue siendo la crisis económica mundial, especialmente en los Estados Unidos, país donde existen más de 11 millones de mexicanos de primera generación  que emigraron en busca de mejores opciones de vida. Si se consideran los mexicanos de primera y tercera generación, ya suman más de 33 millones de connacionales, quienes aún conservan lazos de unión familiar con sus parientes  en México  y prueba  de ello es la magnitud que alcanzan los envíos de dinero desde hace </w:t>
      </w:r>
      <w:r>
        <w:rPr>
          <w:spacing w:val="25"/>
        </w:rPr>
        <w:t> </w:t>
      </w:r>
      <w:r>
        <w:rPr/>
        <w:t>décadas.</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8"/>
        <w:jc w:val="both"/>
      </w:pPr>
      <w:r>
        <w:rPr/>
        <w:t>Las causas que enumeró el año pasado el gobierno federal como principales generadoras de la disminución relativa del monto de remesas, siguen siendo válidas   hoy:</w:t>
      </w:r>
    </w:p>
    <w:p>
      <w:pPr>
        <w:pStyle w:val="BodyText"/>
        <w:spacing w:before="2"/>
        <w:rPr>
          <w:sz w:val="24"/>
        </w:rPr>
      </w:pPr>
    </w:p>
    <w:p>
      <w:pPr>
        <w:pStyle w:val="ListParagraph"/>
        <w:numPr>
          <w:ilvl w:val="0"/>
          <w:numId w:val="21"/>
        </w:numPr>
        <w:tabs>
          <w:tab w:pos="515" w:val="left" w:leader="none"/>
        </w:tabs>
        <w:spacing w:line="364" w:lineRule="auto" w:before="0" w:after="0"/>
        <w:ind w:left="452" w:right="105" w:hanging="351"/>
        <w:jc w:val="both"/>
        <w:rPr>
          <w:sz w:val="23"/>
        </w:rPr>
      </w:pPr>
      <w:r>
        <w:rPr>
          <w:sz w:val="23"/>
        </w:rPr>
        <w:t>la desaceleración de la economía de los Estados Unidos de Norteamérica y en especial la situación de crisis en el sector de la construcción, el cual constituye una importante fuente de empleo para los</w:t>
      </w:r>
      <w:r>
        <w:rPr>
          <w:spacing w:val="55"/>
          <w:sz w:val="23"/>
        </w:rPr>
        <w:t> </w:t>
      </w:r>
      <w:r>
        <w:rPr>
          <w:sz w:val="23"/>
        </w:rPr>
        <w:t>emigrantes;</w:t>
      </w:r>
    </w:p>
    <w:p>
      <w:pPr>
        <w:pStyle w:val="BodyText"/>
        <w:spacing w:before="2"/>
        <w:rPr>
          <w:sz w:val="24"/>
        </w:rPr>
      </w:pPr>
    </w:p>
    <w:p>
      <w:pPr>
        <w:pStyle w:val="ListParagraph"/>
        <w:numPr>
          <w:ilvl w:val="0"/>
          <w:numId w:val="21"/>
        </w:numPr>
        <w:tabs>
          <w:tab w:pos="426" w:val="left" w:leader="none"/>
        </w:tabs>
        <w:spacing w:line="240" w:lineRule="auto" w:before="0" w:after="0"/>
        <w:ind w:left="425" w:right="0" w:hanging="324"/>
        <w:jc w:val="both"/>
        <w:rPr>
          <w:sz w:val="23"/>
        </w:rPr>
      </w:pPr>
      <w:r>
        <w:rPr>
          <w:sz w:val="23"/>
        </w:rPr>
        <w:t>mayores problemas para que los emigrantes ingresen a </w:t>
      </w:r>
      <w:r>
        <w:rPr>
          <w:spacing w:val="8"/>
          <w:sz w:val="23"/>
        </w:rPr>
        <w:t> </w:t>
      </w:r>
      <w:r>
        <w:rPr>
          <w:sz w:val="23"/>
        </w:rPr>
        <w:t>EEUU;</w:t>
      </w:r>
    </w:p>
    <w:p>
      <w:pPr>
        <w:pStyle w:val="BodyText"/>
        <w:rPr>
          <w:sz w:val="22"/>
        </w:rPr>
      </w:pPr>
    </w:p>
    <w:p>
      <w:pPr>
        <w:pStyle w:val="ListParagraph"/>
        <w:numPr>
          <w:ilvl w:val="0"/>
          <w:numId w:val="21"/>
        </w:numPr>
        <w:tabs>
          <w:tab w:pos="534" w:val="left" w:leader="none"/>
        </w:tabs>
        <w:spacing w:line="364" w:lineRule="auto" w:before="157" w:after="0"/>
        <w:ind w:left="452" w:right="105" w:hanging="351"/>
        <w:jc w:val="both"/>
        <w:rPr>
          <w:sz w:val="23"/>
        </w:rPr>
      </w:pPr>
      <w:r>
        <w:rPr>
          <w:sz w:val="23"/>
        </w:rPr>
        <w:t>las crecientes dificultades para que los emigrantes indocumentados encuentren empleo ante controles oficiales más estrictos en los lugares de trabajo; </w:t>
      </w:r>
      <w:r>
        <w:rPr>
          <w:spacing w:val="14"/>
          <w:sz w:val="23"/>
        </w:rPr>
        <w:t> </w:t>
      </w:r>
      <w:r>
        <w:rPr>
          <w:sz w:val="23"/>
        </w:rPr>
        <w:t>y</w:t>
      </w:r>
    </w:p>
    <w:p>
      <w:pPr>
        <w:pStyle w:val="BodyText"/>
        <w:spacing w:before="2"/>
        <w:rPr>
          <w:sz w:val="24"/>
        </w:rPr>
      </w:pPr>
    </w:p>
    <w:p>
      <w:pPr>
        <w:pStyle w:val="ListParagraph"/>
        <w:numPr>
          <w:ilvl w:val="0"/>
          <w:numId w:val="21"/>
        </w:numPr>
        <w:tabs>
          <w:tab w:pos="368" w:val="left" w:leader="none"/>
        </w:tabs>
        <w:spacing w:line="364" w:lineRule="auto" w:before="0" w:after="0"/>
        <w:ind w:left="452" w:right="106" w:hanging="351"/>
        <w:jc w:val="both"/>
        <w:rPr>
          <w:sz w:val="23"/>
        </w:rPr>
      </w:pPr>
      <w:r>
        <w:rPr>
          <w:sz w:val="23"/>
        </w:rPr>
        <w:t>en las estadísticas de las remesas, ha ido desapareciendo gradualmente el efecto al alza derivado de la mejoría en la cobertura y medición de esas transacciones. Al parecer, ahora la tasa de crecimiento es menor porque se les mide </w:t>
      </w:r>
      <w:r>
        <w:rPr>
          <w:spacing w:val="19"/>
          <w:sz w:val="23"/>
        </w:rPr>
        <w:t> </w:t>
      </w:r>
      <w:r>
        <w:rPr>
          <w:sz w:val="23"/>
        </w:rPr>
        <w:t>mejor.</w:t>
      </w:r>
    </w:p>
    <w:p>
      <w:pPr>
        <w:pStyle w:val="BodyText"/>
        <w:spacing w:before="9"/>
      </w:pPr>
    </w:p>
    <w:p>
      <w:pPr>
        <w:pStyle w:val="Heading4"/>
        <w:spacing w:line="280" w:lineRule="auto"/>
        <w:ind w:left="1328" w:right="105" w:hanging="1227"/>
        <w:jc w:val="both"/>
      </w:pPr>
      <w:r>
        <w:rPr/>
        <w:pict>
          <v:group style="position:absolute;margin-left:71.159996pt;margin-top:53.266312pt;width:430.2pt;height:214.2pt;mso-position-horizontal-relative:page;mso-position-vertical-relative:paragraph;z-index:10360;mso-wrap-distance-left:0;mso-wrap-distance-right:0" coordorigin="1423,1065" coordsize="8604,4284">
            <v:shape style="position:absolute;left:1440;top:1075;width:8578;height:4262" type="#_x0000_t75" stroked="false">
              <v:imagedata r:id="rId303" o:title=""/>
            </v:shape>
            <v:shape style="position:absolute;left:1423;top:1065;width:8604;height:4284" coordorigin="1423,1065" coordsize="8604,4284" path="m10027,1065l1423,1065,1423,5349,10027,5349,10027,5345,1433,5345,1428,5337,1433,5337,1433,1075,1428,1075,1433,1070,10027,1070,10027,1065xm1433,5337l1428,5337,1433,5345,1433,5337xm10018,5337l1433,5337,1433,5345,10018,5345,10018,5337xm10018,1070l10018,5345,10022,5337,10027,5337,10027,1075,10022,1075,10018,1070xm10027,5337l10022,5337,10018,5345,10027,5345,10027,5337xm1433,1070l1428,1075,1433,1075,1433,1070xm10018,1070l1433,1070,1433,1075,10018,1075,10018,1070xm10027,1070l10018,1070,10022,1075,10027,1075,10027,1070xe" filled="true" fillcolor="#000000" stroked="false">
              <v:path arrowok="t"/>
              <v:fill type="solid"/>
            </v:shape>
            <w10:wrap type="topAndBottom"/>
          </v:group>
        </w:pict>
      </w:r>
      <w:r>
        <w:rPr/>
        <w:t>Figura 1. México: divisas captadas por remesas familiares durante 1985-2007  (miles de millones de dólares) y efecto del método para  su  contabilidad sobre la tasa de</w:t>
      </w:r>
      <w:r>
        <w:rPr>
          <w:spacing w:val="51"/>
        </w:rPr>
        <w:t> </w:t>
      </w:r>
      <w:r>
        <w:rPr/>
        <w:t>crecimiento.</w:t>
      </w:r>
    </w:p>
    <w:p>
      <w:pPr>
        <w:pStyle w:val="BodyText"/>
        <w:spacing w:before="4"/>
        <w:rPr>
          <w:b/>
          <w:sz w:val="19"/>
        </w:rPr>
      </w:pPr>
    </w:p>
    <w:p>
      <w:pPr>
        <w:spacing w:before="0"/>
        <w:ind w:left="451" w:right="102" w:firstLine="0"/>
        <w:jc w:val="left"/>
        <w:rPr>
          <w:sz w:val="21"/>
        </w:rPr>
      </w:pPr>
      <w:r>
        <w:rPr>
          <w:sz w:val="21"/>
        </w:rPr>
        <w:t>Fuente: Cervantes. 2007.   En: </w:t>
      </w:r>
      <w:hyperlink r:id="rId304">
        <w:r>
          <w:rPr>
            <w:sz w:val="21"/>
          </w:rPr>
          <w:t>www.economia.unam.mx/miglc</w:t>
        </w:r>
      </w:hyperlink>
    </w:p>
    <w:p>
      <w:pPr>
        <w:spacing w:after="0"/>
        <w:jc w:val="left"/>
        <w:rPr>
          <w:sz w:val="21"/>
        </w:rPr>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De acuerdo con Cervantes (2007), la contabilidad de las remesas ha tenido cambios a través del tiempo, lo que se ha traducido en grandes tasas de crecimiento. Por ejemplo, hasta 1988 sólo se incluían los giros postales, posteriormente se amplía su contabilización al incluir las Money Order, con lo cual las remesas aumentaron poco  más de 25%. En el 2001 se aceptó la matrícula consular como identificación y las remesas crecieron un 35%; la misma tasa de aumento se registró en el año 2003  cuando el Banco de México obligó a las empresas dedicadas al envío de remesas a reportarle el volumen de sus</w:t>
      </w:r>
      <w:r>
        <w:rPr>
          <w:spacing w:val="48"/>
        </w:rPr>
        <w:t> </w:t>
      </w:r>
      <w:r>
        <w:rPr/>
        <w:t>operaciones.</w:t>
      </w:r>
    </w:p>
    <w:p>
      <w:pPr>
        <w:pStyle w:val="BodyText"/>
        <w:rPr>
          <w:sz w:val="22"/>
        </w:rPr>
      </w:pPr>
    </w:p>
    <w:p>
      <w:pPr>
        <w:pStyle w:val="BodyText"/>
        <w:rPr>
          <w:sz w:val="22"/>
        </w:rPr>
      </w:pPr>
    </w:p>
    <w:p>
      <w:pPr>
        <w:pStyle w:val="Heading3"/>
        <w:numPr>
          <w:ilvl w:val="1"/>
          <w:numId w:val="20"/>
        </w:numPr>
        <w:tabs>
          <w:tab w:pos="632" w:val="left" w:leader="none"/>
        </w:tabs>
        <w:spacing w:line="240" w:lineRule="auto" w:before="169" w:after="0"/>
        <w:ind w:left="631" w:right="0" w:hanging="530"/>
        <w:jc w:val="both"/>
      </w:pPr>
      <w:r>
        <w:rPr/>
        <w:t>Importancia económica de las</w:t>
      </w:r>
      <w:r>
        <w:rPr>
          <w:spacing w:val="37"/>
        </w:rPr>
        <w:t> </w:t>
      </w:r>
      <w:r>
        <w:rPr/>
        <w:t>remesas</w:t>
      </w:r>
    </w:p>
    <w:p>
      <w:pPr>
        <w:pStyle w:val="BodyText"/>
        <w:spacing w:before="2"/>
        <w:rPr>
          <w:b/>
          <w:sz w:val="28"/>
        </w:rPr>
      </w:pPr>
    </w:p>
    <w:p>
      <w:pPr>
        <w:pStyle w:val="BodyText"/>
        <w:spacing w:line="367" w:lineRule="auto"/>
        <w:ind w:left="101" w:right="105"/>
        <w:jc w:val="both"/>
      </w:pPr>
      <w:r>
        <w:rPr/>
        <w:t>Con base en la opinión de algunos especialistas del Banco de México, las remesas son una variable económica pequeña en la economía mexicana, al suponer que afectan a   un segmento de las familias en el país, pero no a la economía en su </w:t>
      </w:r>
      <w:r>
        <w:rPr>
          <w:spacing w:val="29"/>
        </w:rPr>
        <w:t> </w:t>
      </w:r>
      <w:r>
        <w:rPr/>
        <w:t>conjunto.</w:t>
      </w:r>
    </w:p>
    <w:p>
      <w:pPr>
        <w:pStyle w:val="BodyText"/>
        <w:spacing w:before="9"/>
      </w:pPr>
    </w:p>
    <w:p>
      <w:pPr>
        <w:pStyle w:val="BodyText"/>
        <w:spacing w:line="364" w:lineRule="auto"/>
        <w:ind w:left="101" w:right="103"/>
        <w:jc w:val="both"/>
      </w:pPr>
      <w:r>
        <w:rPr/>
        <w:t>Sin embargo, durante los últimos años, este flujo de dinero fresco hacia nuestro país se ha consolidado como la segunda fuente de captación de divisas, después de la  poderosa industria exportadora de crudo. Por ejemplo, en  2006  las  remesas significaron más del 66% del monto de divisas captadas por la exportación de petróleo crudo, y las cifras a junio de 2009 son más contundentes, ya que las remesas representan un 108.2% de las exportaciones del </w:t>
      </w:r>
      <w:r>
        <w:rPr>
          <w:spacing w:val="9"/>
        </w:rPr>
        <w:t> </w:t>
      </w:r>
      <w:r>
        <w:rPr/>
        <w:t>hidrocarburo.</w:t>
      </w:r>
    </w:p>
    <w:p>
      <w:pPr>
        <w:pStyle w:val="BodyText"/>
        <w:rPr>
          <w:sz w:val="24"/>
        </w:rPr>
      </w:pPr>
    </w:p>
    <w:p>
      <w:pPr>
        <w:pStyle w:val="BodyText"/>
        <w:spacing w:line="364" w:lineRule="auto"/>
        <w:ind w:left="101" w:right="105"/>
        <w:jc w:val="both"/>
      </w:pPr>
      <w:r>
        <w:rPr/>
        <w:t>Adicionalmente, puede observarse que las remesas han igualado y superado, desde hace varios años, al monto de divisas que llegan a México como inversión extranjera directa, además de superar con creces los montos de divisas captados mediante exportaciones agropecuarias y por</w:t>
      </w:r>
      <w:r>
        <w:rPr>
          <w:spacing w:val="51"/>
        </w:rPr>
        <w:t> </w:t>
      </w:r>
      <w:r>
        <w:rPr/>
        <w:t>turismo.</w:t>
      </w:r>
    </w:p>
    <w:p>
      <w:pPr>
        <w:pStyle w:val="BodyText"/>
        <w:spacing w:before="2"/>
        <w:rPr>
          <w:sz w:val="24"/>
        </w:rPr>
      </w:pPr>
    </w:p>
    <w:p>
      <w:pPr>
        <w:pStyle w:val="BodyText"/>
        <w:spacing w:line="364" w:lineRule="auto"/>
        <w:ind w:left="101" w:right="102"/>
        <w:jc w:val="both"/>
      </w:pPr>
      <w:r>
        <w:rPr/>
        <w:t>También es notoria la contribución de las remesas familiares al equilibrio de las cuentas externas de la economía mexicana, así como su importancia creciente como proporción del PIB de nuestra nación. Entonces, a pesar de la opinión de los expertos, cabe preguntarse: ¿las remesas son realmente una variable económica pequeña  para  nuestro</w:t>
      </w:r>
      <w:r>
        <w:rPr>
          <w:spacing w:val="15"/>
        </w:rPr>
        <w:t> </w:t>
      </w:r>
      <w:r>
        <w:rPr/>
        <w:t>país?</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Desde nuestro punto de vista, y por las razones expuestas, la respuesta es no. </w:t>
      </w:r>
      <w:r>
        <w:rPr>
          <w:spacing w:val="2"/>
        </w:rPr>
        <w:t>En </w:t>
      </w:r>
      <w:r>
        <w:rPr/>
        <w:t>México, la importancia económica del fenómeno migratorio adquiere una relevancia creciente, tanto desde la perspectiva de la pérdida de mano de obra en plena edad productiva, así como también por la contribución que hacen las remesas para elevar el bienestar en las regiones y hogares que las</w:t>
      </w:r>
      <w:r>
        <w:rPr>
          <w:spacing w:val="55"/>
        </w:rPr>
        <w:t> </w:t>
      </w:r>
      <w:r>
        <w:rPr/>
        <w:t>reciben.</w:t>
      </w:r>
    </w:p>
    <w:p>
      <w:pPr>
        <w:pStyle w:val="BodyText"/>
        <w:rPr>
          <w:sz w:val="24"/>
        </w:rPr>
      </w:pPr>
    </w:p>
    <w:p>
      <w:pPr>
        <w:pStyle w:val="BodyText"/>
        <w:spacing w:line="367" w:lineRule="auto"/>
        <w:ind w:left="101" w:right="104"/>
        <w:jc w:val="both"/>
      </w:pPr>
      <w:r>
        <w:rPr/>
        <w:t>Por lo tanto, más allá de la opinión de algunos “especialistas”, quienes subestiman el papel de las remesas en la economía mexicana en su conjunto, y pese a la desaceleración en su tasa de crecimiento anual durante el último quinquenio, en los últimos años este flujo de dinero fresco hacia nuestro país es de gran  relevancia.</w:t>
      </w:r>
    </w:p>
    <w:p>
      <w:pPr>
        <w:pStyle w:val="BodyText"/>
        <w:spacing w:before="6"/>
      </w:pPr>
    </w:p>
    <w:p>
      <w:pPr>
        <w:pStyle w:val="BodyText"/>
        <w:spacing w:line="364" w:lineRule="auto" w:before="1"/>
        <w:ind w:left="101" w:right="105"/>
        <w:jc w:val="both"/>
      </w:pPr>
      <w:r>
        <w:rPr/>
        <w:t>Las estadísticas al mes de </w:t>
      </w:r>
      <w:r>
        <w:rPr>
          <w:b/>
        </w:rPr>
        <w:t>junio de 2009 </w:t>
      </w:r>
      <w:r>
        <w:rPr/>
        <w:t>muestran que las remesas representan un 187.7% con respecto a turismo (fue 158.2% en el mismo periodo de 2008) y un 246.8% con respecto a exportaciones agropecuarias (238.8% en el mismo periodo de 2008). En tanto que, con relación las exportaciones de petróleo crudo, por primera vez en el periodo de registro de estos datos, las remesas superan este rubro, alcanzando un histórico 108.2% contra un 51.35% en el primer semestre de </w:t>
      </w:r>
      <w:r>
        <w:rPr>
          <w:spacing w:val="12"/>
        </w:rPr>
        <w:t> </w:t>
      </w:r>
      <w:r>
        <w:rPr/>
        <w:t>2008.</w:t>
      </w:r>
    </w:p>
    <w:p>
      <w:pPr>
        <w:pStyle w:val="BodyText"/>
        <w:rPr>
          <w:sz w:val="24"/>
        </w:rPr>
      </w:pPr>
    </w:p>
    <w:p>
      <w:pPr>
        <w:pStyle w:val="BodyText"/>
        <w:spacing w:line="364" w:lineRule="auto"/>
        <w:ind w:left="101" w:right="105"/>
        <w:jc w:val="both"/>
      </w:pPr>
      <w:r>
        <w:rPr/>
        <w:t>Ciertamente, estos datos revelan por sí mismos algo más que “poca trascendencia” de las remesas como fuente de captación de divisas, mismas que superan también ya al monto de dólares que llegan a México como inversión extranjera directa, además de superar con creces los saldos negativos en la Cuenta Corriente de la Balanza de Pagos de México. También es notoria la contribución de las remesas familiares en la recaudación fiscal.</w:t>
      </w:r>
    </w:p>
    <w:p>
      <w:pPr>
        <w:pStyle w:val="BodyText"/>
        <w:spacing w:before="2"/>
        <w:rPr>
          <w:sz w:val="24"/>
        </w:rPr>
      </w:pPr>
    </w:p>
    <w:p>
      <w:pPr>
        <w:pStyle w:val="BodyText"/>
        <w:spacing w:line="364" w:lineRule="auto"/>
        <w:ind w:left="101" w:right="103"/>
        <w:jc w:val="both"/>
      </w:pPr>
      <w:r>
        <w:rPr/>
        <w:t>García (2000), menciona que no debe perderse de vista el impacto de las remesas  sobre la recaudación fiscal a través de su aplicación a la compra de bienes y servicios. Para tener una medida, aunque sea aproximada de la aportación de  este  flujo  de divisas procedente de los Estados Unidos a la recaudación fiscal en nuestro país, se puede partir de una cifra estimada equivalente a 4.5 miles de millones de dólares que durante 1998 presumiblemente habrían gastado los hogares receptores de remesas en la compra de diversos bienes y servicios. Si por término medio se estima en  </w:t>
      </w:r>
      <w:r>
        <w:rPr>
          <w:spacing w:val="62"/>
        </w:rPr>
        <w:t> </w:t>
      </w:r>
      <w:r>
        <w:rPr/>
        <w:t>ese monto</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spacing w:line="364" w:lineRule="auto" w:before="74"/>
        <w:ind w:left="101" w:right="105" w:firstLine="0"/>
        <w:jc w:val="both"/>
        <w:rPr>
          <w:sz w:val="23"/>
        </w:rPr>
      </w:pPr>
      <w:r>
        <w:rPr>
          <w:sz w:val="23"/>
        </w:rPr>
        <w:t>total de gasto un 15% correspondiente al impuesto al valor agregado, resultan cerca de </w:t>
      </w:r>
      <w:r>
        <w:rPr>
          <w:b/>
          <w:sz w:val="23"/>
        </w:rPr>
        <w:t>590 millones de dólares de recaudación fiscal </w:t>
      </w:r>
      <w:r>
        <w:rPr>
          <w:sz w:val="23"/>
        </w:rPr>
        <w:t>directamente derivados del flujo de remesas.</w:t>
      </w:r>
    </w:p>
    <w:p>
      <w:pPr>
        <w:pStyle w:val="BodyText"/>
        <w:spacing w:before="2"/>
        <w:rPr>
          <w:sz w:val="24"/>
        </w:rPr>
      </w:pPr>
    </w:p>
    <w:p>
      <w:pPr>
        <w:pStyle w:val="BodyText"/>
        <w:spacing w:line="364" w:lineRule="auto"/>
        <w:ind w:left="101" w:right="102"/>
        <w:jc w:val="both"/>
      </w:pPr>
      <w:r>
        <w:rPr/>
        <w:t>Por otra parte, González (2008), señala que en 2006 las remesas incrementaron el ahorro del país en un estimado de 3 mil 500 millones de dólares; contribuyeron al gasto en educación con 3 mil 250 millones de dólares, y al gasto en inversión privada en mil 250 millones, concluyendo que no es motivo de orgullo para México haberse convertido en el primer receptor de remesas del mundo, porque esa marca es la expresión de que el país no es capaz de generar empleos y que la gente siente presión social para salir   en busca de opciones de</w:t>
      </w:r>
      <w:r>
        <w:rPr>
          <w:spacing w:val="35"/>
        </w:rPr>
        <w:t> </w:t>
      </w:r>
      <w:r>
        <w:rPr/>
        <w:t>vida.</w:t>
      </w:r>
    </w:p>
    <w:p>
      <w:pPr>
        <w:pStyle w:val="BodyText"/>
        <w:rPr>
          <w:sz w:val="24"/>
        </w:rPr>
      </w:pPr>
    </w:p>
    <w:p>
      <w:pPr>
        <w:pStyle w:val="BodyText"/>
        <w:spacing w:line="364" w:lineRule="auto"/>
        <w:ind w:left="101" w:right="105"/>
        <w:jc w:val="both"/>
      </w:pPr>
      <w:r>
        <w:rPr/>
        <w:t>Para enfatizar con toda esta evidencia, es plausible la idea de que las remesas no son una variable económica de poca importancia para nuestro país, debido al cuantioso    flujo de divisas captado por esa vía (Cuadro</w:t>
      </w:r>
      <w:r>
        <w:rPr>
          <w:spacing w:val="50"/>
        </w:rPr>
        <w:t> </w:t>
      </w:r>
      <w:r>
        <w:rPr/>
        <w:t>3).</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6"/>
        <w:rPr>
          <w:sz w:val="18"/>
        </w:rPr>
      </w:pPr>
    </w:p>
    <w:p>
      <w:pPr>
        <w:pStyle w:val="Heading4"/>
        <w:spacing w:line="364" w:lineRule="auto" w:before="74"/>
        <w:ind w:left="2628" w:right="447" w:hanging="1935"/>
      </w:pPr>
      <w:r>
        <w:rPr/>
        <w:t>Cuadro 3. México: Ingreso anual, mensual y diario de remesas, 1990-2009 (Millones de dólares y crecimiento real </w:t>
      </w:r>
      <w:r>
        <w:rPr>
          <w:spacing w:val="61"/>
        </w:rPr>
        <w:t> </w:t>
      </w:r>
      <w:r>
        <w:rPr/>
        <w:t>porcentual)</w:t>
      </w:r>
    </w:p>
    <w:p>
      <w:pPr>
        <w:pStyle w:val="BodyText"/>
        <w:spacing w:before="7"/>
        <w:rPr>
          <w:b/>
          <w:sz w:val="10"/>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83"/>
        <w:gridCol w:w="1764"/>
        <w:gridCol w:w="1843"/>
        <w:gridCol w:w="1718"/>
        <w:gridCol w:w="1699"/>
      </w:tblGrid>
      <w:tr>
        <w:trPr>
          <w:trHeight w:val="1190" w:hRule="exact"/>
        </w:trPr>
        <w:tc>
          <w:tcPr>
            <w:tcW w:w="1783" w:type="dxa"/>
          </w:tcPr>
          <w:p>
            <w:pPr>
              <w:pStyle w:val="TableParagraph"/>
              <w:spacing w:before="0"/>
              <w:ind w:left="591" w:right="592"/>
              <w:jc w:val="center"/>
              <w:rPr>
                <w:b/>
                <w:sz w:val="21"/>
              </w:rPr>
            </w:pPr>
            <w:r>
              <w:rPr>
                <w:b/>
                <w:sz w:val="21"/>
              </w:rPr>
              <w:t>Año</w:t>
            </w:r>
          </w:p>
        </w:tc>
        <w:tc>
          <w:tcPr>
            <w:tcW w:w="1764" w:type="dxa"/>
          </w:tcPr>
          <w:p>
            <w:pPr>
              <w:pStyle w:val="TableParagraph"/>
              <w:spacing w:line="244" w:lineRule="auto" w:before="0"/>
              <w:ind w:left="179" w:right="178"/>
              <w:jc w:val="center"/>
              <w:rPr>
                <w:b/>
                <w:sz w:val="21"/>
              </w:rPr>
            </w:pPr>
            <w:r>
              <w:rPr>
                <w:b/>
                <w:sz w:val="21"/>
              </w:rPr>
              <w:t>Ingreso anual de remesas (MDD).</w:t>
            </w:r>
          </w:p>
        </w:tc>
        <w:tc>
          <w:tcPr>
            <w:tcW w:w="1843" w:type="dxa"/>
          </w:tcPr>
          <w:p>
            <w:pPr>
              <w:pStyle w:val="TableParagraph"/>
              <w:spacing w:line="244" w:lineRule="auto" w:before="0"/>
              <w:ind w:left="292" w:right="298"/>
              <w:jc w:val="center"/>
              <w:rPr>
                <w:b/>
                <w:sz w:val="21"/>
              </w:rPr>
            </w:pPr>
            <w:r>
              <w:rPr>
                <w:b/>
                <w:sz w:val="21"/>
              </w:rPr>
              <w:t>Crecimiento real</w:t>
            </w:r>
          </w:p>
          <w:p>
            <w:pPr>
              <w:pStyle w:val="TableParagraph"/>
              <w:spacing w:before="9"/>
              <w:jc w:val="left"/>
              <w:rPr>
                <w:b/>
                <w:sz w:val="16"/>
              </w:rPr>
            </w:pPr>
          </w:p>
          <w:p>
            <w:pPr>
              <w:pStyle w:val="TableParagraph"/>
              <w:spacing w:before="0"/>
              <w:ind w:left="290" w:right="298"/>
              <w:jc w:val="center"/>
              <w:rPr>
                <w:b/>
                <w:sz w:val="21"/>
              </w:rPr>
            </w:pPr>
            <w:r>
              <w:rPr>
                <w:b/>
                <w:sz w:val="21"/>
              </w:rPr>
              <w:t>(%)</w:t>
            </w:r>
          </w:p>
        </w:tc>
        <w:tc>
          <w:tcPr>
            <w:tcW w:w="1718" w:type="dxa"/>
          </w:tcPr>
          <w:p>
            <w:pPr>
              <w:pStyle w:val="TableParagraph"/>
              <w:spacing w:line="244" w:lineRule="auto" w:before="0"/>
              <w:ind w:left="263" w:right="262" w:hanging="3"/>
              <w:jc w:val="center"/>
              <w:rPr>
                <w:b/>
                <w:sz w:val="21"/>
              </w:rPr>
            </w:pPr>
            <w:r>
              <w:rPr>
                <w:b/>
                <w:sz w:val="21"/>
              </w:rPr>
              <w:t>Ingreso mensual de remesas (MDD)</w:t>
            </w:r>
          </w:p>
        </w:tc>
        <w:tc>
          <w:tcPr>
            <w:tcW w:w="1699" w:type="dxa"/>
          </w:tcPr>
          <w:p>
            <w:pPr>
              <w:pStyle w:val="TableParagraph"/>
              <w:spacing w:line="244" w:lineRule="auto" w:before="0"/>
              <w:ind w:left="134" w:right="138"/>
              <w:jc w:val="center"/>
              <w:rPr>
                <w:b/>
                <w:sz w:val="21"/>
              </w:rPr>
            </w:pPr>
            <w:r>
              <w:rPr>
                <w:b/>
                <w:sz w:val="21"/>
              </w:rPr>
              <w:t>Ingreso diario de remesas (MDD)</w:t>
            </w:r>
          </w:p>
        </w:tc>
      </w:tr>
      <w:tr>
        <w:trPr>
          <w:trHeight w:val="451" w:hRule="exact"/>
        </w:trPr>
        <w:tc>
          <w:tcPr>
            <w:tcW w:w="1783" w:type="dxa"/>
          </w:tcPr>
          <w:p>
            <w:pPr>
              <w:pStyle w:val="TableParagraph"/>
              <w:ind w:left="592" w:right="592"/>
              <w:jc w:val="center"/>
              <w:rPr>
                <w:sz w:val="21"/>
              </w:rPr>
            </w:pPr>
            <w:r>
              <w:rPr>
                <w:sz w:val="21"/>
              </w:rPr>
              <w:t>1990</w:t>
            </w:r>
          </w:p>
        </w:tc>
        <w:tc>
          <w:tcPr>
            <w:tcW w:w="1764" w:type="dxa"/>
          </w:tcPr>
          <w:p>
            <w:pPr>
              <w:pStyle w:val="TableParagraph"/>
              <w:ind w:left="178" w:right="178"/>
              <w:jc w:val="center"/>
              <w:rPr>
                <w:sz w:val="21"/>
              </w:rPr>
            </w:pPr>
            <w:r>
              <w:rPr>
                <w:sz w:val="21"/>
              </w:rPr>
              <w:t>1,980.00</w:t>
            </w:r>
          </w:p>
        </w:tc>
        <w:tc>
          <w:tcPr>
            <w:tcW w:w="1843" w:type="dxa"/>
          </w:tcPr>
          <w:p>
            <w:pPr/>
          </w:p>
        </w:tc>
        <w:tc>
          <w:tcPr>
            <w:tcW w:w="1718" w:type="dxa"/>
          </w:tcPr>
          <w:p>
            <w:pPr>
              <w:pStyle w:val="TableParagraph"/>
              <w:ind w:left="425" w:right="421"/>
              <w:jc w:val="center"/>
              <w:rPr>
                <w:sz w:val="21"/>
              </w:rPr>
            </w:pPr>
            <w:r>
              <w:rPr>
                <w:sz w:val="21"/>
              </w:rPr>
              <w:t>165.00</w:t>
            </w:r>
          </w:p>
        </w:tc>
        <w:tc>
          <w:tcPr>
            <w:tcW w:w="1699" w:type="dxa"/>
          </w:tcPr>
          <w:p>
            <w:pPr>
              <w:pStyle w:val="TableParagraph"/>
              <w:ind w:left="134" w:right="136"/>
              <w:jc w:val="center"/>
              <w:rPr>
                <w:sz w:val="21"/>
              </w:rPr>
            </w:pPr>
            <w:r>
              <w:rPr>
                <w:sz w:val="21"/>
              </w:rPr>
              <w:t>5.42</w:t>
            </w:r>
          </w:p>
        </w:tc>
      </w:tr>
      <w:tr>
        <w:trPr>
          <w:trHeight w:val="450" w:hRule="exact"/>
        </w:trPr>
        <w:tc>
          <w:tcPr>
            <w:tcW w:w="1783" w:type="dxa"/>
            <w:tcBorders>
              <w:bottom w:val="single" w:sz="3" w:space="0" w:color="000000"/>
            </w:tcBorders>
          </w:tcPr>
          <w:p>
            <w:pPr>
              <w:pStyle w:val="TableParagraph"/>
              <w:spacing w:before="0"/>
              <w:ind w:left="592" w:right="592"/>
              <w:jc w:val="center"/>
              <w:rPr>
                <w:sz w:val="21"/>
              </w:rPr>
            </w:pPr>
            <w:r>
              <w:rPr>
                <w:sz w:val="21"/>
              </w:rPr>
              <w:t>1991</w:t>
            </w:r>
          </w:p>
        </w:tc>
        <w:tc>
          <w:tcPr>
            <w:tcW w:w="1764" w:type="dxa"/>
            <w:tcBorders>
              <w:bottom w:val="single" w:sz="3" w:space="0" w:color="000000"/>
            </w:tcBorders>
          </w:tcPr>
          <w:p>
            <w:pPr>
              <w:pStyle w:val="TableParagraph"/>
              <w:spacing w:before="0"/>
              <w:ind w:left="178" w:right="178"/>
              <w:jc w:val="center"/>
              <w:rPr>
                <w:sz w:val="21"/>
              </w:rPr>
            </w:pPr>
            <w:r>
              <w:rPr>
                <w:sz w:val="21"/>
              </w:rPr>
              <w:t>2,414.00</w:t>
            </w:r>
          </w:p>
        </w:tc>
        <w:tc>
          <w:tcPr>
            <w:tcW w:w="1843" w:type="dxa"/>
            <w:tcBorders>
              <w:bottom w:val="single" w:sz="3" w:space="0" w:color="000000"/>
            </w:tcBorders>
          </w:tcPr>
          <w:p>
            <w:pPr>
              <w:pStyle w:val="TableParagraph"/>
              <w:spacing w:before="0"/>
              <w:ind w:left="292" w:right="292"/>
              <w:jc w:val="center"/>
              <w:rPr>
                <w:sz w:val="21"/>
              </w:rPr>
            </w:pPr>
            <w:r>
              <w:rPr>
                <w:sz w:val="21"/>
              </w:rPr>
              <w:t>21.92</w:t>
            </w:r>
          </w:p>
        </w:tc>
        <w:tc>
          <w:tcPr>
            <w:tcW w:w="1718" w:type="dxa"/>
            <w:tcBorders>
              <w:bottom w:val="single" w:sz="3" w:space="0" w:color="000000"/>
            </w:tcBorders>
          </w:tcPr>
          <w:p>
            <w:pPr>
              <w:pStyle w:val="TableParagraph"/>
              <w:spacing w:before="0"/>
              <w:ind w:left="425" w:right="421"/>
              <w:jc w:val="center"/>
              <w:rPr>
                <w:sz w:val="21"/>
              </w:rPr>
            </w:pPr>
            <w:r>
              <w:rPr>
                <w:sz w:val="21"/>
              </w:rPr>
              <w:t>201.17</w:t>
            </w:r>
          </w:p>
        </w:tc>
        <w:tc>
          <w:tcPr>
            <w:tcW w:w="1699" w:type="dxa"/>
            <w:tcBorders>
              <w:bottom w:val="single" w:sz="3" w:space="0" w:color="000000"/>
            </w:tcBorders>
          </w:tcPr>
          <w:p>
            <w:pPr>
              <w:pStyle w:val="TableParagraph"/>
              <w:spacing w:before="0"/>
              <w:ind w:left="134" w:right="136"/>
              <w:jc w:val="center"/>
              <w:rPr>
                <w:sz w:val="21"/>
              </w:rPr>
            </w:pPr>
            <w:r>
              <w:rPr>
                <w:sz w:val="21"/>
              </w:rPr>
              <w:t>6.61</w:t>
            </w:r>
          </w:p>
        </w:tc>
      </w:tr>
      <w:tr>
        <w:trPr>
          <w:trHeight w:val="450" w:hRule="exact"/>
        </w:trPr>
        <w:tc>
          <w:tcPr>
            <w:tcW w:w="1783" w:type="dxa"/>
            <w:tcBorders>
              <w:top w:val="single" w:sz="3" w:space="0" w:color="000000"/>
            </w:tcBorders>
          </w:tcPr>
          <w:p>
            <w:pPr>
              <w:pStyle w:val="TableParagraph"/>
              <w:ind w:left="592" w:right="592"/>
              <w:jc w:val="center"/>
              <w:rPr>
                <w:sz w:val="21"/>
              </w:rPr>
            </w:pPr>
            <w:r>
              <w:rPr>
                <w:sz w:val="21"/>
              </w:rPr>
              <w:t>1992</w:t>
            </w:r>
          </w:p>
        </w:tc>
        <w:tc>
          <w:tcPr>
            <w:tcW w:w="1764" w:type="dxa"/>
            <w:tcBorders>
              <w:top w:val="single" w:sz="3" w:space="0" w:color="000000"/>
            </w:tcBorders>
          </w:tcPr>
          <w:p>
            <w:pPr>
              <w:pStyle w:val="TableParagraph"/>
              <w:ind w:left="178" w:right="178"/>
              <w:jc w:val="center"/>
              <w:rPr>
                <w:sz w:val="21"/>
              </w:rPr>
            </w:pPr>
            <w:r>
              <w:rPr>
                <w:sz w:val="21"/>
              </w:rPr>
              <w:t>3,070.00</w:t>
            </w:r>
          </w:p>
        </w:tc>
        <w:tc>
          <w:tcPr>
            <w:tcW w:w="1843" w:type="dxa"/>
            <w:tcBorders>
              <w:top w:val="single" w:sz="3" w:space="0" w:color="000000"/>
            </w:tcBorders>
          </w:tcPr>
          <w:p>
            <w:pPr>
              <w:pStyle w:val="TableParagraph"/>
              <w:ind w:left="292" w:right="292"/>
              <w:jc w:val="center"/>
              <w:rPr>
                <w:sz w:val="21"/>
              </w:rPr>
            </w:pPr>
            <w:r>
              <w:rPr>
                <w:sz w:val="21"/>
              </w:rPr>
              <w:t>27.17</w:t>
            </w:r>
          </w:p>
        </w:tc>
        <w:tc>
          <w:tcPr>
            <w:tcW w:w="1718" w:type="dxa"/>
            <w:tcBorders>
              <w:top w:val="single" w:sz="3" w:space="0" w:color="000000"/>
            </w:tcBorders>
          </w:tcPr>
          <w:p>
            <w:pPr>
              <w:pStyle w:val="TableParagraph"/>
              <w:ind w:left="425" w:right="421"/>
              <w:jc w:val="center"/>
              <w:rPr>
                <w:sz w:val="21"/>
              </w:rPr>
            </w:pPr>
            <w:r>
              <w:rPr>
                <w:sz w:val="21"/>
              </w:rPr>
              <w:t>255.83</w:t>
            </w:r>
          </w:p>
        </w:tc>
        <w:tc>
          <w:tcPr>
            <w:tcW w:w="1699" w:type="dxa"/>
            <w:tcBorders>
              <w:top w:val="single" w:sz="3" w:space="0" w:color="000000"/>
            </w:tcBorders>
          </w:tcPr>
          <w:p>
            <w:pPr>
              <w:pStyle w:val="TableParagraph"/>
              <w:ind w:left="134" w:right="136"/>
              <w:jc w:val="center"/>
              <w:rPr>
                <w:sz w:val="21"/>
              </w:rPr>
            </w:pPr>
            <w:r>
              <w:rPr>
                <w:sz w:val="21"/>
              </w:rPr>
              <w:t>8.41</w:t>
            </w:r>
          </w:p>
        </w:tc>
      </w:tr>
      <w:tr>
        <w:trPr>
          <w:trHeight w:val="451" w:hRule="exact"/>
        </w:trPr>
        <w:tc>
          <w:tcPr>
            <w:tcW w:w="1783" w:type="dxa"/>
          </w:tcPr>
          <w:p>
            <w:pPr>
              <w:pStyle w:val="TableParagraph"/>
              <w:ind w:left="592" w:right="592"/>
              <w:jc w:val="center"/>
              <w:rPr>
                <w:sz w:val="21"/>
              </w:rPr>
            </w:pPr>
            <w:r>
              <w:rPr>
                <w:sz w:val="21"/>
              </w:rPr>
              <w:t>1993</w:t>
            </w:r>
          </w:p>
        </w:tc>
        <w:tc>
          <w:tcPr>
            <w:tcW w:w="1764" w:type="dxa"/>
          </w:tcPr>
          <w:p>
            <w:pPr>
              <w:pStyle w:val="TableParagraph"/>
              <w:ind w:left="178" w:right="178"/>
              <w:jc w:val="center"/>
              <w:rPr>
                <w:sz w:val="21"/>
              </w:rPr>
            </w:pPr>
            <w:r>
              <w:rPr>
                <w:sz w:val="21"/>
              </w:rPr>
              <w:t>3,333.00</w:t>
            </w:r>
          </w:p>
        </w:tc>
        <w:tc>
          <w:tcPr>
            <w:tcW w:w="1843" w:type="dxa"/>
          </w:tcPr>
          <w:p>
            <w:pPr>
              <w:pStyle w:val="TableParagraph"/>
              <w:ind w:left="292" w:right="294"/>
              <w:jc w:val="center"/>
              <w:rPr>
                <w:sz w:val="21"/>
              </w:rPr>
            </w:pPr>
            <w:r>
              <w:rPr>
                <w:sz w:val="21"/>
              </w:rPr>
              <w:t>8.57</w:t>
            </w:r>
          </w:p>
        </w:tc>
        <w:tc>
          <w:tcPr>
            <w:tcW w:w="1718" w:type="dxa"/>
          </w:tcPr>
          <w:p>
            <w:pPr>
              <w:pStyle w:val="TableParagraph"/>
              <w:ind w:left="425" w:right="421"/>
              <w:jc w:val="center"/>
              <w:rPr>
                <w:sz w:val="21"/>
              </w:rPr>
            </w:pPr>
            <w:r>
              <w:rPr>
                <w:sz w:val="21"/>
              </w:rPr>
              <w:t>277.75</w:t>
            </w:r>
          </w:p>
        </w:tc>
        <w:tc>
          <w:tcPr>
            <w:tcW w:w="1699" w:type="dxa"/>
          </w:tcPr>
          <w:p>
            <w:pPr>
              <w:pStyle w:val="TableParagraph"/>
              <w:ind w:left="134" w:right="136"/>
              <w:jc w:val="center"/>
              <w:rPr>
                <w:sz w:val="21"/>
              </w:rPr>
            </w:pPr>
            <w:r>
              <w:rPr>
                <w:sz w:val="21"/>
              </w:rPr>
              <w:t>9.13</w:t>
            </w:r>
          </w:p>
        </w:tc>
      </w:tr>
      <w:tr>
        <w:trPr>
          <w:trHeight w:val="451" w:hRule="exact"/>
        </w:trPr>
        <w:tc>
          <w:tcPr>
            <w:tcW w:w="1783" w:type="dxa"/>
          </w:tcPr>
          <w:p>
            <w:pPr>
              <w:pStyle w:val="TableParagraph"/>
              <w:ind w:left="592" w:right="592"/>
              <w:jc w:val="center"/>
              <w:rPr>
                <w:sz w:val="21"/>
              </w:rPr>
            </w:pPr>
            <w:r>
              <w:rPr>
                <w:sz w:val="21"/>
              </w:rPr>
              <w:t>1994</w:t>
            </w:r>
          </w:p>
        </w:tc>
        <w:tc>
          <w:tcPr>
            <w:tcW w:w="1764" w:type="dxa"/>
          </w:tcPr>
          <w:p>
            <w:pPr>
              <w:pStyle w:val="TableParagraph"/>
              <w:ind w:left="178" w:right="178"/>
              <w:jc w:val="center"/>
              <w:rPr>
                <w:sz w:val="21"/>
              </w:rPr>
            </w:pPr>
            <w:r>
              <w:rPr>
                <w:sz w:val="21"/>
              </w:rPr>
              <w:t>3,475.00</w:t>
            </w:r>
          </w:p>
        </w:tc>
        <w:tc>
          <w:tcPr>
            <w:tcW w:w="1843" w:type="dxa"/>
          </w:tcPr>
          <w:p>
            <w:pPr>
              <w:pStyle w:val="TableParagraph"/>
              <w:ind w:left="292" w:right="294"/>
              <w:jc w:val="center"/>
              <w:rPr>
                <w:sz w:val="21"/>
              </w:rPr>
            </w:pPr>
            <w:r>
              <w:rPr>
                <w:sz w:val="21"/>
              </w:rPr>
              <w:t>4.26</w:t>
            </w:r>
          </w:p>
        </w:tc>
        <w:tc>
          <w:tcPr>
            <w:tcW w:w="1718" w:type="dxa"/>
          </w:tcPr>
          <w:p>
            <w:pPr>
              <w:pStyle w:val="TableParagraph"/>
              <w:ind w:left="425" w:right="421"/>
              <w:jc w:val="center"/>
              <w:rPr>
                <w:sz w:val="21"/>
              </w:rPr>
            </w:pPr>
            <w:r>
              <w:rPr>
                <w:sz w:val="21"/>
              </w:rPr>
              <w:t>289.58</w:t>
            </w:r>
          </w:p>
        </w:tc>
        <w:tc>
          <w:tcPr>
            <w:tcW w:w="1699" w:type="dxa"/>
          </w:tcPr>
          <w:p>
            <w:pPr>
              <w:pStyle w:val="TableParagraph"/>
              <w:ind w:left="134" w:right="136"/>
              <w:jc w:val="center"/>
              <w:rPr>
                <w:sz w:val="21"/>
              </w:rPr>
            </w:pPr>
            <w:r>
              <w:rPr>
                <w:sz w:val="21"/>
              </w:rPr>
              <w:t>9.52</w:t>
            </w:r>
          </w:p>
        </w:tc>
      </w:tr>
      <w:tr>
        <w:trPr>
          <w:trHeight w:val="451" w:hRule="exact"/>
        </w:trPr>
        <w:tc>
          <w:tcPr>
            <w:tcW w:w="1783" w:type="dxa"/>
          </w:tcPr>
          <w:p>
            <w:pPr>
              <w:pStyle w:val="TableParagraph"/>
              <w:ind w:left="592" w:right="592"/>
              <w:jc w:val="center"/>
              <w:rPr>
                <w:sz w:val="21"/>
              </w:rPr>
            </w:pPr>
            <w:r>
              <w:rPr>
                <w:sz w:val="21"/>
              </w:rPr>
              <w:t>1995</w:t>
            </w:r>
          </w:p>
        </w:tc>
        <w:tc>
          <w:tcPr>
            <w:tcW w:w="1764" w:type="dxa"/>
          </w:tcPr>
          <w:p>
            <w:pPr>
              <w:pStyle w:val="TableParagraph"/>
              <w:ind w:left="178" w:right="178"/>
              <w:jc w:val="center"/>
              <w:rPr>
                <w:sz w:val="21"/>
              </w:rPr>
            </w:pPr>
            <w:r>
              <w:rPr>
                <w:sz w:val="21"/>
              </w:rPr>
              <w:t>3,673.00</w:t>
            </w:r>
          </w:p>
        </w:tc>
        <w:tc>
          <w:tcPr>
            <w:tcW w:w="1843" w:type="dxa"/>
          </w:tcPr>
          <w:p>
            <w:pPr>
              <w:pStyle w:val="TableParagraph"/>
              <w:ind w:left="292" w:right="294"/>
              <w:jc w:val="center"/>
              <w:rPr>
                <w:sz w:val="21"/>
              </w:rPr>
            </w:pPr>
            <w:r>
              <w:rPr>
                <w:sz w:val="21"/>
              </w:rPr>
              <w:t>5.70</w:t>
            </w:r>
          </w:p>
        </w:tc>
        <w:tc>
          <w:tcPr>
            <w:tcW w:w="1718" w:type="dxa"/>
          </w:tcPr>
          <w:p>
            <w:pPr>
              <w:pStyle w:val="TableParagraph"/>
              <w:ind w:left="425" w:right="421"/>
              <w:jc w:val="center"/>
              <w:rPr>
                <w:sz w:val="21"/>
              </w:rPr>
            </w:pPr>
            <w:r>
              <w:rPr>
                <w:sz w:val="21"/>
              </w:rPr>
              <w:t>306.08</w:t>
            </w:r>
          </w:p>
        </w:tc>
        <w:tc>
          <w:tcPr>
            <w:tcW w:w="1699" w:type="dxa"/>
          </w:tcPr>
          <w:p>
            <w:pPr>
              <w:pStyle w:val="TableParagraph"/>
              <w:ind w:left="134" w:right="134"/>
              <w:jc w:val="center"/>
              <w:rPr>
                <w:sz w:val="21"/>
              </w:rPr>
            </w:pPr>
            <w:r>
              <w:rPr>
                <w:sz w:val="21"/>
              </w:rPr>
              <w:t>10.06</w:t>
            </w:r>
          </w:p>
        </w:tc>
      </w:tr>
      <w:tr>
        <w:trPr>
          <w:trHeight w:val="449" w:hRule="exact"/>
        </w:trPr>
        <w:tc>
          <w:tcPr>
            <w:tcW w:w="1783" w:type="dxa"/>
          </w:tcPr>
          <w:p>
            <w:pPr>
              <w:pStyle w:val="TableParagraph"/>
              <w:ind w:left="592" w:right="592"/>
              <w:jc w:val="center"/>
              <w:rPr>
                <w:sz w:val="21"/>
              </w:rPr>
            </w:pPr>
            <w:r>
              <w:rPr>
                <w:sz w:val="21"/>
              </w:rPr>
              <w:t>1996</w:t>
            </w:r>
          </w:p>
        </w:tc>
        <w:tc>
          <w:tcPr>
            <w:tcW w:w="1764" w:type="dxa"/>
          </w:tcPr>
          <w:p>
            <w:pPr>
              <w:pStyle w:val="TableParagraph"/>
              <w:ind w:left="178" w:right="178"/>
              <w:jc w:val="center"/>
              <w:rPr>
                <w:sz w:val="21"/>
              </w:rPr>
            </w:pPr>
            <w:r>
              <w:rPr>
                <w:sz w:val="21"/>
              </w:rPr>
              <w:t>4,224.00</w:t>
            </w:r>
          </w:p>
        </w:tc>
        <w:tc>
          <w:tcPr>
            <w:tcW w:w="1843" w:type="dxa"/>
          </w:tcPr>
          <w:p>
            <w:pPr>
              <w:pStyle w:val="TableParagraph"/>
              <w:ind w:left="292" w:right="292"/>
              <w:jc w:val="center"/>
              <w:rPr>
                <w:sz w:val="21"/>
              </w:rPr>
            </w:pPr>
            <w:r>
              <w:rPr>
                <w:sz w:val="21"/>
              </w:rPr>
              <w:t>15.00</w:t>
            </w:r>
          </w:p>
        </w:tc>
        <w:tc>
          <w:tcPr>
            <w:tcW w:w="1718" w:type="dxa"/>
          </w:tcPr>
          <w:p>
            <w:pPr>
              <w:pStyle w:val="TableParagraph"/>
              <w:ind w:left="425" w:right="421"/>
              <w:jc w:val="center"/>
              <w:rPr>
                <w:sz w:val="21"/>
              </w:rPr>
            </w:pPr>
            <w:r>
              <w:rPr>
                <w:sz w:val="21"/>
              </w:rPr>
              <w:t>352.00</w:t>
            </w:r>
          </w:p>
        </w:tc>
        <w:tc>
          <w:tcPr>
            <w:tcW w:w="1699" w:type="dxa"/>
          </w:tcPr>
          <w:p>
            <w:pPr>
              <w:pStyle w:val="TableParagraph"/>
              <w:ind w:left="134" w:right="134"/>
              <w:jc w:val="center"/>
              <w:rPr>
                <w:sz w:val="21"/>
              </w:rPr>
            </w:pPr>
            <w:r>
              <w:rPr>
                <w:sz w:val="21"/>
              </w:rPr>
              <w:t>11.57</w:t>
            </w:r>
          </w:p>
        </w:tc>
      </w:tr>
      <w:tr>
        <w:trPr>
          <w:trHeight w:val="451" w:hRule="exact"/>
        </w:trPr>
        <w:tc>
          <w:tcPr>
            <w:tcW w:w="1783" w:type="dxa"/>
          </w:tcPr>
          <w:p>
            <w:pPr>
              <w:pStyle w:val="TableParagraph"/>
              <w:spacing w:before="4"/>
              <w:ind w:left="592" w:right="592"/>
              <w:jc w:val="center"/>
              <w:rPr>
                <w:sz w:val="21"/>
              </w:rPr>
            </w:pPr>
            <w:r>
              <w:rPr>
                <w:sz w:val="21"/>
              </w:rPr>
              <w:t>1997</w:t>
            </w:r>
          </w:p>
        </w:tc>
        <w:tc>
          <w:tcPr>
            <w:tcW w:w="1764" w:type="dxa"/>
          </w:tcPr>
          <w:p>
            <w:pPr>
              <w:pStyle w:val="TableParagraph"/>
              <w:spacing w:before="4"/>
              <w:ind w:left="178" w:right="178"/>
              <w:jc w:val="center"/>
              <w:rPr>
                <w:sz w:val="21"/>
              </w:rPr>
            </w:pPr>
            <w:r>
              <w:rPr>
                <w:sz w:val="21"/>
              </w:rPr>
              <w:t>4,865.00</w:t>
            </w:r>
          </w:p>
        </w:tc>
        <w:tc>
          <w:tcPr>
            <w:tcW w:w="1843" w:type="dxa"/>
          </w:tcPr>
          <w:p>
            <w:pPr>
              <w:pStyle w:val="TableParagraph"/>
              <w:spacing w:before="4"/>
              <w:ind w:left="292" w:right="292"/>
              <w:jc w:val="center"/>
              <w:rPr>
                <w:sz w:val="21"/>
              </w:rPr>
            </w:pPr>
            <w:r>
              <w:rPr>
                <w:sz w:val="21"/>
              </w:rPr>
              <w:t>15.18</w:t>
            </w:r>
          </w:p>
        </w:tc>
        <w:tc>
          <w:tcPr>
            <w:tcW w:w="1718" w:type="dxa"/>
          </w:tcPr>
          <w:p>
            <w:pPr>
              <w:pStyle w:val="TableParagraph"/>
              <w:spacing w:before="4"/>
              <w:ind w:left="425" w:right="421"/>
              <w:jc w:val="center"/>
              <w:rPr>
                <w:sz w:val="21"/>
              </w:rPr>
            </w:pPr>
            <w:r>
              <w:rPr>
                <w:sz w:val="21"/>
              </w:rPr>
              <w:t>405.42</w:t>
            </w:r>
          </w:p>
        </w:tc>
        <w:tc>
          <w:tcPr>
            <w:tcW w:w="1699" w:type="dxa"/>
          </w:tcPr>
          <w:p>
            <w:pPr>
              <w:pStyle w:val="TableParagraph"/>
              <w:spacing w:before="4"/>
              <w:ind w:left="134" w:right="134"/>
              <w:jc w:val="center"/>
              <w:rPr>
                <w:sz w:val="21"/>
              </w:rPr>
            </w:pPr>
            <w:r>
              <w:rPr>
                <w:sz w:val="21"/>
              </w:rPr>
              <w:t>13.33</w:t>
            </w:r>
          </w:p>
        </w:tc>
      </w:tr>
      <w:tr>
        <w:trPr>
          <w:trHeight w:val="450" w:hRule="exact"/>
        </w:trPr>
        <w:tc>
          <w:tcPr>
            <w:tcW w:w="1783" w:type="dxa"/>
            <w:tcBorders>
              <w:bottom w:val="single" w:sz="3" w:space="0" w:color="000000"/>
            </w:tcBorders>
          </w:tcPr>
          <w:p>
            <w:pPr>
              <w:pStyle w:val="TableParagraph"/>
              <w:ind w:left="592" w:right="592"/>
              <w:jc w:val="center"/>
              <w:rPr>
                <w:sz w:val="21"/>
              </w:rPr>
            </w:pPr>
            <w:r>
              <w:rPr>
                <w:sz w:val="21"/>
              </w:rPr>
              <w:t>1998</w:t>
            </w:r>
          </w:p>
        </w:tc>
        <w:tc>
          <w:tcPr>
            <w:tcW w:w="1764" w:type="dxa"/>
            <w:tcBorders>
              <w:bottom w:val="single" w:sz="3" w:space="0" w:color="000000"/>
            </w:tcBorders>
          </w:tcPr>
          <w:p>
            <w:pPr>
              <w:pStyle w:val="TableParagraph"/>
              <w:ind w:left="178" w:right="178"/>
              <w:jc w:val="center"/>
              <w:rPr>
                <w:sz w:val="21"/>
              </w:rPr>
            </w:pPr>
            <w:r>
              <w:rPr>
                <w:sz w:val="21"/>
              </w:rPr>
              <w:t>5,627.00</w:t>
            </w:r>
          </w:p>
        </w:tc>
        <w:tc>
          <w:tcPr>
            <w:tcW w:w="1843" w:type="dxa"/>
            <w:tcBorders>
              <w:bottom w:val="single" w:sz="3" w:space="0" w:color="000000"/>
            </w:tcBorders>
          </w:tcPr>
          <w:p>
            <w:pPr>
              <w:pStyle w:val="TableParagraph"/>
              <w:ind w:left="292" w:right="292"/>
              <w:jc w:val="center"/>
              <w:rPr>
                <w:sz w:val="21"/>
              </w:rPr>
            </w:pPr>
            <w:r>
              <w:rPr>
                <w:sz w:val="21"/>
              </w:rPr>
              <w:t>15.66</w:t>
            </w:r>
          </w:p>
        </w:tc>
        <w:tc>
          <w:tcPr>
            <w:tcW w:w="1718" w:type="dxa"/>
            <w:tcBorders>
              <w:bottom w:val="single" w:sz="3" w:space="0" w:color="000000"/>
            </w:tcBorders>
          </w:tcPr>
          <w:p>
            <w:pPr>
              <w:pStyle w:val="TableParagraph"/>
              <w:ind w:left="425" w:right="421"/>
              <w:jc w:val="center"/>
              <w:rPr>
                <w:sz w:val="21"/>
              </w:rPr>
            </w:pPr>
            <w:r>
              <w:rPr>
                <w:sz w:val="21"/>
              </w:rPr>
              <w:t>468.92</w:t>
            </w:r>
          </w:p>
        </w:tc>
        <w:tc>
          <w:tcPr>
            <w:tcW w:w="1699" w:type="dxa"/>
            <w:tcBorders>
              <w:bottom w:val="single" w:sz="3" w:space="0" w:color="000000"/>
            </w:tcBorders>
          </w:tcPr>
          <w:p>
            <w:pPr>
              <w:pStyle w:val="TableParagraph"/>
              <w:ind w:left="134" w:right="134"/>
              <w:jc w:val="center"/>
              <w:rPr>
                <w:sz w:val="21"/>
              </w:rPr>
            </w:pPr>
            <w:r>
              <w:rPr>
                <w:sz w:val="21"/>
              </w:rPr>
              <w:t>15.42</w:t>
            </w:r>
          </w:p>
        </w:tc>
      </w:tr>
      <w:tr>
        <w:trPr>
          <w:trHeight w:val="450" w:hRule="exact"/>
        </w:trPr>
        <w:tc>
          <w:tcPr>
            <w:tcW w:w="1783" w:type="dxa"/>
            <w:tcBorders>
              <w:top w:val="single" w:sz="3" w:space="0" w:color="000000"/>
            </w:tcBorders>
          </w:tcPr>
          <w:p>
            <w:pPr>
              <w:pStyle w:val="TableParagraph"/>
              <w:ind w:left="592" w:right="592"/>
              <w:jc w:val="center"/>
              <w:rPr>
                <w:sz w:val="21"/>
              </w:rPr>
            </w:pPr>
            <w:r>
              <w:rPr>
                <w:sz w:val="21"/>
              </w:rPr>
              <w:t>1999</w:t>
            </w:r>
          </w:p>
        </w:tc>
        <w:tc>
          <w:tcPr>
            <w:tcW w:w="1764" w:type="dxa"/>
            <w:tcBorders>
              <w:top w:val="single" w:sz="3" w:space="0" w:color="000000"/>
            </w:tcBorders>
          </w:tcPr>
          <w:p>
            <w:pPr>
              <w:pStyle w:val="TableParagraph"/>
              <w:ind w:left="178" w:right="178"/>
              <w:jc w:val="center"/>
              <w:rPr>
                <w:sz w:val="21"/>
              </w:rPr>
            </w:pPr>
            <w:r>
              <w:rPr>
                <w:sz w:val="21"/>
              </w:rPr>
              <w:t>5,910.00</w:t>
            </w:r>
          </w:p>
        </w:tc>
        <w:tc>
          <w:tcPr>
            <w:tcW w:w="1843" w:type="dxa"/>
            <w:tcBorders>
              <w:top w:val="single" w:sz="3" w:space="0" w:color="000000"/>
            </w:tcBorders>
          </w:tcPr>
          <w:p>
            <w:pPr>
              <w:pStyle w:val="TableParagraph"/>
              <w:ind w:left="292" w:right="294"/>
              <w:jc w:val="center"/>
              <w:rPr>
                <w:sz w:val="21"/>
              </w:rPr>
            </w:pPr>
            <w:r>
              <w:rPr>
                <w:sz w:val="21"/>
              </w:rPr>
              <w:t>5.03</w:t>
            </w:r>
          </w:p>
        </w:tc>
        <w:tc>
          <w:tcPr>
            <w:tcW w:w="1718" w:type="dxa"/>
            <w:tcBorders>
              <w:top w:val="single" w:sz="3" w:space="0" w:color="000000"/>
            </w:tcBorders>
          </w:tcPr>
          <w:p>
            <w:pPr>
              <w:pStyle w:val="TableParagraph"/>
              <w:ind w:left="425" w:right="421"/>
              <w:jc w:val="center"/>
              <w:rPr>
                <w:sz w:val="21"/>
              </w:rPr>
            </w:pPr>
            <w:r>
              <w:rPr>
                <w:sz w:val="21"/>
              </w:rPr>
              <w:t>492.50</w:t>
            </w:r>
          </w:p>
        </w:tc>
        <w:tc>
          <w:tcPr>
            <w:tcW w:w="1699" w:type="dxa"/>
            <w:tcBorders>
              <w:top w:val="single" w:sz="3" w:space="0" w:color="000000"/>
            </w:tcBorders>
          </w:tcPr>
          <w:p>
            <w:pPr>
              <w:pStyle w:val="TableParagraph"/>
              <w:ind w:left="134" w:right="134"/>
              <w:jc w:val="center"/>
              <w:rPr>
                <w:sz w:val="21"/>
              </w:rPr>
            </w:pPr>
            <w:r>
              <w:rPr>
                <w:sz w:val="21"/>
              </w:rPr>
              <w:t>16.19</w:t>
            </w:r>
          </w:p>
        </w:tc>
      </w:tr>
      <w:tr>
        <w:trPr>
          <w:trHeight w:val="451" w:hRule="exact"/>
        </w:trPr>
        <w:tc>
          <w:tcPr>
            <w:tcW w:w="1783" w:type="dxa"/>
          </w:tcPr>
          <w:p>
            <w:pPr>
              <w:pStyle w:val="TableParagraph"/>
              <w:ind w:left="592" w:right="592"/>
              <w:jc w:val="center"/>
              <w:rPr>
                <w:sz w:val="21"/>
              </w:rPr>
            </w:pPr>
            <w:r>
              <w:rPr>
                <w:sz w:val="21"/>
              </w:rPr>
              <w:t>2000</w:t>
            </w:r>
          </w:p>
        </w:tc>
        <w:tc>
          <w:tcPr>
            <w:tcW w:w="1764" w:type="dxa"/>
          </w:tcPr>
          <w:p>
            <w:pPr>
              <w:pStyle w:val="TableParagraph"/>
              <w:ind w:left="178" w:right="178"/>
              <w:jc w:val="center"/>
              <w:rPr>
                <w:sz w:val="21"/>
              </w:rPr>
            </w:pPr>
            <w:r>
              <w:rPr>
                <w:sz w:val="21"/>
              </w:rPr>
              <w:t>6,572.80</w:t>
            </w:r>
          </w:p>
        </w:tc>
        <w:tc>
          <w:tcPr>
            <w:tcW w:w="1843" w:type="dxa"/>
          </w:tcPr>
          <w:p>
            <w:pPr>
              <w:pStyle w:val="TableParagraph"/>
              <w:ind w:left="292" w:right="292"/>
              <w:jc w:val="center"/>
              <w:rPr>
                <w:sz w:val="21"/>
              </w:rPr>
            </w:pPr>
            <w:r>
              <w:rPr>
                <w:sz w:val="21"/>
              </w:rPr>
              <w:t>11.21</w:t>
            </w:r>
          </w:p>
        </w:tc>
        <w:tc>
          <w:tcPr>
            <w:tcW w:w="1718" w:type="dxa"/>
          </w:tcPr>
          <w:p>
            <w:pPr>
              <w:pStyle w:val="TableParagraph"/>
              <w:ind w:left="425" w:right="421"/>
              <w:jc w:val="center"/>
              <w:rPr>
                <w:sz w:val="21"/>
              </w:rPr>
            </w:pPr>
            <w:r>
              <w:rPr>
                <w:sz w:val="21"/>
              </w:rPr>
              <w:t>547.73</w:t>
            </w:r>
          </w:p>
        </w:tc>
        <w:tc>
          <w:tcPr>
            <w:tcW w:w="1699" w:type="dxa"/>
          </w:tcPr>
          <w:p>
            <w:pPr>
              <w:pStyle w:val="TableParagraph"/>
              <w:ind w:left="134" w:right="134"/>
              <w:jc w:val="center"/>
              <w:rPr>
                <w:sz w:val="21"/>
              </w:rPr>
            </w:pPr>
            <w:r>
              <w:rPr>
                <w:sz w:val="21"/>
              </w:rPr>
              <w:t>18.01</w:t>
            </w:r>
          </w:p>
        </w:tc>
      </w:tr>
      <w:tr>
        <w:trPr>
          <w:trHeight w:val="451" w:hRule="exact"/>
        </w:trPr>
        <w:tc>
          <w:tcPr>
            <w:tcW w:w="1783" w:type="dxa"/>
          </w:tcPr>
          <w:p>
            <w:pPr>
              <w:pStyle w:val="TableParagraph"/>
              <w:ind w:left="592" w:right="592"/>
              <w:jc w:val="center"/>
              <w:rPr>
                <w:sz w:val="21"/>
              </w:rPr>
            </w:pPr>
            <w:r>
              <w:rPr>
                <w:sz w:val="21"/>
              </w:rPr>
              <w:t>2001</w:t>
            </w:r>
          </w:p>
        </w:tc>
        <w:tc>
          <w:tcPr>
            <w:tcW w:w="1764" w:type="dxa"/>
          </w:tcPr>
          <w:p>
            <w:pPr>
              <w:pStyle w:val="TableParagraph"/>
              <w:ind w:left="178" w:right="178"/>
              <w:jc w:val="center"/>
              <w:rPr>
                <w:sz w:val="21"/>
              </w:rPr>
            </w:pPr>
            <w:r>
              <w:rPr>
                <w:sz w:val="21"/>
              </w:rPr>
              <w:t>8,895.30</w:t>
            </w:r>
          </w:p>
        </w:tc>
        <w:tc>
          <w:tcPr>
            <w:tcW w:w="1843" w:type="dxa"/>
          </w:tcPr>
          <w:p>
            <w:pPr>
              <w:pStyle w:val="TableParagraph"/>
              <w:ind w:left="292" w:right="292"/>
              <w:jc w:val="center"/>
              <w:rPr>
                <w:sz w:val="21"/>
              </w:rPr>
            </w:pPr>
            <w:r>
              <w:rPr>
                <w:sz w:val="21"/>
              </w:rPr>
              <w:t>35.34</w:t>
            </w:r>
          </w:p>
        </w:tc>
        <w:tc>
          <w:tcPr>
            <w:tcW w:w="1718" w:type="dxa"/>
          </w:tcPr>
          <w:p>
            <w:pPr>
              <w:pStyle w:val="TableParagraph"/>
              <w:ind w:left="425" w:right="421"/>
              <w:jc w:val="center"/>
              <w:rPr>
                <w:sz w:val="21"/>
              </w:rPr>
            </w:pPr>
            <w:r>
              <w:rPr>
                <w:sz w:val="21"/>
              </w:rPr>
              <w:t>741.28</w:t>
            </w:r>
          </w:p>
        </w:tc>
        <w:tc>
          <w:tcPr>
            <w:tcW w:w="1699" w:type="dxa"/>
          </w:tcPr>
          <w:p>
            <w:pPr>
              <w:pStyle w:val="TableParagraph"/>
              <w:ind w:left="134" w:right="134"/>
              <w:jc w:val="center"/>
              <w:rPr>
                <w:sz w:val="21"/>
              </w:rPr>
            </w:pPr>
            <w:r>
              <w:rPr>
                <w:sz w:val="21"/>
              </w:rPr>
              <w:t>24.37</w:t>
            </w:r>
          </w:p>
        </w:tc>
      </w:tr>
      <w:tr>
        <w:trPr>
          <w:trHeight w:val="451" w:hRule="exact"/>
        </w:trPr>
        <w:tc>
          <w:tcPr>
            <w:tcW w:w="1783" w:type="dxa"/>
          </w:tcPr>
          <w:p>
            <w:pPr>
              <w:pStyle w:val="TableParagraph"/>
              <w:ind w:left="592" w:right="592"/>
              <w:jc w:val="center"/>
              <w:rPr>
                <w:sz w:val="21"/>
              </w:rPr>
            </w:pPr>
            <w:r>
              <w:rPr>
                <w:sz w:val="21"/>
              </w:rPr>
              <w:t>2002</w:t>
            </w:r>
          </w:p>
        </w:tc>
        <w:tc>
          <w:tcPr>
            <w:tcW w:w="1764" w:type="dxa"/>
          </w:tcPr>
          <w:p>
            <w:pPr>
              <w:pStyle w:val="TableParagraph"/>
              <w:ind w:left="178" w:right="178"/>
              <w:jc w:val="center"/>
              <w:rPr>
                <w:sz w:val="21"/>
              </w:rPr>
            </w:pPr>
            <w:r>
              <w:rPr>
                <w:sz w:val="21"/>
              </w:rPr>
              <w:t>9,814.72</w:t>
            </w:r>
          </w:p>
        </w:tc>
        <w:tc>
          <w:tcPr>
            <w:tcW w:w="1843" w:type="dxa"/>
          </w:tcPr>
          <w:p>
            <w:pPr>
              <w:pStyle w:val="TableParagraph"/>
              <w:ind w:left="292" w:right="292"/>
              <w:jc w:val="center"/>
              <w:rPr>
                <w:sz w:val="21"/>
              </w:rPr>
            </w:pPr>
            <w:r>
              <w:rPr>
                <w:sz w:val="21"/>
              </w:rPr>
              <w:t>10.34</w:t>
            </w:r>
          </w:p>
        </w:tc>
        <w:tc>
          <w:tcPr>
            <w:tcW w:w="1718" w:type="dxa"/>
          </w:tcPr>
          <w:p>
            <w:pPr>
              <w:pStyle w:val="TableParagraph"/>
              <w:ind w:left="425" w:right="421"/>
              <w:jc w:val="center"/>
              <w:rPr>
                <w:sz w:val="21"/>
              </w:rPr>
            </w:pPr>
            <w:r>
              <w:rPr>
                <w:sz w:val="21"/>
              </w:rPr>
              <w:t>817.89</w:t>
            </w:r>
          </w:p>
        </w:tc>
        <w:tc>
          <w:tcPr>
            <w:tcW w:w="1699" w:type="dxa"/>
          </w:tcPr>
          <w:p>
            <w:pPr>
              <w:pStyle w:val="TableParagraph"/>
              <w:ind w:left="134" w:right="134"/>
              <w:jc w:val="center"/>
              <w:rPr>
                <w:sz w:val="21"/>
              </w:rPr>
            </w:pPr>
            <w:r>
              <w:rPr>
                <w:sz w:val="21"/>
              </w:rPr>
              <w:t>26.89</w:t>
            </w:r>
          </w:p>
        </w:tc>
      </w:tr>
      <w:tr>
        <w:trPr>
          <w:trHeight w:val="451" w:hRule="exact"/>
        </w:trPr>
        <w:tc>
          <w:tcPr>
            <w:tcW w:w="1783" w:type="dxa"/>
          </w:tcPr>
          <w:p>
            <w:pPr>
              <w:pStyle w:val="TableParagraph"/>
              <w:ind w:left="592" w:right="592"/>
              <w:jc w:val="center"/>
              <w:rPr>
                <w:sz w:val="21"/>
              </w:rPr>
            </w:pPr>
            <w:r>
              <w:rPr>
                <w:sz w:val="21"/>
              </w:rPr>
              <w:t>2003</w:t>
            </w:r>
          </w:p>
        </w:tc>
        <w:tc>
          <w:tcPr>
            <w:tcW w:w="1764" w:type="dxa"/>
          </w:tcPr>
          <w:p>
            <w:pPr>
              <w:pStyle w:val="TableParagraph"/>
              <w:ind w:left="178" w:right="178"/>
              <w:jc w:val="center"/>
              <w:rPr>
                <w:sz w:val="21"/>
              </w:rPr>
            </w:pPr>
            <w:r>
              <w:rPr>
                <w:sz w:val="21"/>
              </w:rPr>
              <w:t>13,265.56</w:t>
            </w:r>
          </w:p>
        </w:tc>
        <w:tc>
          <w:tcPr>
            <w:tcW w:w="1843" w:type="dxa"/>
          </w:tcPr>
          <w:p>
            <w:pPr>
              <w:pStyle w:val="TableParagraph"/>
              <w:ind w:left="292" w:right="292"/>
              <w:jc w:val="center"/>
              <w:rPr>
                <w:sz w:val="21"/>
              </w:rPr>
            </w:pPr>
            <w:r>
              <w:rPr>
                <w:sz w:val="21"/>
              </w:rPr>
              <w:t>35.16</w:t>
            </w:r>
          </w:p>
        </w:tc>
        <w:tc>
          <w:tcPr>
            <w:tcW w:w="1718" w:type="dxa"/>
          </w:tcPr>
          <w:p>
            <w:pPr>
              <w:pStyle w:val="TableParagraph"/>
              <w:ind w:left="425" w:right="425"/>
              <w:jc w:val="center"/>
              <w:rPr>
                <w:sz w:val="21"/>
              </w:rPr>
            </w:pPr>
            <w:r>
              <w:rPr>
                <w:sz w:val="21"/>
              </w:rPr>
              <w:t>1,105.43</w:t>
            </w:r>
          </w:p>
        </w:tc>
        <w:tc>
          <w:tcPr>
            <w:tcW w:w="1699" w:type="dxa"/>
          </w:tcPr>
          <w:p>
            <w:pPr>
              <w:pStyle w:val="TableParagraph"/>
              <w:ind w:left="134" w:right="134"/>
              <w:jc w:val="center"/>
              <w:rPr>
                <w:sz w:val="21"/>
              </w:rPr>
            </w:pPr>
            <w:r>
              <w:rPr>
                <w:sz w:val="21"/>
              </w:rPr>
              <w:t>36.34</w:t>
            </w:r>
          </w:p>
        </w:tc>
      </w:tr>
      <w:tr>
        <w:trPr>
          <w:trHeight w:val="451" w:hRule="exact"/>
        </w:trPr>
        <w:tc>
          <w:tcPr>
            <w:tcW w:w="1783" w:type="dxa"/>
          </w:tcPr>
          <w:p>
            <w:pPr>
              <w:pStyle w:val="TableParagraph"/>
              <w:ind w:left="592" w:right="592"/>
              <w:jc w:val="center"/>
              <w:rPr>
                <w:sz w:val="21"/>
              </w:rPr>
            </w:pPr>
            <w:r>
              <w:rPr>
                <w:sz w:val="21"/>
              </w:rPr>
              <w:t>2004</w:t>
            </w:r>
          </w:p>
        </w:tc>
        <w:tc>
          <w:tcPr>
            <w:tcW w:w="1764" w:type="dxa"/>
          </w:tcPr>
          <w:p>
            <w:pPr>
              <w:pStyle w:val="TableParagraph"/>
              <w:ind w:left="178" w:right="178"/>
              <w:jc w:val="center"/>
              <w:rPr>
                <w:sz w:val="21"/>
              </w:rPr>
            </w:pPr>
            <w:r>
              <w:rPr>
                <w:sz w:val="21"/>
              </w:rPr>
              <w:t>16,610.00</w:t>
            </w:r>
          </w:p>
        </w:tc>
        <w:tc>
          <w:tcPr>
            <w:tcW w:w="1843" w:type="dxa"/>
          </w:tcPr>
          <w:p>
            <w:pPr>
              <w:pStyle w:val="TableParagraph"/>
              <w:ind w:left="292" w:right="292"/>
              <w:jc w:val="center"/>
              <w:rPr>
                <w:sz w:val="21"/>
              </w:rPr>
            </w:pPr>
            <w:r>
              <w:rPr>
                <w:sz w:val="21"/>
              </w:rPr>
              <w:t>25.21</w:t>
            </w:r>
          </w:p>
        </w:tc>
        <w:tc>
          <w:tcPr>
            <w:tcW w:w="1718" w:type="dxa"/>
          </w:tcPr>
          <w:p>
            <w:pPr>
              <w:pStyle w:val="TableParagraph"/>
              <w:ind w:left="425" w:right="425"/>
              <w:jc w:val="center"/>
              <w:rPr>
                <w:sz w:val="21"/>
              </w:rPr>
            </w:pPr>
            <w:r>
              <w:rPr>
                <w:sz w:val="21"/>
              </w:rPr>
              <w:t>1,384.16</w:t>
            </w:r>
          </w:p>
        </w:tc>
        <w:tc>
          <w:tcPr>
            <w:tcW w:w="1699" w:type="dxa"/>
          </w:tcPr>
          <w:p>
            <w:pPr>
              <w:pStyle w:val="TableParagraph"/>
              <w:ind w:left="134" w:right="134"/>
              <w:jc w:val="center"/>
              <w:rPr>
                <w:sz w:val="21"/>
              </w:rPr>
            </w:pPr>
            <w:r>
              <w:rPr>
                <w:sz w:val="21"/>
              </w:rPr>
              <w:t>45.50</w:t>
            </w:r>
          </w:p>
        </w:tc>
      </w:tr>
      <w:tr>
        <w:trPr>
          <w:trHeight w:val="450" w:hRule="exact"/>
        </w:trPr>
        <w:tc>
          <w:tcPr>
            <w:tcW w:w="1783" w:type="dxa"/>
            <w:tcBorders>
              <w:bottom w:val="single" w:sz="3" w:space="0" w:color="000000"/>
            </w:tcBorders>
          </w:tcPr>
          <w:p>
            <w:pPr>
              <w:pStyle w:val="TableParagraph"/>
              <w:spacing w:before="0"/>
              <w:ind w:left="592" w:right="592"/>
              <w:jc w:val="center"/>
              <w:rPr>
                <w:sz w:val="21"/>
              </w:rPr>
            </w:pPr>
            <w:r>
              <w:rPr>
                <w:sz w:val="21"/>
              </w:rPr>
              <w:t>2005</w:t>
            </w:r>
          </w:p>
        </w:tc>
        <w:tc>
          <w:tcPr>
            <w:tcW w:w="1764" w:type="dxa"/>
            <w:tcBorders>
              <w:bottom w:val="single" w:sz="3" w:space="0" w:color="000000"/>
            </w:tcBorders>
          </w:tcPr>
          <w:p>
            <w:pPr>
              <w:pStyle w:val="TableParagraph"/>
              <w:spacing w:before="0"/>
              <w:ind w:left="178" w:right="178"/>
              <w:jc w:val="center"/>
              <w:rPr>
                <w:sz w:val="21"/>
              </w:rPr>
            </w:pPr>
            <w:r>
              <w:rPr>
                <w:sz w:val="21"/>
              </w:rPr>
              <w:t>20,034.80</w:t>
            </w:r>
          </w:p>
        </w:tc>
        <w:tc>
          <w:tcPr>
            <w:tcW w:w="1843" w:type="dxa"/>
            <w:tcBorders>
              <w:bottom w:val="single" w:sz="3" w:space="0" w:color="000000"/>
            </w:tcBorders>
          </w:tcPr>
          <w:p>
            <w:pPr>
              <w:pStyle w:val="TableParagraph"/>
              <w:spacing w:before="0"/>
              <w:ind w:left="292" w:right="292"/>
              <w:jc w:val="center"/>
              <w:rPr>
                <w:sz w:val="21"/>
              </w:rPr>
            </w:pPr>
            <w:r>
              <w:rPr>
                <w:sz w:val="21"/>
              </w:rPr>
              <w:t>20.61</w:t>
            </w:r>
          </w:p>
        </w:tc>
        <w:tc>
          <w:tcPr>
            <w:tcW w:w="1718" w:type="dxa"/>
            <w:tcBorders>
              <w:bottom w:val="single" w:sz="3" w:space="0" w:color="000000"/>
            </w:tcBorders>
          </w:tcPr>
          <w:p>
            <w:pPr>
              <w:pStyle w:val="TableParagraph"/>
              <w:spacing w:before="0"/>
              <w:ind w:left="425" w:right="425"/>
              <w:jc w:val="center"/>
              <w:rPr>
                <w:sz w:val="21"/>
              </w:rPr>
            </w:pPr>
            <w:r>
              <w:rPr>
                <w:sz w:val="21"/>
              </w:rPr>
              <w:t>1,669.56</w:t>
            </w:r>
          </w:p>
        </w:tc>
        <w:tc>
          <w:tcPr>
            <w:tcW w:w="1699" w:type="dxa"/>
            <w:tcBorders>
              <w:bottom w:val="single" w:sz="3" w:space="0" w:color="000000"/>
            </w:tcBorders>
          </w:tcPr>
          <w:p>
            <w:pPr>
              <w:pStyle w:val="TableParagraph"/>
              <w:spacing w:before="0"/>
              <w:ind w:left="134" w:right="134"/>
              <w:jc w:val="center"/>
              <w:rPr>
                <w:sz w:val="21"/>
              </w:rPr>
            </w:pPr>
            <w:r>
              <w:rPr>
                <w:sz w:val="21"/>
              </w:rPr>
              <w:t>54.88</w:t>
            </w:r>
          </w:p>
        </w:tc>
      </w:tr>
      <w:tr>
        <w:trPr>
          <w:trHeight w:val="450" w:hRule="exact"/>
        </w:trPr>
        <w:tc>
          <w:tcPr>
            <w:tcW w:w="1783" w:type="dxa"/>
            <w:tcBorders>
              <w:top w:val="single" w:sz="3" w:space="0" w:color="000000"/>
            </w:tcBorders>
          </w:tcPr>
          <w:p>
            <w:pPr>
              <w:pStyle w:val="TableParagraph"/>
              <w:ind w:left="592" w:right="592"/>
              <w:jc w:val="center"/>
              <w:rPr>
                <w:sz w:val="21"/>
              </w:rPr>
            </w:pPr>
            <w:r>
              <w:rPr>
                <w:sz w:val="21"/>
              </w:rPr>
              <w:t>2006</w:t>
            </w:r>
          </w:p>
        </w:tc>
        <w:tc>
          <w:tcPr>
            <w:tcW w:w="1764" w:type="dxa"/>
            <w:tcBorders>
              <w:top w:val="single" w:sz="3" w:space="0" w:color="000000"/>
            </w:tcBorders>
          </w:tcPr>
          <w:p>
            <w:pPr>
              <w:pStyle w:val="TableParagraph"/>
              <w:ind w:left="178" w:right="178"/>
              <w:jc w:val="center"/>
              <w:rPr>
                <w:sz w:val="21"/>
              </w:rPr>
            </w:pPr>
            <w:r>
              <w:rPr>
                <w:sz w:val="21"/>
              </w:rPr>
              <w:t>23,054.00</w:t>
            </w:r>
          </w:p>
        </w:tc>
        <w:tc>
          <w:tcPr>
            <w:tcW w:w="1843" w:type="dxa"/>
            <w:tcBorders>
              <w:top w:val="single" w:sz="3" w:space="0" w:color="000000"/>
            </w:tcBorders>
          </w:tcPr>
          <w:p>
            <w:pPr>
              <w:pStyle w:val="TableParagraph"/>
              <w:ind w:left="292" w:right="292"/>
              <w:jc w:val="center"/>
              <w:rPr>
                <w:sz w:val="21"/>
              </w:rPr>
            </w:pPr>
            <w:r>
              <w:rPr>
                <w:sz w:val="21"/>
              </w:rPr>
              <w:t>15.06</w:t>
            </w:r>
          </w:p>
        </w:tc>
        <w:tc>
          <w:tcPr>
            <w:tcW w:w="1718" w:type="dxa"/>
            <w:tcBorders>
              <w:top w:val="single" w:sz="3" w:space="0" w:color="000000"/>
            </w:tcBorders>
          </w:tcPr>
          <w:p>
            <w:pPr>
              <w:pStyle w:val="TableParagraph"/>
              <w:ind w:left="425" w:right="425"/>
              <w:jc w:val="center"/>
              <w:rPr>
                <w:sz w:val="21"/>
              </w:rPr>
            </w:pPr>
            <w:r>
              <w:rPr>
                <w:sz w:val="21"/>
              </w:rPr>
              <w:t>1,921.16</w:t>
            </w:r>
          </w:p>
        </w:tc>
        <w:tc>
          <w:tcPr>
            <w:tcW w:w="1699" w:type="dxa"/>
            <w:tcBorders>
              <w:top w:val="single" w:sz="3" w:space="0" w:color="000000"/>
            </w:tcBorders>
          </w:tcPr>
          <w:p>
            <w:pPr>
              <w:pStyle w:val="TableParagraph"/>
              <w:ind w:left="134" w:right="134"/>
              <w:jc w:val="center"/>
              <w:rPr>
                <w:sz w:val="21"/>
              </w:rPr>
            </w:pPr>
            <w:r>
              <w:rPr>
                <w:sz w:val="21"/>
              </w:rPr>
              <w:t>63.16</w:t>
            </w:r>
          </w:p>
        </w:tc>
      </w:tr>
      <w:tr>
        <w:trPr>
          <w:trHeight w:val="449" w:hRule="exact"/>
        </w:trPr>
        <w:tc>
          <w:tcPr>
            <w:tcW w:w="1783" w:type="dxa"/>
          </w:tcPr>
          <w:p>
            <w:pPr>
              <w:pStyle w:val="TableParagraph"/>
              <w:ind w:left="592" w:right="592"/>
              <w:jc w:val="center"/>
              <w:rPr>
                <w:sz w:val="21"/>
              </w:rPr>
            </w:pPr>
            <w:r>
              <w:rPr>
                <w:sz w:val="21"/>
              </w:rPr>
              <w:t>2007</w:t>
            </w:r>
          </w:p>
        </w:tc>
        <w:tc>
          <w:tcPr>
            <w:tcW w:w="1764" w:type="dxa"/>
          </w:tcPr>
          <w:p>
            <w:pPr>
              <w:pStyle w:val="TableParagraph"/>
              <w:ind w:left="178" w:right="178"/>
              <w:jc w:val="center"/>
              <w:rPr>
                <w:sz w:val="21"/>
              </w:rPr>
            </w:pPr>
            <w:r>
              <w:rPr>
                <w:sz w:val="21"/>
              </w:rPr>
              <w:t>23,979.00</w:t>
            </w:r>
          </w:p>
        </w:tc>
        <w:tc>
          <w:tcPr>
            <w:tcW w:w="1843" w:type="dxa"/>
          </w:tcPr>
          <w:p>
            <w:pPr>
              <w:pStyle w:val="TableParagraph"/>
              <w:ind w:left="292" w:right="292"/>
              <w:jc w:val="center"/>
              <w:rPr>
                <w:sz w:val="21"/>
              </w:rPr>
            </w:pPr>
            <w:r>
              <w:rPr>
                <w:sz w:val="21"/>
              </w:rPr>
              <w:t>04.01</w:t>
            </w:r>
          </w:p>
        </w:tc>
        <w:tc>
          <w:tcPr>
            <w:tcW w:w="1718" w:type="dxa"/>
          </w:tcPr>
          <w:p>
            <w:pPr>
              <w:pStyle w:val="TableParagraph"/>
              <w:ind w:left="425" w:right="425"/>
              <w:jc w:val="center"/>
              <w:rPr>
                <w:sz w:val="21"/>
              </w:rPr>
            </w:pPr>
            <w:r>
              <w:rPr>
                <w:sz w:val="21"/>
              </w:rPr>
              <w:t>1,998.25</w:t>
            </w:r>
          </w:p>
        </w:tc>
        <w:tc>
          <w:tcPr>
            <w:tcW w:w="1699" w:type="dxa"/>
          </w:tcPr>
          <w:p>
            <w:pPr>
              <w:pStyle w:val="TableParagraph"/>
              <w:ind w:left="134" w:right="134"/>
              <w:jc w:val="center"/>
              <w:rPr>
                <w:sz w:val="21"/>
              </w:rPr>
            </w:pPr>
            <w:r>
              <w:rPr>
                <w:sz w:val="21"/>
              </w:rPr>
              <w:t>65.69</w:t>
            </w:r>
          </w:p>
        </w:tc>
      </w:tr>
      <w:tr>
        <w:trPr>
          <w:trHeight w:val="451" w:hRule="exact"/>
        </w:trPr>
        <w:tc>
          <w:tcPr>
            <w:tcW w:w="1783" w:type="dxa"/>
          </w:tcPr>
          <w:p>
            <w:pPr>
              <w:pStyle w:val="TableParagraph"/>
              <w:spacing w:before="4"/>
              <w:ind w:left="592" w:right="592"/>
              <w:jc w:val="center"/>
              <w:rPr>
                <w:sz w:val="21"/>
              </w:rPr>
            </w:pPr>
            <w:r>
              <w:rPr>
                <w:sz w:val="21"/>
              </w:rPr>
              <w:t>2008</w:t>
            </w:r>
          </w:p>
        </w:tc>
        <w:tc>
          <w:tcPr>
            <w:tcW w:w="1764" w:type="dxa"/>
          </w:tcPr>
          <w:p>
            <w:pPr>
              <w:pStyle w:val="TableParagraph"/>
              <w:spacing w:before="4"/>
              <w:ind w:left="178" w:right="178"/>
              <w:jc w:val="center"/>
              <w:rPr>
                <w:sz w:val="21"/>
              </w:rPr>
            </w:pPr>
            <w:r>
              <w:rPr>
                <w:sz w:val="21"/>
              </w:rPr>
              <w:t>25,145.1</w:t>
            </w:r>
          </w:p>
        </w:tc>
        <w:tc>
          <w:tcPr>
            <w:tcW w:w="1843" w:type="dxa"/>
          </w:tcPr>
          <w:p>
            <w:pPr>
              <w:pStyle w:val="TableParagraph"/>
              <w:spacing w:before="4"/>
              <w:ind w:left="292" w:right="292"/>
              <w:jc w:val="center"/>
              <w:rPr>
                <w:sz w:val="21"/>
              </w:rPr>
            </w:pPr>
            <w:r>
              <w:rPr>
                <w:sz w:val="21"/>
              </w:rPr>
              <w:t>04.86</w:t>
            </w:r>
          </w:p>
        </w:tc>
        <w:tc>
          <w:tcPr>
            <w:tcW w:w="1718" w:type="dxa"/>
          </w:tcPr>
          <w:p>
            <w:pPr>
              <w:pStyle w:val="TableParagraph"/>
              <w:spacing w:before="4"/>
              <w:ind w:left="425" w:right="425"/>
              <w:jc w:val="center"/>
              <w:rPr>
                <w:sz w:val="21"/>
              </w:rPr>
            </w:pPr>
            <w:r>
              <w:rPr>
                <w:sz w:val="21"/>
              </w:rPr>
              <w:t>2,095.42</w:t>
            </w:r>
          </w:p>
        </w:tc>
        <w:tc>
          <w:tcPr>
            <w:tcW w:w="1699" w:type="dxa"/>
          </w:tcPr>
          <w:p>
            <w:pPr>
              <w:pStyle w:val="TableParagraph"/>
              <w:spacing w:before="4"/>
              <w:ind w:left="134" w:right="134"/>
              <w:jc w:val="center"/>
              <w:rPr>
                <w:sz w:val="21"/>
              </w:rPr>
            </w:pPr>
            <w:r>
              <w:rPr>
                <w:sz w:val="21"/>
              </w:rPr>
              <w:t>68.89</w:t>
            </w:r>
          </w:p>
        </w:tc>
      </w:tr>
      <w:tr>
        <w:trPr>
          <w:trHeight w:val="451" w:hRule="exact"/>
        </w:trPr>
        <w:tc>
          <w:tcPr>
            <w:tcW w:w="1783" w:type="dxa"/>
          </w:tcPr>
          <w:p>
            <w:pPr>
              <w:pStyle w:val="TableParagraph"/>
              <w:spacing w:before="4"/>
              <w:ind w:left="592" w:right="592"/>
              <w:jc w:val="center"/>
              <w:rPr>
                <w:sz w:val="21"/>
              </w:rPr>
            </w:pPr>
            <w:r>
              <w:rPr>
                <w:sz w:val="21"/>
              </w:rPr>
              <w:t>2009*</w:t>
            </w:r>
          </w:p>
        </w:tc>
        <w:tc>
          <w:tcPr>
            <w:tcW w:w="1764" w:type="dxa"/>
          </w:tcPr>
          <w:p>
            <w:pPr>
              <w:pStyle w:val="TableParagraph"/>
              <w:spacing w:before="4"/>
              <w:ind w:left="178" w:right="178"/>
              <w:jc w:val="center"/>
              <w:rPr>
                <w:sz w:val="21"/>
              </w:rPr>
            </w:pPr>
            <w:r>
              <w:rPr>
                <w:sz w:val="21"/>
              </w:rPr>
              <w:t>11,353.4</w:t>
            </w:r>
          </w:p>
        </w:tc>
        <w:tc>
          <w:tcPr>
            <w:tcW w:w="1843" w:type="dxa"/>
          </w:tcPr>
          <w:p>
            <w:pPr>
              <w:pStyle w:val="TableParagraph"/>
              <w:spacing w:before="4"/>
              <w:ind w:left="292" w:right="292"/>
              <w:jc w:val="center"/>
              <w:rPr>
                <w:sz w:val="21"/>
              </w:rPr>
            </w:pPr>
            <w:r>
              <w:rPr>
                <w:sz w:val="21"/>
              </w:rPr>
              <w:t>n/a</w:t>
            </w:r>
          </w:p>
        </w:tc>
        <w:tc>
          <w:tcPr>
            <w:tcW w:w="1718" w:type="dxa"/>
          </w:tcPr>
          <w:p>
            <w:pPr>
              <w:pStyle w:val="TableParagraph"/>
              <w:spacing w:before="4"/>
              <w:ind w:left="425" w:right="423"/>
              <w:jc w:val="center"/>
              <w:rPr>
                <w:sz w:val="21"/>
              </w:rPr>
            </w:pPr>
            <w:r>
              <w:rPr>
                <w:sz w:val="21"/>
              </w:rPr>
              <w:t>n/a</w:t>
            </w:r>
          </w:p>
        </w:tc>
        <w:tc>
          <w:tcPr>
            <w:tcW w:w="1699" w:type="dxa"/>
          </w:tcPr>
          <w:p>
            <w:pPr>
              <w:pStyle w:val="TableParagraph"/>
              <w:spacing w:before="4"/>
              <w:ind w:left="134" w:right="134"/>
              <w:jc w:val="center"/>
              <w:rPr>
                <w:sz w:val="21"/>
              </w:rPr>
            </w:pPr>
            <w:r>
              <w:rPr>
                <w:sz w:val="21"/>
              </w:rPr>
              <w:t>n/a</w:t>
            </w:r>
          </w:p>
        </w:tc>
      </w:tr>
    </w:tbl>
    <w:p>
      <w:pPr>
        <w:spacing w:line="280" w:lineRule="auto" w:before="2"/>
        <w:ind w:left="221" w:right="103" w:firstLine="0"/>
        <w:jc w:val="both"/>
        <w:rPr>
          <w:sz w:val="21"/>
        </w:rPr>
      </w:pPr>
      <w:r>
        <w:rPr>
          <w:sz w:val="21"/>
        </w:rPr>
        <w:t>Fuente: Para los años 1990-2003, tomado de la División de Economía y Comercio del Servicio  de Investigación y Análisis de la Cámara de Diputados. En: </w:t>
      </w:r>
      <w:hyperlink r:id="rId305">
        <w:r>
          <w:rPr>
            <w:sz w:val="21"/>
          </w:rPr>
          <w:t>http://banxico.gob.mx/sie/cuadros/CE100.asp</w:t>
        </w:r>
      </w:hyperlink>
      <w:r>
        <w:rPr>
          <w:sz w:val="21"/>
        </w:rPr>
        <w:t> 1/ Enero-abril del 2004. Para 2004-2009, elaboración propia completando la serie con datos de los anexos estadísticos de los informes    de gobierno. 2009. *Datos al mes de </w:t>
      </w:r>
      <w:r>
        <w:rPr>
          <w:spacing w:val="6"/>
          <w:sz w:val="21"/>
        </w:rPr>
        <w:t> </w:t>
      </w:r>
      <w:r>
        <w:rPr>
          <w:sz w:val="21"/>
        </w:rPr>
        <w:t>junio.</w:t>
      </w:r>
    </w:p>
    <w:p>
      <w:pPr>
        <w:spacing w:after="0" w:line="280" w:lineRule="auto"/>
        <w:jc w:val="both"/>
        <w:rPr>
          <w:sz w:val="21"/>
        </w:rPr>
        <w:sectPr>
          <w:pgSz w:w="11900" w:h="16840"/>
          <w:pgMar w:header="0" w:footer="1679" w:top="1600" w:bottom="1860" w:left="118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En el Cuadro 3, se aprecia una desaceleración en la tasa de crecimiento de  las  remesas desde el año 2003, calculada como porcentaje respecto del año previo, pero   es notorio que en términos absolutos éstas siguen en ascenso y su importancia económica sigue vigente. Ciertamente, el flujo de más de 68 millones de dólares diarios hacia México no es cosa de poca</w:t>
      </w:r>
      <w:r>
        <w:rPr>
          <w:spacing w:val="50"/>
        </w:rPr>
        <w:t> </w:t>
      </w:r>
      <w:r>
        <w:rPr/>
        <w:t>importancia.</w:t>
      </w:r>
    </w:p>
    <w:p>
      <w:pPr>
        <w:pStyle w:val="BodyText"/>
        <w:rPr>
          <w:sz w:val="22"/>
        </w:rPr>
      </w:pPr>
    </w:p>
    <w:p>
      <w:pPr>
        <w:pStyle w:val="BodyText"/>
        <w:rPr>
          <w:sz w:val="22"/>
        </w:rPr>
      </w:pPr>
    </w:p>
    <w:p>
      <w:pPr>
        <w:pStyle w:val="BodyText"/>
        <w:spacing w:before="7"/>
        <w:rPr>
          <w:sz w:val="26"/>
        </w:rPr>
      </w:pPr>
    </w:p>
    <w:p>
      <w:pPr>
        <w:pStyle w:val="Heading3"/>
        <w:numPr>
          <w:ilvl w:val="1"/>
          <w:numId w:val="20"/>
        </w:numPr>
        <w:tabs>
          <w:tab w:pos="635" w:val="left" w:leader="none"/>
        </w:tabs>
        <w:spacing w:line="240" w:lineRule="auto" w:before="0" w:after="0"/>
        <w:ind w:left="634" w:right="0" w:hanging="533"/>
        <w:jc w:val="both"/>
      </w:pPr>
      <w:r>
        <w:rPr/>
        <w:t>El Impacto microeconómico de las</w:t>
      </w:r>
      <w:r>
        <w:rPr>
          <w:spacing w:val="37"/>
        </w:rPr>
        <w:t> </w:t>
      </w:r>
      <w:r>
        <w:rPr/>
        <w:t>remesas</w:t>
      </w:r>
    </w:p>
    <w:p>
      <w:pPr>
        <w:pStyle w:val="BodyText"/>
        <w:spacing w:before="2"/>
        <w:rPr>
          <w:b/>
          <w:sz w:val="38"/>
        </w:rPr>
      </w:pPr>
    </w:p>
    <w:p>
      <w:pPr>
        <w:pStyle w:val="BodyText"/>
        <w:spacing w:line="364" w:lineRule="auto" w:before="1"/>
        <w:ind w:left="101" w:right="105"/>
        <w:jc w:val="both"/>
      </w:pPr>
      <w:r>
        <w:rPr/>
        <w:t>La importancia económica más significativa de la emigración son las divisas que ingresan al país vía remesas familiares, cuyo impacto microeconómico se expresa principalmente en el ámbito regional y local, donde impulsan a la industria de bienes de consumo y al sector</w:t>
      </w:r>
      <w:r>
        <w:rPr>
          <w:spacing w:val="35"/>
        </w:rPr>
        <w:t> </w:t>
      </w:r>
      <w:r>
        <w:rPr/>
        <w:t>servicios.</w:t>
      </w:r>
    </w:p>
    <w:p>
      <w:pPr>
        <w:pStyle w:val="BodyText"/>
        <w:rPr>
          <w:sz w:val="24"/>
        </w:rPr>
      </w:pPr>
    </w:p>
    <w:p>
      <w:pPr>
        <w:pStyle w:val="BodyText"/>
        <w:spacing w:line="364" w:lineRule="auto"/>
        <w:ind w:left="101" w:right="359"/>
        <w:jc w:val="both"/>
      </w:pPr>
      <w:r>
        <w:rPr/>
        <w:t>Aunque el flujo migratorio hacia Estados Unidos se origina en miles de localidades, la intensidad migratoria es especialmente aguda en unos cuantos cientos de municipios localizados principalmente en las Entidades Federativas del centro, occidente y norte de México.</w:t>
      </w:r>
    </w:p>
    <w:p>
      <w:pPr>
        <w:pStyle w:val="BodyText"/>
        <w:spacing w:before="7"/>
        <w:rPr>
          <w:sz w:val="20"/>
        </w:rPr>
      </w:pPr>
    </w:p>
    <w:p>
      <w:pPr>
        <w:pStyle w:val="BodyText"/>
        <w:spacing w:line="364" w:lineRule="auto" w:before="1"/>
        <w:ind w:left="101" w:right="318"/>
      </w:pPr>
      <w:r>
        <w:rPr/>
        <w:t>De esta manera, una proporción significativa de las remesas provenientes del vecino país que reciben los hogares de los emigrantes tienen como destino un espacio más o menos acotado del territorio  nacional, resultando en un recurso económico  fundamental para el sostenimiento familiar en esas comunidades, a la vez que constituye un elemento dinamizador para ciertos sectores de las economías locales y regionales, como es el caso  del</w:t>
      </w:r>
      <w:r>
        <w:rPr>
          <w:spacing w:val="50"/>
        </w:rPr>
        <w:t> </w:t>
      </w:r>
      <w:r>
        <w:rPr/>
        <w:t>comercio.</w:t>
      </w:r>
    </w:p>
    <w:p>
      <w:pPr>
        <w:pStyle w:val="BodyText"/>
        <w:spacing w:line="364" w:lineRule="auto" w:before="120"/>
        <w:ind w:left="101" w:right="103"/>
        <w:jc w:val="both"/>
      </w:pPr>
      <w:r>
        <w:rPr/>
        <w:t>Con base en los resultados de la Muestra del Censo de Población del año 2000 (INEGI, 2000), a nivel  municipal, puede observarse  que alrededor de la mitad de las remesas  se dirigieron a los 884 municipios de intensidad migratoria muy  alta,  alta  y media, donde viven poco más de 20 millones de habitantes. La otra mitad se dispersó en 1,466 municipios de intensidad migratoria baja y muy baja, los cuales  se  encuentran  habitados por cerca de 77 millones de</w:t>
      </w:r>
      <w:r>
        <w:rPr>
          <w:spacing w:val="51"/>
        </w:rPr>
        <w:t> </w:t>
      </w:r>
      <w:r>
        <w:rPr/>
        <w:t>personas.</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Al nivel de los hogares, con base en la información obtenida por la Encuesta Nacional  de Ingreso y Gasto de los Hogares del INEGI (ENIGH, 1998, 2000 y 2002), el número   de hogares que recibieron remesas fue de casi 1 millón 172 mil en 1998; 1 millón 252.5 en el 2000 y 1 millón 402 mil en el 2002. La tasa de crecimiento en el rubro “hogares  que recibieron remesas” en el año 2000 fue del 6.90% respecto a 1998; en tanto que    en el año 2002 creció en 11.94%  respecto al año </w:t>
      </w:r>
      <w:r>
        <w:rPr>
          <w:spacing w:val="1"/>
        </w:rPr>
        <w:t> </w:t>
      </w:r>
      <w:r>
        <w:rPr/>
        <w:t>2000.</w:t>
      </w:r>
    </w:p>
    <w:p>
      <w:pPr>
        <w:pStyle w:val="BodyText"/>
        <w:spacing w:before="4"/>
        <w:rPr>
          <w:sz w:val="17"/>
        </w:rPr>
      </w:pPr>
    </w:p>
    <w:p>
      <w:pPr>
        <w:pStyle w:val="BodyText"/>
        <w:spacing w:line="364" w:lineRule="auto"/>
        <w:ind w:left="101" w:right="106"/>
        <w:jc w:val="both"/>
      </w:pPr>
      <w:r>
        <w:rPr/>
        <w:t>El número de hogares que recibieron remesas -como proporción del total de  los  hogares en México-, pasó de 5.29% en 1998 a 5.33% en 2000, y a 5.69% en </w:t>
      </w:r>
      <w:r>
        <w:rPr>
          <w:spacing w:val="34"/>
        </w:rPr>
        <w:t> </w:t>
      </w:r>
      <w:r>
        <w:rPr/>
        <w:t>2002.</w:t>
      </w:r>
    </w:p>
    <w:p>
      <w:pPr>
        <w:pStyle w:val="BodyText"/>
        <w:spacing w:before="4"/>
        <w:rPr>
          <w:sz w:val="17"/>
        </w:rPr>
      </w:pPr>
    </w:p>
    <w:p>
      <w:pPr>
        <w:pStyle w:val="BodyText"/>
        <w:spacing w:line="364" w:lineRule="auto"/>
        <w:ind w:left="101" w:right="105"/>
        <w:jc w:val="both"/>
      </w:pPr>
      <w:r>
        <w:rPr/>
        <w:t>En materia de los ingresos monetarios de los hogares que reciben remesas, se obtuvo que los ingresos mensuales promedio que reciben los hogares más pobres de México son inferiores a los que reciben los hogares con los ingresos más altos, a pesar que durante el periodo 2000 al 2002 los ingresos por remesas de los hogares ricos  descendió sensiblemente al pasar de 12 mil 110 a 4 mil 150 pesos mensuales en promedio. Específicamente, para el año 2002, los hogares más pobres recibieron en promedio 563 pesos por concepto de remesas, mientras que los hogares con los ingresos más altos recibieron 4 mil 150</w:t>
      </w:r>
      <w:r>
        <w:rPr>
          <w:spacing w:val="56"/>
        </w:rPr>
        <w:t> </w:t>
      </w:r>
      <w:r>
        <w:rPr/>
        <w:t>pesos.</w:t>
      </w:r>
    </w:p>
    <w:p>
      <w:pPr>
        <w:pStyle w:val="BodyText"/>
        <w:spacing w:before="4"/>
        <w:rPr>
          <w:sz w:val="17"/>
        </w:rPr>
      </w:pPr>
    </w:p>
    <w:p>
      <w:pPr>
        <w:pStyle w:val="BodyText"/>
        <w:spacing w:line="364" w:lineRule="auto"/>
        <w:ind w:left="101" w:right="105"/>
        <w:jc w:val="both"/>
      </w:pPr>
      <w:r>
        <w:rPr/>
        <w:t>Sin embargo, las remesas mensuales que reciben los hogares más pobres de México son altamente sensibles a sus ingresos monetarios promedio mensuales. En el año 2002, los ingresos por remesas de los hogares más pobres representó el 71.17% de    sus ingresos totales monetarios, para los hogares más ricos representó únicamente el 16.73% de sus ingresos monetarios. Esto significa que de cada 100 pesos que  recibieron los hogares más pobres, en promedio, 72 pesos lo obtuvieron de las  remesas; por su parte, por cada 100 pesos que recibían los hogares más ricos, únicamente 17 pesos provinieron de las</w:t>
      </w:r>
      <w:r>
        <w:rPr>
          <w:spacing w:val="50"/>
        </w:rPr>
        <w:t> </w:t>
      </w:r>
      <w:r>
        <w:rPr/>
        <w:t>remesas.</w:t>
      </w:r>
    </w:p>
    <w:p>
      <w:pPr>
        <w:pStyle w:val="BodyText"/>
        <w:spacing w:before="4"/>
        <w:rPr>
          <w:sz w:val="17"/>
        </w:rPr>
      </w:pPr>
    </w:p>
    <w:p>
      <w:pPr>
        <w:pStyle w:val="BodyText"/>
        <w:spacing w:line="364" w:lineRule="auto"/>
        <w:ind w:left="101" w:right="105"/>
        <w:jc w:val="both"/>
      </w:pPr>
      <w:r>
        <w:rPr/>
        <w:t>Así, los ingresos monetarios de los hogares más pobres de México tienen una fuerte dependencia de las remesas, mientras que los ingresos monetarios de los hogares más ricos están más diversificados.</w:t>
      </w:r>
    </w:p>
    <w:p>
      <w:pPr>
        <w:pStyle w:val="BodyText"/>
        <w:rPr>
          <w:sz w:val="24"/>
        </w:rPr>
      </w:pPr>
    </w:p>
    <w:p>
      <w:pPr>
        <w:pStyle w:val="BodyText"/>
        <w:spacing w:line="367" w:lineRule="auto"/>
        <w:ind w:left="101" w:right="105"/>
        <w:jc w:val="both"/>
      </w:pPr>
      <w:r>
        <w:rPr/>
        <w:t>En 2008, las remesas que recibieron los hogares de los emigrantes siguieron teniendo como destino un espacio más o menos acotado del territorio nacional, tal como ocurrió</w:t>
      </w:r>
    </w:p>
    <w:p>
      <w:pPr>
        <w:spacing w:after="0" w:line="367"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221" w:right="447"/>
      </w:pPr>
      <w:r>
        <w:rPr/>
        <w:t>durante los cuatro años previos. Sólo 10 entidades siguen captando más del 60% de    los ingresos por remesas (Cuadro</w:t>
      </w:r>
      <w:r>
        <w:rPr>
          <w:spacing w:val="42"/>
        </w:rPr>
        <w:t> </w:t>
      </w:r>
      <w:r>
        <w:rPr/>
        <w:t>4).</w:t>
      </w:r>
    </w:p>
    <w:p>
      <w:pPr>
        <w:pStyle w:val="BodyText"/>
        <w:spacing w:before="9"/>
      </w:pPr>
    </w:p>
    <w:p>
      <w:pPr>
        <w:pStyle w:val="Heading4"/>
        <w:spacing w:line="350" w:lineRule="auto" w:after="11"/>
        <w:ind w:left="2165" w:right="447" w:hanging="1116"/>
      </w:pPr>
      <w:r>
        <w:rPr/>
        <w:pict>
          <v:line style="position:absolute;mso-position-horizontal-relative:page;mso-position-vertical-relative:paragraph;z-index:-704080" from="72.240002pt,85.786211pt" to="70.080002pt,83.866211pt" stroked="true" strokeweight=".730032pt" strokecolor="#000000">
            <w10:wrap type="none"/>
          </v:line>
        </w:pict>
      </w:r>
      <w:r>
        <w:rPr/>
        <w:t>Cuadro 4. México: entidades federativas que reciben más remesas, enero a junio 2007 y 2008 (millones de</w:t>
      </w:r>
      <w:r>
        <w:rPr>
          <w:spacing w:val="59"/>
        </w:rPr>
        <w:t> </w:t>
      </w:r>
      <w:r>
        <w:rPr/>
        <w:t>dólares)</w:t>
      </w: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63"/>
        <w:gridCol w:w="3369"/>
        <w:gridCol w:w="1889"/>
      </w:tblGrid>
      <w:tr>
        <w:trPr>
          <w:trHeight w:val="529" w:hRule="exact"/>
        </w:trPr>
        <w:tc>
          <w:tcPr>
            <w:tcW w:w="3363" w:type="dxa"/>
            <w:tcBorders>
              <w:bottom w:val="nil"/>
              <w:right w:val="nil"/>
            </w:tcBorders>
          </w:tcPr>
          <w:p>
            <w:pPr>
              <w:pStyle w:val="TableParagraph"/>
              <w:spacing w:before="43"/>
              <w:ind w:left="146"/>
              <w:jc w:val="left"/>
              <w:rPr>
                <w:b/>
                <w:sz w:val="23"/>
              </w:rPr>
            </w:pPr>
            <w:r>
              <w:rPr>
                <w:b/>
                <w:sz w:val="23"/>
              </w:rPr>
              <w:t>Entidad Federativa</w:t>
            </w:r>
          </w:p>
        </w:tc>
        <w:tc>
          <w:tcPr>
            <w:tcW w:w="3369" w:type="dxa"/>
            <w:tcBorders>
              <w:left w:val="nil"/>
              <w:bottom w:val="nil"/>
              <w:right w:val="nil"/>
            </w:tcBorders>
          </w:tcPr>
          <w:p>
            <w:pPr>
              <w:pStyle w:val="TableParagraph"/>
              <w:spacing w:before="158"/>
              <w:ind w:right="828"/>
              <w:rPr>
                <w:b/>
                <w:sz w:val="23"/>
              </w:rPr>
            </w:pPr>
            <w:r>
              <w:rPr>
                <w:b/>
                <w:sz w:val="23"/>
              </w:rPr>
              <w:t>2007</w:t>
            </w:r>
          </w:p>
        </w:tc>
        <w:tc>
          <w:tcPr>
            <w:tcW w:w="1889" w:type="dxa"/>
            <w:tcBorders>
              <w:left w:val="nil"/>
              <w:bottom w:val="nil"/>
            </w:tcBorders>
          </w:tcPr>
          <w:p>
            <w:pPr>
              <w:pStyle w:val="TableParagraph"/>
              <w:spacing w:before="158"/>
              <w:ind w:right="144"/>
              <w:rPr>
                <w:b/>
                <w:sz w:val="23"/>
              </w:rPr>
            </w:pPr>
            <w:r>
              <w:rPr>
                <w:b/>
                <w:sz w:val="23"/>
              </w:rPr>
              <w:t>2008</w:t>
            </w:r>
          </w:p>
        </w:tc>
      </w:tr>
      <w:tr>
        <w:trPr>
          <w:trHeight w:val="386" w:hRule="exact"/>
        </w:trPr>
        <w:tc>
          <w:tcPr>
            <w:tcW w:w="3363" w:type="dxa"/>
            <w:tcBorders>
              <w:top w:val="nil"/>
              <w:bottom w:val="nil"/>
              <w:right w:val="nil"/>
            </w:tcBorders>
          </w:tcPr>
          <w:p>
            <w:pPr>
              <w:pStyle w:val="TableParagraph"/>
              <w:spacing w:before="78"/>
              <w:ind w:left="146"/>
              <w:jc w:val="left"/>
              <w:rPr>
                <w:sz w:val="23"/>
              </w:rPr>
            </w:pPr>
            <w:r>
              <w:rPr>
                <w:sz w:val="23"/>
              </w:rPr>
              <w:t>Michoacán</w:t>
            </w:r>
          </w:p>
        </w:tc>
        <w:tc>
          <w:tcPr>
            <w:tcW w:w="3369" w:type="dxa"/>
            <w:tcBorders>
              <w:top w:val="nil"/>
              <w:left w:val="nil"/>
              <w:bottom w:val="nil"/>
              <w:right w:val="nil"/>
            </w:tcBorders>
          </w:tcPr>
          <w:p>
            <w:pPr>
              <w:pStyle w:val="TableParagraph"/>
              <w:spacing w:before="78"/>
              <w:ind w:right="828"/>
              <w:rPr>
                <w:sz w:val="23"/>
              </w:rPr>
            </w:pPr>
            <w:r>
              <w:rPr>
                <w:sz w:val="23"/>
              </w:rPr>
              <w:t>1,152.1</w:t>
            </w:r>
          </w:p>
        </w:tc>
        <w:tc>
          <w:tcPr>
            <w:tcW w:w="1889" w:type="dxa"/>
            <w:tcBorders>
              <w:top w:val="nil"/>
              <w:left w:val="nil"/>
              <w:bottom w:val="nil"/>
            </w:tcBorders>
          </w:tcPr>
          <w:p>
            <w:pPr>
              <w:pStyle w:val="TableParagraph"/>
              <w:spacing w:before="78"/>
              <w:ind w:right="144"/>
              <w:rPr>
                <w:sz w:val="23"/>
              </w:rPr>
            </w:pPr>
            <w:r>
              <w:rPr>
                <w:sz w:val="23"/>
              </w:rPr>
              <w:t>1,135.8</w:t>
            </w:r>
          </w:p>
        </w:tc>
      </w:tr>
      <w:tr>
        <w:trPr>
          <w:trHeight w:val="328" w:hRule="exact"/>
        </w:trPr>
        <w:tc>
          <w:tcPr>
            <w:tcW w:w="3363" w:type="dxa"/>
            <w:tcBorders>
              <w:top w:val="nil"/>
              <w:bottom w:val="nil"/>
              <w:right w:val="nil"/>
            </w:tcBorders>
          </w:tcPr>
          <w:p>
            <w:pPr>
              <w:pStyle w:val="TableParagraph"/>
              <w:spacing w:before="21"/>
              <w:ind w:left="146"/>
              <w:jc w:val="left"/>
              <w:rPr>
                <w:sz w:val="23"/>
              </w:rPr>
            </w:pPr>
            <w:r>
              <w:rPr>
                <w:sz w:val="23"/>
              </w:rPr>
              <w:t>Guanajuato</w:t>
            </w:r>
          </w:p>
        </w:tc>
        <w:tc>
          <w:tcPr>
            <w:tcW w:w="3369" w:type="dxa"/>
            <w:tcBorders>
              <w:top w:val="nil"/>
              <w:left w:val="nil"/>
              <w:bottom w:val="nil"/>
              <w:right w:val="nil"/>
            </w:tcBorders>
          </w:tcPr>
          <w:p>
            <w:pPr>
              <w:pStyle w:val="TableParagraph"/>
              <w:spacing w:before="21"/>
              <w:ind w:right="828"/>
              <w:rPr>
                <w:sz w:val="23"/>
              </w:rPr>
            </w:pPr>
            <w:r>
              <w:rPr>
                <w:sz w:val="23"/>
              </w:rPr>
              <w:t>1,070.7</w:t>
            </w:r>
          </w:p>
        </w:tc>
        <w:tc>
          <w:tcPr>
            <w:tcW w:w="1889" w:type="dxa"/>
            <w:tcBorders>
              <w:top w:val="nil"/>
              <w:left w:val="nil"/>
              <w:bottom w:val="nil"/>
            </w:tcBorders>
          </w:tcPr>
          <w:p>
            <w:pPr>
              <w:pStyle w:val="TableParagraph"/>
              <w:spacing w:before="21"/>
              <w:ind w:right="144"/>
              <w:rPr>
                <w:sz w:val="23"/>
              </w:rPr>
            </w:pPr>
            <w:r>
              <w:rPr>
                <w:sz w:val="23"/>
              </w:rPr>
              <w:t>1,051.8</w:t>
            </w:r>
          </w:p>
        </w:tc>
      </w:tr>
      <w:tr>
        <w:trPr>
          <w:trHeight w:val="326" w:hRule="exact"/>
        </w:trPr>
        <w:tc>
          <w:tcPr>
            <w:tcW w:w="3363" w:type="dxa"/>
            <w:tcBorders>
              <w:top w:val="nil"/>
              <w:bottom w:val="nil"/>
              <w:right w:val="nil"/>
            </w:tcBorders>
          </w:tcPr>
          <w:p>
            <w:pPr>
              <w:pStyle w:val="TableParagraph"/>
              <w:spacing w:before="20"/>
              <w:ind w:left="146"/>
              <w:jc w:val="left"/>
              <w:rPr>
                <w:sz w:val="23"/>
              </w:rPr>
            </w:pPr>
            <w:r>
              <w:rPr>
                <w:sz w:val="23"/>
              </w:rPr>
              <w:t>Edomex</w:t>
            </w:r>
          </w:p>
        </w:tc>
        <w:tc>
          <w:tcPr>
            <w:tcW w:w="3369" w:type="dxa"/>
            <w:tcBorders>
              <w:top w:val="nil"/>
              <w:left w:val="nil"/>
              <w:bottom w:val="nil"/>
              <w:right w:val="nil"/>
            </w:tcBorders>
          </w:tcPr>
          <w:p>
            <w:pPr>
              <w:pStyle w:val="TableParagraph"/>
              <w:spacing w:before="20"/>
              <w:ind w:right="828"/>
              <w:rPr>
                <w:sz w:val="23"/>
              </w:rPr>
            </w:pPr>
            <w:r>
              <w:rPr>
                <w:sz w:val="23"/>
              </w:rPr>
              <w:t>983.5</w:t>
            </w:r>
          </w:p>
        </w:tc>
        <w:tc>
          <w:tcPr>
            <w:tcW w:w="1889" w:type="dxa"/>
            <w:tcBorders>
              <w:top w:val="nil"/>
              <w:left w:val="nil"/>
              <w:bottom w:val="nil"/>
            </w:tcBorders>
          </w:tcPr>
          <w:p>
            <w:pPr>
              <w:pStyle w:val="TableParagraph"/>
              <w:spacing w:before="20"/>
              <w:ind w:right="144"/>
              <w:rPr>
                <w:sz w:val="23"/>
              </w:rPr>
            </w:pPr>
            <w:r>
              <w:rPr>
                <w:sz w:val="23"/>
              </w:rPr>
              <w:t>958.1</w:t>
            </w:r>
          </w:p>
        </w:tc>
      </w:tr>
      <w:tr>
        <w:trPr>
          <w:trHeight w:val="328" w:hRule="exact"/>
        </w:trPr>
        <w:tc>
          <w:tcPr>
            <w:tcW w:w="3363" w:type="dxa"/>
            <w:tcBorders>
              <w:top w:val="nil"/>
              <w:bottom w:val="nil"/>
              <w:right w:val="nil"/>
            </w:tcBorders>
          </w:tcPr>
          <w:p>
            <w:pPr>
              <w:pStyle w:val="TableParagraph"/>
              <w:spacing w:before="20"/>
              <w:ind w:left="146"/>
              <w:jc w:val="left"/>
              <w:rPr>
                <w:sz w:val="23"/>
              </w:rPr>
            </w:pPr>
            <w:r>
              <w:rPr>
                <w:sz w:val="23"/>
              </w:rPr>
              <w:t>Jalisco</w:t>
            </w:r>
          </w:p>
        </w:tc>
        <w:tc>
          <w:tcPr>
            <w:tcW w:w="3369" w:type="dxa"/>
            <w:tcBorders>
              <w:top w:val="nil"/>
              <w:left w:val="nil"/>
              <w:bottom w:val="nil"/>
              <w:right w:val="nil"/>
            </w:tcBorders>
          </w:tcPr>
          <w:p>
            <w:pPr>
              <w:pStyle w:val="TableParagraph"/>
              <w:spacing w:before="20"/>
              <w:ind w:right="828"/>
              <w:rPr>
                <w:sz w:val="23"/>
              </w:rPr>
            </w:pPr>
            <w:r>
              <w:rPr>
                <w:sz w:val="23"/>
              </w:rPr>
              <w:t>981.3</w:t>
            </w:r>
          </w:p>
        </w:tc>
        <w:tc>
          <w:tcPr>
            <w:tcW w:w="1889" w:type="dxa"/>
            <w:tcBorders>
              <w:top w:val="nil"/>
              <w:left w:val="nil"/>
              <w:bottom w:val="nil"/>
            </w:tcBorders>
          </w:tcPr>
          <w:p>
            <w:pPr>
              <w:pStyle w:val="TableParagraph"/>
              <w:spacing w:before="20"/>
              <w:ind w:right="144"/>
              <w:rPr>
                <w:sz w:val="23"/>
              </w:rPr>
            </w:pPr>
            <w:r>
              <w:rPr>
                <w:sz w:val="23"/>
              </w:rPr>
              <w:t>927.4</w:t>
            </w:r>
          </w:p>
        </w:tc>
      </w:tr>
      <w:tr>
        <w:trPr>
          <w:trHeight w:val="328" w:hRule="exact"/>
        </w:trPr>
        <w:tc>
          <w:tcPr>
            <w:tcW w:w="3363" w:type="dxa"/>
            <w:tcBorders>
              <w:top w:val="nil"/>
              <w:bottom w:val="nil"/>
              <w:right w:val="nil"/>
            </w:tcBorders>
          </w:tcPr>
          <w:p>
            <w:pPr>
              <w:pStyle w:val="TableParagraph"/>
              <w:spacing w:before="21"/>
              <w:ind w:left="146"/>
              <w:jc w:val="left"/>
              <w:rPr>
                <w:sz w:val="23"/>
              </w:rPr>
            </w:pPr>
            <w:r>
              <w:rPr>
                <w:sz w:val="23"/>
              </w:rPr>
              <w:t>Puebla</w:t>
            </w:r>
          </w:p>
        </w:tc>
        <w:tc>
          <w:tcPr>
            <w:tcW w:w="3369" w:type="dxa"/>
            <w:tcBorders>
              <w:top w:val="nil"/>
              <w:left w:val="nil"/>
              <w:bottom w:val="nil"/>
              <w:right w:val="nil"/>
            </w:tcBorders>
          </w:tcPr>
          <w:p>
            <w:pPr>
              <w:pStyle w:val="TableParagraph"/>
              <w:spacing w:before="21"/>
              <w:ind w:right="828"/>
              <w:rPr>
                <w:sz w:val="23"/>
              </w:rPr>
            </w:pPr>
            <w:r>
              <w:rPr>
                <w:sz w:val="23"/>
              </w:rPr>
              <w:t>721.6</w:t>
            </w:r>
          </w:p>
        </w:tc>
        <w:tc>
          <w:tcPr>
            <w:tcW w:w="1889" w:type="dxa"/>
            <w:tcBorders>
              <w:top w:val="nil"/>
              <w:left w:val="nil"/>
              <w:bottom w:val="nil"/>
            </w:tcBorders>
          </w:tcPr>
          <w:p>
            <w:pPr>
              <w:pStyle w:val="TableParagraph"/>
              <w:spacing w:before="21"/>
              <w:ind w:right="144"/>
              <w:rPr>
                <w:sz w:val="23"/>
              </w:rPr>
            </w:pPr>
            <w:r>
              <w:rPr>
                <w:sz w:val="23"/>
              </w:rPr>
              <w:t>748.0</w:t>
            </w:r>
          </w:p>
        </w:tc>
      </w:tr>
      <w:tr>
        <w:trPr>
          <w:trHeight w:val="326" w:hRule="exact"/>
        </w:trPr>
        <w:tc>
          <w:tcPr>
            <w:tcW w:w="3363" w:type="dxa"/>
            <w:tcBorders>
              <w:top w:val="nil"/>
              <w:bottom w:val="nil"/>
              <w:right w:val="nil"/>
            </w:tcBorders>
          </w:tcPr>
          <w:p>
            <w:pPr>
              <w:pStyle w:val="TableParagraph"/>
              <w:spacing w:before="20"/>
              <w:ind w:left="146"/>
              <w:jc w:val="left"/>
              <w:rPr>
                <w:sz w:val="23"/>
              </w:rPr>
            </w:pPr>
            <w:r>
              <w:rPr>
                <w:sz w:val="23"/>
              </w:rPr>
              <w:t>Veracruz</w:t>
            </w:r>
          </w:p>
        </w:tc>
        <w:tc>
          <w:tcPr>
            <w:tcW w:w="3369" w:type="dxa"/>
            <w:tcBorders>
              <w:top w:val="nil"/>
              <w:left w:val="nil"/>
              <w:bottom w:val="nil"/>
              <w:right w:val="nil"/>
            </w:tcBorders>
          </w:tcPr>
          <w:p>
            <w:pPr>
              <w:pStyle w:val="TableParagraph"/>
              <w:spacing w:before="20"/>
              <w:ind w:right="828"/>
              <w:rPr>
                <w:sz w:val="23"/>
              </w:rPr>
            </w:pPr>
            <w:r>
              <w:rPr>
                <w:sz w:val="23"/>
              </w:rPr>
              <w:t>720.4</w:t>
            </w:r>
          </w:p>
        </w:tc>
        <w:tc>
          <w:tcPr>
            <w:tcW w:w="1889" w:type="dxa"/>
            <w:tcBorders>
              <w:top w:val="nil"/>
              <w:left w:val="nil"/>
              <w:bottom w:val="nil"/>
            </w:tcBorders>
          </w:tcPr>
          <w:p>
            <w:pPr>
              <w:pStyle w:val="TableParagraph"/>
              <w:spacing w:before="20"/>
              <w:ind w:right="144"/>
              <w:rPr>
                <w:sz w:val="23"/>
              </w:rPr>
            </w:pPr>
            <w:r>
              <w:rPr>
                <w:sz w:val="23"/>
              </w:rPr>
              <w:t>699.2</w:t>
            </w:r>
          </w:p>
        </w:tc>
      </w:tr>
      <w:tr>
        <w:trPr>
          <w:trHeight w:val="326" w:hRule="exact"/>
        </w:trPr>
        <w:tc>
          <w:tcPr>
            <w:tcW w:w="3363" w:type="dxa"/>
            <w:tcBorders>
              <w:top w:val="nil"/>
              <w:bottom w:val="nil"/>
              <w:right w:val="nil"/>
            </w:tcBorders>
          </w:tcPr>
          <w:p>
            <w:pPr>
              <w:pStyle w:val="TableParagraph"/>
              <w:spacing w:before="20"/>
              <w:ind w:left="146"/>
              <w:jc w:val="left"/>
              <w:rPr>
                <w:sz w:val="23"/>
              </w:rPr>
            </w:pPr>
            <w:r>
              <w:rPr>
                <w:sz w:val="23"/>
              </w:rPr>
              <w:t>Distrito Federal</w:t>
            </w:r>
          </w:p>
        </w:tc>
        <w:tc>
          <w:tcPr>
            <w:tcW w:w="3369" w:type="dxa"/>
            <w:tcBorders>
              <w:top w:val="nil"/>
              <w:left w:val="nil"/>
              <w:bottom w:val="nil"/>
              <w:right w:val="nil"/>
            </w:tcBorders>
          </w:tcPr>
          <w:p>
            <w:pPr>
              <w:pStyle w:val="TableParagraph"/>
              <w:spacing w:before="20"/>
              <w:ind w:right="828"/>
              <w:rPr>
                <w:sz w:val="23"/>
              </w:rPr>
            </w:pPr>
            <w:r>
              <w:rPr>
                <w:sz w:val="23"/>
              </w:rPr>
              <w:t>684.8</w:t>
            </w:r>
          </w:p>
        </w:tc>
        <w:tc>
          <w:tcPr>
            <w:tcW w:w="1889" w:type="dxa"/>
            <w:tcBorders>
              <w:top w:val="nil"/>
              <w:left w:val="nil"/>
              <w:bottom w:val="nil"/>
            </w:tcBorders>
          </w:tcPr>
          <w:p>
            <w:pPr>
              <w:pStyle w:val="TableParagraph"/>
              <w:spacing w:before="20"/>
              <w:ind w:right="144"/>
              <w:rPr>
                <w:sz w:val="23"/>
              </w:rPr>
            </w:pPr>
            <w:r>
              <w:rPr>
                <w:sz w:val="23"/>
              </w:rPr>
              <w:t>646.1</w:t>
            </w:r>
          </w:p>
        </w:tc>
      </w:tr>
      <w:tr>
        <w:trPr>
          <w:trHeight w:val="328" w:hRule="exact"/>
        </w:trPr>
        <w:tc>
          <w:tcPr>
            <w:tcW w:w="3363" w:type="dxa"/>
            <w:tcBorders>
              <w:top w:val="nil"/>
              <w:bottom w:val="nil"/>
              <w:right w:val="nil"/>
            </w:tcBorders>
          </w:tcPr>
          <w:p>
            <w:pPr>
              <w:pStyle w:val="TableParagraph"/>
              <w:spacing w:before="20"/>
              <w:ind w:left="146"/>
              <w:jc w:val="left"/>
              <w:rPr>
                <w:sz w:val="23"/>
              </w:rPr>
            </w:pPr>
            <w:r>
              <w:rPr>
                <w:sz w:val="23"/>
              </w:rPr>
              <w:t>Guerrero</w:t>
            </w:r>
          </w:p>
        </w:tc>
        <w:tc>
          <w:tcPr>
            <w:tcW w:w="3369" w:type="dxa"/>
            <w:tcBorders>
              <w:top w:val="nil"/>
              <w:left w:val="nil"/>
              <w:bottom w:val="nil"/>
              <w:right w:val="nil"/>
            </w:tcBorders>
          </w:tcPr>
          <w:p>
            <w:pPr>
              <w:pStyle w:val="TableParagraph"/>
              <w:spacing w:before="20"/>
              <w:ind w:right="828"/>
              <w:rPr>
                <w:sz w:val="23"/>
              </w:rPr>
            </w:pPr>
            <w:r>
              <w:rPr>
                <w:sz w:val="23"/>
              </w:rPr>
              <w:t>606.3</w:t>
            </w:r>
          </w:p>
        </w:tc>
        <w:tc>
          <w:tcPr>
            <w:tcW w:w="1889" w:type="dxa"/>
            <w:tcBorders>
              <w:top w:val="nil"/>
              <w:left w:val="nil"/>
              <w:bottom w:val="nil"/>
            </w:tcBorders>
          </w:tcPr>
          <w:p>
            <w:pPr>
              <w:pStyle w:val="TableParagraph"/>
              <w:spacing w:before="20"/>
              <w:ind w:right="144"/>
              <w:rPr>
                <w:sz w:val="23"/>
              </w:rPr>
            </w:pPr>
            <w:r>
              <w:rPr>
                <w:sz w:val="23"/>
              </w:rPr>
              <w:t>626.4</w:t>
            </w:r>
          </w:p>
        </w:tc>
      </w:tr>
      <w:tr>
        <w:trPr>
          <w:trHeight w:val="328" w:hRule="exact"/>
        </w:trPr>
        <w:tc>
          <w:tcPr>
            <w:tcW w:w="3363" w:type="dxa"/>
            <w:tcBorders>
              <w:top w:val="nil"/>
              <w:bottom w:val="nil"/>
              <w:right w:val="nil"/>
            </w:tcBorders>
          </w:tcPr>
          <w:p>
            <w:pPr>
              <w:pStyle w:val="TableParagraph"/>
              <w:spacing w:before="21"/>
              <w:ind w:left="146"/>
              <w:jc w:val="left"/>
              <w:rPr>
                <w:sz w:val="23"/>
              </w:rPr>
            </w:pPr>
            <w:r>
              <w:rPr>
                <w:sz w:val="23"/>
              </w:rPr>
              <w:t>Oaxaca</w:t>
            </w:r>
          </w:p>
        </w:tc>
        <w:tc>
          <w:tcPr>
            <w:tcW w:w="3369" w:type="dxa"/>
            <w:tcBorders>
              <w:top w:val="nil"/>
              <w:left w:val="nil"/>
              <w:bottom w:val="nil"/>
              <w:right w:val="nil"/>
            </w:tcBorders>
          </w:tcPr>
          <w:p>
            <w:pPr>
              <w:pStyle w:val="TableParagraph"/>
              <w:spacing w:before="21"/>
              <w:ind w:right="828"/>
              <w:rPr>
                <w:sz w:val="23"/>
              </w:rPr>
            </w:pPr>
            <w:r>
              <w:rPr>
                <w:sz w:val="23"/>
              </w:rPr>
              <w:t>614.3</w:t>
            </w:r>
          </w:p>
        </w:tc>
        <w:tc>
          <w:tcPr>
            <w:tcW w:w="1889" w:type="dxa"/>
            <w:tcBorders>
              <w:top w:val="nil"/>
              <w:left w:val="nil"/>
              <w:bottom w:val="nil"/>
            </w:tcBorders>
          </w:tcPr>
          <w:p>
            <w:pPr>
              <w:pStyle w:val="TableParagraph"/>
              <w:spacing w:before="21"/>
              <w:ind w:right="144"/>
              <w:rPr>
                <w:sz w:val="23"/>
              </w:rPr>
            </w:pPr>
            <w:r>
              <w:rPr>
                <w:sz w:val="23"/>
              </w:rPr>
              <w:t>607.0</w:t>
            </w:r>
          </w:p>
        </w:tc>
      </w:tr>
      <w:tr>
        <w:trPr>
          <w:trHeight w:val="326" w:hRule="exact"/>
        </w:trPr>
        <w:tc>
          <w:tcPr>
            <w:tcW w:w="3363" w:type="dxa"/>
            <w:tcBorders>
              <w:top w:val="nil"/>
              <w:bottom w:val="nil"/>
              <w:right w:val="nil"/>
            </w:tcBorders>
          </w:tcPr>
          <w:p>
            <w:pPr>
              <w:pStyle w:val="TableParagraph"/>
              <w:spacing w:before="20"/>
              <w:ind w:left="146"/>
              <w:jc w:val="left"/>
              <w:rPr>
                <w:sz w:val="23"/>
              </w:rPr>
            </w:pPr>
            <w:r>
              <w:rPr>
                <w:sz w:val="23"/>
              </w:rPr>
              <w:t>Hidalgo</w:t>
            </w:r>
          </w:p>
        </w:tc>
        <w:tc>
          <w:tcPr>
            <w:tcW w:w="3369" w:type="dxa"/>
            <w:tcBorders>
              <w:top w:val="nil"/>
              <w:left w:val="nil"/>
              <w:bottom w:val="nil"/>
              <w:right w:val="nil"/>
            </w:tcBorders>
          </w:tcPr>
          <w:p>
            <w:pPr>
              <w:pStyle w:val="TableParagraph"/>
              <w:spacing w:before="20"/>
              <w:ind w:right="828"/>
              <w:rPr>
                <w:sz w:val="23"/>
              </w:rPr>
            </w:pPr>
            <w:r>
              <w:rPr>
                <w:sz w:val="23"/>
              </w:rPr>
              <w:t>472.3</w:t>
            </w:r>
          </w:p>
        </w:tc>
        <w:tc>
          <w:tcPr>
            <w:tcW w:w="1889" w:type="dxa"/>
            <w:tcBorders>
              <w:top w:val="nil"/>
              <w:left w:val="nil"/>
              <w:bottom w:val="nil"/>
            </w:tcBorders>
          </w:tcPr>
          <w:p>
            <w:pPr>
              <w:pStyle w:val="TableParagraph"/>
              <w:spacing w:before="20"/>
              <w:ind w:right="144"/>
              <w:rPr>
                <w:sz w:val="23"/>
              </w:rPr>
            </w:pPr>
            <w:r>
              <w:rPr>
                <w:sz w:val="23"/>
              </w:rPr>
              <w:t>418.3</w:t>
            </w:r>
          </w:p>
        </w:tc>
      </w:tr>
      <w:tr>
        <w:trPr>
          <w:trHeight w:val="326" w:hRule="exact"/>
        </w:trPr>
        <w:tc>
          <w:tcPr>
            <w:tcW w:w="3363" w:type="dxa"/>
            <w:tcBorders>
              <w:top w:val="nil"/>
              <w:bottom w:val="nil"/>
              <w:right w:val="nil"/>
            </w:tcBorders>
          </w:tcPr>
          <w:p>
            <w:pPr>
              <w:pStyle w:val="TableParagraph"/>
              <w:spacing w:before="20"/>
              <w:ind w:left="146"/>
              <w:jc w:val="left"/>
              <w:rPr>
                <w:sz w:val="23"/>
              </w:rPr>
            </w:pPr>
            <w:r>
              <w:rPr>
                <w:sz w:val="23"/>
              </w:rPr>
              <w:t>Resto</w:t>
            </w:r>
          </w:p>
        </w:tc>
        <w:tc>
          <w:tcPr>
            <w:tcW w:w="3369" w:type="dxa"/>
            <w:tcBorders>
              <w:top w:val="nil"/>
              <w:left w:val="nil"/>
              <w:bottom w:val="nil"/>
              <w:right w:val="nil"/>
            </w:tcBorders>
          </w:tcPr>
          <w:p>
            <w:pPr>
              <w:pStyle w:val="TableParagraph"/>
              <w:spacing w:before="20"/>
              <w:ind w:right="828"/>
              <w:rPr>
                <w:sz w:val="23"/>
              </w:rPr>
            </w:pPr>
            <w:r>
              <w:rPr>
                <w:sz w:val="23"/>
              </w:rPr>
              <w:t>3,852.0</w:t>
            </w:r>
          </w:p>
        </w:tc>
        <w:tc>
          <w:tcPr>
            <w:tcW w:w="1889" w:type="dxa"/>
            <w:tcBorders>
              <w:top w:val="nil"/>
              <w:left w:val="nil"/>
              <w:bottom w:val="nil"/>
            </w:tcBorders>
          </w:tcPr>
          <w:p>
            <w:pPr>
              <w:pStyle w:val="TableParagraph"/>
              <w:spacing w:before="20"/>
              <w:ind w:right="144"/>
              <w:rPr>
                <w:sz w:val="23"/>
              </w:rPr>
            </w:pPr>
            <w:r>
              <w:rPr>
                <w:sz w:val="23"/>
              </w:rPr>
              <w:t>3,782.7</w:t>
            </w:r>
          </w:p>
        </w:tc>
      </w:tr>
      <w:tr>
        <w:trPr>
          <w:trHeight w:val="339" w:hRule="exact"/>
        </w:trPr>
        <w:tc>
          <w:tcPr>
            <w:tcW w:w="3363" w:type="dxa"/>
            <w:tcBorders>
              <w:top w:val="nil"/>
              <w:right w:val="nil"/>
            </w:tcBorders>
          </w:tcPr>
          <w:p>
            <w:pPr>
              <w:pStyle w:val="TableParagraph"/>
              <w:spacing w:before="20"/>
              <w:ind w:left="146"/>
              <w:jc w:val="left"/>
              <w:rPr>
                <w:sz w:val="23"/>
              </w:rPr>
            </w:pPr>
            <w:r>
              <w:rPr>
                <w:sz w:val="23"/>
              </w:rPr>
              <w:t>Total</w:t>
            </w:r>
          </w:p>
        </w:tc>
        <w:tc>
          <w:tcPr>
            <w:tcW w:w="3369" w:type="dxa"/>
            <w:tcBorders>
              <w:top w:val="nil"/>
              <w:left w:val="nil"/>
              <w:right w:val="nil"/>
            </w:tcBorders>
          </w:tcPr>
          <w:p>
            <w:pPr>
              <w:pStyle w:val="TableParagraph"/>
              <w:spacing w:before="20"/>
              <w:ind w:right="828"/>
              <w:rPr>
                <w:sz w:val="23"/>
              </w:rPr>
            </w:pPr>
            <w:r>
              <w:rPr>
                <w:sz w:val="23"/>
              </w:rPr>
              <w:t>11,859.3</w:t>
            </w:r>
          </w:p>
        </w:tc>
        <w:tc>
          <w:tcPr>
            <w:tcW w:w="1889" w:type="dxa"/>
            <w:tcBorders>
              <w:top w:val="nil"/>
              <w:left w:val="nil"/>
            </w:tcBorders>
          </w:tcPr>
          <w:p>
            <w:pPr>
              <w:pStyle w:val="TableParagraph"/>
              <w:spacing w:before="20"/>
              <w:ind w:right="144"/>
              <w:rPr>
                <w:sz w:val="23"/>
              </w:rPr>
            </w:pPr>
            <w:r>
              <w:rPr>
                <w:sz w:val="23"/>
              </w:rPr>
              <w:t>11,600.8</w:t>
            </w:r>
          </w:p>
        </w:tc>
      </w:tr>
    </w:tbl>
    <w:p>
      <w:pPr>
        <w:spacing w:line="239" w:lineRule="exact" w:before="0"/>
        <w:ind w:left="221" w:right="0" w:firstLine="0"/>
        <w:jc w:val="both"/>
        <w:rPr>
          <w:sz w:val="21"/>
        </w:rPr>
      </w:pPr>
      <w:r>
        <w:rPr>
          <w:sz w:val="21"/>
        </w:rPr>
        <w:t>Fuente: Primero y segundo informe de gobierno del Presidente Felipe Calderón. 2007 y   2008.</w:t>
      </w:r>
    </w:p>
    <w:p>
      <w:pPr>
        <w:pStyle w:val="BodyText"/>
        <w:spacing w:before="1"/>
        <w:rPr>
          <w:sz w:val="28"/>
        </w:rPr>
      </w:pPr>
    </w:p>
    <w:p>
      <w:pPr>
        <w:pStyle w:val="BodyText"/>
        <w:spacing w:line="280" w:lineRule="auto"/>
        <w:ind w:left="221" w:right="105"/>
        <w:jc w:val="both"/>
      </w:pPr>
      <w:r>
        <w:rPr/>
        <w:t>El Banco de México ha puesto de manifiesto que cada vez un porcentaje mayor del dinero captado vía remesas familiares, se destina a inversión en un bien duradero o en financiar educación y servicios de salud, y ya no sólo al consumo, como ocurría de manera preponderante hasta hace tres</w:t>
      </w:r>
      <w:r>
        <w:rPr>
          <w:spacing w:val="51"/>
        </w:rPr>
        <w:t> </w:t>
      </w:r>
      <w:r>
        <w:rPr/>
        <w:t>años.</w:t>
      </w:r>
    </w:p>
    <w:p>
      <w:pPr>
        <w:pStyle w:val="BodyText"/>
        <w:spacing w:before="8"/>
      </w:pPr>
    </w:p>
    <w:p>
      <w:pPr>
        <w:pStyle w:val="BodyText"/>
        <w:spacing w:line="364" w:lineRule="auto"/>
        <w:ind w:left="221" w:right="104"/>
        <w:jc w:val="both"/>
      </w:pPr>
      <w:r>
        <w:rPr/>
        <w:t>González (2008), señala que Sergio Bendixen, de la firma estadunidense Bendixen y Asociados, presentó una encuesta en la que se establece que entre agosto y  septiembre de 2006, por lo menos cuatro de cada 10 dólares de remesas  que  ingresaron al país se emplearon para financiar educación, salud o pequeños negocios,    y ya no sólo el consumo diario. Según este especialista, esta es la primera evidencia científica de que las remesas están financiando el desarrollo del país, no sólo el  consumo más</w:t>
      </w:r>
      <w:r>
        <w:rPr>
          <w:spacing w:val="28"/>
        </w:rPr>
        <w:t> </w:t>
      </w:r>
      <w:r>
        <w:rPr/>
        <w:t>inmediato.</w:t>
      </w:r>
    </w:p>
    <w:p>
      <w:pPr>
        <w:spacing w:after="0" w:line="364" w:lineRule="auto"/>
        <w:jc w:val="both"/>
        <w:sectPr>
          <w:footerReference w:type="default" r:id="rId306"/>
          <w:pgSz w:w="11900" w:h="16840"/>
          <w:pgMar w:footer="1679" w:header="0" w:top="1600" w:bottom="1860" w:left="1180" w:right="1280"/>
          <w:pgNumType w:start="250"/>
        </w:sectPr>
      </w:pPr>
    </w:p>
    <w:p>
      <w:pPr>
        <w:pStyle w:val="BodyText"/>
        <w:rPr>
          <w:sz w:val="20"/>
        </w:rPr>
      </w:pPr>
    </w:p>
    <w:p>
      <w:pPr>
        <w:pStyle w:val="BodyText"/>
        <w:spacing w:before="6"/>
        <w:rPr>
          <w:sz w:val="18"/>
        </w:rPr>
      </w:pPr>
    </w:p>
    <w:p>
      <w:pPr>
        <w:pStyle w:val="Heading4"/>
        <w:numPr>
          <w:ilvl w:val="2"/>
          <w:numId w:val="20"/>
        </w:numPr>
        <w:tabs>
          <w:tab w:pos="750" w:val="left" w:leader="none"/>
        </w:tabs>
        <w:spacing w:line="525" w:lineRule="auto" w:before="74" w:after="0"/>
        <w:ind w:left="101" w:right="3935" w:firstLine="0"/>
        <w:jc w:val="left"/>
      </w:pPr>
      <w:r>
        <w:rPr/>
        <w:t>Los hogares de los emigrantes en México Los hogares receptores de</w:t>
      </w:r>
      <w:r>
        <w:rPr>
          <w:spacing w:val="46"/>
        </w:rPr>
        <w:t> </w:t>
      </w:r>
      <w:r>
        <w:rPr/>
        <w:t>remesas</w:t>
      </w:r>
    </w:p>
    <w:p>
      <w:pPr>
        <w:pStyle w:val="BodyText"/>
        <w:spacing w:line="241" w:lineRule="exact"/>
        <w:ind w:left="101"/>
        <w:jc w:val="both"/>
      </w:pPr>
      <w:r>
        <w:rPr/>
        <w:t>Poco más de un millón de hogares en nuestro país reciben remesas de familiares en  </w:t>
      </w:r>
      <w:r>
        <w:rPr>
          <w:spacing w:val="60"/>
        </w:rPr>
        <w:t> </w:t>
      </w:r>
      <w:r>
        <w:rPr/>
        <w:t>el</w:t>
      </w:r>
    </w:p>
    <w:p>
      <w:pPr>
        <w:pStyle w:val="BodyText"/>
        <w:spacing w:line="364" w:lineRule="auto" w:before="136"/>
        <w:ind w:left="101" w:right="103"/>
        <w:jc w:val="both"/>
      </w:pPr>
      <w:r>
        <w:rPr/>
        <w:t>extranjero. El impacto más significativo de las remesas se localiza, sin duda, en la economía de los hogares receptores, cuyo número está aumentando y se extiende a lo largo y ancho del país. Así, entre 1992 y 2000 el número de hogares receptores de remesas aumentó 90 por ciento, de tal forma que en 2000 al menos uno de cada veinte hogares del país recibió transferencias monetarias del extranjero. La mayor incidencia  de este fenómeno se localiza en las localidades con menos de 2,500 habitantes, donde uno de cada diez hogares recibió recursos por esta</w:t>
      </w:r>
      <w:r>
        <w:rPr>
          <w:spacing w:val="59"/>
        </w:rPr>
        <w:t> </w:t>
      </w:r>
      <w:r>
        <w:rPr/>
        <w:t>vía.</w:t>
      </w:r>
    </w:p>
    <w:p>
      <w:pPr>
        <w:pStyle w:val="BodyText"/>
        <w:rPr>
          <w:sz w:val="24"/>
        </w:rPr>
      </w:pPr>
    </w:p>
    <w:p>
      <w:pPr>
        <w:pStyle w:val="BodyText"/>
        <w:spacing w:line="364" w:lineRule="auto"/>
        <w:ind w:left="101" w:right="105"/>
        <w:jc w:val="both"/>
      </w:pPr>
      <w:r>
        <w:rPr/>
        <w:t>La gran mayoría de los recursos recibidos se gastan en la satisfacción de necesidades básicas, en la adquisición de bienes de consumo duradero y en la compra y mejora de vivienda, mientras que sólo una pequeña proporción se destina al ahorro y a la llamada inversión productiva.</w:t>
      </w:r>
    </w:p>
    <w:p>
      <w:pPr>
        <w:pStyle w:val="BodyText"/>
        <w:rPr>
          <w:sz w:val="22"/>
        </w:rPr>
      </w:pPr>
    </w:p>
    <w:p>
      <w:pPr>
        <w:pStyle w:val="BodyText"/>
        <w:rPr>
          <w:sz w:val="22"/>
        </w:rPr>
      </w:pPr>
    </w:p>
    <w:p>
      <w:pPr>
        <w:pStyle w:val="BodyText"/>
        <w:spacing w:before="6"/>
        <w:rPr>
          <w:sz w:val="26"/>
        </w:rPr>
      </w:pPr>
    </w:p>
    <w:p>
      <w:pPr>
        <w:pStyle w:val="Heading4"/>
        <w:jc w:val="both"/>
      </w:pPr>
      <w:r>
        <w:rPr/>
        <w:t>Principales características de los hogares receptores de  remesas</w:t>
      </w:r>
    </w:p>
    <w:p>
      <w:pPr>
        <w:pStyle w:val="BodyText"/>
        <w:rPr>
          <w:b/>
          <w:sz w:val="22"/>
        </w:rPr>
      </w:pPr>
    </w:p>
    <w:p>
      <w:pPr>
        <w:pStyle w:val="BodyText"/>
        <w:rPr>
          <w:b/>
          <w:sz w:val="22"/>
        </w:rPr>
      </w:pPr>
    </w:p>
    <w:p>
      <w:pPr>
        <w:pStyle w:val="BodyText"/>
        <w:spacing w:before="6"/>
        <w:rPr>
          <w:b/>
          <w:sz w:val="27"/>
        </w:rPr>
      </w:pPr>
    </w:p>
    <w:p>
      <w:pPr>
        <w:pStyle w:val="BodyText"/>
        <w:spacing w:line="367" w:lineRule="auto"/>
        <w:ind w:left="101" w:right="105"/>
        <w:jc w:val="both"/>
      </w:pPr>
      <w:r>
        <w:rPr>
          <w:b/>
        </w:rPr>
        <w:t>Distribución por grupos de edades</w:t>
      </w:r>
      <w:r>
        <w:rPr/>
        <w:t>. Poco más de 70% de los receptores de remesas tienen entre 20 y 59 años de edad, y alrededor de uno de cada cuatro son mayores de 60</w:t>
      </w:r>
      <w:r>
        <w:rPr>
          <w:spacing w:val="8"/>
        </w:rPr>
        <w:t> </w:t>
      </w:r>
      <w:r>
        <w:rPr/>
        <w:t>años.</w:t>
      </w:r>
    </w:p>
    <w:p>
      <w:pPr>
        <w:pStyle w:val="BodyText"/>
        <w:spacing w:before="6"/>
      </w:pPr>
    </w:p>
    <w:p>
      <w:pPr>
        <w:pStyle w:val="BodyText"/>
        <w:spacing w:line="364" w:lineRule="auto" w:before="1"/>
        <w:ind w:left="101" w:right="105"/>
        <w:jc w:val="both"/>
      </w:pPr>
      <w:r>
        <w:rPr>
          <w:b/>
        </w:rPr>
        <w:t>Sexo y relación de parentesco</w:t>
      </w:r>
      <w:r>
        <w:rPr/>
        <w:t>. Aproximadamente siete de cada diez receptores son mujeres, fundamentalmente cónyuges del jefe del hogar, y en  una  proporción  que oscila entre 21% para las áreas rurales y 32% para las localidades de 2, 500 o más habitantes, son ellas mismas las jefes del hogar.</w:t>
      </w:r>
    </w:p>
    <w:p>
      <w:pPr>
        <w:pStyle w:val="BodyText"/>
        <w:spacing w:before="9"/>
      </w:pPr>
    </w:p>
    <w:p>
      <w:pPr>
        <w:pStyle w:val="BodyText"/>
        <w:spacing w:line="367" w:lineRule="auto"/>
        <w:ind w:left="101" w:right="102"/>
        <w:jc w:val="both"/>
      </w:pPr>
      <w:r>
        <w:rPr>
          <w:b/>
        </w:rPr>
        <w:t>Condición de actividad</w:t>
      </w:r>
      <w:r>
        <w:rPr/>
        <w:t>. La mitad de los receptores de remesas forman parte de la población económicamente inactiva, población que  alcanza proporciones  de 56% en   las localidades con 2,500 o más habitantes, y 48% en las áreas </w:t>
      </w:r>
      <w:r>
        <w:rPr>
          <w:spacing w:val="16"/>
        </w:rPr>
        <w:t> </w:t>
      </w:r>
      <w:r>
        <w:rPr/>
        <w:t>rurales.</w:t>
      </w:r>
    </w:p>
    <w:p>
      <w:pPr>
        <w:spacing w:after="0" w:line="367" w:lineRule="auto"/>
        <w:jc w:val="both"/>
        <w:sectPr>
          <w:pgSz w:w="11900" w:h="16840"/>
          <w:pgMar w:header="0" w:footer="1679" w:top="1600" w:bottom="1860" w:left="1300" w:right="1280"/>
        </w:sectPr>
      </w:pPr>
    </w:p>
    <w:p>
      <w:pPr>
        <w:pStyle w:val="BodyText"/>
        <w:rPr>
          <w:sz w:val="20"/>
        </w:rPr>
      </w:pPr>
    </w:p>
    <w:p>
      <w:pPr>
        <w:pStyle w:val="BodyText"/>
        <w:spacing w:before="6"/>
        <w:rPr>
          <w:sz w:val="18"/>
        </w:rPr>
      </w:pPr>
    </w:p>
    <w:p>
      <w:pPr>
        <w:spacing w:line="364" w:lineRule="auto" w:before="74"/>
        <w:ind w:left="101" w:right="105" w:firstLine="0"/>
        <w:jc w:val="both"/>
        <w:rPr>
          <w:sz w:val="23"/>
        </w:rPr>
      </w:pPr>
      <w:r>
        <w:rPr>
          <w:b/>
          <w:sz w:val="23"/>
        </w:rPr>
        <w:t>Condición de recepción de otro tipo de ingreso corriente monetario</w:t>
      </w:r>
      <w:r>
        <w:rPr>
          <w:sz w:val="23"/>
        </w:rPr>
        <w:t>. En las localidades de 2,500 o más habitantes, casi 43% de los individuos que reciben remesas del exterior no tienen otra fuente de ingreso corriente monetario. Esta proporción disminuye a 38% en las localidades rurales.</w:t>
      </w:r>
    </w:p>
    <w:p>
      <w:pPr>
        <w:pStyle w:val="BodyText"/>
        <w:rPr>
          <w:sz w:val="24"/>
        </w:rPr>
      </w:pPr>
    </w:p>
    <w:p>
      <w:pPr>
        <w:pStyle w:val="BodyText"/>
        <w:spacing w:line="364" w:lineRule="auto"/>
        <w:ind w:left="101" w:right="106"/>
        <w:jc w:val="both"/>
      </w:pPr>
      <w:r>
        <w:rPr>
          <w:b/>
        </w:rPr>
        <w:t>Proporción de hogares sin jefe presente</w:t>
      </w:r>
      <w:r>
        <w:rPr/>
        <w:t>. La ausencia del jefe del hogar tiene lugar   en alrededor de dos de cada cuatro hogares receptores. Un 18% de los hogares ubicados en localidades de 2,500 o más habitantes, y en casi 22% de los hogares rurales.</w:t>
      </w:r>
    </w:p>
    <w:p>
      <w:pPr>
        <w:pStyle w:val="BodyText"/>
        <w:rPr>
          <w:sz w:val="24"/>
        </w:rPr>
      </w:pPr>
    </w:p>
    <w:p>
      <w:pPr>
        <w:pStyle w:val="BodyText"/>
        <w:spacing w:line="367" w:lineRule="auto"/>
        <w:ind w:left="101" w:right="105"/>
        <w:jc w:val="both"/>
      </w:pPr>
      <w:r>
        <w:rPr>
          <w:b/>
        </w:rPr>
        <w:t>Relación de masculinidad</w:t>
      </w:r>
      <w:r>
        <w:rPr/>
        <w:t>. En los hogares sin remesas provenientes del extranjero, el número medio de hombres por cada cien mujeres está prácticamente equilibrado (94).  En cambio, en los hogares receptores de remesas, la relación de masculinidad es notablemente inferior: aproximadamente 75 hombres por cada 100 </w:t>
      </w:r>
      <w:r>
        <w:rPr>
          <w:spacing w:val="23"/>
        </w:rPr>
        <w:t> </w:t>
      </w:r>
      <w:r>
        <w:rPr/>
        <w:t>mujeres.</w:t>
      </w:r>
    </w:p>
    <w:p>
      <w:pPr>
        <w:pStyle w:val="BodyText"/>
        <w:spacing w:before="6"/>
      </w:pPr>
    </w:p>
    <w:p>
      <w:pPr>
        <w:pStyle w:val="BodyText"/>
        <w:spacing w:line="367" w:lineRule="auto" w:before="1"/>
        <w:ind w:left="101" w:right="105"/>
        <w:jc w:val="both"/>
      </w:pPr>
      <w:r>
        <w:rPr>
          <w:b/>
        </w:rPr>
        <w:t>Relación de dependencia por grupos de edad</w:t>
      </w:r>
      <w:r>
        <w:rPr/>
        <w:t>. El número medio de personas en edades no productivas -menores de doce años o mayores de 65- por cada persona del grupo de edades potencialmente productivas -12 a 64 años- resulta sustancialmente superior en el conjunto de hogares receptores de remesas (0.62), que en el  de  unidades domésticas no receptoras</w:t>
      </w:r>
      <w:r>
        <w:rPr>
          <w:spacing w:val="45"/>
        </w:rPr>
        <w:t> </w:t>
      </w:r>
      <w:r>
        <w:rPr/>
        <w:t>(0.46).</w:t>
      </w:r>
    </w:p>
    <w:p>
      <w:pPr>
        <w:pStyle w:val="BodyText"/>
        <w:spacing w:before="6"/>
      </w:pPr>
    </w:p>
    <w:p>
      <w:pPr>
        <w:pStyle w:val="BodyText"/>
        <w:spacing w:line="367" w:lineRule="auto" w:before="1"/>
        <w:ind w:left="101" w:right="105"/>
        <w:jc w:val="both"/>
      </w:pPr>
      <w:r>
        <w:rPr>
          <w:b/>
        </w:rPr>
        <w:t>Relación de dependencia económica</w:t>
      </w:r>
      <w:r>
        <w:rPr/>
        <w:t>. Este es un indicador de la carga que para la población activa (PEA) representa la población inactiva (PEI). Esta relación es menor   en los hogares sin remesas que en los hogares que sí las reciben. En los primeros, </w:t>
      </w:r>
      <w:r>
        <w:rPr>
          <w:spacing w:val="2"/>
        </w:rPr>
        <w:t>la </w:t>
      </w:r>
      <w:r>
        <w:rPr/>
        <w:t>relación es de 77 miembros inactivos por cada 100 miembros activos, mientras que en los segundos es de 120 por cada</w:t>
      </w:r>
      <w:r>
        <w:rPr>
          <w:spacing w:val="46"/>
        </w:rPr>
        <w:t> </w:t>
      </w:r>
      <w:r>
        <w:rPr/>
        <w:t>100.</w:t>
      </w:r>
    </w:p>
    <w:p>
      <w:pPr>
        <w:pStyle w:val="BodyText"/>
        <w:rPr>
          <w:sz w:val="22"/>
        </w:rPr>
      </w:pPr>
    </w:p>
    <w:p>
      <w:pPr>
        <w:pStyle w:val="BodyText"/>
        <w:rPr>
          <w:sz w:val="22"/>
        </w:rPr>
      </w:pPr>
    </w:p>
    <w:p>
      <w:pPr>
        <w:pStyle w:val="BodyText"/>
        <w:spacing w:before="2"/>
      </w:pPr>
    </w:p>
    <w:p>
      <w:pPr>
        <w:pStyle w:val="Heading4"/>
        <w:numPr>
          <w:ilvl w:val="2"/>
          <w:numId w:val="20"/>
        </w:numPr>
        <w:tabs>
          <w:tab w:pos="760" w:val="left" w:leader="none"/>
        </w:tabs>
        <w:spacing w:line="244" w:lineRule="auto" w:before="0" w:after="0"/>
        <w:ind w:left="977" w:right="106" w:hanging="876"/>
        <w:jc w:val="left"/>
      </w:pPr>
      <w:r>
        <w:rPr/>
        <w:t>Uso de las remesas para distintos propósitos en los hogares receptores en México</w:t>
      </w:r>
    </w:p>
    <w:p>
      <w:pPr>
        <w:pStyle w:val="BodyText"/>
        <w:rPr>
          <w:b/>
          <w:sz w:val="22"/>
        </w:rPr>
      </w:pPr>
    </w:p>
    <w:p>
      <w:pPr>
        <w:pStyle w:val="BodyText"/>
        <w:spacing w:before="2"/>
        <w:rPr>
          <w:b/>
          <w:sz w:val="32"/>
        </w:rPr>
      </w:pPr>
    </w:p>
    <w:p>
      <w:pPr>
        <w:pStyle w:val="BodyText"/>
        <w:spacing w:line="364" w:lineRule="auto"/>
        <w:ind w:left="101" w:right="108"/>
        <w:jc w:val="both"/>
      </w:pPr>
      <w:r>
        <w:rPr/>
        <w:t>De acuerdo con la Cámara de Diputados (2003), el persistente incremento de las remesas está mostrando que los emigrantes conservan un vínculo importante con sus</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familias y sus comunidades a través del envío de dinero. Aún cuando se carece de análisis precisos que midan el impacto de las remesas en la microeconomía,  además  de que no hay registros sistemáticos de ellas, es indudable que son determinantes en    la vida de millones de</w:t>
      </w:r>
      <w:r>
        <w:rPr>
          <w:spacing w:val="34"/>
        </w:rPr>
        <w:t> </w:t>
      </w:r>
      <w:r>
        <w:rPr/>
        <w:t>familias.</w:t>
      </w:r>
    </w:p>
    <w:p>
      <w:pPr>
        <w:pStyle w:val="BodyText"/>
        <w:spacing w:before="4"/>
        <w:rPr>
          <w:sz w:val="17"/>
        </w:rPr>
      </w:pPr>
    </w:p>
    <w:p>
      <w:pPr>
        <w:pStyle w:val="BodyText"/>
        <w:spacing w:line="364" w:lineRule="auto"/>
        <w:ind w:left="101" w:right="105"/>
        <w:jc w:val="both"/>
      </w:pPr>
      <w:r>
        <w:rPr/>
        <w:t>Con base en CONAPO (1998), un cálculo elemental de promedio establece que uno de cada cinco mexicanos tendría un pariente en Estados Unidos, donde viven más de 25.5 millones de mexicanos, o mexicanos de origen, por lo cual el equivalente a un 20% de   la población nacional vive en la Unión Americana. Los envíos de remesas de los mexicanos en Estados Unidos, por lo general son de entre 150 y 200 dólares, en promedio 12.6 veces al</w:t>
      </w:r>
      <w:r>
        <w:rPr>
          <w:spacing w:val="31"/>
        </w:rPr>
        <w:t> </w:t>
      </w:r>
      <w:r>
        <w:rPr/>
        <w:t>año.</w:t>
      </w:r>
    </w:p>
    <w:p>
      <w:pPr>
        <w:pStyle w:val="BodyText"/>
        <w:spacing w:before="4"/>
        <w:rPr>
          <w:sz w:val="17"/>
        </w:rPr>
      </w:pPr>
    </w:p>
    <w:p>
      <w:pPr>
        <w:pStyle w:val="BodyText"/>
        <w:spacing w:line="364" w:lineRule="auto"/>
        <w:ind w:left="101" w:right="105"/>
        <w:jc w:val="both"/>
      </w:pPr>
      <w:r>
        <w:rPr/>
        <w:t>Alrededor de un 85% de los envíos se utilizan para gastos familiares básicos como alimentación, vivienda, salud y educación. Existen comunidades, regiones e incluso Estados -piense sólo en Zacatecas y Michoacán- que no podrían subsistir sin esos apoyos familiares que vienen del norte.</w:t>
      </w:r>
    </w:p>
    <w:p>
      <w:pPr>
        <w:pStyle w:val="BodyText"/>
        <w:spacing w:before="4"/>
        <w:rPr>
          <w:sz w:val="17"/>
        </w:rPr>
      </w:pPr>
    </w:p>
    <w:p>
      <w:pPr>
        <w:pStyle w:val="BodyText"/>
        <w:spacing w:line="364" w:lineRule="auto"/>
        <w:ind w:left="101" w:right="103"/>
        <w:jc w:val="both"/>
      </w:pPr>
      <w:r>
        <w:rPr/>
        <w:t>El ingreso de divisas a las economías locales, además de generar en ellas liquidez, capacidad de compra, educación, entre otros beneficios, provoca efectos  multiplicadores, generalmente en las zonas rurales, como es la generación de empleo, producción de bienes tanto para consumo propio como para la venta, y  con  ello  rotación de inventarios, que trae como consecuencia una mayor circulación </w:t>
      </w:r>
      <w:r>
        <w:rPr>
          <w:spacing w:val="27"/>
        </w:rPr>
        <w:t> </w:t>
      </w:r>
      <w:r>
        <w:rPr/>
        <w:t>monetaria.</w:t>
      </w:r>
    </w:p>
    <w:p>
      <w:pPr>
        <w:pStyle w:val="BodyText"/>
        <w:spacing w:before="4"/>
        <w:rPr>
          <w:sz w:val="17"/>
        </w:rPr>
      </w:pPr>
    </w:p>
    <w:p>
      <w:pPr>
        <w:pStyle w:val="BodyText"/>
        <w:spacing w:line="364" w:lineRule="auto"/>
        <w:ind w:left="101" w:right="103"/>
        <w:jc w:val="both"/>
      </w:pPr>
      <w:r>
        <w:rPr/>
        <w:t>En México, el impacto de las remesas es más visible a escala local, ya que los flujos de dichos ingresos se concentran en regiones bien definidas de su territorio: las zonas rurales de 10 Estados (de un total de 32) captan más de las dos terceras partes de los ingresos por remesas en este país.</w:t>
      </w:r>
    </w:p>
    <w:p>
      <w:pPr>
        <w:pStyle w:val="BodyText"/>
        <w:spacing w:before="6"/>
        <w:rPr>
          <w:sz w:val="17"/>
        </w:rPr>
      </w:pPr>
    </w:p>
    <w:p>
      <w:pPr>
        <w:pStyle w:val="BodyText"/>
        <w:spacing w:line="364" w:lineRule="auto"/>
        <w:ind w:left="101" w:right="106"/>
        <w:jc w:val="both"/>
      </w:pPr>
      <w:r>
        <w:rPr/>
        <w:t>Los usos de las remesas están perfectamente definidos (Cuadro 5), puesto que los hogares mexicanos las gastan para el consumo de bienes básicos, para  generar  ahorros e</w:t>
      </w:r>
      <w:r>
        <w:rPr>
          <w:spacing w:val="19"/>
        </w:rPr>
        <w:t> </w:t>
      </w:r>
      <w:r>
        <w:rPr/>
        <w:t>invertir.</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6"/>
        <w:rPr>
          <w:sz w:val="18"/>
        </w:rPr>
      </w:pPr>
    </w:p>
    <w:p>
      <w:pPr>
        <w:pStyle w:val="Heading4"/>
        <w:spacing w:line="364" w:lineRule="auto" w:before="74"/>
        <w:ind w:left="3166" w:right="447" w:hanging="2511"/>
      </w:pPr>
      <w:r>
        <w:rPr/>
        <w:t>Cuadro 5. México: uso principal de las remesas en los hogares receptores durante el periodo 1978-1997</w:t>
      </w:r>
    </w:p>
    <w:p>
      <w:pPr>
        <w:pStyle w:val="BodyText"/>
        <w:spacing w:before="7"/>
        <w:rPr>
          <w:b/>
          <w:sz w:val="10"/>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61"/>
        <w:gridCol w:w="1402"/>
        <w:gridCol w:w="1402"/>
        <w:gridCol w:w="1274"/>
      </w:tblGrid>
      <w:tr>
        <w:trPr>
          <w:trHeight w:val="515" w:hRule="exact"/>
        </w:trPr>
        <w:tc>
          <w:tcPr>
            <w:tcW w:w="4661" w:type="dxa"/>
            <w:tcBorders>
              <w:bottom w:val="single" w:sz="3" w:space="0" w:color="000000"/>
            </w:tcBorders>
          </w:tcPr>
          <w:p>
            <w:pPr>
              <w:pStyle w:val="TableParagraph"/>
              <w:spacing w:before="0"/>
              <w:ind w:left="100" w:right="100"/>
              <w:jc w:val="left"/>
              <w:rPr>
                <w:b/>
                <w:sz w:val="23"/>
              </w:rPr>
            </w:pPr>
            <w:r>
              <w:rPr>
                <w:b/>
                <w:sz w:val="23"/>
              </w:rPr>
              <w:t>Tipo de uso</w:t>
            </w:r>
          </w:p>
        </w:tc>
        <w:tc>
          <w:tcPr>
            <w:tcW w:w="1402" w:type="dxa"/>
            <w:tcBorders>
              <w:bottom w:val="single" w:sz="3" w:space="0" w:color="000000"/>
            </w:tcBorders>
          </w:tcPr>
          <w:p>
            <w:pPr>
              <w:pStyle w:val="TableParagraph"/>
              <w:spacing w:before="0"/>
              <w:ind w:left="100"/>
              <w:jc w:val="left"/>
              <w:rPr>
                <w:b/>
                <w:sz w:val="23"/>
              </w:rPr>
            </w:pPr>
            <w:r>
              <w:rPr>
                <w:b/>
                <w:sz w:val="23"/>
              </w:rPr>
              <w:t>ENEFNEU</w:t>
            </w:r>
          </w:p>
        </w:tc>
        <w:tc>
          <w:tcPr>
            <w:tcW w:w="1402" w:type="dxa"/>
            <w:tcBorders>
              <w:bottom w:val="single" w:sz="3" w:space="0" w:color="000000"/>
            </w:tcBorders>
          </w:tcPr>
          <w:p>
            <w:pPr>
              <w:pStyle w:val="TableParagraph"/>
              <w:spacing w:before="0"/>
              <w:ind w:left="100" w:right="258"/>
              <w:jc w:val="left"/>
              <w:rPr>
                <w:b/>
                <w:sz w:val="23"/>
              </w:rPr>
            </w:pPr>
            <w:r>
              <w:rPr>
                <w:b/>
                <w:sz w:val="23"/>
              </w:rPr>
              <w:t>ETIDEU</w:t>
            </w:r>
          </w:p>
        </w:tc>
        <w:tc>
          <w:tcPr>
            <w:tcW w:w="1274" w:type="dxa"/>
            <w:tcBorders>
              <w:bottom w:val="single" w:sz="3" w:space="0" w:color="000000"/>
            </w:tcBorders>
          </w:tcPr>
          <w:p>
            <w:pPr>
              <w:pStyle w:val="TableParagraph"/>
              <w:spacing w:before="0"/>
              <w:ind w:left="100"/>
              <w:jc w:val="left"/>
              <w:rPr>
                <w:b/>
                <w:sz w:val="23"/>
              </w:rPr>
            </w:pPr>
            <w:r>
              <w:rPr>
                <w:b/>
                <w:sz w:val="23"/>
              </w:rPr>
              <w:t>EMIF</w:t>
            </w:r>
          </w:p>
        </w:tc>
      </w:tr>
      <w:tr>
        <w:trPr>
          <w:trHeight w:val="512" w:hRule="exact"/>
        </w:trPr>
        <w:tc>
          <w:tcPr>
            <w:tcW w:w="4661" w:type="dxa"/>
            <w:tcBorders>
              <w:top w:val="single" w:sz="3" w:space="0" w:color="000000"/>
            </w:tcBorders>
          </w:tcPr>
          <w:p>
            <w:pPr>
              <w:pStyle w:val="TableParagraph"/>
              <w:spacing w:before="0"/>
              <w:ind w:left="100" w:right="100"/>
              <w:jc w:val="left"/>
              <w:rPr>
                <w:b/>
                <w:sz w:val="23"/>
              </w:rPr>
            </w:pPr>
            <w:r>
              <w:rPr>
                <w:b/>
                <w:sz w:val="23"/>
              </w:rPr>
              <w:t>Total</w:t>
            </w:r>
          </w:p>
        </w:tc>
        <w:tc>
          <w:tcPr>
            <w:tcW w:w="1402" w:type="dxa"/>
            <w:tcBorders>
              <w:top w:val="single" w:sz="3" w:space="0" w:color="000000"/>
            </w:tcBorders>
          </w:tcPr>
          <w:p>
            <w:pPr>
              <w:pStyle w:val="TableParagraph"/>
              <w:ind w:right="101"/>
              <w:rPr>
                <w:sz w:val="23"/>
              </w:rPr>
            </w:pPr>
            <w:r>
              <w:rPr>
                <w:sz w:val="23"/>
              </w:rPr>
              <w:t>a_/</w:t>
            </w:r>
          </w:p>
        </w:tc>
        <w:tc>
          <w:tcPr>
            <w:tcW w:w="1402" w:type="dxa"/>
            <w:tcBorders>
              <w:top w:val="single" w:sz="3" w:space="0" w:color="000000"/>
            </w:tcBorders>
          </w:tcPr>
          <w:p>
            <w:pPr>
              <w:pStyle w:val="TableParagraph"/>
              <w:ind w:right="98"/>
              <w:rPr>
                <w:sz w:val="23"/>
              </w:rPr>
            </w:pPr>
            <w:r>
              <w:rPr>
                <w:sz w:val="23"/>
              </w:rPr>
              <w:t>100.0</w:t>
            </w:r>
          </w:p>
        </w:tc>
        <w:tc>
          <w:tcPr>
            <w:tcW w:w="1274" w:type="dxa"/>
            <w:tcBorders>
              <w:top w:val="single" w:sz="3" w:space="0" w:color="000000"/>
            </w:tcBorders>
          </w:tcPr>
          <w:p>
            <w:pPr>
              <w:pStyle w:val="TableParagraph"/>
              <w:ind w:right="98"/>
              <w:rPr>
                <w:sz w:val="23"/>
              </w:rPr>
            </w:pPr>
            <w:r>
              <w:rPr>
                <w:sz w:val="23"/>
              </w:rPr>
              <w:t>100.0</w:t>
            </w:r>
          </w:p>
        </w:tc>
      </w:tr>
      <w:tr>
        <w:trPr>
          <w:trHeight w:val="514" w:hRule="exact"/>
        </w:trPr>
        <w:tc>
          <w:tcPr>
            <w:tcW w:w="4661" w:type="dxa"/>
          </w:tcPr>
          <w:p>
            <w:pPr>
              <w:pStyle w:val="TableParagraph"/>
              <w:spacing w:before="0"/>
              <w:ind w:left="100" w:right="100"/>
              <w:jc w:val="left"/>
              <w:rPr>
                <w:b/>
                <w:sz w:val="23"/>
              </w:rPr>
            </w:pPr>
            <w:r>
              <w:rPr>
                <w:b/>
                <w:sz w:val="23"/>
              </w:rPr>
              <w:t>Consumo básico</w:t>
            </w:r>
          </w:p>
        </w:tc>
        <w:tc>
          <w:tcPr>
            <w:tcW w:w="1402" w:type="dxa"/>
          </w:tcPr>
          <w:p>
            <w:pPr>
              <w:pStyle w:val="TableParagraph"/>
              <w:ind w:right="98"/>
              <w:rPr>
                <w:sz w:val="23"/>
              </w:rPr>
            </w:pPr>
            <w:r>
              <w:rPr>
                <w:sz w:val="23"/>
              </w:rPr>
              <w:t>70.4</w:t>
            </w:r>
          </w:p>
        </w:tc>
        <w:tc>
          <w:tcPr>
            <w:tcW w:w="1402" w:type="dxa"/>
          </w:tcPr>
          <w:p>
            <w:pPr>
              <w:pStyle w:val="TableParagraph"/>
              <w:ind w:right="98"/>
              <w:rPr>
                <w:sz w:val="23"/>
              </w:rPr>
            </w:pPr>
            <w:r>
              <w:rPr>
                <w:sz w:val="23"/>
              </w:rPr>
              <w:t>83.7</w:t>
            </w:r>
          </w:p>
        </w:tc>
        <w:tc>
          <w:tcPr>
            <w:tcW w:w="1274" w:type="dxa"/>
          </w:tcPr>
          <w:p>
            <w:pPr>
              <w:pStyle w:val="TableParagraph"/>
              <w:ind w:right="98"/>
              <w:rPr>
                <w:sz w:val="23"/>
              </w:rPr>
            </w:pPr>
            <w:r>
              <w:rPr>
                <w:sz w:val="23"/>
              </w:rPr>
              <w:t>78.5</w:t>
            </w:r>
          </w:p>
        </w:tc>
      </w:tr>
      <w:tr>
        <w:trPr>
          <w:trHeight w:val="514" w:hRule="exact"/>
        </w:trPr>
        <w:tc>
          <w:tcPr>
            <w:tcW w:w="4661" w:type="dxa"/>
          </w:tcPr>
          <w:p>
            <w:pPr>
              <w:pStyle w:val="TableParagraph"/>
              <w:spacing w:before="0"/>
              <w:ind w:left="297" w:right="100"/>
              <w:jc w:val="left"/>
              <w:rPr>
                <w:sz w:val="23"/>
              </w:rPr>
            </w:pPr>
            <w:r>
              <w:rPr>
                <w:sz w:val="23"/>
              </w:rPr>
              <w:t>Consumo doméstico</w:t>
            </w:r>
          </w:p>
        </w:tc>
        <w:tc>
          <w:tcPr>
            <w:tcW w:w="1402" w:type="dxa"/>
          </w:tcPr>
          <w:p>
            <w:pPr>
              <w:pStyle w:val="TableParagraph"/>
              <w:spacing w:before="0"/>
              <w:ind w:right="98"/>
              <w:rPr>
                <w:sz w:val="23"/>
              </w:rPr>
            </w:pPr>
            <w:r>
              <w:rPr>
                <w:sz w:val="23"/>
              </w:rPr>
              <w:t>70.4</w:t>
            </w:r>
          </w:p>
        </w:tc>
        <w:tc>
          <w:tcPr>
            <w:tcW w:w="1402" w:type="dxa"/>
          </w:tcPr>
          <w:p>
            <w:pPr>
              <w:pStyle w:val="TableParagraph"/>
              <w:spacing w:before="0"/>
              <w:ind w:right="98"/>
              <w:rPr>
                <w:sz w:val="23"/>
              </w:rPr>
            </w:pPr>
            <w:r>
              <w:rPr>
                <w:sz w:val="23"/>
              </w:rPr>
              <w:t>82.0</w:t>
            </w:r>
          </w:p>
        </w:tc>
        <w:tc>
          <w:tcPr>
            <w:tcW w:w="1274" w:type="dxa"/>
          </w:tcPr>
          <w:p>
            <w:pPr>
              <w:pStyle w:val="TableParagraph"/>
              <w:spacing w:before="0"/>
              <w:ind w:right="97"/>
              <w:rPr>
                <w:sz w:val="23"/>
              </w:rPr>
            </w:pPr>
            <w:r>
              <w:rPr>
                <w:sz w:val="23"/>
              </w:rPr>
              <w:t>---</w:t>
            </w:r>
          </w:p>
        </w:tc>
      </w:tr>
      <w:tr>
        <w:trPr>
          <w:trHeight w:val="514" w:hRule="exact"/>
        </w:trPr>
        <w:tc>
          <w:tcPr>
            <w:tcW w:w="4661" w:type="dxa"/>
          </w:tcPr>
          <w:p>
            <w:pPr>
              <w:pStyle w:val="TableParagraph"/>
              <w:spacing w:before="0"/>
              <w:ind w:left="297" w:right="100"/>
              <w:jc w:val="left"/>
              <w:rPr>
                <w:sz w:val="23"/>
              </w:rPr>
            </w:pPr>
            <w:r>
              <w:rPr>
                <w:sz w:val="23"/>
              </w:rPr>
              <w:t>Compra de carro y aparatos eléctricos</w:t>
            </w:r>
          </w:p>
        </w:tc>
        <w:tc>
          <w:tcPr>
            <w:tcW w:w="1402" w:type="dxa"/>
          </w:tcPr>
          <w:p>
            <w:pPr>
              <w:pStyle w:val="TableParagraph"/>
              <w:spacing w:before="0"/>
              <w:ind w:right="100"/>
              <w:rPr>
                <w:sz w:val="23"/>
              </w:rPr>
            </w:pPr>
            <w:r>
              <w:rPr>
                <w:sz w:val="23"/>
              </w:rPr>
              <w:t>---</w:t>
            </w:r>
          </w:p>
        </w:tc>
        <w:tc>
          <w:tcPr>
            <w:tcW w:w="1402" w:type="dxa"/>
          </w:tcPr>
          <w:p>
            <w:pPr>
              <w:pStyle w:val="TableParagraph"/>
              <w:spacing w:before="0"/>
              <w:ind w:right="98"/>
              <w:rPr>
                <w:sz w:val="23"/>
              </w:rPr>
            </w:pPr>
            <w:r>
              <w:rPr>
                <w:sz w:val="23"/>
              </w:rPr>
              <w:t>1.6</w:t>
            </w:r>
          </w:p>
        </w:tc>
        <w:tc>
          <w:tcPr>
            <w:tcW w:w="1274" w:type="dxa"/>
          </w:tcPr>
          <w:p>
            <w:pPr>
              <w:pStyle w:val="TableParagraph"/>
              <w:spacing w:before="0"/>
              <w:ind w:right="97"/>
              <w:rPr>
                <w:sz w:val="23"/>
              </w:rPr>
            </w:pPr>
            <w:r>
              <w:rPr>
                <w:sz w:val="23"/>
              </w:rPr>
              <w:t>---</w:t>
            </w:r>
          </w:p>
        </w:tc>
      </w:tr>
      <w:tr>
        <w:trPr>
          <w:trHeight w:val="823" w:hRule="exact"/>
        </w:trPr>
        <w:tc>
          <w:tcPr>
            <w:tcW w:w="4661" w:type="dxa"/>
          </w:tcPr>
          <w:p>
            <w:pPr>
              <w:pStyle w:val="TableParagraph"/>
              <w:tabs>
                <w:tab w:pos="1439" w:val="left" w:leader="none"/>
                <w:tab w:pos="1898" w:val="left" w:leader="none"/>
                <w:tab w:pos="3175" w:val="left" w:leader="none"/>
              </w:tabs>
              <w:spacing w:line="278" w:lineRule="auto" w:before="0"/>
              <w:ind w:left="100" w:right="100"/>
              <w:jc w:val="left"/>
              <w:rPr>
                <w:b/>
                <w:sz w:val="23"/>
              </w:rPr>
            </w:pPr>
            <w:r>
              <w:rPr>
                <w:b/>
                <w:sz w:val="23"/>
              </w:rPr>
              <w:t>Vivienda</w:t>
              <w:tab/>
              <w:t>(</w:t>
              <w:tab/>
            </w:r>
            <w:r>
              <w:rPr>
                <w:sz w:val="23"/>
              </w:rPr>
              <w:t>Compra,</w:t>
              <w:tab/>
            </w:r>
            <w:r>
              <w:rPr>
                <w:spacing w:val="-1"/>
                <w:sz w:val="23"/>
              </w:rPr>
              <w:t>construcción, </w:t>
            </w:r>
            <w:r>
              <w:rPr>
                <w:sz w:val="23"/>
              </w:rPr>
              <w:t>mejoras</w:t>
            </w:r>
            <w:r>
              <w:rPr>
                <w:b/>
                <w:sz w:val="23"/>
              </w:rPr>
              <w:t>)</w:t>
            </w:r>
          </w:p>
        </w:tc>
        <w:tc>
          <w:tcPr>
            <w:tcW w:w="1402" w:type="dxa"/>
          </w:tcPr>
          <w:p>
            <w:pPr>
              <w:pStyle w:val="TableParagraph"/>
              <w:ind w:right="98"/>
              <w:rPr>
                <w:sz w:val="23"/>
              </w:rPr>
            </w:pPr>
            <w:r>
              <w:rPr>
                <w:sz w:val="23"/>
              </w:rPr>
              <w:t>8.6</w:t>
            </w:r>
          </w:p>
        </w:tc>
        <w:tc>
          <w:tcPr>
            <w:tcW w:w="1402" w:type="dxa"/>
          </w:tcPr>
          <w:p>
            <w:pPr>
              <w:pStyle w:val="TableParagraph"/>
              <w:ind w:right="98"/>
              <w:rPr>
                <w:sz w:val="23"/>
              </w:rPr>
            </w:pPr>
            <w:r>
              <w:rPr>
                <w:sz w:val="23"/>
              </w:rPr>
              <w:t>5.1</w:t>
            </w:r>
          </w:p>
        </w:tc>
        <w:tc>
          <w:tcPr>
            <w:tcW w:w="1274" w:type="dxa"/>
          </w:tcPr>
          <w:p>
            <w:pPr>
              <w:pStyle w:val="TableParagraph"/>
              <w:ind w:right="98"/>
              <w:rPr>
                <w:sz w:val="23"/>
              </w:rPr>
            </w:pPr>
            <w:r>
              <w:rPr>
                <w:sz w:val="23"/>
              </w:rPr>
              <w:t>16.5</w:t>
            </w:r>
          </w:p>
        </w:tc>
      </w:tr>
      <w:tr>
        <w:trPr>
          <w:trHeight w:val="511" w:hRule="exact"/>
        </w:trPr>
        <w:tc>
          <w:tcPr>
            <w:tcW w:w="4661" w:type="dxa"/>
          </w:tcPr>
          <w:p>
            <w:pPr>
              <w:pStyle w:val="TableParagraph"/>
              <w:spacing w:line="262" w:lineRule="exact" w:before="0"/>
              <w:ind w:left="100" w:right="100"/>
              <w:jc w:val="left"/>
              <w:rPr>
                <w:b/>
                <w:sz w:val="23"/>
              </w:rPr>
            </w:pPr>
            <w:r>
              <w:rPr>
                <w:b/>
                <w:sz w:val="23"/>
              </w:rPr>
              <w:t>Inversión productiva</w:t>
            </w:r>
          </w:p>
        </w:tc>
        <w:tc>
          <w:tcPr>
            <w:tcW w:w="1402" w:type="dxa"/>
          </w:tcPr>
          <w:p>
            <w:pPr>
              <w:pStyle w:val="TableParagraph"/>
              <w:spacing w:before="0"/>
              <w:ind w:right="98"/>
              <w:rPr>
                <w:sz w:val="23"/>
              </w:rPr>
            </w:pPr>
            <w:r>
              <w:rPr>
                <w:sz w:val="23"/>
              </w:rPr>
              <w:t>7.3</w:t>
            </w:r>
          </w:p>
        </w:tc>
        <w:tc>
          <w:tcPr>
            <w:tcW w:w="1402" w:type="dxa"/>
          </w:tcPr>
          <w:p>
            <w:pPr>
              <w:pStyle w:val="TableParagraph"/>
              <w:spacing w:before="0"/>
              <w:ind w:right="98"/>
              <w:rPr>
                <w:sz w:val="23"/>
              </w:rPr>
            </w:pPr>
            <w:r>
              <w:rPr>
                <w:sz w:val="23"/>
              </w:rPr>
              <w:t>2.7</w:t>
            </w:r>
          </w:p>
        </w:tc>
        <w:tc>
          <w:tcPr>
            <w:tcW w:w="1274" w:type="dxa"/>
          </w:tcPr>
          <w:p>
            <w:pPr>
              <w:pStyle w:val="TableParagraph"/>
              <w:spacing w:before="0"/>
              <w:ind w:right="98"/>
              <w:rPr>
                <w:sz w:val="23"/>
              </w:rPr>
            </w:pPr>
            <w:r>
              <w:rPr>
                <w:sz w:val="23"/>
              </w:rPr>
              <w:t>1.7</w:t>
            </w:r>
          </w:p>
        </w:tc>
      </w:tr>
      <w:tr>
        <w:trPr>
          <w:trHeight w:val="822" w:hRule="exact"/>
        </w:trPr>
        <w:tc>
          <w:tcPr>
            <w:tcW w:w="4661" w:type="dxa"/>
            <w:tcBorders>
              <w:bottom w:val="single" w:sz="3" w:space="0" w:color="000000"/>
            </w:tcBorders>
          </w:tcPr>
          <w:p>
            <w:pPr>
              <w:pStyle w:val="TableParagraph"/>
              <w:spacing w:line="280" w:lineRule="auto"/>
              <w:ind w:left="100" w:right="100" w:firstLine="196"/>
              <w:jc w:val="left"/>
              <w:rPr>
                <w:sz w:val="23"/>
              </w:rPr>
            </w:pPr>
            <w:r>
              <w:rPr>
                <w:sz w:val="23"/>
              </w:rPr>
              <w:t>Compra de tierras, imple. Agrícolas y ganado</w:t>
            </w:r>
          </w:p>
        </w:tc>
        <w:tc>
          <w:tcPr>
            <w:tcW w:w="1402" w:type="dxa"/>
            <w:tcBorders>
              <w:bottom w:val="single" w:sz="3" w:space="0" w:color="000000"/>
            </w:tcBorders>
          </w:tcPr>
          <w:p>
            <w:pPr>
              <w:pStyle w:val="TableParagraph"/>
              <w:ind w:right="100"/>
              <w:rPr>
                <w:sz w:val="23"/>
              </w:rPr>
            </w:pPr>
            <w:r>
              <w:rPr>
                <w:sz w:val="23"/>
              </w:rPr>
              <w:t>---</w:t>
            </w:r>
          </w:p>
        </w:tc>
        <w:tc>
          <w:tcPr>
            <w:tcW w:w="1402" w:type="dxa"/>
            <w:tcBorders>
              <w:bottom w:val="single" w:sz="3" w:space="0" w:color="000000"/>
            </w:tcBorders>
          </w:tcPr>
          <w:p>
            <w:pPr>
              <w:pStyle w:val="TableParagraph"/>
              <w:ind w:right="98"/>
              <w:rPr>
                <w:sz w:val="23"/>
              </w:rPr>
            </w:pPr>
            <w:r>
              <w:rPr>
                <w:sz w:val="23"/>
              </w:rPr>
              <w:t>1.6</w:t>
            </w:r>
          </w:p>
        </w:tc>
        <w:tc>
          <w:tcPr>
            <w:tcW w:w="1274" w:type="dxa"/>
            <w:tcBorders>
              <w:bottom w:val="single" w:sz="3" w:space="0" w:color="000000"/>
            </w:tcBorders>
          </w:tcPr>
          <w:p>
            <w:pPr>
              <w:pStyle w:val="TableParagraph"/>
              <w:ind w:right="97"/>
              <w:rPr>
                <w:sz w:val="23"/>
              </w:rPr>
            </w:pPr>
            <w:r>
              <w:rPr>
                <w:sz w:val="23"/>
              </w:rPr>
              <w:t>---</w:t>
            </w:r>
          </w:p>
        </w:tc>
      </w:tr>
      <w:tr>
        <w:trPr>
          <w:trHeight w:val="515" w:hRule="exact"/>
        </w:trPr>
        <w:tc>
          <w:tcPr>
            <w:tcW w:w="4661" w:type="dxa"/>
            <w:tcBorders>
              <w:top w:val="single" w:sz="3" w:space="0" w:color="000000"/>
            </w:tcBorders>
          </w:tcPr>
          <w:p>
            <w:pPr>
              <w:pStyle w:val="TableParagraph"/>
              <w:spacing w:before="5"/>
              <w:ind w:left="297" w:right="100"/>
              <w:jc w:val="left"/>
              <w:rPr>
                <w:sz w:val="23"/>
              </w:rPr>
            </w:pPr>
            <w:r>
              <w:rPr>
                <w:sz w:val="23"/>
              </w:rPr>
              <w:t>Establecer o comprar un negocio</w:t>
            </w:r>
          </w:p>
        </w:tc>
        <w:tc>
          <w:tcPr>
            <w:tcW w:w="1402" w:type="dxa"/>
            <w:tcBorders>
              <w:top w:val="single" w:sz="3" w:space="0" w:color="000000"/>
            </w:tcBorders>
          </w:tcPr>
          <w:p>
            <w:pPr>
              <w:pStyle w:val="TableParagraph"/>
              <w:spacing w:before="5"/>
              <w:ind w:right="100"/>
              <w:rPr>
                <w:sz w:val="23"/>
              </w:rPr>
            </w:pPr>
            <w:r>
              <w:rPr>
                <w:sz w:val="23"/>
              </w:rPr>
              <w:t>---</w:t>
            </w:r>
          </w:p>
        </w:tc>
        <w:tc>
          <w:tcPr>
            <w:tcW w:w="1402" w:type="dxa"/>
            <w:tcBorders>
              <w:top w:val="single" w:sz="3" w:space="0" w:color="000000"/>
            </w:tcBorders>
          </w:tcPr>
          <w:p>
            <w:pPr>
              <w:pStyle w:val="TableParagraph"/>
              <w:spacing w:before="5"/>
              <w:ind w:right="98"/>
              <w:rPr>
                <w:sz w:val="23"/>
              </w:rPr>
            </w:pPr>
            <w:r>
              <w:rPr>
                <w:sz w:val="23"/>
              </w:rPr>
              <w:t>1.2</w:t>
            </w:r>
          </w:p>
        </w:tc>
        <w:tc>
          <w:tcPr>
            <w:tcW w:w="1274" w:type="dxa"/>
            <w:tcBorders>
              <w:top w:val="single" w:sz="3" w:space="0" w:color="000000"/>
            </w:tcBorders>
          </w:tcPr>
          <w:p>
            <w:pPr>
              <w:pStyle w:val="TableParagraph"/>
              <w:spacing w:before="5"/>
              <w:ind w:right="97"/>
              <w:rPr>
                <w:sz w:val="23"/>
              </w:rPr>
            </w:pPr>
            <w:r>
              <w:rPr>
                <w:sz w:val="23"/>
              </w:rPr>
              <w:t>---</w:t>
            </w:r>
          </w:p>
        </w:tc>
      </w:tr>
      <w:tr>
        <w:trPr>
          <w:trHeight w:val="514" w:hRule="exact"/>
        </w:trPr>
        <w:tc>
          <w:tcPr>
            <w:tcW w:w="4661" w:type="dxa"/>
          </w:tcPr>
          <w:p>
            <w:pPr>
              <w:pStyle w:val="TableParagraph"/>
              <w:spacing w:line="262" w:lineRule="exact" w:before="0"/>
              <w:ind w:left="100" w:right="100"/>
              <w:jc w:val="left"/>
              <w:rPr>
                <w:b/>
                <w:sz w:val="23"/>
              </w:rPr>
            </w:pPr>
            <w:r>
              <w:rPr>
                <w:b/>
                <w:sz w:val="23"/>
              </w:rPr>
              <w:t>Otros</w:t>
            </w:r>
          </w:p>
        </w:tc>
        <w:tc>
          <w:tcPr>
            <w:tcW w:w="1402" w:type="dxa"/>
          </w:tcPr>
          <w:p>
            <w:pPr>
              <w:pStyle w:val="TableParagraph"/>
              <w:spacing w:before="0"/>
              <w:ind w:right="98"/>
              <w:rPr>
                <w:sz w:val="23"/>
              </w:rPr>
            </w:pPr>
            <w:r>
              <w:rPr>
                <w:sz w:val="23"/>
              </w:rPr>
              <w:t>8.2</w:t>
            </w:r>
          </w:p>
        </w:tc>
        <w:tc>
          <w:tcPr>
            <w:tcW w:w="1402" w:type="dxa"/>
          </w:tcPr>
          <w:p>
            <w:pPr>
              <w:pStyle w:val="TableParagraph"/>
              <w:spacing w:before="0"/>
              <w:ind w:right="98"/>
              <w:rPr>
                <w:sz w:val="23"/>
              </w:rPr>
            </w:pPr>
            <w:r>
              <w:rPr>
                <w:sz w:val="23"/>
              </w:rPr>
              <w:t>8.5</w:t>
            </w:r>
          </w:p>
        </w:tc>
        <w:tc>
          <w:tcPr>
            <w:tcW w:w="1274" w:type="dxa"/>
          </w:tcPr>
          <w:p>
            <w:pPr>
              <w:pStyle w:val="TableParagraph"/>
              <w:spacing w:before="0"/>
              <w:ind w:right="98"/>
              <w:rPr>
                <w:sz w:val="23"/>
              </w:rPr>
            </w:pPr>
            <w:r>
              <w:rPr>
                <w:sz w:val="23"/>
              </w:rPr>
              <w:t>3.3</w:t>
            </w:r>
          </w:p>
        </w:tc>
      </w:tr>
      <w:tr>
        <w:trPr>
          <w:trHeight w:val="514" w:hRule="exact"/>
        </w:trPr>
        <w:tc>
          <w:tcPr>
            <w:tcW w:w="4661" w:type="dxa"/>
          </w:tcPr>
          <w:p>
            <w:pPr>
              <w:pStyle w:val="TableParagraph"/>
              <w:spacing w:before="0"/>
              <w:ind w:left="297" w:right="100"/>
              <w:jc w:val="left"/>
              <w:rPr>
                <w:sz w:val="23"/>
              </w:rPr>
            </w:pPr>
            <w:r>
              <w:rPr>
                <w:sz w:val="23"/>
              </w:rPr>
              <w:t>Pago de deudas</w:t>
            </w:r>
          </w:p>
        </w:tc>
        <w:tc>
          <w:tcPr>
            <w:tcW w:w="1402" w:type="dxa"/>
          </w:tcPr>
          <w:p>
            <w:pPr>
              <w:pStyle w:val="TableParagraph"/>
              <w:spacing w:before="0"/>
              <w:ind w:right="98"/>
              <w:rPr>
                <w:sz w:val="23"/>
              </w:rPr>
            </w:pPr>
            <w:r>
              <w:rPr>
                <w:sz w:val="23"/>
              </w:rPr>
              <w:t>8.2</w:t>
            </w:r>
          </w:p>
        </w:tc>
        <w:tc>
          <w:tcPr>
            <w:tcW w:w="1402" w:type="dxa"/>
          </w:tcPr>
          <w:p>
            <w:pPr>
              <w:pStyle w:val="TableParagraph"/>
              <w:spacing w:before="0"/>
              <w:ind w:right="98"/>
              <w:rPr>
                <w:sz w:val="23"/>
              </w:rPr>
            </w:pPr>
            <w:r>
              <w:rPr>
                <w:sz w:val="23"/>
              </w:rPr>
              <w:t>3.5</w:t>
            </w:r>
          </w:p>
        </w:tc>
        <w:tc>
          <w:tcPr>
            <w:tcW w:w="1274" w:type="dxa"/>
          </w:tcPr>
          <w:p>
            <w:pPr>
              <w:pStyle w:val="TableParagraph"/>
              <w:spacing w:before="0"/>
              <w:ind w:right="97"/>
              <w:rPr>
                <w:sz w:val="23"/>
              </w:rPr>
            </w:pPr>
            <w:r>
              <w:rPr>
                <w:sz w:val="23"/>
              </w:rPr>
              <w:t>---</w:t>
            </w:r>
          </w:p>
        </w:tc>
      </w:tr>
      <w:tr>
        <w:trPr>
          <w:trHeight w:val="511" w:hRule="exact"/>
        </w:trPr>
        <w:tc>
          <w:tcPr>
            <w:tcW w:w="4661" w:type="dxa"/>
          </w:tcPr>
          <w:p>
            <w:pPr>
              <w:pStyle w:val="TableParagraph"/>
              <w:spacing w:before="0"/>
              <w:ind w:left="297" w:right="100"/>
              <w:jc w:val="left"/>
              <w:rPr>
                <w:sz w:val="23"/>
              </w:rPr>
            </w:pPr>
            <w:r>
              <w:rPr>
                <w:sz w:val="23"/>
              </w:rPr>
              <w:t>Otros gastos</w:t>
            </w:r>
          </w:p>
        </w:tc>
        <w:tc>
          <w:tcPr>
            <w:tcW w:w="1402" w:type="dxa"/>
          </w:tcPr>
          <w:p>
            <w:pPr>
              <w:pStyle w:val="TableParagraph"/>
              <w:spacing w:before="0"/>
              <w:ind w:right="100"/>
              <w:rPr>
                <w:sz w:val="23"/>
              </w:rPr>
            </w:pPr>
            <w:r>
              <w:rPr>
                <w:sz w:val="23"/>
              </w:rPr>
              <w:t>---</w:t>
            </w:r>
          </w:p>
        </w:tc>
        <w:tc>
          <w:tcPr>
            <w:tcW w:w="1402" w:type="dxa"/>
          </w:tcPr>
          <w:p>
            <w:pPr>
              <w:pStyle w:val="TableParagraph"/>
              <w:spacing w:before="0"/>
              <w:ind w:right="98"/>
              <w:rPr>
                <w:sz w:val="23"/>
              </w:rPr>
            </w:pPr>
            <w:r>
              <w:rPr>
                <w:sz w:val="23"/>
              </w:rPr>
              <w:t>5.0</w:t>
            </w:r>
          </w:p>
        </w:tc>
        <w:tc>
          <w:tcPr>
            <w:tcW w:w="1274" w:type="dxa"/>
          </w:tcPr>
          <w:p>
            <w:pPr>
              <w:pStyle w:val="TableParagraph"/>
              <w:spacing w:before="0"/>
              <w:ind w:right="97"/>
              <w:rPr>
                <w:sz w:val="23"/>
              </w:rPr>
            </w:pPr>
            <w:r>
              <w:rPr>
                <w:sz w:val="23"/>
              </w:rPr>
              <w:t>---</w:t>
            </w:r>
          </w:p>
        </w:tc>
      </w:tr>
    </w:tbl>
    <w:p>
      <w:pPr>
        <w:spacing w:before="2"/>
        <w:ind w:left="221" w:right="0" w:firstLine="0"/>
        <w:jc w:val="both"/>
        <w:rPr>
          <w:sz w:val="21"/>
        </w:rPr>
      </w:pPr>
      <w:r>
        <w:rPr>
          <w:sz w:val="21"/>
        </w:rPr>
        <w:t>Fuente: Zazueta (1981), CONAPO (1984), CONAPO, STyPS, y COLEF (1993 1994,   1994-1995</w:t>
      </w:r>
    </w:p>
    <w:p>
      <w:pPr>
        <w:spacing w:before="5"/>
        <w:ind w:left="221" w:right="0" w:firstLine="0"/>
        <w:jc w:val="both"/>
        <w:rPr>
          <w:sz w:val="21"/>
        </w:rPr>
      </w:pPr>
      <w:r>
        <w:rPr>
          <w:sz w:val="21"/>
        </w:rPr>
        <w:t>y 1996-1997).  --- Sin</w:t>
      </w:r>
      <w:r>
        <w:rPr>
          <w:spacing w:val="50"/>
          <w:sz w:val="21"/>
        </w:rPr>
        <w:t> </w:t>
      </w:r>
      <w:r>
        <w:rPr>
          <w:sz w:val="21"/>
        </w:rPr>
        <w:t>respuesta.</w:t>
      </w:r>
    </w:p>
    <w:p>
      <w:pPr>
        <w:spacing w:line="244" w:lineRule="auto" w:before="121"/>
        <w:ind w:left="221" w:right="103" w:firstLine="0"/>
        <w:jc w:val="both"/>
        <w:rPr>
          <w:sz w:val="21"/>
        </w:rPr>
      </w:pPr>
      <w:r>
        <w:rPr>
          <w:sz w:val="21"/>
        </w:rPr>
        <w:t>a_/ La suma no da 100% ya que no se incluyeron algunos rubros que especifica el autor. Cabe señalar que se aceptaron respuestas para más de un  concepto.</w:t>
      </w:r>
    </w:p>
    <w:p>
      <w:pPr>
        <w:pStyle w:val="BodyText"/>
        <w:spacing w:before="9"/>
        <w:rPr>
          <w:sz w:val="16"/>
        </w:rPr>
      </w:pPr>
    </w:p>
    <w:p>
      <w:pPr>
        <w:pStyle w:val="ListParagraph"/>
        <w:numPr>
          <w:ilvl w:val="3"/>
          <w:numId w:val="20"/>
        </w:numPr>
        <w:tabs>
          <w:tab w:pos="922" w:val="left" w:leader="none"/>
          <w:tab w:pos="923" w:val="left" w:leader="none"/>
        </w:tabs>
        <w:spacing w:line="244" w:lineRule="auto" w:before="0" w:after="0"/>
        <w:ind w:left="922" w:right="104" w:hanging="350"/>
        <w:jc w:val="left"/>
        <w:rPr>
          <w:sz w:val="21"/>
        </w:rPr>
      </w:pPr>
      <w:r>
        <w:rPr>
          <w:sz w:val="21"/>
        </w:rPr>
        <w:t>ENEFNEU (Encuesta Nacional de Emigración a la Frontera Norte del País y a  los Estados</w:t>
      </w:r>
      <w:r>
        <w:rPr>
          <w:spacing w:val="26"/>
          <w:sz w:val="21"/>
        </w:rPr>
        <w:t> </w:t>
      </w:r>
      <w:r>
        <w:rPr>
          <w:sz w:val="21"/>
        </w:rPr>
        <w:t>Unidos).</w:t>
      </w:r>
    </w:p>
    <w:p>
      <w:pPr>
        <w:pStyle w:val="BodyText"/>
        <w:rPr>
          <w:sz w:val="17"/>
        </w:rPr>
      </w:pPr>
    </w:p>
    <w:p>
      <w:pPr>
        <w:pStyle w:val="ListParagraph"/>
        <w:numPr>
          <w:ilvl w:val="3"/>
          <w:numId w:val="20"/>
        </w:numPr>
        <w:tabs>
          <w:tab w:pos="922" w:val="left" w:leader="none"/>
          <w:tab w:pos="923" w:val="left" w:leader="none"/>
        </w:tabs>
        <w:spacing w:line="240" w:lineRule="auto" w:before="0" w:after="0"/>
        <w:ind w:left="922" w:right="103" w:hanging="350"/>
        <w:jc w:val="left"/>
        <w:rPr>
          <w:sz w:val="21"/>
        </w:rPr>
      </w:pPr>
      <w:r>
        <w:rPr>
          <w:sz w:val="21"/>
        </w:rPr>
        <w:t>ETIDEU (Encuesta en la Frontera Norte a Trabajadores Indocumentados Devueltos por las Autoridades de los Estados Unidos de </w:t>
      </w:r>
      <w:r>
        <w:rPr>
          <w:spacing w:val="17"/>
          <w:sz w:val="21"/>
        </w:rPr>
        <w:t> </w:t>
      </w:r>
      <w:r>
        <w:rPr>
          <w:sz w:val="21"/>
        </w:rPr>
        <w:t>América).</w:t>
      </w:r>
    </w:p>
    <w:p>
      <w:pPr>
        <w:pStyle w:val="BodyText"/>
        <w:spacing w:before="4"/>
        <w:rPr>
          <w:sz w:val="17"/>
        </w:rPr>
      </w:pPr>
    </w:p>
    <w:p>
      <w:pPr>
        <w:pStyle w:val="ListParagraph"/>
        <w:numPr>
          <w:ilvl w:val="3"/>
          <w:numId w:val="20"/>
        </w:numPr>
        <w:tabs>
          <w:tab w:pos="922" w:val="left" w:leader="none"/>
          <w:tab w:pos="923" w:val="left" w:leader="none"/>
        </w:tabs>
        <w:spacing w:line="240" w:lineRule="auto" w:before="1" w:after="0"/>
        <w:ind w:left="922" w:right="0" w:hanging="350"/>
        <w:jc w:val="left"/>
        <w:rPr>
          <w:sz w:val="21"/>
        </w:rPr>
      </w:pPr>
      <w:r>
        <w:rPr>
          <w:sz w:val="21"/>
        </w:rPr>
        <w:t>EMIF (Encuesta sobre Migración en la Frontera Norte de </w:t>
      </w:r>
      <w:r>
        <w:rPr>
          <w:spacing w:val="39"/>
          <w:sz w:val="21"/>
        </w:rPr>
        <w:t> </w:t>
      </w:r>
      <w:r>
        <w:rPr>
          <w:sz w:val="21"/>
        </w:rPr>
        <w:t>México).</w:t>
      </w:r>
    </w:p>
    <w:p>
      <w:pPr>
        <w:pStyle w:val="BodyText"/>
        <w:rPr>
          <w:sz w:val="22"/>
        </w:rPr>
      </w:pPr>
    </w:p>
    <w:p>
      <w:pPr>
        <w:pStyle w:val="BodyText"/>
        <w:rPr>
          <w:sz w:val="22"/>
        </w:rPr>
      </w:pPr>
    </w:p>
    <w:p>
      <w:pPr>
        <w:pStyle w:val="BodyText"/>
        <w:spacing w:line="364" w:lineRule="auto" w:before="170"/>
        <w:ind w:left="221" w:right="103"/>
        <w:jc w:val="both"/>
      </w:pPr>
      <w:r>
        <w:rPr/>
        <w:t>El Cuadro 5 muestra un patrón general de destino de las remesas que reafirma la preponderancia del gasto en la satisfacción de necesidades básicas y otros tipos de consumo doméstico. En los tres casos, más de 70% de los entrevistados indicaron  </w:t>
      </w:r>
      <w:r>
        <w:rPr>
          <w:spacing w:val="56"/>
        </w:rPr>
        <w:t> </w:t>
      </w:r>
      <w:r>
        <w:rPr/>
        <w:t>que</w:t>
      </w:r>
    </w:p>
    <w:p>
      <w:pPr>
        <w:spacing w:after="0" w:line="364" w:lineRule="auto"/>
        <w:jc w:val="both"/>
        <w:sectPr>
          <w:pgSz w:w="11900" w:h="16840"/>
          <w:pgMar w:header="0" w:footer="1679" w:top="1600" w:bottom="1860" w:left="118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ese era el principal destino de los dólares recibidos en el hogar; en 1984 la ETIDEU reportó una proporción de 84%.</w:t>
      </w:r>
    </w:p>
    <w:p>
      <w:pPr>
        <w:pStyle w:val="BodyText"/>
        <w:spacing w:before="4"/>
        <w:rPr>
          <w:sz w:val="17"/>
        </w:rPr>
      </w:pPr>
    </w:p>
    <w:p>
      <w:pPr>
        <w:pStyle w:val="BodyText"/>
        <w:spacing w:line="364" w:lineRule="auto"/>
        <w:ind w:left="101" w:right="102"/>
        <w:jc w:val="both"/>
      </w:pPr>
      <w:r>
        <w:rPr/>
        <w:t>Tradicionalmente, después del consumo doméstico,  el siguiente rubro  en  importancia en el destino de las remesas ha sido el gasto en vivienda  (compra,  mejoras,  ampliación, construcción). Esto se ve claramente en la información de la EMIF, en la   cual casi un 17% de los emigrantes remitentes de dólares manifiestan que el principal destino de este dinero en sus hogares es la vivienda. En la ENEFNEU, los gastos en vivienda también parecen ocupar el segundo lugar con poco menos  de  nueve  por ciento. En la ETIDEU es donde se registra el porcentaje más bajo (5%), siendo desplazado al segundo lugar de gastos por el rubro “Otros” (casi </w:t>
      </w:r>
      <w:r>
        <w:rPr>
          <w:spacing w:val="16"/>
        </w:rPr>
        <w:t> </w:t>
      </w:r>
      <w:r>
        <w:rPr/>
        <w:t>9%).</w:t>
      </w:r>
    </w:p>
    <w:p>
      <w:pPr>
        <w:pStyle w:val="BodyText"/>
        <w:spacing w:before="4"/>
        <w:rPr>
          <w:sz w:val="17"/>
        </w:rPr>
      </w:pPr>
    </w:p>
    <w:p>
      <w:pPr>
        <w:pStyle w:val="BodyText"/>
        <w:spacing w:line="364" w:lineRule="auto"/>
        <w:ind w:left="101" w:right="103"/>
        <w:jc w:val="both"/>
      </w:pPr>
      <w:r>
        <w:rPr/>
        <w:t>Por último, la aplicación de los recursos recibidos por concepto de remesas en lo que   se denomina “inversión productiva” (compra de tierras, implementos agrícolas, ganado, establecimiento de negocios) resultó poco frecuente. Entre 1993 y 1997 no alcanzó el  dos por ciento (Cuadro 5); en 1984 fue de poco menos de tres por ciento; y a fines de    la década de los años setenta, la segunda prioridad en el destino de las remesas fue la vivienda, siendo muy reducida la porción de los envíos destinados a inversiones productivas o al</w:t>
      </w:r>
      <w:r>
        <w:rPr>
          <w:spacing w:val="28"/>
        </w:rPr>
        <w:t> </w:t>
      </w:r>
      <w:r>
        <w:rPr/>
        <w:t>ahorro.</w:t>
      </w:r>
    </w:p>
    <w:p>
      <w:pPr>
        <w:pStyle w:val="BodyText"/>
        <w:spacing w:before="4"/>
        <w:rPr>
          <w:sz w:val="17"/>
        </w:rPr>
      </w:pPr>
    </w:p>
    <w:p>
      <w:pPr>
        <w:pStyle w:val="BodyText"/>
        <w:spacing w:line="364" w:lineRule="auto"/>
        <w:ind w:left="101" w:right="105"/>
        <w:jc w:val="both"/>
      </w:pPr>
      <w:r>
        <w:rPr/>
        <w:t>Hasta el año 2004, esa proporción en el uso de las remesas había variado muy poco.    El Cuadro 6 muestra que en 2004 la mayor parte del ingreso por remesas se destinó al consumo básico, seguido por el ahorro y la educación con  una  proporción  mucho menor (8 y 7% respectivamente), mientras que en bienes de lujo, vivienda e inversión     la parte proporcional no es</w:t>
      </w:r>
      <w:r>
        <w:rPr>
          <w:spacing w:val="45"/>
        </w:rPr>
        <w:t> </w:t>
      </w:r>
      <w:r>
        <w:rPr/>
        <w:t>significativa.</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6"/>
        <w:rPr>
          <w:sz w:val="18"/>
        </w:rPr>
      </w:pPr>
    </w:p>
    <w:p>
      <w:pPr>
        <w:pStyle w:val="Heading4"/>
        <w:spacing w:before="74"/>
        <w:ind w:left="490" w:right="150"/>
      </w:pPr>
      <w:r>
        <w:rPr/>
        <w:t>Cuadro 6. México: uso de las remesas en los hogares receptores durante  2004</w:t>
      </w:r>
    </w:p>
    <w:p>
      <w:pPr>
        <w:pStyle w:val="BodyText"/>
        <w:rPr>
          <w:b/>
          <w:sz w:val="22"/>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86"/>
        <w:gridCol w:w="4135"/>
      </w:tblGrid>
      <w:tr>
        <w:trPr>
          <w:trHeight w:val="612" w:hRule="exact"/>
        </w:trPr>
        <w:tc>
          <w:tcPr>
            <w:tcW w:w="5186" w:type="dxa"/>
          </w:tcPr>
          <w:p>
            <w:pPr>
              <w:pStyle w:val="TableParagraph"/>
              <w:ind w:left="100"/>
              <w:jc w:val="left"/>
              <w:rPr>
                <w:b/>
                <w:sz w:val="23"/>
              </w:rPr>
            </w:pPr>
            <w:r>
              <w:rPr>
                <w:b/>
                <w:sz w:val="23"/>
              </w:rPr>
              <w:t>Concepto</w:t>
            </w:r>
          </w:p>
        </w:tc>
        <w:tc>
          <w:tcPr>
            <w:tcW w:w="4135" w:type="dxa"/>
          </w:tcPr>
          <w:p>
            <w:pPr>
              <w:pStyle w:val="TableParagraph"/>
              <w:spacing w:before="5"/>
              <w:jc w:val="left"/>
              <w:rPr>
                <w:b/>
                <w:sz w:val="20"/>
              </w:rPr>
            </w:pPr>
          </w:p>
          <w:p>
            <w:pPr>
              <w:pStyle w:val="TableParagraph"/>
              <w:spacing w:before="0"/>
              <w:ind w:left="100"/>
              <w:jc w:val="left"/>
              <w:rPr>
                <w:b/>
                <w:sz w:val="23"/>
              </w:rPr>
            </w:pPr>
            <w:r>
              <w:rPr>
                <w:b/>
                <w:sz w:val="23"/>
              </w:rPr>
              <w:t>Porcentaje (%)</w:t>
            </w:r>
          </w:p>
        </w:tc>
      </w:tr>
      <w:tr>
        <w:trPr>
          <w:trHeight w:val="514" w:hRule="exact"/>
        </w:trPr>
        <w:tc>
          <w:tcPr>
            <w:tcW w:w="5186" w:type="dxa"/>
          </w:tcPr>
          <w:p>
            <w:pPr>
              <w:pStyle w:val="TableParagraph"/>
              <w:ind w:left="100"/>
              <w:jc w:val="left"/>
              <w:rPr>
                <w:sz w:val="23"/>
              </w:rPr>
            </w:pPr>
            <w:r>
              <w:rPr>
                <w:sz w:val="23"/>
              </w:rPr>
              <w:t>Consumo básico</w:t>
            </w:r>
          </w:p>
        </w:tc>
        <w:tc>
          <w:tcPr>
            <w:tcW w:w="4135" w:type="dxa"/>
          </w:tcPr>
          <w:p>
            <w:pPr>
              <w:pStyle w:val="TableParagraph"/>
              <w:ind w:right="1934"/>
              <w:rPr>
                <w:sz w:val="23"/>
              </w:rPr>
            </w:pPr>
            <w:r>
              <w:rPr>
                <w:sz w:val="23"/>
              </w:rPr>
              <w:t>79</w:t>
            </w:r>
          </w:p>
        </w:tc>
      </w:tr>
      <w:tr>
        <w:trPr>
          <w:trHeight w:val="511" w:hRule="exact"/>
        </w:trPr>
        <w:tc>
          <w:tcPr>
            <w:tcW w:w="5186" w:type="dxa"/>
          </w:tcPr>
          <w:p>
            <w:pPr>
              <w:pStyle w:val="TableParagraph"/>
              <w:ind w:left="100"/>
              <w:jc w:val="left"/>
              <w:rPr>
                <w:sz w:val="23"/>
              </w:rPr>
            </w:pPr>
            <w:r>
              <w:rPr>
                <w:sz w:val="23"/>
              </w:rPr>
              <w:t>Educación</w:t>
            </w:r>
          </w:p>
        </w:tc>
        <w:tc>
          <w:tcPr>
            <w:tcW w:w="4135" w:type="dxa"/>
          </w:tcPr>
          <w:p>
            <w:pPr>
              <w:pStyle w:val="TableParagraph"/>
              <w:ind w:right="1996"/>
              <w:rPr>
                <w:sz w:val="23"/>
              </w:rPr>
            </w:pPr>
            <w:r>
              <w:rPr>
                <w:w w:val="101"/>
                <w:sz w:val="23"/>
              </w:rPr>
              <w:t>7</w:t>
            </w:r>
          </w:p>
        </w:tc>
      </w:tr>
      <w:tr>
        <w:trPr>
          <w:trHeight w:val="515" w:hRule="exact"/>
        </w:trPr>
        <w:tc>
          <w:tcPr>
            <w:tcW w:w="5186" w:type="dxa"/>
            <w:tcBorders>
              <w:bottom w:val="single" w:sz="3" w:space="0" w:color="000000"/>
            </w:tcBorders>
          </w:tcPr>
          <w:p>
            <w:pPr>
              <w:pStyle w:val="TableParagraph"/>
              <w:spacing w:before="5"/>
              <w:ind w:left="100"/>
              <w:jc w:val="left"/>
              <w:rPr>
                <w:sz w:val="23"/>
              </w:rPr>
            </w:pPr>
            <w:r>
              <w:rPr>
                <w:sz w:val="23"/>
              </w:rPr>
              <w:t>Ahorro</w:t>
            </w:r>
          </w:p>
        </w:tc>
        <w:tc>
          <w:tcPr>
            <w:tcW w:w="4135" w:type="dxa"/>
            <w:tcBorders>
              <w:bottom w:val="single" w:sz="3" w:space="0" w:color="000000"/>
            </w:tcBorders>
          </w:tcPr>
          <w:p>
            <w:pPr>
              <w:pStyle w:val="TableParagraph"/>
              <w:spacing w:before="5"/>
              <w:ind w:right="1996"/>
              <w:rPr>
                <w:sz w:val="23"/>
              </w:rPr>
            </w:pPr>
            <w:r>
              <w:rPr>
                <w:w w:val="101"/>
                <w:sz w:val="23"/>
              </w:rPr>
              <w:t>8</w:t>
            </w:r>
          </w:p>
        </w:tc>
      </w:tr>
      <w:tr>
        <w:trPr>
          <w:trHeight w:val="515" w:hRule="exact"/>
        </w:trPr>
        <w:tc>
          <w:tcPr>
            <w:tcW w:w="5186" w:type="dxa"/>
            <w:tcBorders>
              <w:top w:val="single" w:sz="3" w:space="0" w:color="000000"/>
            </w:tcBorders>
          </w:tcPr>
          <w:p>
            <w:pPr>
              <w:pStyle w:val="TableParagraph"/>
              <w:ind w:left="100"/>
              <w:jc w:val="left"/>
              <w:rPr>
                <w:sz w:val="23"/>
              </w:rPr>
            </w:pPr>
            <w:r>
              <w:rPr>
                <w:sz w:val="23"/>
              </w:rPr>
              <w:t>Compra de bienes de lujo</w:t>
            </w:r>
          </w:p>
        </w:tc>
        <w:tc>
          <w:tcPr>
            <w:tcW w:w="4135" w:type="dxa"/>
            <w:tcBorders>
              <w:top w:val="single" w:sz="3" w:space="0" w:color="000000"/>
            </w:tcBorders>
          </w:tcPr>
          <w:p>
            <w:pPr>
              <w:pStyle w:val="TableParagraph"/>
              <w:ind w:right="1996"/>
              <w:rPr>
                <w:sz w:val="23"/>
              </w:rPr>
            </w:pPr>
            <w:r>
              <w:rPr>
                <w:w w:val="101"/>
                <w:sz w:val="23"/>
              </w:rPr>
              <w:t>4</w:t>
            </w:r>
          </w:p>
        </w:tc>
      </w:tr>
      <w:tr>
        <w:trPr>
          <w:trHeight w:val="514" w:hRule="exact"/>
        </w:trPr>
        <w:tc>
          <w:tcPr>
            <w:tcW w:w="5186" w:type="dxa"/>
          </w:tcPr>
          <w:p>
            <w:pPr>
              <w:pStyle w:val="TableParagraph"/>
              <w:spacing w:before="0"/>
              <w:ind w:left="100"/>
              <w:jc w:val="left"/>
              <w:rPr>
                <w:sz w:val="23"/>
              </w:rPr>
            </w:pPr>
            <w:r>
              <w:rPr>
                <w:sz w:val="23"/>
              </w:rPr>
              <w:t>Vivienda</w:t>
            </w:r>
          </w:p>
        </w:tc>
        <w:tc>
          <w:tcPr>
            <w:tcW w:w="4135" w:type="dxa"/>
          </w:tcPr>
          <w:p>
            <w:pPr>
              <w:pStyle w:val="TableParagraph"/>
              <w:spacing w:before="0"/>
              <w:ind w:right="1996"/>
              <w:rPr>
                <w:sz w:val="23"/>
              </w:rPr>
            </w:pPr>
            <w:r>
              <w:rPr>
                <w:w w:val="101"/>
                <w:sz w:val="23"/>
              </w:rPr>
              <w:t>1</w:t>
            </w:r>
          </w:p>
        </w:tc>
      </w:tr>
      <w:tr>
        <w:trPr>
          <w:trHeight w:val="511" w:hRule="exact"/>
        </w:trPr>
        <w:tc>
          <w:tcPr>
            <w:tcW w:w="5186" w:type="dxa"/>
          </w:tcPr>
          <w:p>
            <w:pPr>
              <w:pStyle w:val="TableParagraph"/>
              <w:spacing w:before="0"/>
              <w:ind w:left="100"/>
              <w:jc w:val="left"/>
              <w:rPr>
                <w:sz w:val="23"/>
              </w:rPr>
            </w:pPr>
            <w:r>
              <w:rPr>
                <w:sz w:val="23"/>
              </w:rPr>
              <w:t>Inversión</w:t>
            </w:r>
          </w:p>
        </w:tc>
        <w:tc>
          <w:tcPr>
            <w:tcW w:w="4135" w:type="dxa"/>
          </w:tcPr>
          <w:p>
            <w:pPr>
              <w:pStyle w:val="TableParagraph"/>
              <w:spacing w:before="0"/>
              <w:ind w:right="1996"/>
              <w:rPr>
                <w:sz w:val="23"/>
              </w:rPr>
            </w:pPr>
            <w:r>
              <w:rPr>
                <w:w w:val="101"/>
                <w:sz w:val="23"/>
              </w:rPr>
              <w:t>1</w:t>
            </w:r>
          </w:p>
        </w:tc>
      </w:tr>
    </w:tbl>
    <w:p>
      <w:pPr>
        <w:spacing w:before="0"/>
        <w:ind w:left="221" w:right="0" w:firstLine="0"/>
        <w:jc w:val="both"/>
        <w:rPr>
          <w:sz w:val="23"/>
        </w:rPr>
      </w:pPr>
      <w:r>
        <w:rPr>
          <w:sz w:val="21"/>
        </w:rPr>
        <w:t>Fuente: Instituto de Mexicanos en el Exterior,   2004</w:t>
      </w:r>
      <w:r>
        <w:rPr>
          <w:sz w:val="23"/>
        </w:rPr>
        <w:t>.</w:t>
      </w:r>
    </w:p>
    <w:p>
      <w:pPr>
        <w:pStyle w:val="BodyText"/>
        <w:rPr>
          <w:sz w:val="22"/>
        </w:rPr>
      </w:pPr>
    </w:p>
    <w:p>
      <w:pPr>
        <w:pStyle w:val="BodyText"/>
        <w:rPr>
          <w:sz w:val="22"/>
        </w:rPr>
      </w:pPr>
    </w:p>
    <w:p>
      <w:pPr>
        <w:pStyle w:val="BodyText"/>
        <w:spacing w:before="7"/>
        <w:rPr>
          <w:sz w:val="20"/>
        </w:rPr>
      </w:pPr>
    </w:p>
    <w:p>
      <w:pPr>
        <w:pStyle w:val="Heading4"/>
        <w:numPr>
          <w:ilvl w:val="2"/>
          <w:numId w:val="20"/>
        </w:numPr>
        <w:tabs>
          <w:tab w:pos="923" w:val="left" w:leader="none"/>
        </w:tabs>
        <w:spacing w:line="364" w:lineRule="auto" w:before="0" w:after="0"/>
        <w:ind w:left="922" w:right="223" w:hanging="701"/>
        <w:jc w:val="left"/>
      </w:pPr>
      <w:r>
        <w:rPr/>
        <w:t>Programas de desarrollo rural regional financiados mediante remesas y recursos gubernamentales en</w:t>
      </w:r>
      <w:r>
        <w:rPr>
          <w:spacing w:val="43"/>
        </w:rPr>
        <w:t> </w:t>
      </w:r>
      <w:r>
        <w:rPr/>
        <w:t>México</w:t>
      </w:r>
    </w:p>
    <w:p>
      <w:pPr>
        <w:pStyle w:val="BodyText"/>
        <w:rPr>
          <w:b/>
          <w:sz w:val="22"/>
        </w:rPr>
      </w:pPr>
    </w:p>
    <w:p>
      <w:pPr>
        <w:pStyle w:val="BodyText"/>
        <w:rPr>
          <w:b/>
          <w:sz w:val="22"/>
        </w:rPr>
      </w:pPr>
    </w:p>
    <w:p>
      <w:pPr>
        <w:pStyle w:val="BodyText"/>
        <w:spacing w:before="6"/>
        <w:rPr>
          <w:b/>
          <w:sz w:val="17"/>
        </w:rPr>
      </w:pPr>
    </w:p>
    <w:p>
      <w:pPr>
        <w:pStyle w:val="BodyText"/>
        <w:spacing w:line="364" w:lineRule="auto" w:before="1"/>
        <w:ind w:left="221" w:right="224"/>
        <w:jc w:val="both"/>
      </w:pPr>
      <w:r>
        <w:rPr/>
        <w:t>Uno de los retos más importantes que enfrenta el gobierno mexicano es lograr que el dinero que envían los emigrantes a sus familias en México se traduzca en una mejor calidad de vida para éstas, así como en oportunidades de desarrollo para la población mexicana en su conjunto.</w:t>
      </w:r>
    </w:p>
    <w:p>
      <w:pPr>
        <w:pStyle w:val="BodyText"/>
        <w:spacing w:before="4"/>
        <w:rPr>
          <w:sz w:val="17"/>
        </w:rPr>
      </w:pPr>
    </w:p>
    <w:p>
      <w:pPr>
        <w:pStyle w:val="BodyText"/>
        <w:spacing w:line="364" w:lineRule="auto"/>
        <w:ind w:left="221" w:right="221"/>
        <w:jc w:val="both"/>
      </w:pPr>
      <w:r>
        <w:rPr/>
        <w:t>De acuerdo con el IME (2004), la compra de vivienda, el establecimiento de micro y pequeños negocios y el Programa 3x1, son algunos ejemplos de dichas  oportunidades.</w:t>
      </w:r>
    </w:p>
    <w:p>
      <w:pPr>
        <w:pStyle w:val="BodyText"/>
        <w:spacing w:before="4"/>
        <w:rPr>
          <w:sz w:val="17"/>
        </w:rPr>
      </w:pPr>
    </w:p>
    <w:p>
      <w:pPr>
        <w:pStyle w:val="BodyText"/>
        <w:spacing w:line="367" w:lineRule="auto"/>
        <w:ind w:left="221" w:right="225"/>
        <w:jc w:val="both"/>
      </w:pPr>
      <w:r>
        <w:rPr>
          <w:b/>
        </w:rPr>
        <w:t>Financiamiento con remesas familiares. </w:t>
      </w:r>
      <w:r>
        <w:rPr/>
        <w:t>Las remesas familiares siguen siendo los envíos más importantes y, al mismo tiempo, los que han resultado más impenetrables a las políticas e instrumentos de los gobiernos locales y nacionales. En  términos generales, el destino de estos recursos es:</w:t>
      </w:r>
    </w:p>
    <w:p>
      <w:pPr>
        <w:pStyle w:val="BodyText"/>
        <w:rPr>
          <w:sz w:val="22"/>
        </w:rPr>
      </w:pPr>
    </w:p>
    <w:p>
      <w:pPr>
        <w:pStyle w:val="ListParagraph"/>
        <w:numPr>
          <w:ilvl w:val="0"/>
          <w:numId w:val="22"/>
        </w:numPr>
        <w:tabs>
          <w:tab w:pos="572" w:val="left" w:leader="none"/>
        </w:tabs>
        <w:spacing w:line="364" w:lineRule="auto" w:before="150" w:after="0"/>
        <w:ind w:left="572" w:right="225" w:hanging="351"/>
        <w:jc w:val="left"/>
        <w:rPr>
          <w:sz w:val="23"/>
        </w:rPr>
      </w:pPr>
      <w:r>
        <w:rPr>
          <w:b/>
          <w:sz w:val="23"/>
        </w:rPr>
        <w:t>Fondos de inversión locales</w:t>
      </w:r>
      <w:r>
        <w:rPr>
          <w:sz w:val="23"/>
        </w:rPr>
        <w:t>. En México, algunos gobiernos estatales han revivido ciertas  iniciativas  e  instrumentos  que  han  sido  utilizados  en  el  pasado  en</w:t>
      </w:r>
      <w:r>
        <w:rPr>
          <w:spacing w:val="25"/>
          <w:sz w:val="23"/>
        </w:rPr>
        <w:t> </w:t>
      </w:r>
      <w:r>
        <w:rPr>
          <w:sz w:val="23"/>
        </w:rPr>
        <w:t>otros</w:t>
      </w:r>
    </w:p>
    <w:p>
      <w:pPr>
        <w:spacing w:after="0" w:line="364" w:lineRule="auto"/>
        <w:jc w:val="left"/>
        <w:rPr>
          <w:sz w:val="23"/>
        </w:rPr>
        <w:sectPr>
          <w:pgSz w:w="11900" w:h="16840"/>
          <w:pgMar w:header="0" w:footer="1679" w:top="1600" w:bottom="1860" w:left="1180" w:right="1160"/>
        </w:sectPr>
      </w:pPr>
    </w:p>
    <w:p>
      <w:pPr>
        <w:pStyle w:val="BodyText"/>
        <w:rPr>
          <w:sz w:val="20"/>
        </w:rPr>
      </w:pPr>
    </w:p>
    <w:p>
      <w:pPr>
        <w:pStyle w:val="BodyText"/>
        <w:spacing w:before="8"/>
        <w:rPr>
          <w:sz w:val="18"/>
        </w:rPr>
      </w:pPr>
    </w:p>
    <w:p>
      <w:pPr>
        <w:pStyle w:val="BodyText"/>
        <w:spacing w:line="364" w:lineRule="auto" w:before="74"/>
        <w:ind w:left="471" w:right="105"/>
        <w:jc w:val="both"/>
      </w:pPr>
      <w:r>
        <w:rPr/>
        <w:t>países con resultados desiguales. Los casos de Jalisco -FIDE RAZA, que es un fideicomiso público del gobierno del Estado- y de San Luis Potosí -Fondo de Apoyo   a Comunidades- son los que han llamado más la atención por su forma de financiamiento, basada en aportaciones de los intermediarios </w:t>
      </w:r>
      <w:r>
        <w:rPr>
          <w:spacing w:val="14"/>
        </w:rPr>
        <w:t> </w:t>
      </w:r>
      <w:r>
        <w:rPr/>
        <w:t>financieros.</w:t>
      </w:r>
    </w:p>
    <w:p>
      <w:pPr>
        <w:pStyle w:val="BodyText"/>
        <w:rPr>
          <w:sz w:val="22"/>
        </w:rPr>
      </w:pPr>
    </w:p>
    <w:p>
      <w:pPr>
        <w:pStyle w:val="BodyText"/>
        <w:spacing w:line="364" w:lineRule="auto" w:before="155"/>
        <w:ind w:left="121" w:right="106"/>
        <w:jc w:val="both"/>
      </w:pPr>
      <w:r>
        <w:rPr/>
        <w:t>En ambos casos, la idea básica es la misma: los bancos o agencias intermediarias aportan al fondo un pequeño porcentaje de sus utilidades por el envío de remesas operado dentro de cada Estado. Con dicho fondo se financian dos tipos de proyectos: obras de infraestructura social en municipios expulsores de emigrantes y proyectos productivos viables que coadyuven a detener la  emigración.</w:t>
      </w:r>
    </w:p>
    <w:p>
      <w:pPr>
        <w:pStyle w:val="BodyText"/>
        <w:rPr>
          <w:sz w:val="22"/>
        </w:rPr>
      </w:pPr>
    </w:p>
    <w:p>
      <w:pPr>
        <w:pStyle w:val="ListParagraph"/>
        <w:numPr>
          <w:ilvl w:val="0"/>
          <w:numId w:val="22"/>
        </w:numPr>
        <w:tabs>
          <w:tab w:pos="472" w:val="left" w:leader="none"/>
        </w:tabs>
        <w:spacing w:line="367" w:lineRule="auto" w:before="153" w:after="0"/>
        <w:ind w:left="472" w:right="105" w:hanging="351"/>
        <w:jc w:val="both"/>
        <w:rPr>
          <w:sz w:val="23"/>
        </w:rPr>
      </w:pPr>
      <w:r>
        <w:rPr>
          <w:b/>
          <w:sz w:val="23"/>
        </w:rPr>
        <w:t>Programas de tipo general</w:t>
      </w:r>
      <w:r>
        <w:rPr>
          <w:sz w:val="23"/>
        </w:rPr>
        <w:t>. En México se ha encontrado que en ciertas zonas rurales de alta migración, las remesas familiares se utilizan como fondos de contrapartida para acceder a ciertos beneficios de programas de fomento agropecuario y rural, como los de la Alianza para el Campo. Así,  en  algunos  Estados se ha comprobado que hasta una cuarta parte de las compras de tractores, ganado y otros activos se financian con dichos</w:t>
      </w:r>
      <w:r>
        <w:rPr>
          <w:spacing w:val="60"/>
          <w:sz w:val="23"/>
        </w:rPr>
        <w:t> </w:t>
      </w:r>
      <w:r>
        <w:rPr>
          <w:sz w:val="23"/>
        </w:rPr>
        <w:t>ingresos.</w:t>
      </w:r>
    </w:p>
    <w:p>
      <w:pPr>
        <w:pStyle w:val="BodyText"/>
        <w:rPr>
          <w:sz w:val="22"/>
        </w:rPr>
      </w:pPr>
    </w:p>
    <w:p>
      <w:pPr>
        <w:pStyle w:val="BodyText"/>
        <w:spacing w:line="364" w:lineRule="auto" w:before="152"/>
        <w:ind w:left="121" w:right="105"/>
        <w:jc w:val="both"/>
      </w:pPr>
      <w:r>
        <w:rPr/>
        <w:t>A quienes disponen de remesas les es más fácil cumplir con las reglas de operación de los respectivos programas, que por lo general exigen que los beneficiarios muestren las facturas de compra para recibir el subsidio</w:t>
      </w:r>
      <w:r>
        <w:rPr>
          <w:spacing w:val="63"/>
        </w:rPr>
        <w:t> </w:t>
      </w:r>
      <w:r>
        <w:rPr/>
        <w:t>gubernamental.</w:t>
      </w:r>
    </w:p>
    <w:p>
      <w:pPr>
        <w:pStyle w:val="BodyText"/>
        <w:rPr>
          <w:sz w:val="32"/>
        </w:rPr>
      </w:pPr>
    </w:p>
    <w:p>
      <w:pPr>
        <w:pStyle w:val="ListParagraph"/>
        <w:numPr>
          <w:ilvl w:val="0"/>
          <w:numId w:val="22"/>
        </w:numPr>
        <w:tabs>
          <w:tab w:pos="472" w:val="left" w:leader="none"/>
        </w:tabs>
        <w:spacing w:line="364" w:lineRule="auto" w:before="0" w:after="0"/>
        <w:ind w:left="472" w:right="105" w:hanging="351"/>
        <w:jc w:val="both"/>
        <w:rPr>
          <w:sz w:val="23"/>
        </w:rPr>
      </w:pPr>
      <w:r>
        <w:rPr>
          <w:b/>
          <w:sz w:val="23"/>
        </w:rPr>
        <w:t>Vivienda</w:t>
      </w:r>
      <w:r>
        <w:rPr>
          <w:sz w:val="23"/>
        </w:rPr>
        <w:t>. Varias empresas mexicanas</w:t>
      </w:r>
      <w:r>
        <w:rPr>
          <w:position w:val="11"/>
          <w:sz w:val="15"/>
        </w:rPr>
        <w:t>90 </w:t>
      </w:r>
      <w:r>
        <w:rPr>
          <w:sz w:val="23"/>
        </w:rPr>
        <w:t>otorgan créditos hipotecarios para que los paisanos adquieran viviendas para sus familiares en México, así  como  opciones para construcción y remodelación de viviendas. Así, los connacionales no  sólo  tienen oportunidad de comprar una casa a crédito en Estados Unidos, sino también de comprar o remodelar la casa de sus familiares en cualquier parte del territorio mexicano.</w:t>
      </w:r>
    </w:p>
    <w:p>
      <w:pPr>
        <w:pStyle w:val="BodyText"/>
        <w:rPr>
          <w:sz w:val="20"/>
        </w:rPr>
      </w:pPr>
    </w:p>
    <w:p>
      <w:pPr>
        <w:pStyle w:val="BodyText"/>
        <w:rPr>
          <w:sz w:val="20"/>
        </w:rPr>
      </w:pPr>
    </w:p>
    <w:p>
      <w:pPr>
        <w:pStyle w:val="BodyText"/>
        <w:rPr>
          <w:sz w:val="20"/>
        </w:rPr>
      </w:pPr>
    </w:p>
    <w:p>
      <w:pPr>
        <w:pStyle w:val="BodyText"/>
        <w:spacing w:before="6"/>
        <w:rPr>
          <w:sz w:val="21"/>
        </w:rPr>
      </w:pPr>
      <w:r>
        <w:rPr/>
        <w:pict>
          <v:line style="position:absolute;mso-position-horizontal-relative:page;mso-position-vertical-relative:paragraph;z-index:10408;mso-wrap-distance-left:0;mso-wrap-distance-right:0" from="70.080002pt,14.704672pt" to="210.239999pt,14.704672pt" stroked="true" strokeweight=".72pt" strokecolor="#000000">
            <w10:wrap type="topAndBottom"/>
          </v:line>
        </w:pict>
      </w:r>
    </w:p>
    <w:p>
      <w:pPr>
        <w:spacing w:before="48"/>
        <w:ind w:left="121" w:right="285" w:firstLine="0"/>
        <w:jc w:val="left"/>
        <w:rPr>
          <w:sz w:val="21"/>
        </w:rPr>
      </w:pPr>
      <w:r>
        <w:rPr>
          <w:position w:val="10"/>
          <w:sz w:val="13"/>
        </w:rPr>
        <w:t>90  </w:t>
      </w:r>
      <w:r>
        <w:rPr>
          <w:sz w:val="21"/>
        </w:rPr>
        <w:t>Cemex-Construmex, Mi Casita Hipotecaria, Conficasa e Hipotecaria Nacional, entre   otras.</w:t>
      </w:r>
    </w:p>
    <w:p>
      <w:pPr>
        <w:spacing w:after="0"/>
        <w:jc w:val="left"/>
        <w:rPr>
          <w:sz w:val="21"/>
        </w:rPr>
        <w:sectPr>
          <w:pgSz w:w="11900" w:h="16840"/>
          <w:pgMar w:header="0" w:footer="1679" w:top="1600" w:bottom="1860" w:left="1280" w:right="1280"/>
        </w:sectPr>
      </w:pPr>
    </w:p>
    <w:p>
      <w:pPr>
        <w:pStyle w:val="BodyText"/>
        <w:rPr>
          <w:sz w:val="20"/>
        </w:rPr>
      </w:pPr>
    </w:p>
    <w:p>
      <w:pPr>
        <w:pStyle w:val="BodyText"/>
        <w:spacing w:before="6"/>
        <w:rPr>
          <w:sz w:val="18"/>
        </w:rPr>
      </w:pPr>
    </w:p>
    <w:p>
      <w:pPr>
        <w:pStyle w:val="BodyText"/>
        <w:spacing w:line="364" w:lineRule="auto" w:before="74"/>
        <w:ind w:left="101" w:right="103"/>
        <w:jc w:val="both"/>
      </w:pPr>
      <w:r>
        <w:rPr>
          <w:b/>
        </w:rPr>
        <w:t>Financiamiento con ahorros de los emigrantes. </w:t>
      </w:r>
      <w:r>
        <w:rPr/>
        <w:t>Bajo este rubro se clasifican los intentos por estimular un uso más productivo de los ahorros que acumulan los emigrantes en Estados Unidos, ya sea como resultado de su buen éxito como empresarios en ese país, o después de toda una vida de trabajo. En el primer caso, normalmente se promueven oportunidades de nuevos  negocios  en el  país de origen. En el segundo, las motivaciones a las que se apela están más bien ligadas al retiro o al retorno definitivo a la patria. En general, los programas financiados con estos recursos son:</w:t>
      </w:r>
    </w:p>
    <w:p>
      <w:pPr>
        <w:pStyle w:val="BodyText"/>
        <w:rPr>
          <w:sz w:val="22"/>
        </w:rPr>
      </w:pPr>
    </w:p>
    <w:p>
      <w:pPr>
        <w:pStyle w:val="ListParagraph"/>
        <w:numPr>
          <w:ilvl w:val="0"/>
          <w:numId w:val="23"/>
        </w:numPr>
        <w:tabs>
          <w:tab w:pos="452" w:val="left" w:leader="none"/>
        </w:tabs>
        <w:spacing w:line="367" w:lineRule="auto" w:before="153" w:after="0"/>
        <w:ind w:left="452" w:right="105" w:hanging="351"/>
        <w:jc w:val="both"/>
        <w:rPr>
          <w:sz w:val="23"/>
        </w:rPr>
      </w:pPr>
      <w:r>
        <w:rPr>
          <w:b/>
          <w:sz w:val="23"/>
        </w:rPr>
        <w:t>Inversiones empresariales</w:t>
      </w:r>
      <w:r>
        <w:rPr>
          <w:sz w:val="23"/>
        </w:rPr>
        <w:t>. Como se mencionó anteriormente, en numerosas ciudades de Estados Unidos se ha desarrollado una clase empresarial latinoamericana y un mercado para diversos productos de los países de origen de   los emigrantes de la región. El intercambio económico que estos desarrollos propician no ha sido cuantificado, pero los gobiernos de varios países  han  reconocido su importancia y han hecho esfuerzos por </w:t>
      </w:r>
      <w:r>
        <w:rPr>
          <w:spacing w:val="8"/>
          <w:sz w:val="23"/>
        </w:rPr>
        <w:t> </w:t>
      </w:r>
      <w:r>
        <w:rPr>
          <w:sz w:val="23"/>
        </w:rPr>
        <w:t>impulsarlo.</w:t>
      </w:r>
    </w:p>
    <w:p>
      <w:pPr>
        <w:pStyle w:val="BodyText"/>
        <w:rPr>
          <w:sz w:val="22"/>
        </w:rPr>
      </w:pPr>
    </w:p>
    <w:p>
      <w:pPr>
        <w:pStyle w:val="ListParagraph"/>
        <w:numPr>
          <w:ilvl w:val="0"/>
          <w:numId w:val="23"/>
        </w:numPr>
        <w:tabs>
          <w:tab w:pos="452" w:val="left" w:leader="none"/>
        </w:tabs>
        <w:spacing w:line="364" w:lineRule="auto" w:before="150" w:after="0"/>
        <w:ind w:left="452" w:right="103" w:hanging="351"/>
        <w:jc w:val="both"/>
        <w:rPr>
          <w:sz w:val="23"/>
        </w:rPr>
      </w:pPr>
      <w:r>
        <w:rPr>
          <w:b/>
          <w:sz w:val="23"/>
        </w:rPr>
        <w:t>Inversiones personales</w:t>
      </w:r>
      <w:r>
        <w:rPr>
          <w:sz w:val="23"/>
        </w:rPr>
        <w:t>. En este ámbito, la mayor parte de los intentos se han dirigido a promover entre los emigrantes compras a plazo de  viviendas  en  sus países de origen, basándose en la motivación que guardan de regresar a la patria. Las promociones en su mayoría han estado a cargo de empresas privadas, bajo el esquema de préstamos hipotecarios a plazos más cortos de los que privan normalmente en los mercados. No se dispone de un seguimiento sistemático de los resultados de estos programas, pero al parecer no han tenido la demanda que se esperaba.</w:t>
      </w:r>
    </w:p>
    <w:p>
      <w:pPr>
        <w:pStyle w:val="BodyText"/>
        <w:rPr>
          <w:sz w:val="22"/>
        </w:rPr>
      </w:pPr>
    </w:p>
    <w:p>
      <w:pPr>
        <w:pStyle w:val="BodyText"/>
        <w:spacing w:before="11"/>
        <w:rPr>
          <w:sz w:val="29"/>
        </w:rPr>
      </w:pPr>
    </w:p>
    <w:p>
      <w:pPr>
        <w:pStyle w:val="ListParagraph"/>
        <w:numPr>
          <w:ilvl w:val="0"/>
          <w:numId w:val="23"/>
        </w:numPr>
        <w:tabs>
          <w:tab w:pos="452" w:val="left" w:leader="none"/>
        </w:tabs>
        <w:spacing w:line="367" w:lineRule="auto" w:before="0" w:after="0"/>
        <w:ind w:left="452" w:right="103" w:hanging="351"/>
        <w:jc w:val="both"/>
        <w:rPr>
          <w:sz w:val="23"/>
        </w:rPr>
      </w:pPr>
      <w:r>
        <w:rPr>
          <w:b/>
          <w:sz w:val="23"/>
        </w:rPr>
        <w:t>Invierte en México. </w:t>
      </w:r>
      <w:r>
        <w:rPr>
          <w:sz w:val="23"/>
        </w:rPr>
        <w:t>Es impulsado por Nacional Financiera, ofreciendo a nuestros compatriotas la oportunidad de invertir ahorros  en  un  negocio propio en México.  Con ello se busca favorecer el crecimiento económico y la creación de empleos en  las comunidades con altos flujos migratorios, atendiendo las necesidades locales y   el</w:t>
      </w:r>
      <w:r>
        <w:rPr>
          <w:spacing w:val="28"/>
          <w:sz w:val="23"/>
        </w:rPr>
        <w:t> </w:t>
      </w:r>
      <w:r>
        <w:rPr>
          <w:sz w:val="23"/>
        </w:rPr>
        <w:t>gran</w:t>
      </w:r>
      <w:r>
        <w:rPr>
          <w:spacing w:val="30"/>
          <w:sz w:val="23"/>
        </w:rPr>
        <w:t> </w:t>
      </w:r>
      <w:r>
        <w:rPr>
          <w:sz w:val="23"/>
        </w:rPr>
        <w:t>potencial</w:t>
      </w:r>
      <w:r>
        <w:rPr>
          <w:spacing w:val="28"/>
          <w:sz w:val="23"/>
        </w:rPr>
        <w:t> </w:t>
      </w:r>
      <w:r>
        <w:rPr>
          <w:sz w:val="23"/>
        </w:rPr>
        <w:t>empresarial</w:t>
      </w:r>
      <w:r>
        <w:rPr>
          <w:spacing w:val="28"/>
          <w:sz w:val="23"/>
        </w:rPr>
        <w:t> </w:t>
      </w:r>
      <w:r>
        <w:rPr>
          <w:sz w:val="23"/>
        </w:rPr>
        <w:t>de</w:t>
      </w:r>
      <w:r>
        <w:rPr>
          <w:spacing w:val="24"/>
          <w:sz w:val="23"/>
        </w:rPr>
        <w:t> </w:t>
      </w:r>
      <w:r>
        <w:rPr>
          <w:sz w:val="23"/>
        </w:rPr>
        <w:t>los</w:t>
      </w:r>
      <w:r>
        <w:rPr>
          <w:spacing w:val="27"/>
          <w:sz w:val="23"/>
        </w:rPr>
        <w:t> </w:t>
      </w:r>
      <w:r>
        <w:rPr>
          <w:sz w:val="23"/>
        </w:rPr>
        <w:t>connacionales</w:t>
      </w:r>
      <w:r>
        <w:rPr>
          <w:spacing w:val="30"/>
          <w:sz w:val="23"/>
        </w:rPr>
        <w:t> </w:t>
      </w:r>
      <w:r>
        <w:rPr>
          <w:sz w:val="23"/>
        </w:rPr>
        <w:t>en</w:t>
      </w:r>
      <w:r>
        <w:rPr>
          <w:spacing w:val="26"/>
          <w:sz w:val="23"/>
        </w:rPr>
        <w:t> </w:t>
      </w:r>
      <w:r>
        <w:rPr>
          <w:sz w:val="23"/>
        </w:rPr>
        <w:t>Estados</w:t>
      </w:r>
      <w:r>
        <w:rPr>
          <w:spacing w:val="25"/>
          <w:sz w:val="23"/>
        </w:rPr>
        <w:t> </w:t>
      </w:r>
      <w:r>
        <w:rPr>
          <w:sz w:val="23"/>
        </w:rPr>
        <w:t>Unidos.</w:t>
      </w:r>
      <w:r>
        <w:rPr>
          <w:spacing w:val="26"/>
          <w:sz w:val="23"/>
        </w:rPr>
        <w:t> </w:t>
      </w:r>
      <w:r>
        <w:rPr>
          <w:sz w:val="23"/>
        </w:rPr>
        <w:t>Entre</w:t>
      </w:r>
      <w:r>
        <w:rPr>
          <w:spacing w:val="30"/>
          <w:sz w:val="23"/>
        </w:rPr>
        <w:t> </w:t>
      </w:r>
      <w:r>
        <w:rPr>
          <w:sz w:val="23"/>
        </w:rPr>
        <w:t>otros</w:t>
      </w:r>
    </w:p>
    <w:p>
      <w:pPr>
        <w:spacing w:after="0" w:line="367" w:lineRule="auto"/>
        <w:jc w:val="both"/>
        <w:rPr>
          <w:sz w:val="23"/>
        </w:rPr>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451" w:right="102"/>
      </w:pPr>
      <w:r>
        <w:rPr/>
        <w:t>beneficios, el programa da acceso a financiamiento y planes de negocios mediante asesoría y búsqueda de oportunidades.</w:t>
      </w:r>
    </w:p>
    <w:p>
      <w:pPr>
        <w:pStyle w:val="BodyText"/>
        <w:rPr>
          <w:sz w:val="22"/>
        </w:rPr>
      </w:pPr>
    </w:p>
    <w:p>
      <w:pPr>
        <w:pStyle w:val="BodyText"/>
        <w:spacing w:before="4"/>
        <w:rPr>
          <w:sz w:val="30"/>
        </w:rPr>
      </w:pPr>
    </w:p>
    <w:p>
      <w:pPr>
        <w:pStyle w:val="BodyText"/>
        <w:spacing w:line="364" w:lineRule="auto"/>
        <w:ind w:left="101" w:right="105"/>
        <w:jc w:val="both"/>
      </w:pPr>
      <w:r>
        <w:rPr>
          <w:b/>
        </w:rPr>
        <w:t>Financiamiento con remesas colectivas o comunitarias. </w:t>
      </w:r>
      <w:r>
        <w:rPr/>
        <w:t>Las remesas colectivas conforman un recurso de calidad, muy maleable, que por lo regular está etiquetado    para inversión y que ostenta una representatividad comunitaria y un  carácter participativo, características ambas difíciles de encontrar en otro tipo de aportaciones. Por eso no es de extrañar que los gobiernos tanto nacionales como locales, especialmente estos últimos, hayan centrado su atención en ellas en los años recientes  y hayan propiciado programas en los que los recursos y las iniciativas de las asociaciones de emigrantes se complementan con recursos del erario </w:t>
      </w:r>
      <w:r>
        <w:rPr>
          <w:spacing w:val="27"/>
        </w:rPr>
        <w:t> </w:t>
      </w:r>
      <w:r>
        <w:rPr/>
        <w:t>público.</w:t>
      </w:r>
    </w:p>
    <w:p>
      <w:pPr>
        <w:pStyle w:val="BodyText"/>
        <w:rPr>
          <w:sz w:val="22"/>
        </w:rPr>
      </w:pPr>
    </w:p>
    <w:p>
      <w:pPr>
        <w:pStyle w:val="BodyText"/>
        <w:rPr>
          <w:sz w:val="22"/>
        </w:rPr>
      </w:pPr>
    </w:p>
    <w:p>
      <w:pPr>
        <w:pStyle w:val="BodyText"/>
        <w:spacing w:before="7"/>
        <w:rPr>
          <w:sz w:val="18"/>
        </w:rPr>
      </w:pPr>
    </w:p>
    <w:p>
      <w:pPr>
        <w:pStyle w:val="BodyText"/>
        <w:spacing w:line="364" w:lineRule="auto"/>
        <w:ind w:left="101" w:right="102"/>
        <w:jc w:val="both"/>
      </w:pPr>
      <w:r>
        <w:rPr/>
        <w:t>El patrocinio de fiestas cívicas y religiosas sigue siendo un empeño frecuente de las asociaciones de residentes en Estados Unidos, pero hay una marcada tendencia a canalizar cada vez más las colectas hacia obras comunitarias. Ejemplos de programas financiados con estos recursos son los</w:t>
      </w:r>
      <w:r>
        <w:rPr>
          <w:spacing w:val="50"/>
        </w:rPr>
        <w:t> </w:t>
      </w:r>
      <w:r>
        <w:rPr/>
        <w:t>siguientes:</w:t>
      </w:r>
    </w:p>
    <w:p>
      <w:pPr>
        <w:pStyle w:val="BodyText"/>
        <w:rPr>
          <w:sz w:val="22"/>
        </w:rPr>
      </w:pPr>
    </w:p>
    <w:p>
      <w:pPr>
        <w:pStyle w:val="BodyText"/>
        <w:rPr>
          <w:sz w:val="22"/>
        </w:rPr>
      </w:pPr>
    </w:p>
    <w:p>
      <w:pPr>
        <w:pStyle w:val="ListParagraph"/>
        <w:numPr>
          <w:ilvl w:val="0"/>
          <w:numId w:val="24"/>
        </w:numPr>
        <w:tabs>
          <w:tab w:pos="452" w:val="left" w:leader="none"/>
        </w:tabs>
        <w:spacing w:line="364" w:lineRule="auto" w:before="132" w:after="0"/>
        <w:ind w:left="452" w:right="105" w:hanging="351"/>
        <w:jc w:val="both"/>
        <w:rPr>
          <w:sz w:val="23"/>
        </w:rPr>
      </w:pPr>
      <w:r>
        <w:rPr>
          <w:b/>
          <w:sz w:val="23"/>
        </w:rPr>
        <w:t>El Programa 3 x 1 en Zacatecas</w:t>
      </w:r>
      <w:r>
        <w:rPr>
          <w:sz w:val="23"/>
        </w:rPr>
        <w:t>. El financiamiento de este programa se basa en que por cada dólar aportado por los clubes zacatecanos, los tres distintos niveles de gobierno -federal, estatal y municipal- contribuyen con otro dólar, con lo cual se crea un fondo para inversiones comunitarias y de infraestructura en las localidades de origen de los clubes. Las decisiones de inversión se toman conjuntamente con los representantes de las asociaciones de emigrantes y la ejecución del proyecto es coordinada o al menos supervisada por</w:t>
      </w:r>
      <w:r>
        <w:rPr>
          <w:spacing w:val="55"/>
          <w:sz w:val="23"/>
        </w:rPr>
        <w:t> </w:t>
      </w:r>
      <w:r>
        <w:rPr>
          <w:sz w:val="23"/>
        </w:rPr>
        <w:t>ellos.</w:t>
      </w:r>
    </w:p>
    <w:p>
      <w:pPr>
        <w:pStyle w:val="BodyText"/>
        <w:rPr>
          <w:sz w:val="22"/>
        </w:rPr>
      </w:pPr>
    </w:p>
    <w:p>
      <w:pPr>
        <w:pStyle w:val="BodyText"/>
        <w:spacing w:line="364" w:lineRule="auto" w:before="155"/>
        <w:ind w:left="101" w:right="101"/>
        <w:jc w:val="both"/>
      </w:pPr>
      <w:r>
        <w:rPr/>
        <w:t>Entre los proyectos financiados predominan los de pavimentación de calles y caminos y los de abastecimiento de agua potable y electricidad. Sólo por excepción se han  apoyado proyectos</w:t>
      </w:r>
      <w:r>
        <w:rPr>
          <w:spacing w:val="31"/>
        </w:rPr>
        <w:t> </w:t>
      </w:r>
      <w:r>
        <w:rPr/>
        <w:t>productivos.</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6"/>
        <w:rPr>
          <w:sz w:val="18"/>
        </w:rPr>
      </w:pPr>
    </w:p>
    <w:p>
      <w:pPr>
        <w:pStyle w:val="ListParagraph"/>
        <w:numPr>
          <w:ilvl w:val="0"/>
          <w:numId w:val="24"/>
        </w:numPr>
        <w:tabs>
          <w:tab w:pos="452" w:val="left" w:leader="none"/>
        </w:tabs>
        <w:spacing w:line="364" w:lineRule="auto" w:before="74" w:after="0"/>
        <w:ind w:left="452" w:right="104" w:hanging="351"/>
        <w:jc w:val="both"/>
        <w:rPr>
          <w:sz w:val="23"/>
        </w:rPr>
      </w:pPr>
      <w:r>
        <w:rPr>
          <w:b/>
          <w:sz w:val="23"/>
        </w:rPr>
        <w:t>Programa para el establecimiento de maquiladoras en Guanajuato</w:t>
      </w:r>
      <w:r>
        <w:rPr>
          <w:sz w:val="23"/>
        </w:rPr>
        <w:t>. Este programa se orientó desde un principio a la promoción de proyectos productivos. Si bien conservó ciertos objetivos sociales como la creación de empleos, los proyectos apoyados tienen un enfoque empresarial más</w:t>
      </w:r>
      <w:r>
        <w:rPr>
          <w:spacing w:val="58"/>
          <w:sz w:val="23"/>
        </w:rPr>
        <w:t> </w:t>
      </w:r>
      <w:r>
        <w:rPr>
          <w:sz w:val="23"/>
        </w:rPr>
        <w:t>claro.</w:t>
      </w:r>
    </w:p>
    <w:p>
      <w:pPr>
        <w:pStyle w:val="BodyText"/>
        <w:rPr>
          <w:sz w:val="22"/>
        </w:rPr>
      </w:pPr>
    </w:p>
    <w:p>
      <w:pPr>
        <w:pStyle w:val="BodyText"/>
        <w:spacing w:line="364" w:lineRule="auto" w:before="155"/>
        <w:ind w:left="101" w:right="103"/>
        <w:jc w:val="both"/>
      </w:pPr>
      <w:r>
        <w:rPr/>
        <w:t>Para el establecimiento de las maquiladoras en sus localidades de origen, los  emigrantes aportan 60 mil dólares y el gobierno estatal concede un crédito por otros 60 mil dólares. Con el total, se establece una empresa administrada por el respectivo club. El gobierno estatal canaliza también otros apoyos para capacitación y  asistencia  técnica.</w:t>
      </w:r>
    </w:p>
    <w:p>
      <w:pPr>
        <w:pStyle w:val="BodyText"/>
        <w:rPr>
          <w:sz w:val="22"/>
        </w:rPr>
      </w:pPr>
    </w:p>
    <w:p>
      <w:pPr>
        <w:pStyle w:val="BodyText"/>
        <w:spacing w:before="8"/>
        <w:rPr>
          <w:sz w:val="21"/>
        </w:rPr>
      </w:pPr>
    </w:p>
    <w:p>
      <w:pPr>
        <w:pStyle w:val="Heading3"/>
        <w:numPr>
          <w:ilvl w:val="1"/>
          <w:numId w:val="20"/>
        </w:numPr>
        <w:tabs>
          <w:tab w:pos="666" w:val="left" w:leader="none"/>
        </w:tabs>
        <w:spacing w:line="364" w:lineRule="auto" w:before="0" w:after="0"/>
        <w:ind w:left="802" w:right="102" w:hanging="701"/>
        <w:jc w:val="both"/>
      </w:pPr>
      <w:r>
        <w:rPr/>
        <w:t>El impacto macroeconómico de las remesas: participación en la Cuenta Corriente de la Balanza de Pagos de México, durante  1996 a Junio de</w:t>
      </w:r>
      <w:r>
        <w:rPr>
          <w:spacing w:val="18"/>
        </w:rPr>
        <w:t> </w:t>
      </w:r>
      <w:r>
        <w:rPr/>
        <w:t>2009</w:t>
      </w:r>
    </w:p>
    <w:p>
      <w:pPr>
        <w:pStyle w:val="BodyText"/>
        <w:rPr>
          <w:b/>
          <w:sz w:val="26"/>
        </w:rPr>
      </w:pPr>
    </w:p>
    <w:p>
      <w:pPr>
        <w:pStyle w:val="BodyText"/>
        <w:spacing w:before="3"/>
        <w:rPr>
          <w:b/>
          <w:sz w:val="35"/>
        </w:rPr>
      </w:pPr>
    </w:p>
    <w:p>
      <w:pPr>
        <w:pStyle w:val="BodyText"/>
        <w:spacing w:line="364" w:lineRule="auto" w:before="1"/>
        <w:ind w:left="101" w:right="101"/>
        <w:jc w:val="both"/>
      </w:pPr>
      <w:r>
        <w:rPr/>
        <w:t>A partir de 1994, el Banco de México incorporó en la Balanza de Pagos el monto de las transferencias electrónicas, así como una estimación de las transferencias en efectivo y especie. Lo anterior es de suma relevancia debido a la importancia creciente de las remesas ya que, de acuerdo con Banco de México (2004), sólo 93 municipios del país registran nula intensidad migratoria hacia los Estados Unidos, frente a 2 mil 350 municipios de todo el territorio nacional (96.2%) que cuentan con emigrantes y reciben remesas. De este total, 461 municipios son de alta y muy alta intensidad migratoria;    408 municipios (17.5%) registran una intensidad media; y 1,481 municipios exhiben una baja o muy baja intensidad</w:t>
      </w:r>
      <w:r>
        <w:rPr>
          <w:spacing w:val="41"/>
        </w:rPr>
        <w:t> </w:t>
      </w:r>
      <w:r>
        <w:rPr/>
        <w:t>migratoria.</w:t>
      </w:r>
    </w:p>
    <w:p>
      <w:pPr>
        <w:pStyle w:val="BodyText"/>
        <w:spacing w:before="4"/>
        <w:rPr>
          <w:sz w:val="17"/>
        </w:rPr>
      </w:pPr>
    </w:p>
    <w:p>
      <w:pPr>
        <w:pStyle w:val="BodyText"/>
        <w:spacing w:line="364" w:lineRule="auto"/>
        <w:ind w:left="101" w:right="105"/>
        <w:jc w:val="both"/>
      </w:pPr>
      <w:r>
        <w:rPr/>
        <w:t>Con base en Banco de México (2004), las remesas se han convertido en un flujo de divisas de suma  importancia para la economía mexicana,  ya que  constituyen uno de  los principales rubros en el renglón de las transferencias corrientes de la Balanza de Pagos y funge como una verdadera inyección de recursos en sectores específicos de la economía</w:t>
      </w:r>
      <w:r>
        <w:rPr>
          <w:spacing w:val="23"/>
        </w:rPr>
        <w:t> </w:t>
      </w:r>
      <w:r>
        <w:rPr/>
        <w:t>nacional.</w:t>
      </w:r>
    </w:p>
    <w:p>
      <w:pPr>
        <w:spacing w:after="0" w:line="364" w:lineRule="auto"/>
        <w:jc w:val="both"/>
        <w:sectPr>
          <w:footerReference w:type="default" r:id="rId307"/>
          <w:pgSz w:w="11900" w:h="16840"/>
          <w:pgMar w:footer="1676" w:header="0" w:top="1600" w:bottom="1860" w:left="1300" w:right="1280"/>
          <w:pgNumType w:start="260"/>
        </w:sectPr>
      </w:pPr>
    </w:p>
    <w:p>
      <w:pPr>
        <w:pStyle w:val="BodyText"/>
        <w:rPr>
          <w:sz w:val="20"/>
        </w:rPr>
      </w:pPr>
    </w:p>
    <w:p>
      <w:pPr>
        <w:pStyle w:val="BodyText"/>
        <w:spacing w:before="8"/>
        <w:rPr>
          <w:sz w:val="18"/>
        </w:rPr>
      </w:pPr>
    </w:p>
    <w:p>
      <w:pPr>
        <w:pStyle w:val="BodyText"/>
        <w:spacing w:line="364" w:lineRule="auto" w:before="74"/>
        <w:ind w:left="101" w:right="245"/>
        <w:jc w:val="both"/>
      </w:pPr>
      <w:r>
        <w:rPr/>
        <w:t>En la Figura 2, se muestran las tendencias tanto de la Cuenta Corriente de la Balanza  de pagos, así como de los flujos de remesas en México, durante el periodo  1996 a  2004.</w:t>
      </w:r>
    </w:p>
    <w:p>
      <w:pPr>
        <w:pStyle w:val="BodyText"/>
        <w:rPr>
          <w:sz w:val="22"/>
        </w:rPr>
      </w:pPr>
    </w:p>
    <w:p>
      <w:pPr>
        <w:pStyle w:val="BodyText"/>
        <w:rPr>
          <w:sz w:val="22"/>
        </w:rPr>
      </w:pPr>
    </w:p>
    <w:p>
      <w:pPr>
        <w:pStyle w:val="Heading4"/>
        <w:spacing w:before="195"/>
        <w:ind w:left="988" w:right="1133"/>
        <w:jc w:val="center"/>
      </w:pPr>
      <w:r>
        <w:rPr/>
        <w:pict>
          <v:group style="position:absolute;margin-left:82.080002pt;margin-top:31.096252pt;width:431.65pt;height:298.1pt;mso-position-horizontal-relative:page;mso-position-vertical-relative:paragraph;z-index:-703912" coordorigin="1642,622" coordsize="8633,5962">
            <v:shape style="position:absolute;left:2834;top:4599;width:5139;height:1344" coordorigin="2834,4599" coordsize="5139,1344" path="m2834,5943l7973,5943m2834,5820l7973,5820m2834,5700l7973,5700m2834,5576l7973,5576m2834,5453l7973,5453m2834,5333l7973,5333m2834,5211l7973,5211m2834,5088l7973,5088m2834,4966l7973,4966m2834,4844l7973,4844m2834,4721l7973,4721m2834,4599l7973,4599e" filled="false" stroked="true" strokeweight=".24pt" strokecolor="#000000">
              <v:path arrowok="t"/>
            </v:shape>
            <v:line style="position:absolute" from="2834,4478" to="7973,4478" stroked="true" strokeweight=".12pt" strokecolor="#000000"/>
            <v:shape style="position:absolute;left:2834;top:1791;width:5139;height:2566" coordorigin="2834,1791" coordsize="5139,2566" path="m2834,4356l7973,4356m2834,4232l7973,4232m2834,4112l7973,4112m2834,3989l7973,3989m2834,3867l7973,3867m2834,3744l7973,3744m2834,3622l7973,3622m2834,3502l7973,3502m2834,3255l7973,3255m2834,3135l7973,3135m2834,3012l7973,3012m2834,2892l7973,2892m2834,2768l7973,2768m2834,2645l7973,2645m2834,2525l7973,2525m2834,2403l7973,2403m2834,2280l7973,2280m2834,2158l7973,2158m2834,2036l7973,2036m2834,1916l7973,1916m2834,1791l7973,1791e" filled="false" stroked="true" strokeweight=".24pt" strokecolor="#000000">
              <v:path arrowok="t"/>
            </v:shape>
            <v:line style="position:absolute" from="2834,1670" to="7973,1670" stroked="true" strokeweight=".12pt" strokecolor="#000000"/>
            <v:shape style="position:absolute;left:2834;top:1059;width:5139;height:490" coordorigin="2834,1059" coordsize="5139,490" path="m2834,1548l7973,1548m2834,1426l7973,1426m2834,1304l7973,1304m2834,1181l7973,1181m2834,1059l7973,1059e" filled="false" stroked="true" strokeweight=".24pt" strokecolor="#000000">
              <v:path arrowok="t"/>
            </v:shape>
            <v:shape style="position:absolute;left:2825;top:1052;width:5158;height:4901" coordorigin="2825,1052" coordsize="5158,4901" path="m7978,1052l2830,1052,2825,1054,2825,5948,2830,5952,7978,5952,7982,5948,7982,5943,2844,5943,2834,5933,2844,5933,2844,1068,2834,1068,2844,1059,7982,1059,7982,1054,7978,1052xm2844,5933l2834,5933,2844,5943,2844,5933xm7963,5933l2844,5933,2844,5943,7963,5943,7963,5933xm7963,1059l7963,5943,7973,5933,7982,5933,7982,1068,7973,1068,7963,1059xm7982,5933l7973,5933,7963,5943,7982,5943,7982,5933xm2844,1059l2834,1068,2844,1068,2844,1059xm7963,1059l2844,1059,2844,1068,7963,1068,7963,1059xm7982,1059l7963,1059,7973,1068,7982,1068,7982,1059xe" filled="true" fillcolor="#ffffff" stroked="false">
              <v:path arrowok="t"/>
              <v:fill type="solid"/>
            </v:shape>
            <v:shape style="position:absolute;left:2806;top:1059;width:29;height:4884" coordorigin="2806,1059" coordsize="29,4884" path="m2834,1059l2834,5943m2806,5943l2834,5943m2806,5820l2834,5820m2806,5700l2834,5700m2806,5576l2834,5576m2806,5453l2834,5453m2806,5333l2834,5333m2806,5211l2834,5211m2806,5088l2834,5088m2806,4966l2834,4966m2806,4844l2834,4844m2806,4721l2834,4721m2806,4599l2834,4599e" filled="false" stroked="true" strokeweight=".24pt" strokecolor="#000000">
              <v:path arrowok="t"/>
            </v:shape>
            <v:line style="position:absolute" from="2806,4478" to="2834,4478" stroked="true" strokeweight=".12pt" strokecolor="#000000"/>
            <v:shape style="position:absolute;left:2806;top:1791;width:29;height:2566" coordorigin="2806,1791" coordsize="29,2566" path="m2806,4356l2834,4356m2806,4232l2834,4232m2806,4112l2834,4112m2806,3989l2834,3989m2806,3867l2834,3867m2806,3744l2834,3744m2806,3622l2834,3622m2806,3502l2834,3502m2806,3380l2834,3380m2806,3255l2834,3255m2806,3135l2834,3135m2806,3012l2834,3012m2806,2892l2834,2892m2806,2768l2834,2768m2806,2645l2834,2645m2806,2525l2834,2525m2806,2403l2834,2403m2806,2280l2834,2280m2806,2158l2834,2158m2806,2036l2834,2036m2806,1916l2834,1916m2806,1791l2834,1791e" filled="false" stroked="true" strokeweight=".24pt" strokecolor="#000000">
              <v:path arrowok="t"/>
            </v:shape>
            <v:line style="position:absolute" from="2806,1670" to="2834,1670" stroked="true" strokeweight=".12pt" strokecolor="#000000"/>
            <v:shape style="position:absolute;left:2806;top:1059;width:5168;height:2321" coordorigin="2806,1059" coordsize="5168,2321" path="m2806,1548l2834,1548m2806,1426l2834,1426m2806,1304l2834,1304m2806,1181l2834,1181m2806,1059l2834,1059m2834,3380l7973,3380e" filled="false" stroked="true" strokeweight=".24pt" strokecolor="#000000">
              <v:path arrowok="t"/>
            </v:shape>
            <v:shape style="position:absolute;left:3403;top:3402;width:4572;height:2" coordorigin="3403,3402" coordsize="4572,0" path="m3403,3402l3408,3402m3974,3402l3979,3402m4546,3402l4550,3402m5117,3402l5122,3402m5686,3402l5690,3402m6259,3402l6264,3402m6828,3402l6833,3402m7402,3402l7406,3402m7970,3402l7975,3402e" filled="false" stroked="true" strokeweight="2.280pt" strokecolor="#000000">
              <v:path arrowok="t"/>
            </v:shape>
            <v:shape style="position:absolute;left:3086;top:3648;width:4637;height:2038" coordorigin="3086,3648" coordsize="4637,2038" path="m7723,4277l7721,4272,7703,4253,7692,4241,7682,4241,7654,4272,7654,4276,7138,4412,7130,4404,7121,4395,7111,4395,7082,4424,7080,4428,7082,4433,7090,4441,6558,5000,6550,4992,6545,4990,6540,4992,6511,5021,6511,5031,6518,5038,5990,5509,5989,5508,5978,5499,5974,5496,5969,5499,5940,5528,5938,5532,5429,5635,5421,5626,5410,5614,5398,5614,5390,5623,4860,5088,4867,5081,4867,5072,4848,5052,4838,5043,4829,5043,4798,5072,4795,5076,4797,5081,4281,5311,4277,5307,4267,5297,4258,5297,4255,5300,3712,4333,3725,4320,3725,4308,3706,4289,3696,4280,3686,4280,3679,4287,3144,3698,3154,3689,3156,3684,3154,3680,3134,3660,3125,3651,3120,3648,3115,3651,3086,3680,3086,3689,3115,3718,3125,3718,3132,3710,3666,4300,3658,4308,3655,4316,3658,4320,3686,4349,3691,4352,3696,4349,3699,4346,4240,5313,4226,5326,4226,5336,4258,5364,4262,5367,4267,5364,4277,5355,4296,5336,4298,5331,4296,5326,4295,5325,4813,5095,4829,5110,4834,5112,4838,5110,4847,5102,5377,5636,5369,5645,5369,5655,5398,5684,5405,5686,5410,5684,5419,5674,5438,5655,5440,5652,5487,5643,5951,5548,5969,5566,5978,5566,5989,5556,6010,5537,6010,5528,6002,5521,6531,5052,6540,5062,6550,5062,6561,5050,6578,5031,6581,5026,6578,5021,6571,5014,7104,4455,7111,4462,7116,4464,7121,4462,7130,4452,7150,4433,7150,4430,7665,4293,7682,4311,7687,4313,7692,4311,7702,4301,7721,4282,7723,4277e" filled="true" fillcolor="#00007f" stroked="false">
              <v:path arrowok="t"/>
              <v:fill type="solid"/>
            </v:shape>
            <v:shape style="position:absolute;left:3110;top:1340;width:4589;height:1534" coordorigin="3110,1340" coordsize="4589,1534" path="m5402,2566l4834,2648,4260,2684,3689,2775,3120,2854,3115,2854,3110,2859,3113,2864,3113,2871,3118,2873,3122,2873,3691,2794,4262,2703,4834,2667,5405,2585,5407,2585,5441,2568,5400,2568,5402,2566xm6543,2173l5974,2285,5971,2285,5400,2568,5441,2568,5981,2302,5978,2302,6547,2192,6550,2189,6552,2189,6571,2175,6540,2175,6543,2173xm6545,2172l6543,2173,6540,2175,6545,2172xm6574,2172l6545,2172,6540,2175,6571,2175,6574,2172xm7692,1340l7687,1340,7682,1342,7111,1738,6543,2173,6545,2172,6574,2172,7121,1752,7694,1356,7697,1354,7699,1349,7697,1344,7692,1340xe" filled="true" fillcolor="#ff00ff" stroked="false">
              <v:path arrowok="t"/>
              <v:fill type="solid"/>
            </v:shape>
            <v:line style="position:absolute" from="3091,2862" to="3149,2862" stroked="true" strokeweight="3.0pt" strokecolor="#ff00ff"/>
            <v:shape style="position:absolute;left:3084;top:2825;width:72;height:75" coordorigin="3084,2825" coordsize="72,75" path="m3149,2825l3091,2825,3086,2828,3084,2832,3084,2892,3086,2897,3091,2900,3149,2900,3154,2897,3156,2892,3098,2892,3091,2885,3098,2885,3098,2840,3091,2840,3098,2832,3156,2832,3154,2828,3149,2825xm3098,2885l3091,2885,3098,2892,3098,2885xm3142,2885l3098,2885,3098,2892,3142,2892,3142,2885xm3142,2832l3142,2892,3149,2885,3156,2885,3156,2840,3149,2840,3142,2832xm3156,2885l3149,2885,3142,2892,3156,2892,3156,2885xm3098,2832l3091,2840,3098,2840,3098,2832xm3142,2832l3098,2832,3098,2840,3142,2840,3142,2832xm3156,2832l3142,2832,3149,2840,3156,2840,3156,2832xe" filled="true" fillcolor="#ff00ff" stroked="false">
              <v:path arrowok="t"/>
              <v:fill type="solid"/>
            </v:shape>
            <v:line style="position:absolute" from="3662,2784" to="3722,2784" stroked="true" strokeweight="2.88pt" strokecolor="#ff00ff"/>
            <v:shape style="position:absolute;left:3655;top:2748;width:75;height:72" coordorigin="3655,2748" coordsize="75,72" path="m3722,2748l3662,2748,3658,2751,3655,2756,3655,2813,3658,2820,3727,2820,3730,2813,3670,2813,3662,2808,3670,2808,3670,2763,3662,2763,3670,2756,3730,2756,3727,2751,3722,2748xm3670,2808l3662,2808,3670,2813,3670,2808xm3715,2808l3670,2808,3670,2813,3715,2813,3715,2808xm3715,2756l3715,2813,3722,2808,3730,2808,3730,2763,3722,2763,3715,2756xm3730,2808l3722,2808,3715,2813,3730,2813,3730,2808xm3670,2756l3662,2763,3670,2763,3670,2756xm3715,2756l3670,2756,3670,2763,3715,2763,3715,2756xm3730,2756l3715,2756,3722,2763,3730,2763,3730,2756xe" filled="true" fillcolor="#ff00ff" stroked="false">
              <v:path arrowok="t"/>
              <v:fill type="solid"/>
            </v:shape>
            <v:line style="position:absolute" from="4234,2692" to="4291,2692" stroked="true" strokeweight="3.0pt" strokecolor="#ff00ff"/>
            <v:shape style="position:absolute;left:4226;top:2655;width:72;height:72" coordorigin="4226,2655" coordsize="72,72" path="m4291,2655l4234,2655,4229,2657,4226,2662,4226,2722,4229,2727,4296,2727,4298,2722,4241,2722,4234,2715,4241,2715,4241,2669,4234,2669,4241,2662,4298,2662,4296,2657,4291,2655xm4241,2715l4234,2715,4241,2722,4241,2715xm4284,2715l4241,2715,4241,2722,4284,2722,4284,2715xm4284,2662l4284,2722,4291,2715,4298,2715,4298,2669,4291,2669,4284,2662xm4298,2715l4291,2715,4284,2722,4298,2722,4298,2715xm4241,2662l4234,2669,4241,2669,4241,2662xm4284,2662l4241,2662,4241,2669,4284,2669,4284,2662xm4298,2662l4284,2662,4291,2669,4298,2669,4298,2662xe" filled="true" fillcolor="#ff00ff" stroked="false">
              <v:path arrowok="t"/>
              <v:fill type="solid"/>
            </v:shape>
            <v:line style="position:absolute" from="4802,2657" to="4862,2657" stroked="true" strokeweight="2.88pt" strokecolor="#ff00ff"/>
            <v:shape style="position:absolute;left:4795;top:2621;width:75;height:72" coordorigin="4795,2621" coordsize="75,72" path="m4862,2621l4802,2621,4798,2624,4795,2628,4795,2686,4798,2691,4802,2693,4862,2693,4867,2691,4870,2686,4810,2686,4802,2679,4810,2679,4810,2636,4802,2636,4810,2628,4870,2628,4867,2624,4862,2621xm4810,2679l4802,2679,4810,2686,4810,2679xm4855,2679l4810,2679,4810,2686,4855,2686,4855,2679xm4855,2628l4855,2686,4862,2679,4870,2679,4870,2636,4862,2636,4855,2628xm4870,2679l4862,2679,4855,2686,4870,2686,4870,2679xm4810,2628l4802,2636,4810,2636,4810,2628xm4855,2628l4810,2628,4810,2636,4855,2636,4855,2628xm4870,2628l4855,2628,4862,2636,4870,2636,4870,2628xe" filled="true" fillcolor="#ff00ff" stroked="false">
              <v:path arrowok="t"/>
              <v:fill type="solid"/>
            </v:shape>
            <v:line style="position:absolute" from="5376,2578" to="5434,2578" stroked="true" strokeweight="2.88pt" strokecolor="#ff00ff"/>
            <v:shape style="position:absolute;left:5369;top:2542;width:72;height:72" coordorigin="5369,2542" coordsize="72,72" path="m5438,2542l5371,2542,5369,2549,5369,2607,5371,2612,5376,2614,5434,2614,5438,2612,5441,2607,5383,2607,5376,2600,5383,2600,5383,2554,5376,2554,5383,2549,5441,2549,5438,2542xm5383,2600l5376,2600,5383,2607,5383,2600xm5426,2600l5383,2600,5383,2607,5426,2607,5426,2600xm5426,2549l5426,2607,5434,2600,5441,2600,5441,2554,5434,2554,5426,2549xm5441,2600l5434,2600,5426,2607,5441,2607,5441,2600xm5383,2549l5376,2554,5383,2554,5383,2549xm5426,2549l5383,2549,5383,2554,5426,2554,5426,2549xm5441,2549l5426,2549,5434,2554,5441,2554,5441,2549xe" filled="true" fillcolor="#ff00ff" stroked="false">
              <v:path arrowok="t"/>
              <v:fill type="solid"/>
            </v:shape>
            <v:line style="position:absolute" from="5945,2292" to="6005,2292" stroked="true" strokeweight="2.88pt" strokecolor="#ff00ff"/>
            <v:shape style="position:absolute;left:5938;top:2256;width:75;height:72" coordorigin="5938,2256" coordsize="75,72" path="m6005,2256l5945,2256,5940,2259,5938,2264,5938,2321,5940,2326,5945,2328,6005,2328,6010,2326,6012,2321,5952,2321,5945,2314,5952,2314,5952,2271,5945,2271,5952,2264,6012,2264,6010,2259,6005,2256xm5952,2314l5945,2314,5952,2321,5952,2314xm5998,2314l5952,2314,5952,2321,5998,2321,5998,2314xm5998,2264l5998,2321,6005,2314,6012,2314,6012,2271,6005,2271,5998,2264xm6012,2314l6005,2314,5998,2321,6012,2321,6012,2314xm5952,2264l5945,2271,5952,2271,5952,2264xm5998,2264l5952,2264,5952,2271,5998,2271,5998,2264xm6012,2264l5998,2264,6005,2271,6012,2271,6012,2264xe" filled="true" fillcolor="#ff00ff" stroked="false">
              <v:path arrowok="t"/>
              <v:fill type="solid"/>
            </v:shape>
            <v:line style="position:absolute" from="6518,2180" to="6576,2180" stroked="true" strokeweight="2.88pt" strokecolor="#ff00ff"/>
            <v:shape style="position:absolute;left:6511;top:2144;width:72;height:72" coordorigin="6511,2144" coordsize="72,72" path="m6576,2144l6518,2144,6514,2146,6511,2151,6511,2208,6514,2213,6518,2216,6576,2216,6581,2213,6583,2208,6526,2208,6518,2201,6526,2201,6526,2158,6518,2158,6526,2151,6583,2151,6581,2146,6576,2144xm6526,2201l6518,2201,6526,2208,6526,2201xm6569,2201l6526,2201,6526,2208,6569,2208,6569,2201xm6569,2151l6569,2208,6576,2201,6583,2201,6583,2158,6576,2158,6569,2151xm6583,2201l6576,2201,6569,2208,6583,2208,6583,2201xm6526,2151l6518,2158,6526,2158,6526,2151xm6569,2151l6526,2151,6526,2158,6569,2158,6569,2151xm6583,2151l6569,2151,6576,2158,6583,2158,6583,2151xe" filled="true" fillcolor="#ff00ff" stroked="false">
              <v:path arrowok="t"/>
              <v:fill type="solid"/>
            </v:shape>
            <v:line style="position:absolute" from="7087,1743" to="7147,1743" stroked="true" strokeweight="2.88pt" strokecolor="#ff00ff"/>
            <v:shape style="position:absolute;left:7080;top:1707;width:75;height:72" coordorigin="7080,1707" coordsize="75,72" path="m7147,1707l7087,1707,7082,1709,7080,1714,7080,1772,7082,1776,7087,1779,7147,1779,7152,1776,7154,1772,7094,1772,7087,1764,7094,1764,7094,1721,7087,1721,7094,1714,7154,1714,7152,1709,7147,1707xm7094,1764l7087,1764,7094,1772,7094,1764xm7140,1764l7094,1764,7094,1772,7140,1772,7140,1764xm7140,1714l7140,1772,7147,1764,7154,1764,7154,1721,7147,1721,7140,1714xm7154,1764l7147,1764,7140,1772,7154,1772,7154,1764xm7094,1714l7087,1721,7094,1721,7094,1714xm7140,1714l7094,1714,7094,1721,7140,1721,7140,1714xm7154,1714l7140,1714,7147,1721,7154,1721,7154,1714xe" filled="true" fillcolor="#ff00ff" stroked="false">
              <v:path arrowok="t"/>
              <v:fill type="solid"/>
            </v:shape>
            <v:line style="position:absolute" from="7658,1350" to="7716,1350" stroked="true" strokeweight="3.0pt" strokecolor="#ff00ff"/>
            <v:shape style="position:absolute;left:7651;top:1316;width:72;height:72" coordorigin="7651,1316" coordsize="72,72" path="m7721,1316l7654,1316,7651,1320,7651,1380,7654,1385,7658,1388,7716,1388,7721,1385,7723,1380,7666,1380,7658,1373,7666,1373,7666,1328,7658,1328,7666,1320,7723,1320,7721,1316xm7666,1373l7658,1373,7666,1380,7666,1373xm7709,1373l7666,1373,7666,1380,7709,1380,7709,1373xm7709,1320l7709,1380,7716,1373,7723,1373,7723,1328,7716,1328,7709,1320xm7723,1373l7716,1373,7709,1380,7723,1380,7723,1373xm7666,1320l7658,1328,7666,1328,7666,1320xm7709,1320l7666,1320,7666,1328,7709,1328,7709,1320xm7723,1320l7709,1320,7716,1328,7723,1328,7723,1320xe" filled="true" fillcolor="#ff00ff" stroked="false">
              <v:path arrowok="t"/>
              <v:fill type="solid"/>
            </v:shape>
            <v:shape style="position:absolute;left:2868;top:3586;width:274;height:274" type="#_x0000_t75" stroked="false">
              <v:imagedata r:id="rId308" o:title=""/>
            </v:shape>
            <v:shape style="position:absolute;left:3439;top:3574;width:257;height:286" type="#_x0000_t75" stroked="false">
              <v:imagedata r:id="rId309" o:title=""/>
            </v:shape>
            <v:shape style="position:absolute;left:4010;top:3586;width:274;height:274" type="#_x0000_t75" stroked="false">
              <v:imagedata r:id="rId310" o:title=""/>
            </v:shape>
            <v:shape style="position:absolute;left:4579;top:3586;width:274;height:274" type="#_x0000_t75" stroked="false">
              <v:imagedata r:id="rId311" o:title=""/>
            </v:shape>
            <v:shape style="position:absolute;left:5138;top:3588;width:286;height:300" type="#_x0000_t75" stroked="false">
              <v:imagedata r:id="rId312" o:title=""/>
            </v:shape>
            <v:shape style="position:absolute;left:5710;top:3586;width:286;height:302" type="#_x0000_t75" stroked="false">
              <v:imagedata r:id="rId313" o:title=""/>
            </v:shape>
            <v:shape style="position:absolute;left:6278;top:3586;width:302;height:302" type="#_x0000_t75" stroked="false">
              <v:imagedata r:id="rId314" o:title=""/>
            </v:shape>
            <v:shape style="position:absolute;left:6850;top:3588;width:288;height:300" type="#_x0000_t75" stroked="false">
              <v:imagedata r:id="rId315" o:title=""/>
            </v:shape>
            <v:shape style="position:absolute;left:7421;top:3584;width:290;height:305" type="#_x0000_t75" stroked="false">
              <v:imagedata r:id="rId316" o:title=""/>
            </v:shape>
            <v:shape style="position:absolute;left:8071;top:2703;width:2153;height:2571" coordorigin="8071,2703" coordsize="2153,2571" path="m10222,2703l8074,2703,8071,2705,8071,5271,8074,5273,10222,5273,10224,5271,8076,5271,8076,2708,8074,2708,8076,2705,10224,2705,10222,2703xm10219,2705l10219,5271,10224,5271,10224,2708,10222,2708,10219,2705xm8076,2705l8074,2708,8076,2708,8076,2705xm10219,2705l8076,2705,8076,2708,10219,2708,10219,2705xm10224,2705l10219,2705,10222,2708,10224,2708,10224,2705xe" filled="true" fillcolor="#000000" stroked="false">
              <v:path arrowok="t"/>
              <v:fill type="solid"/>
            </v:shape>
            <v:line style="position:absolute" from="8184,3188" to="8575,3188" stroked="true" strokeweight=".96pt" strokecolor="#00007f"/>
            <v:shape style="position:absolute;left:8342;top:3152;width:70;height:72" coordorigin="8342,3152" coordsize="70,72" path="m8412,3183l8393,3164,8383,3154,8378,3152,8374,3154,8345,3183,8342,3188,8345,3192,8374,3221,8378,3224,8383,3221,8393,3212,8412,3192,8412,3183e" filled="true" fillcolor="#00007f" stroked="false">
              <v:path arrowok="t"/>
              <v:fill type="solid"/>
            </v:shape>
            <v:line style="position:absolute" from="8184,4470" to="8575,4470" stroked="true" strokeweight=".84pt" strokecolor="#ff00ff"/>
            <v:line style="position:absolute" from="8350,4472" to="8407,4472" stroked="true" strokeweight="2.88pt" strokecolor="#ff00ff"/>
            <v:shape style="position:absolute;left:8342;top:4436;width:72;height:72" coordorigin="8342,4436" coordsize="72,72" path="m8407,4436l8350,4436,8345,4438,8342,4443,8342,4500,8345,4505,8350,4508,8407,4508,8412,4505,8414,4500,8357,4500,8350,4493,8357,4493,8357,4450,8350,4450,8357,4443,8414,4443,8412,4438,8407,4436xm8357,4493l8350,4493,8357,4500,8357,4493xm8400,4493l8357,4493,8357,4500,8400,4500,8400,4493xm8400,4443l8400,4500,8407,4493,8414,4493,8414,4450,8407,4450,8400,4443xm8414,4493l8407,4493,8400,4500,8414,4500,8414,4493xm8357,4443l8350,4450,8357,4450,8357,4443xm8400,4443l8357,4443,8357,4450,8400,4450,8400,4443xm8414,4443l8400,4443,8407,4450,8414,4450,8414,4443xe" filled="true" fillcolor="#ff00ff" stroked="false">
              <v:path arrowok="t"/>
              <v:fill type="solid"/>
            </v:shape>
            <v:shape style="position:absolute;left:1642;top:622;width:8633;height:5962" coordorigin="1642,622" coordsize="8633,5962" path="m10272,622l1644,622,1642,624,1642,6581,1644,6584,10272,6584,10274,6581,1646,6581,1644,6579,1646,6579,1646,627,1644,627,1646,624,10274,624,10272,622xm1646,6579l1644,6579,1646,6581,1646,6579xm10270,6579l1646,6579,1646,6581,10270,6581,10270,6579xm10270,624l10270,6581,10272,6579,10274,6579,10274,627,10272,627,10270,624xm10274,6579l10272,6579,10270,6581,10274,6581,10274,6579xm1646,624l1644,627,1646,627,1646,624xm10270,624l1646,624,1646,627,10270,627,10270,624xm10274,624l10270,624,10272,627,10274,627,10274,624xe" filled="true" fillcolor="#000000" stroked="false">
              <v:path arrowok="t"/>
              <v:fill type="solid"/>
            </v:shape>
            <v:shape style="position:absolute;left:4109;top:691;width:2881;height:185" type="#_x0000_t202" filled="false" stroked="false">
              <v:textbox inset="0,0,0,0">
                <w:txbxContent>
                  <w:p>
                    <w:pPr>
                      <w:spacing w:line="185" w:lineRule="exact" w:before="0"/>
                      <w:ind w:left="0" w:right="-7" w:firstLine="0"/>
                      <w:jc w:val="left"/>
                      <w:rPr>
                        <w:b/>
                        <w:sz w:val="18"/>
                      </w:rPr>
                    </w:pPr>
                    <w:r>
                      <w:rPr>
                        <w:b/>
                        <w:w w:val="105"/>
                        <w:sz w:val="18"/>
                      </w:rPr>
                      <w:t>CTA.</w:t>
                    </w:r>
                    <w:r>
                      <w:rPr>
                        <w:b/>
                        <w:spacing w:val="-28"/>
                        <w:w w:val="105"/>
                        <w:sz w:val="18"/>
                      </w:rPr>
                      <w:t> </w:t>
                    </w:r>
                    <w:r>
                      <w:rPr>
                        <w:b/>
                        <w:w w:val="105"/>
                        <w:sz w:val="18"/>
                      </w:rPr>
                      <w:t>CORRIENTE</w:t>
                    </w:r>
                    <w:r>
                      <w:rPr>
                        <w:b/>
                        <w:spacing w:val="-27"/>
                        <w:w w:val="105"/>
                        <w:sz w:val="18"/>
                      </w:rPr>
                      <w:t> </w:t>
                    </w:r>
                    <w:r>
                      <w:rPr>
                        <w:b/>
                        <w:w w:val="105"/>
                        <w:sz w:val="18"/>
                      </w:rPr>
                      <w:t>VS.</w:t>
                    </w:r>
                    <w:r>
                      <w:rPr>
                        <w:b/>
                        <w:spacing w:val="-28"/>
                        <w:w w:val="105"/>
                        <w:sz w:val="18"/>
                      </w:rPr>
                      <w:t> </w:t>
                    </w:r>
                    <w:r>
                      <w:rPr>
                        <w:b/>
                        <w:w w:val="105"/>
                        <w:sz w:val="18"/>
                      </w:rPr>
                      <w:t>REMESAS</w:t>
                    </w:r>
                  </w:p>
                </w:txbxContent>
              </v:textbox>
              <w10:wrap type="none"/>
            </v:shape>
            <v:shape style="position:absolute;left:2402;top:1014;width:290;height:4976" type="#_x0000_t202" filled="false" stroked="false">
              <v:textbox inset="0,0,0,0">
                <w:txbxContent>
                  <w:p>
                    <w:pPr>
                      <w:spacing w:line="95" w:lineRule="exact" w:before="0"/>
                      <w:ind w:left="31" w:right="-19" w:firstLine="0"/>
                      <w:jc w:val="left"/>
                      <w:rPr>
                        <w:sz w:val="9"/>
                      </w:rPr>
                    </w:pPr>
                    <w:r>
                      <w:rPr>
                        <w:spacing w:val="-1"/>
                        <w:w w:val="105"/>
                        <w:sz w:val="9"/>
                      </w:rPr>
                      <w:t>19000</w:t>
                    </w:r>
                  </w:p>
                  <w:p>
                    <w:pPr>
                      <w:spacing w:before="16"/>
                      <w:ind w:left="31" w:right="-19" w:firstLine="0"/>
                      <w:jc w:val="left"/>
                      <w:rPr>
                        <w:sz w:val="9"/>
                      </w:rPr>
                    </w:pPr>
                    <w:r>
                      <w:rPr>
                        <w:spacing w:val="-1"/>
                        <w:w w:val="105"/>
                        <w:sz w:val="9"/>
                      </w:rPr>
                      <w:t>18000</w:t>
                    </w:r>
                  </w:p>
                  <w:p>
                    <w:pPr>
                      <w:spacing w:before="19"/>
                      <w:ind w:left="31" w:right="-19" w:firstLine="0"/>
                      <w:jc w:val="left"/>
                      <w:rPr>
                        <w:sz w:val="9"/>
                      </w:rPr>
                    </w:pPr>
                    <w:r>
                      <w:rPr>
                        <w:spacing w:val="-1"/>
                        <w:w w:val="105"/>
                        <w:sz w:val="9"/>
                      </w:rPr>
                      <w:t>17000</w:t>
                    </w:r>
                  </w:p>
                  <w:p>
                    <w:pPr>
                      <w:spacing w:before="19"/>
                      <w:ind w:left="31" w:right="-19" w:firstLine="0"/>
                      <w:jc w:val="left"/>
                      <w:rPr>
                        <w:sz w:val="9"/>
                      </w:rPr>
                    </w:pPr>
                    <w:r>
                      <w:rPr>
                        <w:spacing w:val="-1"/>
                        <w:w w:val="105"/>
                        <w:sz w:val="9"/>
                      </w:rPr>
                      <w:t>16000</w:t>
                    </w:r>
                  </w:p>
                  <w:p>
                    <w:pPr>
                      <w:spacing w:before="19"/>
                      <w:ind w:left="31" w:right="-19" w:firstLine="0"/>
                      <w:jc w:val="left"/>
                      <w:rPr>
                        <w:sz w:val="9"/>
                      </w:rPr>
                    </w:pPr>
                    <w:r>
                      <w:rPr>
                        <w:spacing w:val="-1"/>
                        <w:w w:val="105"/>
                        <w:sz w:val="9"/>
                      </w:rPr>
                      <w:t>15000</w:t>
                    </w:r>
                  </w:p>
                  <w:p>
                    <w:pPr>
                      <w:spacing w:before="19"/>
                      <w:ind w:left="31" w:right="-19" w:firstLine="0"/>
                      <w:jc w:val="left"/>
                      <w:rPr>
                        <w:sz w:val="9"/>
                      </w:rPr>
                    </w:pPr>
                    <w:r>
                      <w:rPr>
                        <w:spacing w:val="-1"/>
                        <w:w w:val="105"/>
                        <w:sz w:val="9"/>
                      </w:rPr>
                      <w:t>14000</w:t>
                    </w:r>
                  </w:p>
                  <w:p>
                    <w:pPr>
                      <w:spacing w:before="19"/>
                      <w:ind w:left="31" w:right="-19" w:firstLine="0"/>
                      <w:jc w:val="left"/>
                      <w:rPr>
                        <w:sz w:val="9"/>
                      </w:rPr>
                    </w:pPr>
                    <w:r>
                      <w:rPr>
                        <w:spacing w:val="-1"/>
                        <w:w w:val="105"/>
                        <w:sz w:val="9"/>
                      </w:rPr>
                      <w:t>13000</w:t>
                    </w:r>
                  </w:p>
                  <w:p>
                    <w:pPr>
                      <w:spacing w:before="19"/>
                      <w:ind w:left="31" w:right="-19" w:firstLine="0"/>
                      <w:jc w:val="left"/>
                      <w:rPr>
                        <w:sz w:val="9"/>
                      </w:rPr>
                    </w:pPr>
                    <w:r>
                      <w:rPr>
                        <w:spacing w:val="-1"/>
                        <w:w w:val="105"/>
                        <w:sz w:val="9"/>
                      </w:rPr>
                      <w:t>12000</w:t>
                    </w:r>
                  </w:p>
                  <w:p>
                    <w:pPr>
                      <w:spacing w:before="16"/>
                      <w:ind w:left="31" w:right="-19" w:firstLine="0"/>
                      <w:jc w:val="left"/>
                      <w:rPr>
                        <w:sz w:val="9"/>
                      </w:rPr>
                    </w:pPr>
                    <w:r>
                      <w:rPr>
                        <w:spacing w:val="-1"/>
                        <w:w w:val="105"/>
                        <w:sz w:val="9"/>
                      </w:rPr>
                      <w:t>11000</w:t>
                    </w:r>
                  </w:p>
                  <w:p>
                    <w:pPr>
                      <w:spacing w:before="19"/>
                      <w:ind w:left="31" w:right="-19" w:firstLine="0"/>
                      <w:jc w:val="left"/>
                      <w:rPr>
                        <w:sz w:val="9"/>
                      </w:rPr>
                    </w:pPr>
                    <w:r>
                      <w:rPr>
                        <w:spacing w:val="-1"/>
                        <w:w w:val="105"/>
                        <w:sz w:val="9"/>
                      </w:rPr>
                      <w:t>10000</w:t>
                    </w:r>
                  </w:p>
                  <w:p>
                    <w:pPr>
                      <w:spacing w:before="19"/>
                      <w:ind w:left="81" w:right="0" w:firstLine="0"/>
                      <w:jc w:val="center"/>
                      <w:rPr>
                        <w:sz w:val="9"/>
                      </w:rPr>
                    </w:pPr>
                    <w:r>
                      <w:rPr>
                        <w:spacing w:val="-1"/>
                        <w:w w:val="105"/>
                        <w:sz w:val="9"/>
                      </w:rPr>
                      <w:t>9000</w:t>
                    </w:r>
                  </w:p>
                  <w:p>
                    <w:pPr>
                      <w:spacing w:before="19"/>
                      <w:ind w:left="81" w:right="0" w:firstLine="0"/>
                      <w:jc w:val="center"/>
                      <w:rPr>
                        <w:sz w:val="9"/>
                      </w:rPr>
                    </w:pPr>
                    <w:r>
                      <w:rPr>
                        <w:spacing w:val="-1"/>
                        <w:w w:val="105"/>
                        <w:sz w:val="9"/>
                      </w:rPr>
                      <w:t>8000</w:t>
                    </w:r>
                  </w:p>
                  <w:p>
                    <w:pPr>
                      <w:spacing w:before="19"/>
                      <w:ind w:left="81" w:right="0" w:firstLine="0"/>
                      <w:jc w:val="center"/>
                      <w:rPr>
                        <w:sz w:val="9"/>
                      </w:rPr>
                    </w:pPr>
                    <w:r>
                      <w:rPr>
                        <w:spacing w:val="-1"/>
                        <w:w w:val="105"/>
                        <w:sz w:val="9"/>
                      </w:rPr>
                      <w:t>7000</w:t>
                    </w:r>
                  </w:p>
                  <w:p>
                    <w:pPr>
                      <w:spacing w:before="19"/>
                      <w:ind w:left="81" w:right="0" w:firstLine="0"/>
                      <w:jc w:val="center"/>
                      <w:rPr>
                        <w:sz w:val="9"/>
                      </w:rPr>
                    </w:pPr>
                    <w:r>
                      <w:rPr>
                        <w:spacing w:val="-1"/>
                        <w:w w:val="105"/>
                        <w:sz w:val="9"/>
                      </w:rPr>
                      <w:t>6000</w:t>
                    </w:r>
                  </w:p>
                  <w:p>
                    <w:pPr>
                      <w:spacing w:before="19"/>
                      <w:ind w:left="81" w:right="0" w:firstLine="0"/>
                      <w:jc w:val="center"/>
                      <w:rPr>
                        <w:sz w:val="9"/>
                      </w:rPr>
                    </w:pPr>
                    <w:r>
                      <w:rPr>
                        <w:spacing w:val="-1"/>
                        <w:w w:val="105"/>
                        <w:sz w:val="9"/>
                      </w:rPr>
                      <w:t>5000</w:t>
                    </w:r>
                  </w:p>
                  <w:p>
                    <w:pPr>
                      <w:spacing w:before="16"/>
                      <w:ind w:left="81" w:right="0" w:firstLine="0"/>
                      <w:jc w:val="center"/>
                      <w:rPr>
                        <w:sz w:val="9"/>
                      </w:rPr>
                    </w:pPr>
                    <w:r>
                      <w:rPr>
                        <w:spacing w:val="-1"/>
                        <w:w w:val="105"/>
                        <w:sz w:val="9"/>
                      </w:rPr>
                      <w:t>4000</w:t>
                    </w:r>
                  </w:p>
                  <w:p>
                    <w:pPr>
                      <w:spacing w:before="19"/>
                      <w:ind w:left="81" w:right="0" w:firstLine="0"/>
                      <w:jc w:val="center"/>
                      <w:rPr>
                        <w:sz w:val="9"/>
                      </w:rPr>
                    </w:pPr>
                    <w:r>
                      <w:rPr>
                        <w:spacing w:val="-1"/>
                        <w:w w:val="105"/>
                        <w:sz w:val="9"/>
                      </w:rPr>
                      <w:t>3000</w:t>
                    </w:r>
                  </w:p>
                  <w:p>
                    <w:pPr>
                      <w:spacing w:before="19"/>
                      <w:ind w:left="81" w:right="0" w:firstLine="0"/>
                      <w:jc w:val="center"/>
                      <w:rPr>
                        <w:sz w:val="9"/>
                      </w:rPr>
                    </w:pPr>
                    <w:r>
                      <w:rPr>
                        <w:spacing w:val="-1"/>
                        <w:w w:val="105"/>
                        <w:sz w:val="9"/>
                      </w:rPr>
                      <w:t>2000</w:t>
                    </w:r>
                  </w:p>
                  <w:p>
                    <w:pPr>
                      <w:spacing w:before="19"/>
                      <w:ind w:left="81" w:right="0" w:firstLine="0"/>
                      <w:jc w:val="center"/>
                      <w:rPr>
                        <w:sz w:val="9"/>
                      </w:rPr>
                    </w:pPr>
                    <w:r>
                      <w:rPr>
                        <w:spacing w:val="-1"/>
                        <w:w w:val="105"/>
                        <w:sz w:val="9"/>
                      </w:rPr>
                      <w:t>1000</w:t>
                    </w:r>
                  </w:p>
                  <w:p>
                    <w:pPr>
                      <w:spacing w:before="19"/>
                      <w:ind w:left="237" w:right="0" w:firstLine="0"/>
                      <w:jc w:val="center"/>
                      <w:rPr>
                        <w:sz w:val="9"/>
                      </w:rPr>
                    </w:pPr>
                    <w:r>
                      <w:rPr>
                        <w:w w:val="103"/>
                        <w:sz w:val="9"/>
                      </w:rPr>
                      <w:t>0</w:t>
                    </w:r>
                  </w:p>
                  <w:p>
                    <w:pPr>
                      <w:spacing w:before="19"/>
                      <w:ind w:left="47" w:right="0" w:firstLine="0"/>
                      <w:jc w:val="center"/>
                      <w:rPr>
                        <w:sz w:val="9"/>
                      </w:rPr>
                    </w:pPr>
                    <w:r>
                      <w:rPr>
                        <w:w w:val="105"/>
                        <w:sz w:val="9"/>
                      </w:rPr>
                      <w:t>-1000</w:t>
                    </w:r>
                  </w:p>
                  <w:p>
                    <w:pPr>
                      <w:spacing w:before="19"/>
                      <w:ind w:left="47" w:right="0" w:firstLine="0"/>
                      <w:jc w:val="center"/>
                      <w:rPr>
                        <w:sz w:val="9"/>
                      </w:rPr>
                    </w:pPr>
                    <w:r>
                      <w:rPr>
                        <w:w w:val="105"/>
                        <w:sz w:val="9"/>
                      </w:rPr>
                      <w:t>-2000</w:t>
                    </w:r>
                  </w:p>
                  <w:p>
                    <w:pPr>
                      <w:spacing w:before="19"/>
                      <w:ind w:left="47" w:right="0" w:firstLine="0"/>
                      <w:jc w:val="center"/>
                      <w:rPr>
                        <w:sz w:val="9"/>
                      </w:rPr>
                    </w:pPr>
                    <w:r>
                      <w:rPr>
                        <w:w w:val="105"/>
                        <w:sz w:val="9"/>
                      </w:rPr>
                      <w:t>-3000</w:t>
                    </w:r>
                  </w:p>
                  <w:p>
                    <w:pPr>
                      <w:spacing w:before="16"/>
                      <w:ind w:left="47" w:right="0" w:firstLine="0"/>
                      <w:jc w:val="center"/>
                      <w:rPr>
                        <w:sz w:val="9"/>
                      </w:rPr>
                    </w:pPr>
                    <w:r>
                      <w:rPr>
                        <w:w w:val="105"/>
                        <w:sz w:val="9"/>
                      </w:rPr>
                      <w:t>-4000</w:t>
                    </w:r>
                  </w:p>
                  <w:p>
                    <w:pPr>
                      <w:spacing w:before="19"/>
                      <w:ind w:left="47" w:right="0" w:firstLine="0"/>
                      <w:jc w:val="center"/>
                      <w:rPr>
                        <w:sz w:val="9"/>
                      </w:rPr>
                    </w:pPr>
                    <w:r>
                      <w:rPr>
                        <w:w w:val="105"/>
                        <w:sz w:val="9"/>
                      </w:rPr>
                      <w:t>-5000</w:t>
                    </w:r>
                  </w:p>
                  <w:p>
                    <w:pPr>
                      <w:spacing w:before="19"/>
                      <w:ind w:left="47" w:right="0" w:firstLine="0"/>
                      <w:jc w:val="center"/>
                      <w:rPr>
                        <w:sz w:val="9"/>
                      </w:rPr>
                    </w:pPr>
                    <w:r>
                      <w:rPr>
                        <w:w w:val="105"/>
                        <w:sz w:val="9"/>
                      </w:rPr>
                      <w:t>-6000</w:t>
                    </w:r>
                  </w:p>
                  <w:p>
                    <w:pPr>
                      <w:spacing w:before="19"/>
                      <w:ind w:left="47" w:right="0" w:firstLine="0"/>
                      <w:jc w:val="center"/>
                      <w:rPr>
                        <w:sz w:val="9"/>
                      </w:rPr>
                    </w:pPr>
                    <w:r>
                      <w:rPr>
                        <w:w w:val="105"/>
                        <w:sz w:val="9"/>
                      </w:rPr>
                      <w:t>-7000</w:t>
                    </w:r>
                  </w:p>
                  <w:p>
                    <w:pPr>
                      <w:spacing w:before="19"/>
                      <w:ind w:left="47" w:right="0" w:firstLine="0"/>
                      <w:jc w:val="center"/>
                      <w:rPr>
                        <w:sz w:val="9"/>
                      </w:rPr>
                    </w:pPr>
                    <w:r>
                      <w:rPr>
                        <w:w w:val="105"/>
                        <w:sz w:val="9"/>
                      </w:rPr>
                      <w:t>-8000</w:t>
                    </w:r>
                  </w:p>
                  <w:p>
                    <w:pPr>
                      <w:spacing w:before="19"/>
                      <w:ind w:left="47" w:right="0" w:firstLine="0"/>
                      <w:jc w:val="center"/>
                      <w:rPr>
                        <w:sz w:val="9"/>
                      </w:rPr>
                    </w:pPr>
                    <w:r>
                      <w:rPr>
                        <w:w w:val="105"/>
                        <w:sz w:val="9"/>
                      </w:rPr>
                      <w:t>-9000</w:t>
                    </w:r>
                  </w:p>
                  <w:p>
                    <w:pPr>
                      <w:spacing w:before="19"/>
                      <w:ind w:left="0" w:right="-11" w:firstLine="0"/>
                      <w:jc w:val="left"/>
                      <w:rPr>
                        <w:sz w:val="9"/>
                      </w:rPr>
                    </w:pPr>
                    <w:r>
                      <w:rPr>
                        <w:sz w:val="9"/>
                      </w:rPr>
                      <w:t>-10000</w:t>
                    </w:r>
                  </w:p>
                  <w:p>
                    <w:pPr>
                      <w:spacing w:before="16"/>
                      <w:ind w:left="0" w:right="-11" w:firstLine="0"/>
                      <w:jc w:val="left"/>
                      <w:rPr>
                        <w:sz w:val="9"/>
                      </w:rPr>
                    </w:pPr>
                    <w:r>
                      <w:rPr>
                        <w:sz w:val="9"/>
                      </w:rPr>
                      <w:t>-11000</w:t>
                    </w:r>
                  </w:p>
                  <w:p>
                    <w:pPr>
                      <w:spacing w:before="19"/>
                      <w:ind w:left="0" w:right="-11" w:firstLine="0"/>
                      <w:jc w:val="left"/>
                      <w:rPr>
                        <w:sz w:val="9"/>
                      </w:rPr>
                    </w:pPr>
                    <w:r>
                      <w:rPr>
                        <w:sz w:val="9"/>
                      </w:rPr>
                      <w:t>-12000</w:t>
                    </w:r>
                  </w:p>
                  <w:p>
                    <w:pPr>
                      <w:spacing w:before="19"/>
                      <w:ind w:left="0" w:right="-11" w:firstLine="0"/>
                      <w:jc w:val="left"/>
                      <w:rPr>
                        <w:sz w:val="9"/>
                      </w:rPr>
                    </w:pPr>
                    <w:r>
                      <w:rPr>
                        <w:sz w:val="9"/>
                      </w:rPr>
                      <w:t>-13000</w:t>
                    </w:r>
                  </w:p>
                  <w:p>
                    <w:pPr>
                      <w:spacing w:before="19"/>
                      <w:ind w:left="0" w:right="-11" w:firstLine="0"/>
                      <w:jc w:val="left"/>
                      <w:rPr>
                        <w:sz w:val="9"/>
                      </w:rPr>
                    </w:pPr>
                    <w:r>
                      <w:rPr>
                        <w:sz w:val="9"/>
                      </w:rPr>
                      <w:t>-14000</w:t>
                    </w:r>
                  </w:p>
                  <w:p>
                    <w:pPr>
                      <w:spacing w:before="19"/>
                      <w:ind w:left="0" w:right="-11" w:firstLine="0"/>
                      <w:jc w:val="left"/>
                      <w:rPr>
                        <w:sz w:val="9"/>
                      </w:rPr>
                    </w:pPr>
                    <w:r>
                      <w:rPr>
                        <w:sz w:val="9"/>
                      </w:rPr>
                      <w:t>-15000</w:t>
                    </w:r>
                  </w:p>
                  <w:p>
                    <w:pPr>
                      <w:spacing w:before="19"/>
                      <w:ind w:left="0" w:right="-11" w:firstLine="0"/>
                      <w:jc w:val="left"/>
                      <w:rPr>
                        <w:sz w:val="9"/>
                      </w:rPr>
                    </w:pPr>
                    <w:r>
                      <w:rPr>
                        <w:sz w:val="9"/>
                      </w:rPr>
                      <w:t>-16000</w:t>
                    </w:r>
                  </w:p>
                  <w:p>
                    <w:pPr>
                      <w:spacing w:before="19"/>
                      <w:ind w:left="0" w:right="-11" w:firstLine="0"/>
                      <w:jc w:val="left"/>
                      <w:rPr>
                        <w:sz w:val="9"/>
                      </w:rPr>
                    </w:pPr>
                    <w:r>
                      <w:rPr>
                        <w:sz w:val="9"/>
                      </w:rPr>
                      <w:t>-17000</w:t>
                    </w:r>
                  </w:p>
                  <w:p>
                    <w:pPr>
                      <w:spacing w:before="16"/>
                      <w:ind w:left="0" w:right="-11" w:firstLine="0"/>
                      <w:jc w:val="left"/>
                      <w:rPr>
                        <w:sz w:val="9"/>
                      </w:rPr>
                    </w:pPr>
                    <w:r>
                      <w:rPr>
                        <w:sz w:val="9"/>
                      </w:rPr>
                      <w:t>-18000</w:t>
                    </w:r>
                  </w:p>
                  <w:p>
                    <w:pPr>
                      <w:spacing w:before="19"/>
                      <w:ind w:left="0" w:right="-11" w:firstLine="0"/>
                      <w:jc w:val="left"/>
                      <w:rPr>
                        <w:sz w:val="9"/>
                      </w:rPr>
                    </w:pPr>
                    <w:r>
                      <w:rPr>
                        <w:sz w:val="9"/>
                      </w:rPr>
                      <w:t>-19000</w:t>
                    </w:r>
                  </w:p>
                  <w:p>
                    <w:pPr>
                      <w:spacing w:before="19"/>
                      <w:ind w:left="0" w:right="-11" w:firstLine="0"/>
                      <w:jc w:val="left"/>
                      <w:rPr>
                        <w:sz w:val="9"/>
                      </w:rPr>
                    </w:pPr>
                    <w:r>
                      <w:rPr>
                        <w:sz w:val="9"/>
                      </w:rPr>
                      <w:t>-20000</w:t>
                    </w:r>
                  </w:p>
                  <w:p>
                    <w:pPr>
                      <w:spacing w:line="102" w:lineRule="exact" w:before="19"/>
                      <w:ind w:left="0" w:right="-11" w:firstLine="0"/>
                      <w:jc w:val="left"/>
                      <w:rPr>
                        <w:sz w:val="9"/>
                      </w:rPr>
                    </w:pPr>
                    <w:r>
                      <w:rPr>
                        <w:sz w:val="9"/>
                      </w:rPr>
                      <w:t>-21000</w:t>
                    </w:r>
                  </w:p>
                </w:txbxContent>
              </v:textbox>
              <w10:wrap type="none"/>
            </v:shape>
            <v:shape style="position:absolute;left:8604;top:3120;width:1464;height:472" type="#_x0000_t202" filled="false" stroked="false">
              <v:textbox inset="0,0,0,0">
                <w:txbxContent>
                  <w:p>
                    <w:pPr>
                      <w:spacing w:line="145" w:lineRule="exact" w:before="0"/>
                      <w:ind w:left="0" w:right="0" w:firstLine="0"/>
                      <w:jc w:val="left"/>
                      <w:rPr>
                        <w:sz w:val="14"/>
                      </w:rPr>
                    </w:pPr>
                    <w:r>
                      <w:rPr>
                        <w:sz w:val="14"/>
                      </w:rPr>
                      <w:t>CUENTA CORRIENTE</w:t>
                    </w:r>
                  </w:p>
                  <w:p>
                    <w:pPr>
                      <w:spacing w:line="242" w:lineRule="auto" w:before="4"/>
                      <w:ind w:left="0" w:right="0" w:firstLine="0"/>
                      <w:jc w:val="left"/>
                      <w:rPr>
                        <w:sz w:val="14"/>
                      </w:rPr>
                    </w:pPr>
                    <w:r>
                      <w:rPr>
                        <w:sz w:val="14"/>
                      </w:rPr>
                      <w:t>(MILLONES DE DÓLARES)</w:t>
                    </w:r>
                  </w:p>
                </w:txbxContent>
              </v:textbox>
              <w10:wrap type="none"/>
            </v:shape>
            <v:shape style="position:absolute;left:8604;top:4404;width:1502;height:309" type="#_x0000_t202" filled="false" stroked="false">
              <v:textbox inset="0,0,0,0">
                <w:txbxContent>
                  <w:p>
                    <w:pPr>
                      <w:spacing w:line="145" w:lineRule="exact" w:before="0"/>
                      <w:ind w:left="0" w:right="0" w:firstLine="0"/>
                      <w:jc w:val="left"/>
                      <w:rPr>
                        <w:sz w:val="14"/>
                      </w:rPr>
                    </w:pPr>
                    <w:r>
                      <w:rPr>
                        <w:sz w:val="14"/>
                      </w:rPr>
                      <w:t>REMESAS (MILLONES</w:t>
                    </w:r>
                  </w:p>
                  <w:p>
                    <w:pPr>
                      <w:spacing w:line="158" w:lineRule="exact" w:before="4"/>
                      <w:ind w:left="0" w:right="0" w:firstLine="0"/>
                      <w:jc w:val="left"/>
                      <w:rPr>
                        <w:sz w:val="14"/>
                      </w:rPr>
                    </w:pPr>
                    <w:r>
                      <w:rPr>
                        <w:sz w:val="14"/>
                      </w:rPr>
                      <w:t>DE DOLARES)</w:t>
                    </w:r>
                  </w:p>
                </w:txbxContent>
              </v:textbox>
              <w10:wrap type="none"/>
            </v:shape>
            <v:shape style="position:absolute;left:5129;top:6006;width:341;height:157" type="#_x0000_t202" filled="false" stroked="false">
              <v:textbox inset="0,0,0,0">
                <w:txbxContent>
                  <w:p>
                    <w:pPr>
                      <w:spacing w:line="157" w:lineRule="exact" w:before="0"/>
                      <w:ind w:left="0" w:right="-13" w:firstLine="0"/>
                      <w:jc w:val="left"/>
                      <w:rPr>
                        <w:b/>
                        <w:sz w:val="15"/>
                      </w:rPr>
                    </w:pPr>
                    <w:r>
                      <w:rPr>
                        <w:b/>
                        <w:sz w:val="15"/>
                      </w:rPr>
                      <w:t>AÑO</w:t>
                    </w:r>
                  </w:p>
                </w:txbxContent>
              </v:textbox>
              <w10:wrap type="none"/>
            </v:shape>
            <w10:wrap type="none"/>
          </v:group>
        </w:pict>
      </w:r>
      <w:r>
        <w:rPr/>
        <w:pict>
          <v:shape style="position:absolute;margin-left:83.498993pt;margin-top:118.001343pt;width:9.85pt;height:94.95pt;mso-position-horizontal-relative:page;mso-position-vertical-relative:paragraph;z-index:10576" type="#_x0000_t202" filled="false" stroked="false">
            <v:textbox inset="0,0,0,0" style="layout-flow:vertical;mso-layout-flow-alt:bottom-to-top">
              <w:txbxContent>
                <w:p>
                  <w:pPr>
                    <w:spacing w:before="6"/>
                    <w:ind w:left="20" w:right="-653" w:firstLine="0"/>
                    <w:jc w:val="left"/>
                    <w:rPr>
                      <w:b/>
                      <w:sz w:val="15"/>
                    </w:rPr>
                  </w:pPr>
                  <w:r>
                    <w:rPr>
                      <w:b/>
                      <w:spacing w:val="4"/>
                      <w:w w:val="104"/>
                      <w:sz w:val="15"/>
                    </w:rPr>
                    <w:t>M</w:t>
                  </w:r>
                  <w:r>
                    <w:rPr>
                      <w:b/>
                      <w:spacing w:val="-1"/>
                      <w:w w:val="104"/>
                      <w:sz w:val="15"/>
                    </w:rPr>
                    <w:t>I</w:t>
                  </w:r>
                  <w:r>
                    <w:rPr>
                      <w:b/>
                      <w:w w:val="104"/>
                      <w:sz w:val="15"/>
                    </w:rPr>
                    <w:t>LLO</w:t>
                  </w:r>
                  <w:r>
                    <w:rPr>
                      <w:b/>
                      <w:spacing w:val="-3"/>
                      <w:w w:val="104"/>
                      <w:sz w:val="15"/>
                    </w:rPr>
                    <w:t>N</w:t>
                  </w:r>
                  <w:r>
                    <w:rPr>
                      <w:b/>
                      <w:spacing w:val="1"/>
                      <w:w w:val="104"/>
                      <w:sz w:val="15"/>
                    </w:rPr>
                    <w:t>E</w:t>
                  </w:r>
                  <w:r>
                    <w:rPr>
                      <w:b/>
                      <w:w w:val="104"/>
                      <w:sz w:val="15"/>
                    </w:rPr>
                    <w:t>S</w:t>
                  </w:r>
                  <w:r>
                    <w:rPr>
                      <w:b/>
                      <w:spacing w:val="-10"/>
                      <w:sz w:val="15"/>
                    </w:rPr>
                    <w:t> </w:t>
                  </w:r>
                  <w:r>
                    <w:rPr>
                      <w:b/>
                      <w:spacing w:val="-3"/>
                      <w:w w:val="104"/>
                      <w:sz w:val="15"/>
                    </w:rPr>
                    <w:t>D</w:t>
                  </w:r>
                  <w:r>
                    <w:rPr>
                      <w:b/>
                      <w:w w:val="104"/>
                      <w:sz w:val="15"/>
                    </w:rPr>
                    <w:t>E</w:t>
                  </w:r>
                  <w:r>
                    <w:rPr>
                      <w:b/>
                      <w:spacing w:val="2"/>
                      <w:sz w:val="15"/>
                    </w:rPr>
                    <w:t> </w:t>
                  </w:r>
                  <w:r>
                    <w:rPr>
                      <w:b/>
                      <w:spacing w:val="-3"/>
                      <w:w w:val="104"/>
                      <w:sz w:val="15"/>
                    </w:rPr>
                    <w:t>D</w:t>
                  </w:r>
                  <w:r>
                    <w:rPr>
                      <w:b/>
                      <w:w w:val="104"/>
                      <w:sz w:val="15"/>
                    </w:rPr>
                    <w:t>ÓL</w:t>
                  </w:r>
                  <w:r>
                    <w:rPr>
                      <w:b/>
                      <w:spacing w:val="-8"/>
                      <w:w w:val="104"/>
                      <w:sz w:val="15"/>
                    </w:rPr>
                    <w:t>A</w:t>
                  </w:r>
                  <w:r>
                    <w:rPr>
                      <w:b/>
                      <w:spacing w:val="-3"/>
                      <w:w w:val="104"/>
                      <w:sz w:val="15"/>
                    </w:rPr>
                    <w:t>R</w:t>
                  </w:r>
                  <w:r>
                    <w:rPr>
                      <w:b/>
                      <w:spacing w:val="1"/>
                      <w:w w:val="104"/>
                      <w:sz w:val="15"/>
                    </w:rPr>
                    <w:t>E</w:t>
                  </w:r>
                  <w:r>
                    <w:rPr>
                      <w:b/>
                      <w:w w:val="104"/>
                      <w:sz w:val="15"/>
                    </w:rPr>
                    <w:t>S</w:t>
                  </w:r>
                </w:p>
              </w:txbxContent>
            </v:textbox>
            <w10:wrap type="none"/>
          </v:shape>
        </w:pict>
      </w:r>
      <w:r>
        <w:rPr/>
        <w:t>Figura 2. México: tendencias en la Cuenta Corriente y las  remesas</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4"/>
        <w:rPr>
          <w:b/>
          <w:sz w:val="26"/>
        </w:rPr>
      </w:pPr>
    </w:p>
    <w:p>
      <w:pPr>
        <w:spacing w:before="0"/>
        <w:ind w:left="988" w:right="1132" w:firstLine="0"/>
        <w:jc w:val="center"/>
        <w:rPr>
          <w:sz w:val="21"/>
        </w:rPr>
      </w:pPr>
      <w:r>
        <w:rPr>
          <w:sz w:val="21"/>
        </w:rPr>
        <w:t>Fuente. Elaboración propia con datos de Banco de México.  2004.</w:t>
      </w:r>
    </w:p>
    <w:p>
      <w:pPr>
        <w:pStyle w:val="BodyText"/>
        <w:rPr>
          <w:sz w:val="20"/>
        </w:rPr>
      </w:pPr>
    </w:p>
    <w:p>
      <w:pPr>
        <w:pStyle w:val="BodyText"/>
        <w:rPr>
          <w:sz w:val="20"/>
        </w:rPr>
      </w:pPr>
    </w:p>
    <w:p>
      <w:pPr>
        <w:pStyle w:val="BodyText"/>
        <w:rPr>
          <w:sz w:val="20"/>
        </w:rPr>
      </w:pPr>
    </w:p>
    <w:p>
      <w:pPr>
        <w:pStyle w:val="BodyText"/>
        <w:spacing w:line="364" w:lineRule="auto" w:before="144"/>
        <w:ind w:left="101" w:right="245"/>
        <w:jc w:val="both"/>
      </w:pPr>
      <w:r>
        <w:rPr/>
        <w:t>Por otra parte, en el Cuadro 7, se observa que la Cuenta Corriente muestra un persistente déficit durante los años 1996 a 2009 –aunque las cifras a 2009 son hasta el mes de junio-, mismo que alcanza un máximo en el año 2000; a partir de ahí, dicho  déficit va disminuyendo hasta 2006, ya que en 2007 casi se duplicó con respecto al año previo, y en 2008 casi se triplicó con respecto a 2007; mientras que las remesas siguen aumentando en términos absolutos, aunque lo hacen a tasas </w:t>
      </w:r>
      <w:r>
        <w:rPr>
          <w:spacing w:val="20"/>
        </w:rPr>
        <w:t> </w:t>
      </w:r>
      <w:r>
        <w:rPr/>
        <w:t>decrecientes.</w:t>
      </w:r>
    </w:p>
    <w:p>
      <w:pPr>
        <w:spacing w:after="0" w:line="364" w:lineRule="auto"/>
        <w:jc w:val="both"/>
        <w:sectPr>
          <w:pgSz w:w="11900" w:h="16840"/>
          <w:pgMar w:header="0" w:footer="1676" w:top="1600" w:bottom="1860" w:left="1300" w:right="1140"/>
        </w:sectPr>
      </w:pPr>
    </w:p>
    <w:p>
      <w:pPr>
        <w:pStyle w:val="BodyText"/>
        <w:rPr>
          <w:sz w:val="20"/>
        </w:rPr>
      </w:pPr>
    </w:p>
    <w:p>
      <w:pPr>
        <w:pStyle w:val="BodyText"/>
        <w:spacing w:before="8"/>
        <w:rPr>
          <w:sz w:val="18"/>
        </w:rPr>
      </w:pPr>
    </w:p>
    <w:p>
      <w:pPr>
        <w:pStyle w:val="BodyText"/>
        <w:spacing w:line="364" w:lineRule="auto" w:before="74"/>
        <w:ind w:left="221" w:right="103"/>
        <w:jc w:val="both"/>
      </w:pPr>
      <w:r>
        <w:rPr/>
        <w:t>Ambos factores hacen que las remesas representen cada vez mayores porcentajes con relación al saldo deficitario de la Cuenta Corriente, contribuyendo a reducir ese déficit desde un 35% en el año 2000, hasta “pagarlo” y todavía disponer de un 71.6% del  monto de las remesas captadas en 2005. Por tal razón, es plausible mencionar que las remesas actúan como un “contrapeso” a esos </w:t>
      </w:r>
      <w:r>
        <w:rPr>
          <w:spacing w:val="5"/>
        </w:rPr>
        <w:t> </w:t>
      </w:r>
      <w:r>
        <w:rPr/>
        <w:t>déficits.</w:t>
      </w:r>
    </w:p>
    <w:p>
      <w:pPr>
        <w:pStyle w:val="BodyText"/>
        <w:rPr>
          <w:sz w:val="22"/>
        </w:rPr>
      </w:pPr>
    </w:p>
    <w:p>
      <w:pPr>
        <w:pStyle w:val="BodyText"/>
        <w:rPr>
          <w:sz w:val="22"/>
        </w:rPr>
      </w:pPr>
    </w:p>
    <w:p>
      <w:pPr>
        <w:pStyle w:val="Heading4"/>
        <w:spacing w:before="195"/>
        <w:ind w:left="610" w:right="447"/>
      </w:pPr>
      <w:r>
        <w:rPr/>
        <w:t>Cuadro 7. México: remesas y saldo de la Cuenta Corriente de la Balanza  de</w:t>
      </w:r>
    </w:p>
    <w:p>
      <w:pPr>
        <w:spacing w:before="138"/>
        <w:ind w:left="3310" w:right="447" w:firstLine="0"/>
        <w:jc w:val="left"/>
        <w:rPr>
          <w:b/>
          <w:sz w:val="23"/>
        </w:rPr>
      </w:pPr>
      <w:r>
        <w:rPr>
          <w:b/>
          <w:sz w:val="23"/>
        </w:rPr>
        <w:t>Pagos, 1996-2009 (Millones de dólares)</w:t>
      </w:r>
    </w:p>
    <w:p>
      <w:pPr>
        <w:pStyle w:val="BodyText"/>
        <w:spacing w:before="3"/>
        <w:rPr>
          <w:b/>
          <w:sz w:val="22"/>
        </w:rPr>
      </w:pPr>
    </w:p>
    <w:tbl>
      <w:tblPr>
        <w:tblW w:w="0" w:type="auto"/>
        <w:jc w:val="left"/>
        <w:tblInd w:w="11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914"/>
        <w:gridCol w:w="2914"/>
        <w:gridCol w:w="2911"/>
      </w:tblGrid>
      <w:tr>
        <w:trPr>
          <w:trHeight w:val="743" w:hRule="exact"/>
        </w:trPr>
        <w:tc>
          <w:tcPr>
            <w:tcW w:w="2914" w:type="dxa"/>
            <w:tcBorders>
              <w:left w:val="single" w:sz="4" w:space="0" w:color="000000"/>
              <w:bottom w:val="single" w:sz="4" w:space="0" w:color="000000"/>
              <w:right w:val="single" w:sz="4" w:space="0" w:color="000000"/>
            </w:tcBorders>
          </w:tcPr>
          <w:p>
            <w:pPr>
              <w:pStyle w:val="TableParagraph"/>
              <w:spacing w:before="0"/>
              <w:ind w:left="1130" w:right="1131"/>
              <w:jc w:val="center"/>
              <w:rPr>
                <w:b/>
                <w:sz w:val="23"/>
              </w:rPr>
            </w:pPr>
            <w:r>
              <w:rPr>
                <w:b/>
                <w:sz w:val="23"/>
              </w:rPr>
              <w:t>Año</w:t>
            </w:r>
          </w:p>
        </w:tc>
        <w:tc>
          <w:tcPr>
            <w:tcW w:w="2914" w:type="dxa"/>
            <w:tcBorders>
              <w:left w:val="single" w:sz="4" w:space="0" w:color="000000"/>
              <w:bottom w:val="single" w:sz="4" w:space="0" w:color="000000"/>
              <w:right w:val="single" w:sz="4" w:space="0" w:color="000000"/>
            </w:tcBorders>
          </w:tcPr>
          <w:p>
            <w:pPr>
              <w:pStyle w:val="TableParagraph"/>
              <w:spacing w:line="247" w:lineRule="auto" w:before="0"/>
              <w:ind w:left="789" w:hanging="384"/>
              <w:jc w:val="left"/>
              <w:rPr>
                <w:b/>
                <w:sz w:val="23"/>
              </w:rPr>
            </w:pPr>
            <w:r>
              <w:rPr>
                <w:b/>
                <w:sz w:val="23"/>
              </w:rPr>
              <w:t>Saldo en la Cuenta Corriente (i)</w:t>
            </w:r>
          </w:p>
        </w:tc>
        <w:tc>
          <w:tcPr>
            <w:tcW w:w="2911" w:type="dxa"/>
            <w:tcBorders>
              <w:left w:val="single" w:sz="4" w:space="0" w:color="000000"/>
              <w:bottom w:val="single" w:sz="4" w:space="0" w:color="000000"/>
              <w:right w:val="single" w:sz="4" w:space="0" w:color="000000"/>
            </w:tcBorders>
          </w:tcPr>
          <w:p>
            <w:pPr>
              <w:pStyle w:val="TableParagraph"/>
              <w:spacing w:line="247" w:lineRule="auto" w:before="0"/>
              <w:ind w:left="1307" w:hanging="1119"/>
              <w:jc w:val="left"/>
              <w:rPr>
                <w:b/>
                <w:sz w:val="23"/>
              </w:rPr>
            </w:pPr>
            <w:r>
              <w:rPr>
                <w:b/>
                <w:sz w:val="23"/>
              </w:rPr>
              <w:t>Monto de las Remesas (ii)</w:t>
            </w:r>
          </w:p>
        </w:tc>
      </w:tr>
      <w:tr>
        <w:trPr>
          <w:trHeight w:val="473" w:hRule="exact"/>
        </w:trPr>
        <w:tc>
          <w:tcPr>
            <w:tcW w:w="2914" w:type="dxa"/>
            <w:tcBorders>
              <w:top w:val="single" w:sz="4" w:space="0" w:color="000000"/>
              <w:left w:val="single" w:sz="4" w:space="0" w:color="000000"/>
              <w:bottom w:val="single" w:sz="4" w:space="0" w:color="000000"/>
              <w:right w:val="single" w:sz="4" w:space="0" w:color="000000"/>
            </w:tcBorders>
          </w:tcPr>
          <w:p>
            <w:pPr>
              <w:pStyle w:val="TableParagraph"/>
              <w:spacing w:before="0"/>
              <w:ind w:left="1131" w:right="1131"/>
              <w:jc w:val="center"/>
              <w:rPr>
                <w:sz w:val="23"/>
              </w:rPr>
            </w:pPr>
            <w:r>
              <w:rPr>
                <w:sz w:val="23"/>
              </w:rPr>
              <w:t>1996</w:t>
            </w:r>
          </w:p>
        </w:tc>
        <w:tc>
          <w:tcPr>
            <w:tcW w:w="2914" w:type="dxa"/>
            <w:tcBorders>
              <w:top w:val="single" w:sz="4" w:space="0" w:color="000000"/>
              <w:left w:val="single" w:sz="4" w:space="0" w:color="000000"/>
              <w:bottom w:val="single" w:sz="4" w:space="0" w:color="000000"/>
              <w:right w:val="single" w:sz="4" w:space="0" w:color="000000"/>
            </w:tcBorders>
          </w:tcPr>
          <w:p>
            <w:pPr>
              <w:pStyle w:val="TableParagraph"/>
              <w:spacing w:before="0"/>
              <w:ind w:right="100"/>
              <w:rPr>
                <w:sz w:val="23"/>
              </w:rPr>
            </w:pPr>
            <w:r>
              <w:rPr>
                <w:sz w:val="23"/>
              </w:rPr>
              <w:t>-2,508.0</w:t>
            </w:r>
          </w:p>
        </w:tc>
        <w:tc>
          <w:tcPr>
            <w:tcW w:w="2911" w:type="dxa"/>
            <w:tcBorders>
              <w:top w:val="single" w:sz="4" w:space="0" w:color="000000"/>
              <w:left w:val="single" w:sz="4" w:space="0" w:color="000000"/>
              <w:bottom w:val="single" w:sz="4" w:space="0" w:color="000000"/>
              <w:right w:val="single" w:sz="4" w:space="0" w:color="000000"/>
            </w:tcBorders>
          </w:tcPr>
          <w:p>
            <w:pPr>
              <w:pStyle w:val="TableParagraph"/>
              <w:spacing w:before="0"/>
              <w:ind w:right="98"/>
              <w:rPr>
                <w:sz w:val="23"/>
              </w:rPr>
            </w:pPr>
            <w:r>
              <w:rPr>
                <w:sz w:val="23"/>
              </w:rPr>
              <w:t>4,224.0</w:t>
            </w:r>
          </w:p>
        </w:tc>
      </w:tr>
      <w:tr>
        <w:trPr>
          <w:trHeight w:val="473" w:hRule="exact"/>
        </w:trPr>
        <w:tc>
          <w:tcPr>
            <w:tcW w:w="2914" w:type="dxa"/>
            <w:tcBorders>
              <w:top w:val="single" w:sz="4" w:space="0" w:color="000000"/>
              <w:left w:val="single" w:sz="4" w:space="0" w:color="000000"/>
              <w:bottom w:val="single" w:sz="4" w:space="0" w:color="000000"/>
              <w:right w:val="single" w:sz="4" w:space="0" w:color="000000"/>
            </w:tcBorders>
          </w:tcPr>
          <w:p>
            <w:pPr>
              <w:pStyle w:val="TableParagraph"/>
              <w:spacing w:before="0"/>
              <w:ind w:left="1131" w:right="1131"/>
              <w:jc w:val="center"/>
              <w:rPr>
                <w:sz w:val="23"/>
              </w:rPr>
            </w:pPr>
            <w:r>
              <w:rPr>
                <w:sz w:val="23"/>
              </w:rPr>
              <w:t>1997</w:t>
            </w:r>
          </w:p>
        </w:tc>
        <w:tc>
          <w:tcPr>
            <w:tcW w:w="2914" w:type="dxa"/>
            <w:tcBorders>
              <w:top w:val="single" w:sz="4" w:space="0" w:color="000000"/>
              <w:left w:val="single" w:sz="4" w:space="0" w:color="000000"/>
              <w:bottom w:val="single" w:sz="4" w:space="0" w:color="000000"/>
              <w:right w:val="single" w:sz="4" w:space="0" w:color="000000"/>
            </w:tcBorders>
          </w:tcPr>
          <w:p>
            <w:pPr>
              <w:pStyle w:val="TableParagraph"/>
              <w:spacing w:before="0"/>
              <w:ind w:right="100"/>
              <w:rPr>
                <w:sz w:val="23"/>
              </w:rPr>
            </w:pPr>
            <w:r>
              <w:rPr>
                <w:sz w:val="23"/>
              </w:rPr>
              <w:t>-7,665.0</w:t>
            </w:r>
          </w:p>
        </w:tc>
        <w:tc>
          <w:tcPr>
            <w:tcW w:w="2911" w:type="dxa"/>
            <w:tcBorders>
              <w:top w:val="single" w:sz="4" w:space="0" w:color="000000"/>
              <w:left w:val="single" w:sz="4" w:space="0" w:color="000000"/>
              <w:bottom w:val="single" w:sz="4" w:space="0" w:color="000000"/>
              <w:right w:val="single" w:sz="4" w:space="0" w:color="000000"/>
            </w:tcBorders>
          </w:tcPr>
          <w:p>
            <w:pPr>
              <w:pStyle w:val="TableParagraph"/>
              <w:spacing w:before="0"/>
              <w:ind w:right="98"/>
              <w:rPr>
                <w:sz w:val="23"/>
              </w:rPr>
            </w:pPr>
            <w:r>
              <w:rPr>
                <w:sz w:val="23"/>
              </w:rPr>
              <w:t>4,865.0</w:t>
            </w:r>
          </w:p>
        </w:tc>
      </w:tr>
      <w:tr>
        <w:trPr>
          <w:trHeight w:val="473" w:hRule="exact"/>
        </w:trPr>
        <w:tc>
          <w:tcPr>
            <w:tcW w:w="2914" w:type="dxa"/>
            <w:tcBorders>
              <w:top w:val="single" w:sz="4" w:space="0" w:color="000000"/>
              <w:left w:val="single" w:sz="4" w:space="0" w:color="000000"/>
              <w:bottom w:val="single" w:sz="4" w:space="0" w:color="000000"/>
              <w:right w:val="single" w:sz="4" w:space="0" w:color="000000"/>
            </w:tcBorders>
          </w:tcPr>
          <w:p>
            <w:pPr>
              <w:pStyle w:val="TableParagraph"/>
              <w:ind w:left="1131" w:right="1131"/>
              <w:jc w:val="center"/>
              <w:rPr>
                <w:sz w:val="23"/>
              </w:rPr>
            </w:pPr>
            <w:r>
              <w:rPr>
                <w:sz w:val="23"/>
              </w:rPr>
              <w:t>1998</w:t>
            </w:r>
          </w:p>
        </w:tc>
        <w:tc>
          <w:tcPr>
            <w:tcW w:w="2914" w:type="dxa"/>
            <w:tcBorders>
              <w:top w:val="single" w:sz="4" w:space="0" w:color="000000"/>
              <w:left w:val="single" w:sz="4" w:space="0" w:color="000000"/>
              <w:bottom w:val="single" w:sz="4" w:space="0" w:color="000000"/>
              <w:right w:val="single" w:sz="4" w:space="0" w:color="000000"/>
            </w:tcBorders>
          </w:tcPr>
          <w:p>
            <w:pPr>
              <w:pStyle w:val="TableParagraph"/>
              <w:ind w:right="100"/>
              <w:rPr>
                <w:sz w:val="23"/>
              </w:rPr>
            </w:pPr>
            <w:r>
              <w:rPr>
                <w:sz w:val="23"/>
              </w:rPr>
              <w:t>-15,993.0</w:t>
            </w:r>
          </w:p>
        </w:tc>
        <w:tc>
          <w:tcPr>
            <w:tcW w:w="2911" w:type="dxa"/>
            <w:tcBorders>
              <w:top w:val="single" w:sz="4" w:space="0" w:color="000000"/>
              <w:left w:val="single" w:sz="4" w:space="0" w:color="000000"/>
              <w:bottom w:val="single" w:sz="4" w:space="0" w:color="000000"/>
              <w:right w:val="single" w:sz="4" w:space="0" w:color="000000"/>
            </w:tcBorders>
          </w:tcPr>
          <w:p>
            <w:pPr>
              <w:pStyle w:val="TableParagraph"/>
              <w:ind w:right="98"/>
              <w:rPr>
                <w:sz w:val="23"/>
              </w:rPr>
            </w:pPr>
            <w:r>
              <w:rPr>
                <w:sz w:val="23"/>
              </w:rPr>
              <w:t>5,627.0</w:t>
            </w:r>
          </w:p>
        </w:tc>
      </w:tr>
      <w:tr>
        <w:trPr>
          <w:trHeight w:val="473" w:hRule="exact"/>
        </w:trPr>
        <w:tc>
          <w:tcPr>
            <w:tcW w:w="2914" w:type="dxa"/>
            <w:tcBorders>
              <w:top w:val="single" w:sz="4" w:space="0" w:color="000000"/>
              <w:left w:val="single" w:sz="4" w:space="0" w:color="000000"/>
              <w:bottom w:val="single" w:sz="4" w:space="0" w:color="000000"/>
              <w:right w:val="single" w:sz="4" w:space="0" w:color="000000"/>
            </w:tcBorders>
          </w:tcPr>
          <w:p>
            <w:pPr>
              <w:pStyle w:val="TableParagraph"/>
              <w:spacing w:before="0"/>
              <w:ind w:left="1131" w:right="1131"/>
              <w:jc w:val="center"/>
              <w:rPr>
                <w:sz w:val="23"/>
              </w:rPr>
            </w:pPr>
            <w:r>
              <w:rPr>
                <w:sz w:val="23"/>
              </w:rPr>
              <w:t>1999</w:t>
            </w:r>
          </w:p>
        </w:tc>
        <w:tc>
          <w:tcPr>
            <w:tcW w:w="2914" w:type="dxa"/>
            <w:tcBorders>
              <w:top w:val="single" w:sz="4" w:space="0" w:color="000000"/>
              <w:left w:val="single" w:sz="4" w:space="0" w:color="000000"/>
              <w:bottom w:val="single" w:sz="4" w:space="0" w:color="000000"/>
              <w:right w:val="single" w:sz="4" w:space="0" w:color="000000"/>
            </w:tcBorders>
          </w:tcPr>
          <w:p>
            <w:pPr>
              <w:pStyle w:val="TableParagraph"/>
              <w:spacing w:before="0"/>
              <w:ind w:right="100"/>
              <w:rPr>
                <w:sz w:val="23"/>
              </w:rPr>
            </w:pPr>
            <w:r>
              <w:rPr>
                <w:sz w:val="23"/>
              </w:rPr>
              <w:t>-13,905.0</w:t>
            </w:r>
          </w:p>
        </w:tc>
        <w:tc>
          <w:tcPr>
            <w:tcW w:w="2911" w:type="dxa"/>
            <w:tcBorders>
              <w:top w:val="single" w:sz="4" w:space="0" w:color="000000"/>
              <w:left w:val="single" w:sz="4" w:space="0" w:color="000000"/>
              <w:bottom w:val="single" w:sz="4" w:space="0" w:color="000000"/>
              <w:right w:val="single" w:sz="4" w:space="0" w:color="000000"/>
            </w:tcBorders>
          </w:tcPr>
          <w:p>
            <w:pPr>
              <w:pStyle w:val="TableParagraph"/>
              <w:spacing w:before="0"/>
              <w:ind w:right="98"/>
              <w:rPr>
                <w:sz w:val="23"/>
              </w:rPr>
            </w:pPr>
            <w:r>
              <w:rPr>
                <w:sz w:val="23"/>
              </w:rPr>
              <w:t>5,910.0</w:t>
            </w:r>
          </w:p>
        </w:tc>
      </w:tr>
      <w:tr>
        <w:trPr>
          <w:trHeight w:val="473" w:hRule="exact"/>
        </w:trPr>
        <w:tc>
          <w:tcPr>
            <w:tcW w:w="2914" w:type="dxa"/>
            <w:tcBorders>
              <w:top w:val="single" w:sz="4" w:space="0" w:color="000000"/>
              <w:left w:val="single" w:sz="4" w:space="0" w:color="000000"/>
              <w:bottom w:val="single" w:sz="4" w:space="0" w:color="000000"/>
              <w:right w:val="single" w:sz="4" w:space="0" w:color="000000"/>
            </w:tcBorders>
          </w:tcPr>
          <w:p>
            <w:pPr>
              <w:pStyle w:val="TableParagraph"/>
              <w:ind w:left="1131" w:right="1131"/>
              <w:jc w:val="center"/>
              <w:rPr>
                <w:sz w:val="23"/>
              </w:rPr>
            </w:pPr>
            <w:r>
              <w:rPr>
                <w:sz w:val="23"/>
              </w:rPr>
              <w:t>2000</w:t>
            </w:r>
          </w:p>
        </w:tc>
        <w:tc>
          <w:tcPr>
            <w:tcW w:w="2914" w:type="dxa"/>
            <w:tcBorders>
              <w:top w:val="single" w:sz="4" w:space="0" w:color="000000"/>
              <w:left w:val="single" w:sz="4" w:space="0" w:color="000000"/>
              <w:bottom w:val="single" w:sz="4" w:space="0" w:color="000000"/>
              <w:right w:val="single" w:sz="4" w:space="0" w:color="000000"/>
            </w:tcBorders>
          </w:tcPr>
          <w:p>
            <w:pPr>
              <w:pStyle w:val="TableParagraph"/>
              <w:ind w:right="100"/>
              <w:rPr>
                <w:sz w:val="23"/>
              </w:rPr>
            </w:pPr>
            <w:r>
              <w:rPr>
                <w:sz w:val="23"/>
              </w:rPr>
              <w:t>-18,598.0</w:t>
            </w:r>
          </w:p>
        </w:tc>
        <w:tc>
          <w:tcPr>
            <w:tcW w:w="2911" w:type="dxa"/>
            <w:tcBorders>
              <w:top w:val="single" w:sz="4" w:space="0" w:color="000000"/>
              <w:left w:val="single" w:sz="4" w:space="0" w:color="000000"/>
              <w:bottom w:val="single" w:sz="4" w:space="0" w:color="000000"/>
              <w:right w:val="single" w:sz="4" w:space="0" w:color="000000"/>
            </w:tcBorders>
          </w:tcPr>
          <w:p>
            <w:pPr>
              <w:pStyle w:val="TableParagraph"/>
              <w:ind w:right="98"/>
              <w:rPr>
                <w:sz w:val="23"/>
              </w:rPr>
            </w:pPr>
            <w:r>
              <w:rPr>
                <w:sz w:val="23"/>
              </w:rPr>
              <w:t>6,573.0</w:t>
            </w:r>
          </w:p>
        </w:tc>
      </w:tr>
      <w:tr>
        <w:trPr>
          <w:trHeight w:val="475" w:hRule="exact"/>
        </w:trPr>
        <w:tc>
          <w:tcPr>
            <w:tcW w:w="2914" w:type="dxa"/>
            <w:tcBorders>
              <w:top w:val="single" w:sz="4" w:space="0" w:color="000000"/>
              <w:left w:val="single" w:sz="4" w:space="0" w:color="000000"/>
              <w:bottom w:val="single" w:sz="4" w:space="0" w:color="000000"/>
              <w:right w:val="single" w:sz="4" w:space="0" w:color="000000"/>
            </w:tcBorders>
          </w:tcPr>
          <w:p>
            <w:pPr>
              <w:pStyle w:val="TableParagraph"/>
              <w:spacing w:before="0"/>
              <w:ind w:left="1131" w:right="1131"/>
              <w:jc w:val="center"/>
              <w:rPr>
                <w:sz w:val="23"/>
              </w:rPr>
            </w:pPr>
            <w:r>
              <w:rPr>
                <w:sz w:val="23"/>
              </w:rPr>
              <w:t>2001</w:t>
            </w:r>
          </w:p>
        </w:tc>
        <w:tc>
          <w:tcPr>
            <w:tcW w:w="2914" w:type="dxa"/>
            <w:tcBorders>
              <w:top w:val="single" w:sz="4" w:space="0" w:color="000000"/>
              <w:left w:val="single" w:sz="4" w:space="0" w:color="000000"/>
              <w:bottom w:val="single" w:sz="4" w:space="0" w:color="000000"/>
              <w:right w:val="single" w:sz="4" w:space="0" w:color="000000"/>
            </w:tcBorders>
          </w:tcPr>
          <w:p>
            <w:pPr>
              <w:pStyle w:val="TableParagraph"/>
              <w:spacing w:before="0"/>
              <w:ind w:right="100"/>
              <w:rPr>
                <w:sz w:val="23"/>
              </w:rPr>
            </w:pPr>
            <w:r>
              <w:rPr>
                <w:sz w:val="23"/>
              </w:rPr>
              <w:t>-17,642.0</w:t>
            </w:r>
          </w:p>
        </w:tc>
        <w:tc>
          <w:tcPr>
            <w:tcW w:w="2911" w:type="dxa"/>
            <w:tcBorders>
              <w:top w:val="single" w:sz="4" w:space="0" w:color="000000"/>
              <w:left w:val="single" w:sz="4" w:space="0" w:color="000000"/>
              <w:bottom w:val="single" w:sz="4" w:space="0" w:color="000000"/>
              <w:right w:val="single" w:sz="4" w:space="0" w:color="000000"/>
            </w:tcBorders>
          </w:tcPr>
          <w:p>
            <w:pPr>
              <w:pStyle w:val="TableParagraph"/>
              <w:spacing w:before="0"/>
              <w:ind w:right="98"/>
              <w:rPr>
                <w:sz w:val="23"/>
              </w:rPr>
            </w:pPr>
            <w:r>
              <w:rPr>
                <w:sz w:val="23"/>
              </w:rPr>
              <w:t>8,895.0</w:t>
            </w:r>
          </w:p>
        </w:tc>
      </w:tr>
      <w:tr>
        <w:trPr>
          <w:trHeight w:val="470" w:hRule="exact"/>
        </w:trPr>
        <w:tc>
          <w:tcPr>
            <w:tcW w:w="2914" w:type="dxa"/>
            <w:tcBorders>
              <w:top w:val="single" w:sz="4" w:space="0" w:color="000000"/>
              <w:left w:val="single" w:sz="4" w:space="0" w:color="000000"/>
              <w:bottom w:val="single" w:sz="4" w:space="0" w:color="000000"/>
              <w:right w:val="single" w:sz="4" w:space="0" w:color="000000"/>
            </w:tcBorders>
          </w:tcPr>
          <w:p>
            <w:pPr>
              <w:pStyle w:val="TableParagraph"/>
              <w:spacing w:before="0"/>
              <w:ind w:left="1131" w:right="1131"/>
              <w:jc w:val="center"/>
              <w:rPr>
                <w:sz w:val="23"/>
              </w:rPr>
            </w:pPr>
            <w:r>
              <w:rPr>
                <w:sz w:val="23"/>
              </w:rPr>
              <w:t>2002</w:t>
            </w:r>
          </w:p>
        </w:tc>
        <w:tc>
          <w:tcPr>
            <w:tcW w:w="2914" w:type="dxa"/>
            <w:tcBorders>
              <w:top w:val="single" w:sz="4" w:space="0" w:color="000000"/>
              <w:left w:val="single" w:sz="4" w:space="0" w:color="000000"/>
              <w:bottom w:val="single" w:sz="4" w:space="0" w:color="000000"/>
              <w:right w:val="single" w:sz="4" w:space="0" w:color="000000"/>
            </w:tcBorders>
          </w:tcPr>
          <w:p>
            <w:pPr>
              <w:pStyle w:val="TableParagraph"/>
              <w:spacing w:before="0"/>
              <w:ind w:right="100"/>
              <w:rPr>
                <w:sz w:val="23"/>
              </w:rPr>
            </w:pPr>
            <w:r>
              <w:rPr>
                <w:sz w:val="23"/>
              </w:rPr>
              <w:t>-13,499.0</w:t>
            </w:r>
          </w:p>
        </w:tc>
        <w:tc>
          <w:tcPr>
            <w:tcW w:w="2911" w:type="dxa"/>
            <w:tcBorders>
              <w:top w:val="single" w:sz="4" w:space="0" w:color="000000"/>
              <w:left w:val="single" w:sz="4" w:space="0" w:color="000000"/>
              <w:bottom w:val="single" w:sz="4" w:space="0" w:color="000000"/>
              <w:right w:val="single" w:sz="4" w:space="0" w:color="000000"/>
            </w:tcBorders>
          </w:tcPr>
          <w:p>
            <w:pPr>
              <w:pStyle w:val="TableParagraph"/>
              <w:spacing w:before="0"/>
              <w:ind w:right="98"/>
              <w:rPr>
                <w:sz w:val="23"/>
              </w:rPr>
            </w:pPr>
            <w:r>
              <w:rPr>
                <w:sz w:val="23"/>
              </w:rPr>
              <w:t>9,815.0</w:t>
            </w:r>
          </w:p>
        </w:tc>
      </w:tr>
      <w:tr>
        <w:trPr>
          <w:trHeight w:val="475" w:hRule="exact"/>
        </w:trPr>
        <w:tc>
          <w:tcPr>
            <w:tcW w:w="2914" w:type="dxa"/>
            <w:tcBorders>
              <w:top w:val="single" w:sz="4" w:space="0" w:color="000000"/>
              <w:left w:val="single" w:sz="4" w:space="0" w:color="000000"/>
              <w:bottom w:val="single" w:sz="4" w:space="0" w:color="000000"/>
              <w:right w:val="single" w:sz="4" w:space="0" w:color="000000"/>
            </w:tcBorders>
          </w:tcPr>
          <w:p>
            <w:pPr>
              <w:pStyle w:val="TableParagraph"/>
              <w:ind w:left="1131" w:right="1131"/>
              <w:jc w:val="center"/>
              <w:rPr>
                <w:sz w:val="23"/>
              </w:rPr>
            </w:pPr>
            <w:r>
              <w:rPr>
                <w:sz w:val="23"/>
              </w:rPr>
              <w:t>2003</w:t>
            </w:r>
          </w:p>
        </w:tc>
        <w:tc>
          <w:tcPr>
            <w:tcW w:w="2914" w:type="dxa"/>
            <w:tcBorders>
              <w:top w:val="single" w:sz="4" w:space="0" w:color="000000"/>
              <w:left w:val="single" w:sz="4" w:space="0" w:color="000000"/>
              <w:bottom w:val="single" w:sz="4" w:space="0" w:color="000000"/>
              <w:right w:val="single" w:sz="4" w:space="0" w:color="000000"/>
            </w:tcBorders>
          </w:tcPr>
          <w:p>
            <w:pPr>
              <w:pStyle w:val="TableParagraph"/>
              <w:ind w:right="100"/>
              <w:rPr>
                <w:sz w:val="23"/>
              </w:rPr>
            </w:pPr>
            <w:r>
              <w:rPr>
                <w:sz w:val="23"/>
              </w:rPr>
              <w:t>-8,604.0</w:t>
            </w:r>
          </w:p>
        </w:tc>
        <w:tc>
          <w:tcPr>
            <w:tcW w:w="2911" w:type="dxa"/>
            <w:tcBorders>
              <w:top w:val="single" w:sz="4" w:space="0" w:color="000000"/>
              <w:left w:val="single" w:sz="4" w:space="0" w:color="000000"/>
              <w:bottom w:val="single" w:sz="4" w:space="0" w:color="000000"/>
              <w:right w:val="single" w:sz="4" w:space="0" w:color="000000"/>
            </w:tcBorders>
          </w:tcPr>
          <w:p>
            <w:pPr>
              <w:pStyle w:val="TableParagraph"/>
              <w:ind w:right="98"/>
              <w:rPr>
                <w:sz w:val="23"/>
              </w:rPr>
            </w:pPr>
            <w:r>
              <w:rPr>
                <w:sz w:val="23"/>
              </w:rPr>
              <w:t>13,396.0</w:t>
            </w:r>
          </w:p>
        </w:tc>
      </w:tr>
      <w:tr>
        <w:trPr>
          <w:trHeight w:val="470" w:hRule="exact"/>
        </w:trPr>
        <w:tc>
          <w:tcPr>
            <w:tcW w:w="2914" w:type="dxa"/>
            <w:tcBorders>
              <w:top w:val="single" w:sz="4" w:space="0" w:color="000000"/>
              <w:left w:val="single" w:sz="4" w:space="0" w:color="000000"/>
              <w:bottom w:val="single" w:sz="4" w:space="0" w:color="000000"/>
              <w:right w:val="single" w:sz="4" w:space="0" w:color="000000"/>
            </w:tcBorders>
          </w:tcPr>
          <w:p>
            <w:pPr>
              <w:pStyle w:val="TableParagraph"/>
              <w:spacing w:before="0"/>
              <w:ind w:left="1131" w:right="1131"/>
              <w:jc w:val="center"/>
              <w:rPr>
                <w:sz w:val="23"/>
              </w:rPr>
            </w:pPr>
            <w:r>
              <w:rPr>
                <w:sz w:val="23"/>
              </w:rPr>
              <w:t>2004</w:t>
            </w:r>
          </w:p>
        </w:tc>
        <w:tc>
          <w:tcPr>
            <w:tcW w:w="2914" w:type="dxa"/>
            <w:tcBorders>
              <w:top w:val="single" w:sz="4" w:space="0" w:color="000000"/>
              <w:left w:val="single" w:sz="4" w:space="0" w:color="000000"/>
              <w:bottom w:val="single" w:sz="4" w:space="0" w:color="000000"/>
              <w:right w:val="single" w:sz="4" w:space="0" w:color="000000"/>
            </w:tcBorders>
          </w:tcPr>
          <w:p>
            <w:pPr>
              <w:pStyle w:val="TableParagraph"/>
              <w:spacing w:before="0"/>
              <w:ind w:right="100"/>
              <w:rPr>
                <w:sz w:val="23"/>
              </w:rPr>
            </w:pPr>
            <w:r>
              <w:rPr>
                <w:sz w:val="23"/>
              </w:rPr>
              <w:t>-7,355.0</w:t>
            </w:r>
          </w:p>
        </w:tc>
        <w:tc>
          <w:tcPr>
            <w:tcW w:w="2911" w:type="dxa"/>
            <w:tcBorders>
              <w:top w:val="single" w:sz="4" w:space="0" w:color="000000"/>
              <w:left w:val="single" w:sz="4" w:space="0" w:color="000000"/>
              <w:bottom w:val="single" w:sz="4" w:space="0" w:color="000000"/>
              <w:right w:val="single" w:sz="4" w:space="0" w:color="000000"/>
            </w:tcBorders>
          </w:tcPr>
          <w:p>
            <w:pPr>
              <w:pStyle w:val="TableParagraph"/>
              <w:spacing w:before="0"/>
              <w:ind w:right="98"/>
              <w:rPr>
                <w:sz w:val="23"/>
              </w:rPr>
            </w:pPr>
            <w:r>
              <w:rPr>
                <w:sz w:val="23"/>
              </w:rPr>
              <w:t>16,613.0</w:t>
            </w:r>
          </w:p>
        </w:tc>
      </w:tr>
      <w:tr>
        <w:trPr>
          <w:trHeight w:val="475" w:hRule="exact"/>
        </w:trPr>
        <w:tc>
          <w:tcPr>
            <w:tcW w:w="2914" w:type="dxa"/>
            <w:tcBorders>
              <w:top w:val="single" w:sz="4" w:space="0" w:color="000000"/>
              <w:left w:val="single" w:sz="4" w:space="0" w:color="000000"/>
              <w:bottom w:val="single" w:sz="4" w:space="0" w:color="000000"/>
              <w:right w:val="single" w:sz="4" w:space="0" w:color="000000"/>
            </w:tcBorders>
          </w:tcPr>
          <w:p>
            <w:pPr>
              <w:pStyle w:val="TableParagraph"/>
              <w:ind w:left="1131" w:right="1131"/>
              <w:jc w:val="center"/>
              <w:rPr>
                <w:sz w:val="23"/>
              </w:rPr>
            </w:pPr>
            <w:r>
              <w:rPr>
                <w:sz w:val="23"/>
              </w:rPr>
              <w:t>2005</w:t>
            </w:r>
          </w:p>
        </w:tc>
        <w:tc>
          <w:tcPr>
            <w:tcW w:w="2914" w:type="dxa"/>
            <w:tcBorders>
              <w:top w:val="single" w:sz="4" w:space="0" w:color="000000"/>
              <w:left w:val="single" w:sz="4" w:space="0" w:color="000000"/>
              <w:bottom w:val="single" w:sz="4" w:space="0" w:color="000000"/>
              <w:right w:val="single" w:sz="4" w:space="0" w:color="000000"/>
            </w:tcBorders>
          </w:tcPr>
          <w:p>
            <w:pPr>
              <w:pStyle w:val="TableParagraph"/>
              <w:ind w:right="100"/>
              <w:rPr>
                <w:sz w:val="23"/>
              </w:rPr>
            </w:pPr>
            <w:r>
              <w:rPr>
                <w:sz w:val="23"/>
              </w:rPr>
              <w:t>-4,789.0</w:t>
            </w:r>
          </w:p>
        </w:tc>
        <w:tc>
          <w:tcPr>
            <w:tcW w:w="2911" w:type="dxa"/>
            <w:tcBorders>
              <w:top w:val="single" w:sz="4" w:space="0" w:color="000000"/>
              <w:left w:val="single" w:sz="4" w:space="0" w:color="000000"/>
              <w:bottom w:val="single" w:sz="4" w:space="0" w:color="000000"/>
              <w:right w:val="single" w:sz="4" w:space="0" w:color="000000"/>
            </w:tcBorders>
          </w:tcPr>
          <w:p>
            <w:pPr>
              <w:pStyle w:val="TableParagraph"/>
              <w:ind w:right="98"/>
              <w:rPr>
                <w:sz w:val="23"/>
              </w:rPr>
            </w:pPr>
            <w:r>
              <w:rPr>
                <w:sz w:val="23"/>
              </w:rPr>
              <w:t>20,035.0</w:t>
            </w:r>
          </w:p>
        </w:tc>
      </w:tr>
      <w:tr>
        <w:trPr>
          <w:trHeight w:val="473" w:hRule="exact"/>
        </w:trPr>
        <w:tc>
          <w:tcPr>
            <w:tcW w:w="2914" w:type="dxa"/>
            <w:tcBorders>
              <w:top w:val="single" w:sz="4" w:space="0" w:color="000000"/>
              <w:left w:val="single" w:sz="4" w:space="0" w:color="000000"/>
              <w:bottom w:val="single" w:sz="4" w:space="0" w:color="000000"/>
              <w:right w:val="single" w:sz="4" w:space="0" w:color="000000"/>
            </w:tcBorders>
          </w:tcPr>
          <w:p>
            <w:pPr>
              <w:pStyle w:val="TableParagraph"/>
              <w:spacing w:before="0"/>
              <w:ind w:left="1131" w:right="1131"/>
              <w:jc w:val="center"/>
              <w:rPr>
                <w:sz w:val="23"/>
              </w:rPr>
            </w:pPr>
            <w:r>
              <w:rPr>
                <w:sz w:val="23"/>
              </w:rPr>
              <w:t>2006</w:t>
            </w:r>
          </w:p>
        </w:tc>
        <w:tc>
          <w:tcPr>
            <w:tcW w:w="2914" w:type="dxa"/>
            <w:tcBorders>
              <w:top w:val="single" w:sz="4" w:space="0" w:color="000000"/>
              <w:left w:val="single" w:sz="4" w:space="0" w:color="000000"/>
              <w:bottom w:val="single" w:sz="4" w:space="0" w:color="000000"/>
              <w:right w:val="single" w:sz="4" w:space="0" w:color="000000"/>
            </w:tcBorders>
          </w:tcPr>
          <w:p>
            <w:pPr>
              <w:pStyle w:val="TableParagraph"/>
              <w:spacing w:before="0"/>
              <w:ind w:right="100"/>
              <w:rPr>
                <w:sz w:val="23"/>
              </w:rPr>
            </w:pPr>
            <w:r>
              <w:rPr>
                <w:sz w:val="23"/>
              </w:rPr>
              <w:t>-2,424.7</w:t>
            </w:r>
          </w:p>
        </w:tc>
        <w:tc>
          <w:tcPr>
            <w:tcW w:w="2911" w:type="dxa"/>
            <w:tcBorders>
              <w:top w:val="single" w:sz="4" w:space="0" w:color="000000"/>
              <w:left w:val="single" w:sz="4" w:space="0" w:color="000000"/>
              <w:bottom w:val="single" w:sz="4" w:space="0" w:color="000000"/>
              <w:right w:val="single" w:sz="4" w:space="0" w:color="000000"/>
            </w:tcBorders>
          </w:tcPr>
          <w:p>
            <w:pPr>
              <w:pStyle w:val="TableParagraph"/>
              <w:spacing w:before="0"/>
              <w:ind w:right="98"/>
              <w:rPr>
                <w:sz w:val="23"/>
              </w:rPr>
            </w:pPr>
            <w:r>
              <w:rPr>
                <w:sz w:val="23"/>
              </w:rPr>
              <w:t>23,054.0</w:t>
            </w:r>
          </w:p>
        </w:tc>
      </w:tr>
      <w:tr>
        <w:trPr>
          <w:trHeight w:val="473" w:hRule="exact"/>
        </w:trPr>
        <w:tc>
          <w:tcPr>
            <w:tcW w:w="2914" w:type="dxa"/>
            <w:tcBorders>
              <w:top w:val="single" w:sz="4" w:space="0" w:color="000000"/>
              <w:left w:val="single" w:sz="4" w:space="0" w:color="000000"/>
              <w:bottom w:val="single" w:sz="4" w:space="0" w:color="000000"/>
              <w:right w:val="single" w:sz="4" w:space="0" w:color="000000"/>
            </w:tcBorders>
          </w:tcPr>
          <w:p>
            <w:pPr>
              <w:pStyle w:val="TableParagraph"/>
              <w:spacing w:before="0"/>
              <w:ind w:left="1131" w:right="1131"/>
              <w:jc w:val="center"/>
              <w:rPr>
                <w:sz w:val="23"/>
              </w:rPr>
            </w:pPr>
            <w:r>
              <w:rPr>
                <w:sz w:val="23"/>
              </w:rPr>
              <w:t>2007</w:t>
            </w:r>
          </w:p>
        </w:tc>
        <w:tc>
          <w:tcPr>
            <w:tcW w:w="2914" w:type="dxa"/>
            <w:tcBorders>
              <w:top w:val="single" w:sz="4" w:space="0" w:color="000000"/>
              <w:left w:val="single" w:sz="4" w:space="0" w:color="000000"/>
              <w:bottom w:val="single" w:sz="4" w:space="0" w:color="000000"/>
              <w:right w:val="single" w:sz="4" w:space="0" w:color="000000"/>
            </w:tcBorders>
          </w:tcPr>
          <w:p>
            <w:pPr>
              <w:pStyle w:val="TableParagraph"/>
              <w:spacing w:before="0"/>
              <w:ind w:right="100"/>
              <w:rPr>
                <w:sz w:val="23"/>
              </w:rPr>
            </w:pPr>
            <w:r>
              <w:rPr>
                <w:sz w:val="23"/>
              </w:rPr>
              <w:t>-5,812.7</w:t>
            </w:r>
          </w:p>
        </w:tc>
        <w:tc>
          <w:tcPr>
            <w:tcW w:w="2911" w:type="dxa"/>
            <w:tcBorders>
              <w:top w:val="single" w:sz="4" w:space="0" w:color="000000"/>
              <w:left w:val="single" w:sz="4" w:space="0" w:color="000000"/>
              <w:bottom w:val="single" w:sz="4" w:space="0" w:color="000000"/>
              <w:right w:val="single" w:sz="4" w:space="0" w:color="000000"/>
            </w:tcBorders>
          </w:tcPr>
          <w:p>
            <w:pPr>
              <w:pStyle w:val="TableParagraph"/>
              <w:spacing w:before="0"/>
              <w:ind w:right="98"/>
              <w:rPr>
                <w:sz w:val="23"/>
              </w:rPr>
            </w:pPr>
            <w:r>
              <w:rPr>
                <w:sz w:val="23"/>
              </w:rPr>
              <w:t>23,979.0</w:t>
            </w:r>
          </w:p>
        </w:tc>
      </w:tr>
      <w:tr>
        <w:trPr>
          <w:trHeight w:val="473" w:hRule="exact"/>
        </w:trPr>
        <w:tc>
          <w:tcPr>
            <w:tcW w:w="2914" w:type="dxa"/>
            <w:tcBorders>
              <w:top w:val="single" w:sz="4" w:space="0" w:color="000000"/>
              <w:left w:val="single" w:sz="4" w:space="0" w:color="000000"/>
              <w:bottom w:val="single" w:sz="4" w:space="0" w:color="000000"/>
              <w:right w:val="single" w:sz="4" w:space="0" w:color="000000"/>
            </w:tcBorders>
          </w:tcPr>
          <w:p>
            <w:pPr>
              <w:pStyle w:val="TableParagraph"/>
              <w:ind w:left="1131" w:right="1131"/>
              <w:jc w:val="center"/>
              <w:rPr>
                <w:sz w:val="23"/>
              </w:rPr>
            </w:pPr>
            <w:r>
              <w:rPr>
                <w:sz w:val="23"/>
              </w:rPr>
              <w:t>2008</w:t>
            </w:r>
          </w:p>
        </w:tc>
        <w:tc>
          <w:tcPr>
            <w:tcW w:w="2914" w:type="dxa"/>
            <w:tcBorders>
              <w:top w:val="single" w:sz="4" w:space="0" w:color="000000"/>
              <w:left w:val="single" w:sz="4" w:space="0" w:color="000000"/>
              <w:bottom w:val="single" w:sz="4" w:space="0" w:color="000000"/>
              <w:right w:val="single" w:sz="4" w:space="0" w:color="000000"/>
            </w:tcBorders>
          </w:tcPr>
          <w:p>
            <w:pPr>
              <w:pStyle w:val="TableParagraph"/>
              <w:ind w:right="100"/>
              <w:rPr>
                <w:sz w:val="23"/>
              </w:rPr>
            </w:pPr>
            <w:r>
              <w:rPr>
                <w:sz w:val="23"/>
              </w:rPr>
              <w:t>-15,805.6</w:t>
            </w:r>
          </w:p>
        </w:tc>
        <w:tc>
          <w:tcPr>
            <w:tcW w:w="2911" w:type="dxa"/>
            <w:tcBorders>
              <w:top w:val="single" w:sz="4" w:space="0" w:color="000000"/>
              <w:left w:val="single" w:sz="4" w:space="0" w:color="000000"/>
              <w:bottom w:val="single" w:sz="4" w:space="0" w:color="000000"/>
              <w:right w:val="single" w:sz="4" w:space="0" w:color="000000"/>
            </w:tcBorders>
          </w:tcPr>
          <w:p>
            <w:pPr>
              <w:pStyle w:val="TableParagraph"/>
              <w:ind w:right="98"/>
              <w:rPr>
                <w:sz w:val="23"/>
              </w:rPr>
            </w:pPr>
            <w:r>
              <w:rPr>
                <w:sz w:val="23"/>
              </w:rPr>
              <w:t>25,145.1</w:t>
            </w:r>
          </w:p>
        </w:tc>
      </w:tr>
      <w:tr>
        <w:trPr>
          <w:trHeight w:val="473" w:hRule="exact"/>
        </w:trPr>
        <w:tc>
          <w:tcPr>
            <w:tcW w:w="2914" w:type="dxa"/>
            <w:tcBorders>
              <w:top w:val="single" w:sz="4" w:space="0" w:color="000000"/>
              <w:left w:val="single" w:sz="4" w:space="0" w:color="000000"/>
              <w:bottom w:val="single" w:sz="4" w:space="0" w:color="000000"/>
              <w:right w:val="single" w:sz="4" w:space="0" w:color="000000"/>
            </w:tcBorders>
          </w:tcPr>
          <w:p>
            <w:pPr>
              <w:pStyle w:val="TableParagraph"/>
              <w:spacing w:before="0"/>
              <w:ind w:left="1131" w:right="1131"/>
              <w:jc w:val="center"/>
              <w:rPr>
                <w:sz w:val="23"/>
              </w:rPr>
            </w:pPr>
            <w:r>
              <w:rPr>
                <w:sz w:val="23"/>
              </w:rPr>
              <w:t>2009*</w:t>
            </w:r>
          </w:p>
        </w:tc>
        <w:tc>
          <w:tcPr>
            <w:tcW w:w="2914" w:type="dxa"/>
            <w:tcBorders>
              <w:top w:val="single" w:sz="4" w:space="0" w:color="000000"/>
              <w:left w:val="single" w:sz="4" w:space="0" w:color="000000"/>
              <w:bottom w:val="single" w:sz="4" w:space="0" w:color="000000"/>
              <w:right w:val="single" w:sz="4" w:space="0" w:color="000000"/>
            </w:tcBorders>
          </w:tcPr>
          <w:p>
            <w:pPr>
              <w:pStyle w:val="TableParagraph"/>
              <w:spacing w:before="0"/>
              <w:ind w:right="100"/>
              <w:rPr>
                <w:sz w:val="23"/>
              </w:rPr>
            </w:pPr>
            <w:r>
              <w:rPr>
                <w:sz w:val="23"/>
              </w:rPr>
              <w:t>-2,927.7</w:t>
            </w:r>
          </w:p>
        </w:tc>
        <w:tc>
          <w:tcPr>
            <w:tcW w:w="2911" w:type="dxa"/>
            <w:tcBorders>
              <w:top w:val="single" w:sz="4" w:space="0" w:color="000000"/>
              <w:left w:val="single" w:sz="4" w:space="0" w:color="000000"/>
              <w:bottom w:val="single" w:sz="4" w:space="0" w:color="000000"/>
              <w:right w:val="single" w:sz="4" w:space="0" w:color="000000"/>
            </w:tcBorders>
          </w:tcPr>
          <w:p>
            <w:pPr>
              <w:pStyle w:val="TableParagraph"/>
              <w:spacing w:before="0"/>
              <w:ind w:right="98"/>
              <w:rPr>
                <w:sz w:val="23"/>
              </w:rPr>
            </w:pPr>
            <w:r>
              <w:rPr>
                <w:sz w:val="23"/>
              </w:rPr>
              <w:t>11,353.4</w:t>
            </w:r>
          </w:p>
        </w:tc>
      </w:tr>
    </w:tbl>
    <w:p>
      <w:pPr>
        <w:spacing w:line="232" w:lineRule="auto" w:before="8"/>
        <w:ind w:left="221" w:right="103" w:firstLine="0"/>
        <w:jc w:val="both"/>
        <w:rPr>
          <w:sz w:val="21"/>
        </w:rPr>
      </w:pPr>
      <w:r>
        <w:rPr>
          <w:sz w:val="21"/>
        </w:rPr>
        <w:t>Fuente: Elaboración propia con base en: (i) Anexo Estadístico del  Sexto Informe de Gobierno  del Presidente Vicente Fox, (2006) y 1</w:t>
      </w:r>
      <w:r>
        <w:rPr>
          <w:position w:val="10"/>
          <w:sz w:val="13"/>
        </w:rPr>
        <w:t>er </w:t>
      </w:r>
      <w:r>
        <w:rPr>
          <w:sz w:val="21"/>
        </w:rPr>
        <w:t>, 2º y 3° Informes de Gobierno del Presidente Feli pe Calderón (2007, 2008 y 2009);  (ii) Banco de México </w:t>
      </w:r>
      <w:r>
        <w:rPr>
          <w:spacing w:val="28"/>
          <w:sz w:val="21"/>
        </w:rPr>
        <w:t> </w:t>
      </w:r>
      <w:r>
        <w:rPr>
          <w:sz w:val="21"/>
        </w:rPr>
        <w:t>(2009).</w:t>
      </w:r>
    </w:p>
    <w:p>
      <w:pPr>
        <w:spacing w:before="122"/>
        <w:ind w:left="221" w:right="0" w:firstLine="0"/>
        <w:jc w:val="both"/>
        <w:rPr>
          <w:sz w:val="21"/>
        </w:rPr>
      </w:pPr>
      <w:r>
        <w:rPr>
          <w:sz w:val="21"/>
        </w:rPr>
        <w:t>*Datos de enero a junio.</w:t>
      </w:r>
    </w:p>
    <w:p>
      <w:pPr>
        <w:spacing w:after="0"/>
        <w:jc w:val="both"/>
        <w:rPr>
          <w:sz w:val="21"/>
        </w:rPr>
        <w:sectPr>
          <w:pgSz w:w="11900" w:h="16840"/>
          <w:pgMar w:header="0" w:footer="1676" w:top="1600" w:bottom="1860" w:left="1180" w:right="1280"/>
        </w:sectPr>
      </w:pPr>
    </w:p>
    <w:p>
      <w:pPr>
        <w:pStyle w:val="BodyText"/>
        <w:rPr>
          <w:sz w:val="20"/>
        </w:rPr>
      </w:pPr>
    </w:p>
    <w:p>
      <w:pPr>
        <w:pStyle w:val="BodyText"/>
        <w:spacing w:before="8"/>
        <w:rPr>
          <w:sz w:val="18"/>
        </w:rPr>
      </w:pPr>
    </w:p>
    <w:p>
      <w:pPr>
        <w:pStyle w:val="BodyText"/>
        <w:spacing w:line="364" w:lineRule="auto" w:before="74"/>
        <w:ind w:left="101" w:right="103"/>
        <w:jc w:val="both"/>
      </w:pPr>
      <w:r>
        <w:rPr/>
        <w:t>Obsérvese que a partir de 2003 y hasta 2009, el monto de remesas captadas supera al déficit en Cuenta Corriente. Para comprender mejor este hecho, suponga que las remesas se pudieran usar literalmente para pagar el saldo negativo de la Cuenta Corriente. En 2003 se pagaría “esa deuda” y todavía quedaría disponible un 35.7% de  las remesas captadas,  un  55.7% en 2004,  un  76.1% en 2005,  un  89.4% en  2006,</w:t>
      </w:r>
      <w:r>
        <w:rPr>
          <w:spacing w:val="26"/>
        </w:rPr>
        <w:t> </w:t>
      </w:r>
      <w:r>
        <w:rPr/>
        <w:t>un</w:t>
      </w:r>
    </w:p>
    <w:p>
      <w:pPr>
        <w:pStyle w:val="BodyText"/>
        <w:spacing w:before="5"/>
        <w:ind w:left="101"/>
        <w:jc w:val="both"/>
      </w:pPr>
      <w:r>
        <w:rPr/>
        <w:t>75.7% en 2007 y un 37.14% en 2008.</w:t>
      </w:r>
    </w:p>
    <w:p>
      <w:pPr>
        <w:pStyle w:val="BodyText"/>
        <w:spacing w:before="11"/>
        <w:rPr>
          <w:sz w:val="28"/>
        </w:rPr>
      </w:pPr>
    </w:p>
    <w:p>
      <w:pPr>
        <w:pStyle w:val="BodyText"/>
        <w:spacing w:line="364" w:lineRule="auto"/>
        <w:ind w:left="101" w:right="105"/>
        <w:jc w:val="both"/>
      </w:pPr>
      <w:r>
        <w:rPr/>
        <w:t>Las cifras correspondientes al año 2009, aunque no son definitivas, muestran que durante el primer semestre del año, existe ya un saldo negativo en la Cuenta Corriente por 2,927.7 millones de dólares, en tanto que las remesas captadas ascienden a 11,353.4 millones de dólares, con lo cual se podría cubrir ese déficit y quedaría disponible un 74.2% de esas divisas.</w:t>
      </w:r>
    </w:p>
    <w:p>
      <w:pPr>
        <w:pStyle w:val="BodyText"/>
        <w:rPr>
          <w:sz w:val="22"/>
        </w:rPr>
      </w:pPr>
    </w:p>
    <w:p>
      <w:pPr>
        <w:pStyle w:val="BodyText"/>
        <w:rPr>
          <w:sz w:val="22"/>
        </w:rPr>
      </w:pPr>
    </w:p>
    <w:p>
      <w:pPr>
        <w:pStyle w:val="BodyText"/>
        <w:spacing w:before="2"/>
        <w:rPr>
          <w:sz w:val="20"/>
        </w:rPr>
      </w:pPr>
    </w:p>
    <w:p>
      <w:pPr>
        <w:pStyle w:val="Heading2"/>
        <w:numPr>
          <w:ilvl w:val="0"/>
          <w:numId w:val="15"/>
        </w:numPr>
        <w:tabs>
          <w:tab w:pos="568" w:val="left" w:leader="none"/>
        </w:tabs>
        <w:spacing w:line="240" w:lineRule="auto" w:before="1" w:after="0"/>
        <w:ind w:left="567" w:right="0" w:hanging="466"/>
        <w:jc w:val="both"/>
      </w:pPr>
      <w:r>
        <w:rPr/>
        <w:t>CONCLUSIONES</w:t>
      </w:r>
    </w:p>
    <w:p>
      <w:pPr>
        <w:pStyle w:val="BodyText"/>
        <w:rPr>
          <w:b/>
          <w:sz w:val="30"/>
        </w:rPr>
      </w:pPr>
    </w:p>
    <w:p>
      <w:pPr>
        <w:pStyle w:val="BodyText"/>
        <w:spacing w:line="364" w:lineRule="auto" w:before="196"/>
        <w:ind w:left="101" w:right="104"/>
        <w:jc w:val="both"/>
      </w:pPr>
      <w:r>
        <w:rPr/>
        <w:t>Aunque existe una desaceleración en la tasa de crecimiento de las remesas durante el último quinquenio, en términos absolutos continúan aumentando y es plausible la idea  de que sigan consolidándose como la segunda fuente de captación de divisas para México, ya que desde hace varios años sólo son superadas por </w:t>
      </w:r>
      <w:r>
        <w:rPr>
          <w:spacing w:val="2"/>
        </w:rPr>
        <w:t>la </w:t>
      </w:r>
      <w:r>
        <w:rPr/>
        <w:t>poderosa industria exportadora de</w:t>
      </w:r>
      <w:r>
        <w:rPr>
          <w:spacing w:val="29"/>
        </w:rPr>
        <w:t> </w:t>
      </w:r>
      <w:r>
        <w:rPr/>
        <w:t>petróleo.</w:t>
      </w:r>
    </w:p>
    <w:p>
      <w:pPr>
        <w:pStyle w:val="BodyText"/>
        <w:spacing w:before="4"/>
        <w:rPr>
          <w:sz w:val="17"/>
        </w:rPr>
      </w:pPr>
    </w:p>
    <w:p>
      <w:pPr>
        <w:pStyle w:val="BodyText"/>
        <w:spacing w:line="364" w:lineRule="auto"/>
        <w:ind w:left="101" w:right="105"/>
        <w:jc w:val="both"/>
      </w:pPr>
      <w:r>
        <w:rPr/>
        <w:t>En efecto, durante el año 2008, al igual que en 2007, las remesas continuaron siendo la segunda fuente de captación de divisas para México, después de las exportaciones de petróleo crudo, pero se redujo su importancia relativa en  5.1% con relación  a  2007. Esto es, en 2008 las remesas ascendieron a un 58.1%% con respecto al monto de divisas captado por exportaciones de crudo, mientras que en 2007 representaron un 63.2%.</w:t>
      </w:r>
    </w:p>
    <w:p>
      <w:pPr>
        <w:pStyle w:val="BodyText"/>
        <w:rPr>
          <w:sz w:val="22"/>
        </w:rPr>
      </w:pPr>
    </w:p>
    <w:p>
      <w:pPr>
        <w:pStyle w:val="BodyText"/>
        <w:spacing w:line="364" w:lineRule="auto" w:before="155"/>
        <w:ind w:left="101" w:right="106"/>
        <w:jc w:val="both"/>
      </w:pPr>
      <w:r>
        <w:rPr/>
        <w:t>En el año 2008, las remesas se incrementaron en apenas un 4.8% con  relación  al monto captado en 2007, continuando con su tendencia incremental a tasas casi invariables o decrecientes desde el último</w:t>
      </w:r>
      <w:r>
        <w:rPr>
          <w:spacing w:val="56"/>
        </w:rPr>
        <w:t> </w:t>
      </w:r>
      <w:r>
        <w:rPr/>
        <w:t>quinquenio.</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rPr>
          <w:b/>
        </w:rPr>
      </w:pPr>
      <w:r>
        <w:rPr/>
        <w:t>También en 2008, las remesas representaron poco más de 58% del monto de divisas captadas por exportaciones petroleras (25,145.1 y 43,341.5 millones de dólares, respectivamente); en cuanto a las divisas captadas por turismo representaron un 189%, un 111.8% de los dólares que entraron como inversión extranjera directa (IED) </w:t>
      </w:r>
      <w:r>
        <w:rPr>
          <w:b/>
        </w:rPr>
        <w:t>y un 317.6% del monto de las exportaciones  agropecuarias.</w:t>
      </w:r>
    </w:p>
    <w:p>
      <w:pPr>
        <w:pStyle w:val="BodyText"/>
        <w:spacing w:before="6"/>
        <w:rPr>
          <w:b/>
          <w:sz w:val="17"/>
        </w:rPr>
      </w:pPr>
    </w:p>
    <w:p>
      <w:pPr>
        <w:pStyle w:val="BodyText"/>
        <w:spacing w:line="364" w:lineRule="auto"/>
        <w:ind w:left="101" w:right="102"/>
        <w:jc w:val="both"/>
      </w:pPr>
      <w:r>
        <w:rPr/>
        <w:t>Con relación a su impacto microeconómico, en 2008 al igual  que en 2007 y 2006,  siguen siendo sólo ocho Estados de la República los que reciben más del 60% de los flujos de remesas que ingresan al país; en 2004, eran diez Estados los que ostentaban esa cifra. En ese mismo año, alrededor de un 85% de los envíos se  utilizaron  para gastos familiares básicos como alimentación, vivienda,  salud  y  educación.  Sin embargo, más recientemente es perceptible una propensión marginal al ahorro de un 14% aproximadamente, lo cual brinda una creciente capacidad  para  realizar  inversiones productivas, ya sea en conjunción con programas específicos de los tres niveles de gobierno, o mediante iniciativas propias de los </w:t>
      </w:r>
      <w:r>
        <w:rPr>
          <w:spacing w:val="10"/>
        </w:rPr>
        <w:t> </w:t>
      </w:r>
      <w:r>
        <w:rPr/>
        <w:t>emigrantes.</w:t>
      </w:r>
    </w:p>
    <w:p>
      <w:pPr>
        <w:pStyle w:val="BodyText"/>
        <w:spacing w:line="364" w:lineRule="auto" w:before="197"/>
        <w:ind w:left="101" w:right="105"/>
        <w:jc w:val="both"/>
      </w:pPr>
      <w:r>
        <w:rPr/>
        <w:t>En el ámbito nacional o macroeconómico, las divisas que ingresaron a México durante 2008 y el primer semestre de 2009, vía remesas, siguen consolidándose como un importante “contrapeso” al persistente déficit en la Cuenta Corriente de la Balanza de Pagos. En 2008, las remesas permitirían cubrir el déficit en la Cuenta Corriente de la Balanza de Pagos y todavía se dispondría de un 37.14% del monto total  captado.</w:t>
      </w:r>
    </w:p>
    <w:p>
      <w:pPr>
        <w:pStyle w:val="BodyText"/>
        <w:spacing w:before="4"/>
        <w:rPr>
          <w:sz w:val="17"/>
        </w:rPr>
      </w:pPr>
    </w:p>
    <w:p>
      <w:pPr>
        <w:pStyle w:val="BodyText"/>
        <w:spacing w:line="364" w:lineRule="auto"/>
        <w:ind w:left="101" w:right="105"/>
        <w:jc w:val="both"/>
      </w:pPr>
      <w:r>
        <w:rPr/>
        <w:t>Las cifras correspondientes al año 2009, aunque no son definitivas, muestran que durante el primer semestre del año, existe ya un saldo negativo en la Cuenta Corriente por 2,927.7 millones de dólares, en tanto que las remesas captadas ascienden a 11,353.4 millones de dólares, lo que permitiría cubrir ese déficit y quedaría disponible   un 74.2% de esas</w:t>
      </w:r>
      <w:r>
        <w:rPr>
          <w:spacing w:val="27"/>
        </w:rPr>
        <w:t> </w:t>
      </w:r>
      <w:r>
        <w:rPr/>
        <w:t>divisas.</w:t>
      </w:r>
    </w:p>
    <w:p>
      <w:pPr>
        <w:pStyle w:val="BodyText"/>
        <w:rPr>
          <w:sz w:val="22"/>
        </w:rPr>
      </w:pPr>
    </w:p>
    <w:p>
      <w:pPr>
        <w:pStyle w:val="BodyText"/>
        <w:rPr>
          <w:sz w:val="22"/>
        </w:rPr>
      </w:pPr>
    </w:p>
    <w:p>
      <w:pPr>
        <w:pStyle w:val="BodyText"/>
        <w:spacing w:before="2"/>
        <w:rPr>
          <w:sz w:val="19"/>
        </w:rPr>
      </w:pPr>
    </w:p>
    <w:p>
      <w:pPr>
        <w:pStyle w:val="Heading2"/>
        <w:numPr>
          <w:ilvl w:val="0"/>
          <w:numId w:val="15"/>
        </w:numPr>
        <w:tabs>
          <w:tab w:pos="481" w:val="left" w:leader="none"/>
        </w:tabs>
        <w:spacing w:line="240" w:lineRule="auto" w:before="0" w:after="0"/>
        <w:ind w:left="480" w:right="0" w:hanging="379"/>
        <w:jc w:val="both"/>
      </w:pPr>
      <w:r>
        <w:rPr/>
        <w:t>REFERENCIAS</w:t>
      </w:r>
      <w:r>
        <w:rPr>
          <w:spacing w:val="9"/>
        </w:rPr>
        <w:t> </w:t>
      </w:r>
      <w:r>
        <w:rPr/>
        <w:t>BIBLIOGRÁFICAS</w:t>
      </w:r>
    </w:p>
    <w:p>
      <w:pPr>
        <w:pStyle w:val="BodyText"/>
        <w:rPr>
          <w:b/>
          <w:sz w:val="30"/>
        </w:rPr>
      </w:pPr>
    </w:p>
    <w:p>
      <w:pPr>
        <w:pStyle w:val="BodyText"/>
        <w:spacing w:line="364" w:lineRule="auto" w:before="201"/>
        <w:ind w:left="101" w:right="105"/>
        <w:jc w:val="both"/>
      </w:pPr>
      <w:r>
        <w:rPr/>
        <w:t>Banco de México. 2004, 2005, 2006, 2007, 2008, 2009. Indicadores económicos. Sistema de información económica. Varios</w:t>
      </w:r>
      <w:r>
        <w:rPr>
          <w:spacing w:val="52"/>
        </w:rPr>
        <w:t> </w:t>
      </w:r>
      <w:r>
        <w:rPr/>
        <w:t>años.</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542" w:lineRule="auto" w:before="74"/>
        <w:ind w:left="101" w:right="102"/>
      </w:pPr>
      <w:hyperlink r:id="rId317">
        <w:r>
          <w:rPr/>
          <w:t>http://www.banxico.org.mx/eInfoFinanciera/FSinfoFinanciera.html</w:t>
        </w:r>
      </w:hyperlink>
      <w:r>
        <w:rPr/>
        <w:t> </w:t>
      </w:r>
      <w:hyperlink r:id="rId305">
        <w:r>
          <w:rPr/>
          <w:t>http://banxico.gob.mx/sie/cuadros/CE100.asp</w:t>
        </w:r>
      </w:hyperlink>
      <w:r>
        <w:rPr/>
        <w:t> 1/ Enero-abril del  2004.</w:t>
      </w:r>
    </w:p>
    <w:p>
      <w:pPr>
        <w:pStyle w:val="BodyText"/>
        <w:spacing w:line="364" w:lineRule="auto" w:before="9"/>
        <w:ind w:left="101" w:right="105"/>
        <w:jc w:val="both"/>
      </w:pPr>
      <w:r>
        <w:rPr/>
        <w:t>Cámara de Diputados. 2003. División de Economía y Comercio del Servicio de Investigación y Análisis.  Dirección electrónica:</w:t>
      </w:r>
    </w:p>
    <w:p>
      <w:pPr>
        <w:pStyle w:val="BodyText"/>
        <w:spacing w:before="4"/>
        <w:rPr>
          <w:sz w:val="17"/>
        </w:rPr>
      </w:pPr>
    </w:p>
    <w:p>
      <w:pPr>
        <w:pStyle w:val="BodyText"/>
        <w:ind w:left="101"/>
        <w:jc w:val="both"/>
      </w:pPr>
      <w:hyperlink r:id="rId318">
        <w:r>
          <w:rPr/>
          <w:t>http://www.cddhcu.gob.mx/bibliot/publica/inveyana/econycom/pdf/DEC-ISS-04-04.pdf</w:t>
        </w:r>
      </w:hyperlink>
    </w:p>
    <w:p>
      <w:pPr>
        <w:pStyle w:val="BodyText"/>
        <w:spacing w:before="2"/>
        <w:rPr>
          <w:sz w:val="29"/>
        </w:rPr>
      </w:pPr>
    </w:p>
    <w:p>
      <w:pPr>
        <w:pStyle w:val="BodyText"/>
        <w:spacing w:line="364" w:lineRule="auto"/>
        <w:ind w:left="101" w:right="106"/>
        <w:jc w:val="both"/>
      </w:pPr>
      <w:r>
        <w:rPr/>
        <w:t>Cervantes J., M. 2007. Las remesas y otros renglones de ingreso de las cuentas externas. Dirección electrónica:  </w:t>
      </w:r>
      <w:hyperlink r:id="rId319">
        <w:r>
          <w:rPr/>
          <w:t>www.economia.unam.mx/miglc/</w:t>
        </w:r>
      </w:hyperlink>
    </w:p>
    <w:p>
      <w:pPr>
        <w:pStyle w:val="BodyText"/>
        <w:spacing w:before="4"/>
        <w:rPr>
          <w:sz w:val="17"/>
        </w:rPr>
      </w:pPr>
    </w:p>
    <w:p>
      <w:pPr>
        <w:pStyle w:val="BodyText"/>
        <w:spacing w:line="367" w:lineRule="auto"/>
        <w:ind w:left="101" w:right="105"/>
        <w:jc w:val="both"/>
      </w:pPr>
      <w:r>
        <w:rPr/>
        <w:t>CONAPO. 2008. La población mexicana en Estados Unidos. Dirección electrónica: </w:t>
      </w:r>
      <w:hyperlink r:id="rId320">
        <w:r>
          <w:rPr/>
          <w:t>http://portal..sre.gob.mx/ime/pdf/mexicanoseneua.pdf</w:t>
        </w:r>
      </w:hyperlink>
    </w:p>
    <w:p>
      <w:pPr>
        <w:pStyle w:val="BodyText"/>
        <w:spacing w:line="364" w:lineRule="auto" w:before="194"/>
        <w:ind w:left="101" w:right="108"/>
        <w:jc w:val="both"/>
      </w:pPr>
      <w:r>
        <w:rPr/>
        <w:t>CONAPO.  1998. Importancia de las remesas  en el  ingreso de los hogares.  Año 3.    No. 8/ 1998 /ISSN</w:t>
      </w:r>
      <w:r>
        <w:rPr>
          <w:spacing w:val="32"/>
        </w:rPr>
        <w:t> </w:t>
      </w:r>
      <w:r>
        <w:rPr/>
        <w:t>1405-5589.</w:t>
      </w:r>
    </w:p>
    <w:p>
      <w:pPr>
        <w:pStyle w:val="BodyText"/>
        <w:spacing w:before="4"/>
        <w:rPr>
          <w:sz w:val="17"/>
        </w:rPr>
      </w:pPr>
    </w:p>
    <w:p>
      <w:pPr>
        <w:pStyle w:val="BodyText"/>
        <w:spacing w:line="364" w:lineRule="auto"/>
        <w:ind w:left="101" w:right="103"/>
        <w:jc w:val="both"/>
      </w:pPr>
      <w:r>
        <w:rPr/>
        <w:t>CONAPO. 1984. Encuesta en la frontera norte a  trabajadores  indocumentados devueltos por las autoridades de los Estados Unidos de América (ETIDEU). Diciembre  de 1984.  p.</w:t>
      </w:r>
      <w:r>
        <w:rPr>
          <w:spacing w:val="18"/>
        </w:rPr>
        <w:t> </w:t>
      </w:r>
      <w:r>
        <w:rPr/>
        <w:t>134.</w:t>
      </w:r>
    </w:p>
    <w:p>
      <w:pPr>
        <w:pStyle w:val="BodyText"/>
        <w:spacing w:line="364" w:lineRule="auto" w:before="101"/>
        <w:ind w:left="101" w:right="105"/>
        <w:jc w:val="both"/>
      </w:pPr>
      <w:r>
        <w:rPr/>
        <w:t>García Z., R. 2000. Los retos actuales de la teoría del desarrollo. En: Migración internacional, remesas e impactos regionales. México. Dirección electrónica: </w:t>
      </w:r>
      <w:hyperlink r:id="rId321">
        <w:r>
          <w:rPr/>
          <w:t>www.migracionydesarrollo.org</w:t>
        </w:r>
      </w:hyperlink>
    </w:p>
    <w:p>
      <w:pPr>
        <w:pStyle w:val="BodyText"/>
        <w:spacing w:before="4"/>
        <w:rPr>
          <w:sz w:val="17"/>
        </w:rPr>
      </w:pPr>
    </w:p>
    <w:p>
      <w:pPr>
        <w:pStyle w:val="BodyText"/>
        <w:spacing w:line="364" w:lineRule="auto"/>
        <w:ind w:left="101" w:right="102"/>
      </w:pPr>
      <w:r>
        <w:rPr/>
        <w:t>González A., R. 2008. Caen las remesas por culpa de la recesión en E.U. Dirección electrónica:  </w:t>
      </w:r>
      <w:hyperlink r:id="rId322">
        <w:r>
          <w:rPr/>
          <w:t>http://migracion.jornada.com.mx/migracion/estadisticas/ca.</w:t>
        </w:r>
      </w:hyperlink>
    </w:p>
    <w:p>
      <w:pPr>
        <w:pStyle w:val="BodyText"/>
        <w:spacing w:before="4"/>
        <w:rPr>
          <w:sz w:val="17"/>
        </w:rPr>
      </w:pPr>
    </w:p>
    <w:p>
      <w:pPr>
        <w:pStyle w:val="BodyText"/>
        <w:spacing w:line="364" w:lineRule="auto"/>
        <w:ind w:left="101" w:right="105"/>
        <w:jc w:val="both"/>
      </w:pPr>
      <w:r>
        <w:rPr/>
        <w:t>IME. 2004. Remesas. Boletín temático agosto de 2004. Vol. 1. No. 4. Dirección electrónica: </w:t>
      </w:r>
      <w:hyperlink r:id="rId323">
        <w:r>
          <w:rPr/>
          <w:t>http://portal.sre.gob.mx/ime/pdf/bol4.pdf</w:t>
        </w:r>
      </w:hyperlink>
    </w:p>
    <w:p>
      <w:pPr>
        <w:pStyle w:val="BodyText"/>
        <w:spacing w:before="6"/>
        <w:rPr>
          <w:sz w:val="17"/>
        </w:rPr>
      </w:pPr>
    </w:p>
    <w:p>
      <w:pPr>
        <w:pStyle w:val="BodyText"/>
        <w:ind w:left="101"/>
        <w:jc w:val="both"/>
      </w:pPr>
      <w:r>
        <w:rPr/>
        <w:t>INEGI. 2000. Muestra del censo de población.</w:t>
      </w:r>
      <w:r>
        <w:rPr>
          <w:spacing w:val="61"/>
        </w:rPr>
        <w:t> </w:t>
      </w:r>
      <w:r>
        <w:rPr/>
        <w:t>México.</w:t>
      </w:r>
    </w:p>
    <w:p>
      <w:pPr>
        <w:pStyle w:val="BodyText"/>
        <w:spacing w:before="4"/>
        <w:rPr>
          <w:sz w:val="20"/>
        </w:rPr>
      </w:pPr>
    </w:p>
    <w:p>
      <w:pPr>
        <w:pStyle w:val="BodyText"/>
        <w:spacing w:line="364" w:lineRule="auto"/>
        <w:ind w:left="101" w:right="109"/>
        <w:jc w:val="both"/>
      </w:pPr>
      <w:r>
        <w:rPr/>
        <w:t>INEGI. 1998, 2000 y 2002. Encuesta nacional de ingreso y gasto de los hogares (ENIGH). México.</w:t>
      </w:r>
    </w:p>
    <w:p>
      <w:pPr>
        <w:pStyle w:val="BodyText"/>
        <w:spacing w:line="364" w:lineRule="auto" w:before="103"/>
        <w:ind w:left="101" w:right="109"/>
        <w:jc w:val="both"/>
      </w:pPr>
      <w:r>
        <w:rPr/>
        <w:t>Poder Ejecutivo Federal. 2006. Anexo Estadístico del Sexto Informe de Gobierno del Presidente Vicente Fox. Septiembre de</w:t>
      </w:r>
      <w:r>
        <w:rPr>
          <w:spacing w:val="53"/>
        </w:rPr>
        <w:t> </w:t>
      </w:r>
      <w:r>
        <w:rPr/>
        <w:t>2006.</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2"/>
      </w:pPr>
      <w:r>
        <w:rPr/>
        <w:t>Poder Ejecutivo Federal. 2007. Anexo Estadístico del Primer Informe de Gobierno del Presidente Felipe Calderón. Septiembre de</w:t>
      </w:r>
      <w:r>
        <w:rPr>
          <w:spacing w:val="58"/>
        </w:rPr>
        <w:t> </w:t>
      </w:r>
      <w:r>
        <w:rPr/>
        <w:t>2007.</w:t>
      </w:r>
    </w:p>
    <w:p>
      <w:pPr>
        <w:pStyle w:val="BodyText"/>
        <w:spacing w:line="364" w:lineRule="auto" w:before="103"/>
        <w:ind w:left="101" w:right="102"/>
      </w:pPr>
      <w:r>
        <w:rPr/>
        <w:t>Poder Ejecutivo Federal. 2008. Anexo Estadístico del Segundo Informe de Gobierno del Presidente Felipe Calderón. Septiembre de</w:t>
      </w:r>
      <w:r>
        <w:rPr>
          <w:spacing w:val="58"/>
        </w:rPr>
        <w:t> </w:t>
      </w:r>
      <w:r>
        <w:rPr/>
        <w:t>2008.</w:t>
      </w:r>
    </w:p>
    <w:p>
      <w:pPr>
        <w:pStyle w:val="BodyText"/>
        <w:spacing w:line="364" w:lineRule="auto" w:before="101"/>
        <w:ind w:left="101" w:right="102"/>
      </w:pPr>
      <w:r>
        <w:rPr/>
        <w:t>Poder Ejecutivo Federal. 2009. Anexo Estadístico del Tercer Informe de Gobierno del Presidente Felipe Calderón. Septiembre de</w:t>
      </w:r>
      <w:r>
        <w:rPr>
          <w:spacing w:val="58"/>
        </w:rPr>
        <w:t> </w:t>
      </w:r>
      <w:r>
        <w:rPr/>
        <w:t>2009.</w:t>
      </w:r>
    </w:p>
    <w:p>
      <w:pPr>
        <w:pStyle w:val="BodyText"/>
        <w:spacing w:line="364" w:lineRule="auto" w:before="103"/>
        <w:ind w:left="101" w:right="102"/>
      </w:pPr>
      <w:r>
        <w:rPr/>
        <w:t>Zazueta, C. 1981. Los migrantes y la utilización del dinero enviado o llevado a sus comunidades de origen. México.  p. 40.</w:t>
      </w:r>
    </w:p>
    <w:p>
      <w:pPr>
        <w:pStyle w:val="BodyText"/>
        <w:spacing w:line="540" w:lineRule="auto" w:before="103"/>
        <w:ind w:left="101" w:right="2921"/>
      </w:pPr>
      <w:hyperlink r:id="rId301">
        <w:r>
          <w:rPr/>
          <w:t>http://www.eclac.cl/Celade/proyectos/migracion/Torres.doc</w:t>
        </w:r>
      </w:hyperlink>
      <w:r>
        <w:rPr/>
        <w:t> </w:t>
      </w:r>
      <w:hyperlink r:id="rId324">
        <w:r>
          <w:rPr/>
          <w:t>http://www.eumed.net/cursecon/ecolat/mx/2004/fn-migra.htm</w:t>
        </w:r>
      </w:hyperlink>
    </w:p>
    <w:p>
      <w:pPr>
        <w:spacing w:after="0" w:line="540" w:lineRule="auto"/>
        <w:sectPr>
          <w:pgSz w:w="11900" w:h="16840"/>
          <w:pgMar w:header="0" w:footer="1676" w:top="1600" w:bottom="1860" w:left="1300" w:right="1280"/>
        </w:sectPr>
      </w:pPr>
    </w:p>
    <w:p>
      <w:pPr>
        <w:pStyle w:val="BodyText"/>
        <w:rPr>
          <w:sz w:val="20"/>
        </w:rPr>
      </w:pPr>
    </w:p>
    <w:p>
      <w:pPr>
        <w:pStyle w:val="BodyText"/>
        <w:spacing w:before="6"/>
        <w:rPr>
          <w:sz w:val="19"/>
        </w:rPr>
      </w:pPr>
    </w:p>
    <w:p>
      <w:pPr>
        <w:pStyle w:val="Heading1"/>
        <w:spacing w:line="276" w:lineRule="auto"/>
        <w:ind w:left="1755" w:right="102" w:hanging="207"/>
      </w:pPr>
      <w:r>
        <w:rPr/>
        <w:t>7. LA MIGRACIÓN Y LAS VARIABLES MACROECONÓMICAS DE MÉXICO</w:t>
      </w:r>
    </w:p>
    <w:p>
      <w:pPr>
        <w:pStyle w:val="BodyText"/>
        <w:rPr>
          <w:b/>
          <w:sz w:val="34"/>
        </w:rPr>
      </w:pPr>
    </w:p>
    <w:p>
      <w:pPr>
        <w:pStyle w:val="BodyText"/>
        <w:spacing w:before="7"/>
        <w:rPr>
          <w:b/>
          <w:sz w:val="26"/>
        </w:rPr>
      </w:pPr>
    </w:p>
    <w:p>
      <w:pPr>
        <w:pStyle w:val="Heading4"/>
        <w:spacing w:before="1"/>
        <w:ind w:left="345" w:right="352"/>
        <w:jc w:val="center"/>
      </w:pPr>
      <w:r>
        <w:rPr/>
        <w:t>Esther Figueroa Hernández</w:t>
      </w:r>
    </w:p>
    <w:p>
      <w:pPr>
        <w:pStyle w:val="BodyText"/>
        <w:spacing w:before="4"/>
        <w:rPr>
          <w:b/>
          <w:sz w:val="21"/>
        </w:rPr>
      </w:pPr>
    </w:p>
    <w:p>
      <w:pPr>
        <w:spacing w:before="0"/>
        <w:ind w:left="345" w:right="353" w:firstLine="0"/>
        <w:jc w:val="center"/>
        <w:rPr>
          <w:sz w:val="19"/>
        </w:rPr>
      </w:pPr>
      <w:r>
        <w:rPr>
          <w:sz w:val="19"/>
        </w:rPr>
        <w:t>Universidad Autónoma del Estado de México,   </w:t>
      </w:r>
      <w:hyperlink r:id="rId17">
        <w:r>
          <w:rPr>
            <w:sz w:val="19"/>
          </w:rPr>
          <w:t>esfigue_3@yahoo.com.mx</w:t>
        </w:r>
      </w:hyperlink>
    </w:p>
    <w:p>
      <w:pPr>
        <w:pStyle w:val="BodyText"/>
        <w:spacing w:before="5"/>
        <w:rPr>
          <w:sz w:val="19"/>
        </w:rPr>
      </w:pPr>
    </w:p>
    <w:p>
      <w:pPr>
        <w:pStyle w:val="Heading4"/>
        <w:ind w:left="345" w:right="350"/>
        <w:jc w:val="center"/>
      </w:pPr>
      <w:r>
        <w:rPr/>
        <w:t>Jesús Loera Martínez</w:t>
      </w:r>
    </w:p>
    <w:p>
      <w:pPr>
        <w:spacing w:before="128"/>
        <w:ind w:left="345" w:right="350" w:firstLine="0"/>
        <w:jc w:val="center"/>
        <w:rPr>
          <w:sz w:val="19"/>
        </w:rPr>
      </w:pPr>
      <w:r>
        <w:rPr>
          <w:sz w:val="19"/>
        </w:rPr>
        <w:t>Universidad  Autónoma  Chapingo,  jloeramtz2004@yahoo.com.mx; </w:t>
      </w:r>
      <w:hyperlink r:id="rId20">
        <w:r>
          <w:rPr>
            <w:sz w:val="19"/>
          </w:rPr>
          <w:t>jloeramtz2004@gmail.com</w:t>
        </w:r>
      </w:hyperlink>
    </w:p>
    <w:p>
      <w:pPr>
        <w:pStyle w:val="BodyText"/>
        <w:spacing w:before="1"/>
        <w:rPr>
          <w:sz w:val="20"/>
        </w:rPr>
      </w:pPr>
    </w:p>
    <w:p>
      <w:pPr>
        <w:pStyle w:val="Heading4"/>
        <w:ind w:left="345" w:right="353"/>
        <w:jc w:val="center"/>
      </w:pPr>
      <w:r>
        <w:rPr/>
        <w:t>Francisco Pérez Soto</w:t>
      </w:r>
    </w:p>
    <w:p>
      <w:pPr>
        <w:pStyle w:val="BodyText"/>
        <w:spacing w:before="8"/>
        <w:rPr>
          <w:b/>
          <w:sz w:val="20"/>
        </w:rPr>
      </w:pPr>
    </w:p>
    <w:p>
      <w:pPr>
        <w:spacing w:before="0"/>
        <w:ind w:left="345" w:right="348" w:firstLine="0"/>
        <w:jc w:val="center"/>
        <w:rPr>
          <w:sz w:val="19"/>
        </w:rPr>
      </w:pPr>
      <w:r>
        <w:rPr>
          <w:sz w:val="19"/>
        </w:rPr>
        <w:t>Universidad  Autónoma  Chapingo, </w:t>
      </w:r>
      <w:hyperlink r:id="rId19">
        <w:r>
          <w:rPr>
            <w:sz w:val="19"/>
          </w:rPr>
          <w:t>perezsotof@hotmail.com</w:t>
        </w:r>
      </w:hyperlink>
    </w:p>
    <w:p>
      <w:pPr>
        <w:pStyle w:val="Heading4"/>
        <w:spacing w:before="120"/>
        <w:ind w:left="345" w:right="351"/>
        <w:jc w:val="center"/>
      </w:pPr>
      <w:r>
        <w:rPr/>
        <w:t>Gerónimo Barrios Puente</w:t>
      </w:r>
    </w:p>
    <w:p>
      <w:pPr>
        <w:pStyle w:val="BodyText"/>
        <w:spacing w:before="1"/>
        <w:rPr>
          <w:b/>
          <w:sz w:val="21"/>
        </w:rPr>
      </w:pPr>
    </w:p>
    <w:p>
      <w:pPr>
        <w:spacing w:before="1"/>
        <w:ind w:left="345" w:right="353" w:firstLine="0"/>
        <w:jc w:val="center"/>
        <w:rPr>
          <w:sz w:val="19"/>
        </w:rPr>
      </w:pPr>
      <w:r>
        <w:rPr>
          <w:sz w:val="19"/>
        </w:rPr>
        <w:t>Universidad  Autónoma  Chapingo, </w:t>
      </w:r>
      <w:hyperlink r:id="rId139">
        <w:r>
          <w:rPr>
            <w:sz w:val="19"/>
          </w:rPr>
          <w:t>gbarrios@yahoo.com.mx</w:t>
        </w:r>
      </w:hyperlink>
    </w:p>
    <w:p>
      <w:pPr>
        <w:pStyle w:val="Heading4"/>
        <w:spacing w:before="116"/>
        <w:ind w:left="345" w:right="351"/>
        <w:jc w:val="center"/>
      </w:pPr>
      <w:r>
        <w:rPr/>
        <w:t>Orsohe Ramírez Abarca</w:t>
      </w:r>
    </w:p>
    <w:p>
      <w:pPr>
        <w:pStyle w:val="BodyText"/>
        <w:spacing w:before="4"/>
        <w:rPr>
          <w:b/>
          <w:sz w:val="21"/>
        </w:rPr>
      </w:pPr>
    </w:p>
    <w:p>
      <w:pPr>
        <w:spacing w:before="0"/>
        <w:ind w:left="345" w:right="351" w:firstLine="0"/>
        <w:jc w:val="center"/>
        <w:rPr>
          <w:sz w:val="19"/>
        </w:rPr>
      </w:pPr>
      <w:r>
        <w:rPr>
          <w:sz w:val="19"/>
        </w:rPr>
        <w:t>Universidad Autónoma del Estado de México,   </w:t>
      </w:r>
      <w:hyperlink r:id="rId18">
        <w:r>
          <w:rPr>
            <w:sz w:val="19"/>
          </w:rPr>
          <w:t>orsohe@yahoo.com</w:t>
        </w:r>
      </w:hyperlink>
    </w:p>
    <w:p>
      <w:pPr>
        <w:pStyle w:val="BodyText"/>
        <w:rPr>
          <w:sz w:val="18"/>
        </w:rPr>
      </w:pPr>
    </w:p>
    <w:p>
      <w:pPr>
        <w:pStyle w:val="BodyText"/>
        <w:rPr>
          <w:sz w:val="18"/>
        </w:rPr>
      </w:pPr>
    </w:p>
    <w:p>
      <w:pPr>
        <w:pStyle w:val="BodyText"/>
        <w:spacing w:before="9"/>
        <w:rPr>
          <w:sz w:val="26"/>
        </w:rPr>
      </w:pPr>
    </w:p>
    <w:p>
      <w:pPr>
        <w:pStyle w:val="ListParagraph"/>
        <w:numPr>
          <w:ilvl w:val="1"/>
          <w:numId w:val="21"/>
        </w:numPr>
        <w:tabs>
          <w:tab w:pos="361" w:val="left" w:leader="none"/>
        </w:tabs>
        <w:spacing w:line="240" w:lineRule="auto" w:before="0" w:after="0"/>
        <w:ind w:left="360" w:right="0" w:hanging="259"/>
        <w:jc w:val="both"/>
        <w:rPr>
          <w:b/>
          <w:sz w:val="31"/>
        </w:rPr>
      </w:pPr>
      <w:r>
        <w:rPr>
          <w:b/>
          <w:sz w:val="31"/>
        </w:rPr>
        <w:t>INTRODUCCIÓN</w:t>
      </w:r>
    </w:p>
    <w:p>
      <w:pPr>
        <w:pStyle w:val="BodyText"/>
        <w:spacing w:before="10"/>
        <w:rPr>
          <w:b/>
          <w:sz w:val="32"/>
        </w:rPr>
      </w:pPr>
    </w:p>
    <w:p>
      <w:pPr>
        <w:pStyle w:val="BodyText"/>
        <w:spacing w:line="364" w:lineRule="auto"/>
        <w:ind w:left="101" w:right="105"/>
        <w:jc w:val="both"/>
      </w:pPr>
      <w:r>
        <w:rPr/>
        <w:t>El crecimiento económico depende, no de factores externos, sino de bases internas    que permitan alcanzar un crecimiento sostenido; la ausencia de estas bases (moneda y precios estables, tasas de interés estables y una oferta adecuada de empleo) es la explicación del poco crecimiento real durante estas últimas décadas,  denotadas  por  una recurrente deuda, inflación, devaluación y</w:t>
      </w:r>
      <w:r>
        <w:rPr>
          <w:spacing w:val="57"/>
        </w:rPr>
        <w:t> </w:t>
      </w:r>
      <w:r>
        <w:rPr/>
        <w:t>crisis.</w:t>
      </w:r>
    </w:p>
    <w:p>
      <w:pPr>
        <w:pStyle w:val="BodyText"/>
        <w:rPr>
          <w:sz w:val="22"/>
        </w:rPr>
      </w:pPr>
    </w:p>
    <w:p>
      <w:pPr>
        <w:pStyle w:val="BodyText"/>
        <w:spacing w:line="364" w:lineRule="auto" w:before="155"/>
        <w:ind w:left="101" w:right="105"/>
        <w:jc w:val="both"/>
      </w:pPr>
      <w:r>
        <w:rPr/>
        <w:t>A partir de 1982, la economía se orientó al mercado internacional, que fue la única   salida a la recesión y al estancamiento de la actividad productiva del país. Etapa caracterizada por hiperinflación (niveles hasta de 3 dígitos), y considerada como una década perdida producida por una crisis de deuda externa y del </w:t>
      </w:r>
      <w:r>
        <w:rPr>
          <w:spacing w:val="17"/>
        </w:rPr>
        <w:t> </w:t>
      </w:r>
      <w:r>
        <w:rPr/>
        <w:t>petróleo.</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3"/>
        <w:jc w:val="both"/>
      </w:pPr>
      <w:r>
        <w:rPr/>
        <w:t>Se inicia una etapa de privatización de las empresas paraestatales, y una política económica que se apega al modelo Neoliberal basado en el libre mercado interno y externo, se redujeron los aranceles a las importaciones y se eliminaron las barreras arancelarias, México se adhiere al GATT (Acuerdo General Sobre Aranceles y Comercio), en</w:t>
      </w:r>
      <w:r>
        <w:rPr>
          <w:spacing w:val="21"/>
        </w:rPr>
        <w:t> </w:t>
      </w:r>
      <w:r>
        <w:rPr/>
        <w:t>1986.</w:t>
      </w:r>
    </w:p>
    <w:p>
      <w:pPr>
        <w:pStyle w:val="BodyText"/>
        <w:spacing w:before="4"/>
        <w:rPr>
          <w:sz w:val="17"/>
        </w:rPr>
      </w:pPr>
    </w:p>
    <w:p>
      <w:pPr>
        <w:pStyle w:val="BodyText"/>
        <w:spacing w:line="364" w:lineRule="auto"/>
        <w:ind w:left="101" w:right="103"/>
        <w:jc w:val="both"/>
      </w:pPr>
      <w:r>
        <w:rPr/>
        <w:t>En la década de los 90, se firma el TLCAN (Tratado de Libre Comercio de América del Norte con Estados Unidos y Canadá), en donde se invita al capital extranjero a invertir, para usarlo como plataforma de exportación, que sería un catalizador del crecimiento económico del hemisferio promovido por el aumento en la inversión, el comercio y el empleo.</w:t>
      </w:r>
    </w:p>
    <w:p>
      <w:pPr>
        <w:pStyle w:val="BodyText"/>
        <w:spacing w:before="4"/>
        <w:rPr>
          <w:sz w:val="17"/>
        </w:rPr>
      </w:pPr>
    </w:p>
    <w:p>
      <w:pPr>
        <w:pStyle w:val="BodyText"/>
        <w:spacing w:line="364" w:lineRule="auto"/>
        <w:ind w:left="101" w:right="102"/>
        <w:jc w:val="both"/>
      </w:pPr>
      <w:r>
        <w:rPr/>
        <w:t>Cabe mencionar algunos de los aspectos políticos posteriores al TLCAN, que fueron factores determinantes, que crearon una atmósfera de inestabilidad político-económica en el país, dejando como respuesta la peor crisis económica que haya vivido México:   en marzo de 1994 fue asesinado el candidato del PRI a la presidencia, Luís Donaldo Colosio.</w:t>
      </w:r>
    </w:p>
    <w:p>
      <w:pPr>
        <w:pStyle w:val="BodyText"/>
        <w:spacing w:before="4"/>
        <w:rPr>
          <w:sz w:val="17"/>
        </w:rPr>
      </w:pPr>
    </w:p>
    <w:p>
      <w:pPr>
        <w:pStyle w:val="BodyText"/>
        <w:spacing w:line="364" w:lineRule="auto"/>
        <w:ind w:left="101" w:right="102"/>
        <w:jc w:val="both"/>
      </w:pPr>
      <w:r>
        <w:rPr/>
        <w:t>En septiembre mataron a José Francisco Ruiz Massieu, Secretario General de ese partido. Ernesto Zedillo (el nuevo candidato de ese partido) fue elegido presidente el 21 de agosto del mismo año, y surge el Ejercito Zapatista de Liberación Nacional (EZLN)” (Salinas, 1999).</w:t>
      </w:r>
    </w:p>
    <w:p>
      <w:pPr>
        <w:pStyle w:val="BodyText"/>
        <w:spacing w:before="4"/>
        <w:rPr>
          <w:sz w:val="17"/>
        </w:rPr>
      </w:pPr>
    </w:p>
    <w:p>
      <w:pPr>
        <w:pStyle w:val="BodyText"/>
        <w:spacing w:line="364" w:lineRule="auto"/>
        <w:ind w:left="101" w:right="105"/>
        <w:jc w:val="both"/>
      </w:pPr>
      <w:r>
        <w:rPr/>
        <w:t>La suma de estos sucesos políticos, el alto déficit en cuenta corriente y la  baja capacidad para hacer frente a los compromisos de la deuda, junto con aumentos sucesivos a las tasas de interés estadounidenses, obligaron a México a devaluar hasta un 40% creando una reacción en cadena en América Latina caracterizada por la fuga   de capitales y que ha sido conocida como efecto </w:t>
      </w:r>
      <w:r>
        <w:rPr>
          <w:spacing w:val="1"/>
        </w:rPr>
        <w:t> </w:t>
      </w:r>
      <w:r>
        <w:rPr/>
        <w:t>“Tequila”.</w:t>
      </w:r>
    </w:p>
    <w:p>
      <w:pPr>
        <w:pStyle w:val="BodyText"/>
        <w:spacing w:before="4"/>
        <w:rPr>
          <w:sz w:val="17"/>
        </w:rPr>
      </w:pPr>
    </w:p>
    <w:p>
      <w:pPr>
        <w:pStyle w:val="BodyText"/>
        <w:spacing w:line="364" w:lineRule="auto"/>
        <w:ind w:left="101" w:right="104"/>
        <w:jc w:val="both"/>
      </w:pPr>
      <w:r>
        <w:rPr/>
        <w:t>Desde 1996, en México el salario alcanzaba para adquirir apenas el 16% de lo que un trabajador podía comprar en 1976 con el mismo salario. Dicho salario alcanzaba en promedio para comprar apenas 700 gramos de carne de res o 1300 g de pollo, es    decir, sólo permitía uno o dos productos básicos al día, no más, lo que denota una pérdida real del poder adquisitivo (Arredondo,</w:t>
      </w:r>
      <w:r>
        <w:rPr>
          <w:spacing w:val="59"/>
        </w:rPr>
        <w:t> </w:t>
      </w:r>
      <w:r>
        <w:rPr/>
        <w:t>2006).</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364" w:lineRule="auto" w:before="74"/>
        <w:ind w:left="103" w:right="102"/>
      </w:pPr>
      <w:r>
        <w:rPr/>
        <w:t>A partir de este periodo, México da señales de recuperación económica logrando una estabilización en 1997, que hasta hoy en día se ha mantenido. Se da continuidad y se</w:t>
      </w:r>
    </w:p>
    <w:p>
      <w:pPr>
        <w:pStyle w:val="BodyText"/>
        <w:spacing w:before="5"/>
        <w:ind w:left="103" w:right="102"/>
      </w:pPr>
      <w:r>
        <w:rPr/>
        <w:t>refuerza  al  mismo  tiempo  a  la  iniciativa  privada,  como  un  motor  de  desarrollo     y</w:t>
      </w:r>
    </w:p>
    <w:p>
      <w:pPr>
        <w:spacing w:after="0"/>
        <w:sectPr>
          <w:pgSz w:w="11900" w:h="16840"/>
          <w:pgMar w:header="0" w:footer="1676" w:top="1600" w:bottom="1860" w:left="1300" w:right="1280"/>
        </w:sectPr>
      </w:pPr>
    </w:p>
    <w:p>
      <w:pPr>
        <w:pStyle w:val="BodyText"/>
        <w:tabs>
          <w:tab w:pos="1532" w:val="left" w:leader="none"/>
        </w:tabs>
        <w:spacing w:before="138"/>
        <w:ind w:left="103"/>
      </w:pPr>
      <w:r>
        <w:rPr/>
        <w:t>crecimiento</w:t>
        <w:tab/>
      </w:r>
      <w:r>
        <w:rPr>
          <w:spacing w:val="-1"/>
        </w:rPr>
        <w:t>económico,</w:t>
      </w:r>
    </w:p>
    <w:p>
      <w:pPr>
        <w:pStyle w:val="BodyText"/>
        <w:tabs>
          <w:tab w:pos="1685" w:val="left" w:leader="none"/>
          <w:tab w:pos="2221" w:val="left" w:leader="none"/>
          <w:tab w:pos="3969" w:val="left" w:leader="none"/>
        </w:tabs>
        <w:spacing w:before="138"/>
        <w:ind w:left="103"/>
      </w:pPr>
      <w:r>
        <w:rPr/>
        <w:br w:type="column"/>
      </w:r>
      <w:r>
        <w:rPr/>
        <w:t>promoviendo</w:t>
        <w:tab/>
        <w:t>las</w:t>
        <w:tab/>
        <w:t>exportaciones,</w:t>
        <w:tab/>
        <w:t>la</w:t>
      </w:r>
    </w:p>
    <w:p>
      <w:pPr>
        <w:pStyle w:val="BodyText"/>
        <w:tabs>
          <w:tab w:pos="1892" w:val="left" w:leader="none"/>
        </w:tabs>
        <w:spacing w:before="138"/>
        <w:ind w:left="103"/>
      </w:pPr>
      <w:r>
        <w:rPr/>
        <w:br w:type="column"/>
      </w:r>
      <w:r>
        <w:rPr/>
        <w:t>competitividad,</w:t>
        <w:tab/>
        <w:t>la</w:t>
      </w:r>
    </w:p>
    <w:p>
      <w:pPr>
        <w:spacing w:after="0"/>
        <w:sectPr>
          <w:type w:val="continuous"/>
          <w:pgSz w:w="11900" w:h="16840"/>
          <w:pgMar w:top="1600" w:bottom="280" w:left="1300" w:right="1280"/>
          <w:cols w:num="3" w:equalWidth="0">
            <w:col w:w="2726" w:space="128"/>
            <w:col w:w="4156" w:space="128"/>
            <w:col w:w="2182"/>
          </w:cols>
        </w:sectPr>
      </w:pPr>
    </w:p>
    <w:p>
      <w:pPr>
        <w:pStyle w:val="BodyText"/>
        <w:spacing w:line="364" w:lineRule="auto" w:before="138"/>
        <w:ind w:left="103" w:right="102"/>
      </w:pPr>
      <w:r>
        <w:rPr/>
        <w:t>productividad, y la eficiencia en la industria nacional. Aunado a la continuidad de una política restrictiva y de control a la inflación.</w:t>
      </w:r>
    </w:p>
    <w:p>
      <w:pPr>
        <w:pStyle w:val="BodyText"/>
        <w:spacing w:before="10"/>
        <w:rPr>
          <w:sz w:val="28"/>
        </w:rPr>
      </w:pPr>
    </w:p>
    <w:p>
      <w:pPr>
        <w:pStyle w:val="Heading4"/>
        <w:spacing w:before="74"/>
        <w:ind w:left="103" w:right="102"/>
      </w:pPr>
      <w:r>
        <w:rPr/>
        <w:t>Producto Interno Bruto (PIB)</w:t>
      </w:r>
    </w:p>
    <w:p>
      <w:pPr>
        <w:pStyle w:val="BodyText"/>
        <w:rPr>
          <w:b/>
          <w:sz w:val="20"/>
        </w:rPr>
      </w:pPr>
    </w:p>
    <w:p>
      <w:pPr>
        <w:pStyle w:val="BodyText"/>
        <w:rPr>
          <w:b/>
          <w:sz w:val="20"/>
        </w:rPr>
      </w:pPr>
    </w:p>
    <w:p>
      <w:pPr>
        <w:pStyle w:val="BodyText"/>
        <w:spacing w:before="7"/>
        <w:rPr>
          <w:b/>
          <w:sz w:val="18"/>
        </w:rPr>
      </w:pPr>
    </w:p>
    <w:p>
      <w:pPr>
        <w:pStyle w:val="BodyText"/>
        <w:spacing w:line="364" w:lineRule="auto" w:before="74"/>
        <w:ind w:left="103" w:right="102"/>
      </w:pPr>
      <w:r>
        <w:rPr/>
        <w:t>El crecimiento en México es incierto, por un lado el PIB nominal muestra un crecimiento sostenido hacia los últimos años y mientras que el PIB real todo lo  contrario.</w:t>
      </w:r>
    </w:p>
    <w:p>
      <w:pPr>
        <w:pStyle w:val="BodyText"/>
        <w:rPr>
          <w:sz w:val="20"/>
        </w:rPr>
      </w:pPr>
    </w:p>
    <w:p>
      <w:pPr>
        <w:pStyle w:val="BodyText"/>
        <w:rPr>
          <w:sz w:val="20"/>
        </w:rPr>
      </w:pPr>
    </w:p>
    <w:p>
      <w:pPr>
        <w:pStyle w:val="BodyText"/>
        <w:spacing w:before="11"/>
        <w:rPr>
          <w:sz w:val="20"/>
        </w:rPr>
      </w:pPr>
    </w:p>
    <w:p>
      <w:pPr>
        <w:pStyle w:val="Heading4"/>
        <w:ind w:left="2484" w:right="102"/>
      </w:pPr>
      <w:r>
        <w:rPr/>
        <w:t>Figura 1. PIB real en México, 1990-2009</w:t>
      </w:r>
    </w:p>
    <w:p>
      <w:pPr>
        <w:pStyle w:val="BodyText"/>
        <w:rPr>
          <w:b/>
          <w:sz w:val="19"/>
        </w:rPr>
      </w:pPr>
      <w:r>
        <w:rPr/>
        <w:pict>
          <v:group style="position:absolute;margin-left:74.760002pt;margin-top:12.912416pt;width:446.3pt;height:211.95pt;mso-position-horizontal-relative:page;mso-position-vertical-relative:paragraph;z-index:10600;mso-wrap-distance-left:0;mso-wrap-distance-right:0" coordorigin="1495,258" coordsize="8926,4239">
            <v:shape style="position:absolute;left:1512;top:273;width:2683;height:4214" type="#_x0000_t75" stroked="false">
              <v:imagedata r:id="rId325" o:title=""/>
            </v:shape>
            <v:shape style="position:absolute;left:1495;top:258;width:2696;height:4239" coordorigin="1495,258" coordsize="2696,4239" path="m4190,258l1495,258,1495,4497,4190,4497,4190,4492,1505,4492,1500,4487,1505,4487,1505,268,1500,268,1505,263,4190,263,4190,258xm1505,4487l1500,4487,1505,4492,1505,4487xm4190,4487l1505,4487,1505,4492,4190,4492,4190,4487xm1505,263l1500,268,1505,268,1505,263xm4190,263l1505,263,1505,268,4190,268,4190,263xe" filled="true" fillcolor="#000000" stroked="false">
              <v:path arrowok="t"/>
              <v:fill type="solid"/>
            </v:shape>
            <v:shape style="position:absolute;left:4186;top:273;width:4198;height:4214" type="#_x0000_t75" stroked="false">
              <v:imagedata r:id="rId326" o:title=""/>
            </v:shape>
            <v:line style="position:absolute" from="4190,4492" to="8378,4492" stroked="true" strokeweight=".48pt" strokecolor="#000000"/>
            <v:line style="position:absolute" from="4190,263" to="8378,263" stroked="true" strokeweight=".48pt" strokecolor="#000000"/>
            <v:shape style="position:absolute;left:8374;top:273;width:2042;height:4214" type="#_x0000_t75" stroked="false">
              <v:imagedata r:id="rId327" o:title=""/>
            </v:shape>
            <v:shape style="position:absolute;left:8378;top:258;width:2043;height:4239" coordorigin="8378,258" coordsize="2043,4239" path="m10411,4487l8378,4487,8378,4497,10421,4497,10421,4492,10411,4492,10411,4487xm10411,263l10411,4492,10416,4487,10421,4487,10421,268,10416,268,10411,263xm10421,4487l10416,4487,10411,4492,10421,4492,10421,4487xm10421,258l8378,258,8378,268,10411,268,10411,263,10421,263,10421,258xm10421,263l10411,263,10416,268,10421,268,10421,263xe" filled="true" fillcolor="#000000" stroked="false">
              <v:path arrowok="t"/>
              <v:fill type="solid"/>
            </v:shape>
            <w10:wrap type="topAndBottom"/>
          </v:group>
        </w:pict>
      </w:r>
    </w:p>
    <w:p>
      <w:pPr>
        <w:pStyle w:val="BodyText"/>
        <w:spacing w:before="1"/>
        <w:rPr>
          <w:b/>
          <w:sz w:val="14"/>
        </w:rPr>
      </w:pPr>
    </w:p>
    <w:p>
      <w:pPr>
        <w:spacing w:before="77"/>
        <w:ind w:left="103" w:right="102" w:firstLine="0"/>
        <w:jc w:val="left"/>
        <w:rPr>
          <w:sz w:val="21"/>
        </w:rPr>
      </w:pPr>
      <w:r>
        <w:rPr>
          <w:sz w:val="21"/>
        </w:rPr>
        <w:t>Fuente: Elaboración propia con datos de:   </w:t>
      </w:r>
      <w:hyperlink r:id="rId328">
        <w:r>
          <w:rPr>
            <w:sz w:val="21"/>
          </w:rPr>
          <w:t>http://websie.eclac.cl/sisgen/ConsultaIntegrada.asp</w:t>
        </w:r>
      </w:hyperlink>
    </w:p>
    <w:p>
      <w:pPr>
        <w:pStyle w:val="BodyText"/>
        <w:spacing w:before="9"/>
        <w:rPr>
          <w:sz w:val="13"/>
        </w:rPr>
      </w:pPr>
    </w:p>
    <w:p>
      <w:pPr>
        <w:spacing w:line="280" w:lineRule="auto" w:before="77"/>
        <w:ind w:left="103" w:right="102" w:firstLine="0"/>
        <w:jc w:val="left"/>
        <w:rPr>
          <w:sz w:val="21"/>
        </w:rPr>
      </w:pPr>
      <w:r>
        <w:rPr>
          <w:sz w:val="21"/>
        </w:rPr>
        <w:t>CEPAL: Comisión Económica para América Latina y el Caribe: Sobre la base de información oficial.</w:t>
      </w:r>
    </w:p>
    <w:p>
      <w:pPr>
        <w:spacing w:after="0" w:line="280" w:lineRule="auto"/>
        <w:jc w:val="left"/>
        <w:rPr>
          <w:sz w:val="21"/>
        </w:rPr>
        <w:sectPr>
          <w:type w:val="continuous"/>
          <w:pgSz w:w="11900" w:h="16840"/>
          <w:pgMar w:top="1600" w:bottom="280" w:left="1300" w:right="1280"/>
        </w:sectPr>
      </w:pPr>
    </w:p>
    <w:p>
      <w:pPr>
        <w:pStyle w:val="BodyText"/>
        <w:rPr>
          <w:sz w:val="20"/>
        </w:rPr>
      </w:pPr>
    </w:p>
    <w:p>
      <w:pPr>
        <w:pStyle w:val="BodyText"/>
        <w:spacing w:before="8"/>
        <w:rPr>
          <w:sz w:val="18"/>
        </w:rPr>
      </w:pPr>
    </w:p>
    <w:p>
      <w:pPr>
        <w:spacing w:after="0"/>
        <w:rPr>
          <w:sz w:val="18"/>
        </w:rPr>
        <w:sectPr>
          <w:footerReference w:type="default" r:id="rId329"/>
          <w:pgSz w:w="11900" w:h="16840"/>
          <w:pgMar w:footer="1676" w:header="0" w:top="1600" w:bottom="1860" w:left="1300" w:right="1220"/>
          <w:pgNumType w:start="270"/>
        </w:sectPr>
      </w:pPr>
    </w:p>
    <w:p>
      <w:pPr>
        <w:pStyle w:val="BodyText"/>
        <w:spacing w:line="364" w:lineRule="auto" w:before="74"/>
        <w:ind w:left="103" w:right="-9"/>
      </w:pPr>
      <w:r>
        <w:rPr>
          <w:sz w:val="21"/>
        </w:rPr>
        <w:t>.</w:t>
      </w:r>
      <w:r>
        <w:rPr/>
        <w:t>El comportamiento de la caídas:  una  en  1995  </w:t>
      </w:r>
      <w:r>
        <w:rPr>
          <w:spacing w:val="53"/>
        </w:rPr>
        <w:t> </w:t>
      </w:r>
      <w:r>
        <w:rPr/>
        <w:t>de</w:t>
      </w:r>
    </w:p>
    <w:p>
      <w:pPr>
        <w:pStyle w:val="BodyText"/>
        <w:spacing w:line="364" w:lineRule="auto" w:before="74"/>
        <w:ind w:left="108" w:right="143" w:hanging="60"/>
      </w:pPr>
      <w:r>
        <w:rPr/>
        <w:br w:type="column"/>
      </w:r>
      <w:r>
        <w:rPr/>
        <w:t>tasa de crecimiento del PIB  real  (figura  1)  presenta  dos 6%  y  otra  en  2009  donde  el  producto  cayó  en      7.0%</w:t>
      </w:r>
    </w:p>
    <w:p>
      <w:pPr>
        <w:spacing w:after="0" w:line="364" w:lineRule="auto"/>
        <w:sectPr>
          <w:type w:val="continuous"/>
          <w:pgSz w:w="11900" w:h="16840"/>
          <w:pgMar w:top="1600" w:bottom="280" w:left="1300" w:right="1220"/>
          <w:cols w:num="2" w:equalWidth="0">
            <w:col w:w="2891" w:space="40"/>
            <w:col w:w="6449"/>
          </w:cols>
        </w:sectPr>
      </w:pPr>
    </w:p>
    <w:p>
      <w:pPr>
        <w:pStyle w:val="BodyText"/>
        <w:spacing w:before="5"/>
        <w:ind w:left="103"/>
      </w:pPr>
      <w:r>
        <w:rPr/>
        <w:t>aproximadamente,  originado  por  las  crisis  económica  (tipo  de  cambio)  y  la     crisis</w:t>
      </w:r>
    </w:p>
    <w:p>
      <w:pPr>
        <w:pStyle w:val="BodyText"/>
        <w:spacing w:line="364" w:lineRule="auto" w:before="138"/>
        <w:ind w:left="103"/>
      </w:pPr>
      <w:r>
        <w:rPr/>
        <w:t>financiera mundial. De 1982 a 1994, el crecimiento de la economía fue tan sólo de 2% aproximadamente, y de 1994 a 2006 de</w:t>
      </w:r>
      <w:r>
        <w:rPr>
          <w:spacing w:val="51"/>
        </w:rPr>
        <w:t> </w:t>
      </w:r>
      <w:r>
        <w:rPr/>
        <w:t>2.8%.</w:t>
      </w:r>
    </w:p>
    <w:p>
      <w:pPr>
        <w:pStyle w:val="BodyText"/>
        <w:rPr>
          <w:sz w:val="20"/>
        </w:rPr>
      </w:pPr>
    </w:p>
    <w:p>
      <w:pPr>
        <w:pStyle w:val="BodyText"/>
        <w:rPr>
          <w:sz w:val="20"/>
        </w:rPr>
      </w:pPr>
    </w:p>
    <w:p>
      <w:pPr>
        <w:pStyle w:val="BodyText"/>
        <w:spacing w:before="8"/>
        <w:rPr>
          <w:sz w:val="22"/>
        </w:rPr>
      </w:pPr>
    </w:p>
    <w:p>
      <w:pPr>
        <w:pStyle w:val="Heading4"/>
        <w:spacing w:before="73"/>
        <w:ind w:left="103"/>
        <w:jc w:val="both"/>
      </w:pPr>
      <w:r>
        <w:rPr/>
        <w:t>Inversión</w:t>
      </w:r>
    </w:p>
    <w:p>
      <w:pPr>
        <w:pStyle w:val="BodyText"/>
        <w:spacing w:before="2"/>
        <w:rPr>
          <w:b/>
          <w:sz w:val="29"/>
        </w:rPr>
      </w:pPr>
    </w:p>
    <w:p>
      <w:pPr>
        <w:pStyle w:val="BodyText"/>
        <w:spacing w:line="364" w:lineRule="auto"/>
        <w:ind w:left="103" w:right="162"/>
        <w:jc w:val="both"/>
      </w:pPr>
      <w:r>
        <w:rPr/>
        <w:t>La inversión es sin duda un factor muy importante, ya que México es un gran receptor  de ésta, la cual tiene dos facetas: una es la inversión fija, es decir, que puede generar empleo, y otra que va directamente a la bolsa de valores (capital especulativo) que sólo genera</w:t>
      </w:r>
      <w:r>
        <w:rPr>
          <w:spacing w:val="16"/>
        </w:rPr>
        <w:t> </w:t>
      </w:r>
      <w:r>
        <w:rPr/>
        <w:t>intereses.</w:t>
      </w:r>
    </w:p>
    <w:p>
      <w:pPr>
        <w:pStyle w:val="BodyText"/>
        <w:spacing w:before="4"/>
        <w:rPr>
          <w:sz w:val="17"/>
        </w:rPr>
      </w:pPr>
    </w:p>
    <w:p>
      <w:pPr>
        <w:pStyle w:val="BodyText"/>
        <w:ind w:left="103"/>
        <w:jc w:val="both"/>
      </w:pPr>
      <w:r>
        <w:rPr/>
        <w:t>En la figura 2, se puede observar que la inversión en México se ha caracterizado por</w:t>
      </w:r>
    </w:p>
    <w:p>
      <w:pPr>
        <w:pStyle w:val="BodyText"/>
        <w:spacing w:before="136"/>
        <w:ind w:left="103"/>
      </w:pPr>
      <w:r>
        <w:rPr/>
        <w:t>presentar  una  continua  disminución.  Como  se  puede  observar,  la  inversión  real en</w:t>
      </w:r>
    </w:p>
    <w:p>
      <w:pPr>
        <w:pStyle w:val="BodyText"/>
        <w:spacing w:before="141"/>
        <w:ind w:left="103"/>
      </w:pPr>
      <w:r>
        <w:rPr/>
        <w:t>México sólo ha mostrado un crecimiento real en 1993, se mantiene un tipo de cambio</w:t>
      </w:r>
    </w:p>
    <w:p>
      <w:pPr>
        <w:spacing w:after="0"/>
        <w:sectPr>
          <w:type w:val="continuous"/>
          <w:pgSz w:w="11900" w:h="16840"/>
          <w:pgMar w:top="1600" w:bottom="280" w:left="1300" w:right="1220"/>
        </w:sectPr>
      </w:pPr>
    </w:p>
    <w:p>
      <w:pPr>
        <w:pStyle w:val="BodyText"/>
        <w:spacing w:before="136"/>
        <w:ind w:left="103"/>
      </w:pPr>
      <w:r>
        <w:rPr/>
        <w:t>estable,  suben  las tasas</w:t>
      </w:r>
    </w:p>
    <w:p>
      <w:pPr>
        <w:pStyle w:val="BodyText"/>
        <w:spacing w:before="136"/>
        <w:ind w:left="66"/>
      </w:pPr>
      <w:r>
        <w:rPr/>
        <w:br w:type="column"/>
      </w:r>
      <w:r>
        <w:rPr/>
        <w:t>de  interés;  para  1995,  se presenta un</w:t>
      </w:r>
    </w:p>
    <w:p>
      <w:pPr>
        <w:pStyle w:val="BodyText"/>
        <w:spacing w:before="136"/>
        <w:ind w:left="62"/>
      </w:pPr>
      <w:r>
        <w:rPr/>
        <w:br w:type="column"/>
      </w:r>
      <w:r>
        <w:rPr/>
        <w:t>alto  déficit originado</w:t>
      </w:r>
    </w:p>
    <w:p>
      <w:pPr>
        <w:spacing w:after="0"/>
        <w:sectPr>
          <w:type w:val="continuous"/>
          <w:pgSz w:w="11900" w:h="16840"/>
          <w:pgMar w:top="1600" w:bottom="280" w:left="1300" w:right="1220"/>
          <w:cols w:num="3" w:equalWidth="0">
            <w:col w:w="2727" w:space="40"/>
            <w:col w:w="4186" w:space="40"/>
            <w:col w:w="2387"/>
          </w:cols>
        </w:sectPr>
      </w:pPr>
    </w:p>
    <w:p>
      <w:pPr>
        <w:pStyle w:val="BodyText"/>
        <w:spacing w:before="141"/>
        <w:ind w:left="103"/>
      </w:pPr>
      <w:r>
        <w:rPr/>
        <w:t>tanto por la devaluación del peso, como por los acontecimientos  políticos.</w:t>
      </w:r>
    </w:p>
    <w:p>
      <w:pPr>
        <w:pStyle w:val="BodyText"/>
        <w:rPr>
          <w:sz w:val="20"/>
        </w:rPr>
      </w:pPr>
    </w:p>
    <w:p>
      <w:pPr>
        <w:pStyle w:val="BodyText"/>
        <w:rPr>
          <w:sz w:val="20"/>
        </w:rPr>
      </w:pPr>
    </w:p>
    <w:p>
      <w:pPr>
        <w:pStyle w:val="BodyText"/>
        <w:spacing w:before="7"/>
      </w:pPr>
    </w:p>
    <w:p>
      <w:pPr>
        <w:pStyle w:val="Heading4"/>
        <w:spacing w:before="74"/>
        <w:ind w:left="2398"/>
      </w:pPr>
      <w:r>
        <w:rPr/>
        <w:t>Figura 2. Inversión en México,</w:t>
      </w:r>
      <w:r>
        <w:rPr>
          <w:spacing w:val="52"/>
        </w:rPr>
        <w:t> </w:t>
      </w:r>
      <w:r>
        <w:rPr/>
        <w:t>1981-2007</w:t>
      </w:r>
    </w:p>
    <w:p>
      <w:pPr>
        <w:pStyle w:val="BodyText"/>
        <w:rPr>
          <w:b/>
          <w:sz w:val="19"/>
        </w:rPr>
      </w:pPr>
      <w:r>
        <w:rPr/>
        <w:pict>
          <v:group style="position:absolute;margin-left:71.159996pt;margin-top:12.922476pt;width:457.2pt;height:177.75pt;mso-position-horizontal-relative:page;mso-position-vertical-relative:paragraph;z-index:10624;mso-wrap-distance-left:0;mso-wrap-distance-right:0" coordorigin="1423,258" coordsize="9144,3555">
            <v:shape style="position:absolute;left:1440;top:275;width:2750;height:3528" type="#_x0000_t75" stroked="false">
              <v:imagedata r:id="rId330" o:title=""/>
            </v:shape>
            <v:shape style="position:absolute;left:1423;top:258;width:2768;height:3555" coordorigin="1423,258" coordsize="2768,3555" path="m4190,258l1423,258,1423,3813,4190,3813,4190,3808,1433,3808,1428,3803,1433,3803,1433,270,1428,270,1433,263,4190,263,4190,258xm1433,3803l1428,3803,1433,3808,1433,3803xm4190,3803l1433,3803,1433,3808,4190,3808,4190,3803xm1433,263l1428,270,1433,270,1433,263xm4190,263l1433,263,1433,270,4190,270,4190,263xe" filled="true" fillcolor="#000000" stroked="false">
              <v:path arrowok="t"/>
              <v:fill type="solid"/>
            </v:shape>
            <v:line style="position:absolute" from="4190,3808" to="8378,3808" stroked="true" strokeweight=".48pt" strokecolor="#000000"/>
            <v:line style="position:absolute" from="4190,264" to="8378,264" stroked="true" strokeweight=".6pt" strokecolor="#000000"/>
            <v:shape style="position:absolute;left:4190;top:275;width:6367;height:3528" type="#_x0000_t75" stroked="false">
              <v:imagedata r:id="rId331" o:title=""/>
            </v:shape>
            <v:shape style="position:absolute;left:8378;top:258;width:2189;height:3555" coordorigin="8378,258" coordsize="2189,3555" path="m10558,3803l8378,3803,8378,3813,10567,3813,10567,3808,10558,3808,10558,3803xm10558,263l10558,3808,10562,3803,10567,3803,10567,270,10562,270,10558,263xm10567,3803l10562,3803,10558,3808,10567,3808,10567,3803xm10567,258l8378,258,8378,270,10558,270,10558,263,10567,263,10567,258xm10567,263l10558,263,10562,270,10567,270,10567,263xe" filled="true" fillcolor="#000000" stroked="false">
              <v:path arrowok="t"/>
              <v:fill type="solid"/>
            </v:shape>
            <w10:wrap type="topAndBottom"/>
          </v:group>
        </w:pict>
      </w:r>
    </w:p>
    <w:p>
      <w:pPr>
        <w:pStyle w:val="BodyText"/>
        <w:spacing w:before="7"/>
        <w:rPr>
          <w:b/>
          <w:sz w:val="12"/>
        </w:rPr>
      </w:pPr>
    </w:p>
    <w:p>
      <w:pPr>
        <w:spacing w:before="77"/>
        <w:ind w:left="223" w:right="0" w:firstLine="0"/>
        <w:jc w:val="left"/>
        <w:rPr>
          <w:sz w:val="21"/>
        </w:rPr>
      </w:pPr>
      <w:r>
        <w:rPr>
          <w:sz w:val="21"/>
        </w:rPr>
        <w:t>Fuente: Elaboración propia con datos de  BIE.</w:t>
      </w:r>
    </w:p>
    <w:p>
      <w:pPr>
        <w:spacing w:after="0"/>
        <w:jc w:val="left"/>
        <w:rPr>
          <w:sz w:val="21"/>
        </w:rPr>
        <w:sectPr>
          <w:type w:val="continuous"/>
          <w:pgSz w:w="11900" w:h="16840"/>
          <w:pgMar w:top="1600" w:bottom="280" w:left="1300" w:right="1220"/>
        </w:sectPr>
      </w:pPr>
    </w:p>
    <w:p>
      <w:pPr>
        <w:pStyle w:val="BodyText"/>
        <w:rPr>
          <w:sz w:val="20"/>
        </w:rPr>
      </w:pPr>
    </w:p>
    <w:p>
      <w:pPr>
        <w:pStyle w:val="BodyText"/>
        <w:spacing w:before="8"/>
        <w:rPr>
          <w:sz w:val="18"/>
        </w:rPr>
      </w:pPr>
    </w:p>
    <w:p>
      <w:pPr>
        <w:pStyle w:val="BodyText"/>
        <w:spacing w:before="74"/>
        <w:ind w:left="103"/>
      </w:pPr>
      <w:r>
        <w:rPr/>
        <w:t>A  partir  de  1997,  la  inversión  en  México  se  ha  mantenido  dentro  de  los   $10,000</w:t>
      </w:r>
    </w:p>
    <w:p>
      <w:pPr>
        <w:pStyle w:val="BodyText"/>
        <w:spacing w:before="138"/>
        <w:ind w:left="103"/>
      </w:pPr>
      <w:r>
        <w:rPr/>
        <w:t>millones  de  dólares,  esto  se  puede  entender  por  el  seguimiento  de  una      política</w:t>
      </w:r>
    </w:p>
    <w:p>
      <w:pPr>
        <w:pStyle w:val="BodyText"/>
        <w:spacing w:line="364" w:lineRule="auto" w:before="138"/>
        <w:ind w:left="103" w:right="403"/>
      </w:pPr>
      <w:r>
        <w:rPr/>
        <w:t>monetaria austera (Reducción en las tasas de interés, más filtros hacia los capitales especulativos, inversión a largo plazo, etc.).</w:t>
      </w:r>
    </w:p>
    <w:p>
      <w:pPr>
        <w:pStyle w:val="BodyText"/>
        <w:rPr>
          <w:sz w:val="20"/>
        </w:rPr>
      </w:pPr>
    </w:p>
    <w:p>
      <w:pPr>
        <w:pStyle w:val="BodyText"/>
        <w:rPr>
          <w:sz w:val="20"/>
        </w:rPr>
      </w:pPr>
    </w:p>
    <w:p>
      <w:pPr>
        <w:pStyle w:val="BodyText"/>
        <w:spacing w:before="11"/>
        <w:rPr>
          <w:sz w:val="20"/>
        </w:rPr>
      </w:pPr>
    </w:p>
    <w:p>
      <w:pPr>
        <w:pStyle w:val="Heading4"/>
        <w:ind w:left="168" w:right="403"/>
      </w:pPr>
      <w:r>
        <w:rPr/>
        <w:t>Inflación</w:t>
      </w:r>
    </w:p>
    <w:p>
      <w:pPr>
        <w:pStyle w:val="BodyText"/>
        <w:spacing w:before="4"/>
        <w:rPr>
          <w:b/>
          <w:sz w:val="14"/>
        </w:rPr>
      </w:pPr>
    </w:p>
    <w:p>
      <w:pPr>
        <w:pStyle w:val="BodyText"/>
        <w:spacing w:before="74"/>
        <w:ind w:left="103"/>
      </w:pPr>
      <w:r>
        <w:rPr/>
        <w:t>La  medición  oficial  </w:t>
      </w:r>
      <w:r>
        <w:rPr>
          <w:spacing w:val="-3"/>
        </w:rPr>
        <w:t>de  </w:t>
      </w:r>
      <w:r>
        <w:rPr/>
        <w:t>la  inflación  se  hace  con  el  Índice  Nacional  de  Precios    </w:t>
      </w:r>
      <w:r>
        <w:rPr>
          <w:spacing w:val="58"/>
        </w:rPr>
        <w:t> </w:t>
      </w:r>
      <w:r>
        <w:rPr/>
        <w:t>al</w:t>
      </w:r>
    </w:p>
    <w:p>
      <w:pPr>
        <w:pStyle w:val="BodyText"/>
        <w:spacing w:before="141"/>
        <w:ind w:left="103"/>
      </w:pPr>
      <w:r>
        <w:rPr/>
        <w:t>Consumidor  (INPC)  este  indicador  se  ha  utilizado  para  establecer  los  objetivos  de</w:t>
      </w:r>
    </w:p>
    <w:p>
      <w:pPr>
        <w:pStyle w:val="BodyText"/>
        <w:spacing w:line="364" w:lineRule="auto" w:before="136"/>
        <w:ind w:left="103" w:right="186"/>
      </w:pPr>
      <w:r>
        <w:rPr/>
        <w:t>mediano y largo plazo y mide las variaciones de precios en base a una canasta de  bienes  y  servicios,  la  cual  se  conforma  de  315  productos  gené icos  ropa,</w:t>
      </w:r>
      <w:r>
        <w:rPr>
          <w:spacing w:val="-18"/>
        </w:rPr>
        <w:t> </w:t>
      </w:r>
      <w:r>
        <w:rPr/>
        <w:t>vivienda,</w:t>
      </w:r>
    </w:p>
    <w:p>
      <w:pPr>
        <w:spacing w:after="0" w:line="364" w:lineRule="auto"/>
        <w:sectPr>
          <w:pgSz w:w="11900" w:h="16840"/>
          <w:pgMar w:header="0" w:footer="1676" w:top="1600" w:bottom="1860" w:left="1300" w:right="1200"/>
        </w:sectPr>
      </w:pPr>
    </w:p>
    <w:p>
      <w:pPr>
        <w:pStyle w:val="BodyText"/>
        <w:spacing w:line="364" w:lineRule="auto" w:before="5"/>
        <w:ind w:left="103"/>
      </w:pPr>
      <w:r>
        <w:rPr/>
        <w:t>salud, educación, transporte y aparatos domésticos. También es para la negociación de salarios. (Banco de México,</w:t>
      </w:r>
      <w:r>
        <w:rPr>
          <w:spacing w:val="63"/>
        </w:rPr>
        <w:t> </w:t>
      </w:r>
      <w:r>
        <w:rPr/>
        <w:t>2005)</w:t>
      </w:r>
    </w:p>
    <w:p>
      <w:pPr>
        <w:pStyle w:val="BodyText"/>
        <w:spacing w:before="5"/>
        <w:ind w:left="73"/>
      </w:pPr>
      <w:r>
        <w:rPr/>
        <w:br w:type="column"/>
      </w:r>
      <w:r>
        <w:rPr/>
        <w:t>una  variable</w:t>
      </w:r>
      <w:r>
        <w:rPr>
          <w:spacing w:val="52"/>
        </w:rPr>
        <w:t> </w:t>
      </w:r>
      <w:r>
        <w:rPr/>
        <w:t>clave</w:t>
      </w:r>
    </w:p>
    <w:p>
      <w:pPr>
        <w:spacing w:after="0"/>
        <w:sectPr>
          <w:type w:val="continuous"/>
          <w:pgSz w:w="11900" w:h="16840"/>
          <w:pgMar w:top="1600" w:bottom="280" w:left="1300" w:right="1200"/>
          <w:cols w:num="2" w:equalWidth="0">
            <w:col w:w="7121" w:space="40"/>
            <w:col w:w="2239"/>
          </w:cols>
        </w:sectPr>
      </w:pPr>
    </w:p>
    <w:p>
      <w:pPr>
        <w:pStyle w:val="BodyText"/>
        <w:rPr>
          <w:sz w:val="20"/>
        </w:rPr>
      </w:pPr>
    </w:p>
    <w:p>
      <w:pPr>
        <w:pStyle w:val="BodyText"/>
        <w:rPr>
          <w:sz w:val="20"/>
        </w:rPr>
      </w:pPr>
    </w:p>
    <w:p>
      <w:pPr>
        <w:pStyle w:val="BodyText"/>
        <w:spacing w:before="9"/>
        <w:rPr>
          <w:sz w:val="19"/>
        </w:rPr>
      </w:pPr>
    </w:p>
    <w:p>
      <w:pPr>
        <w:pStyle w:val="Heading4"/>
        <w:spacing w:before="73"/>
        <w:ind w:left="1635" w:right="403"/>
      </w:pPr>
      <w:r>
        <w:rPr/>
        <w:t>Figura 3. Tasa de Inflación anual en México,</w:t>
      </w:r>
      <w:r>
        <w:rPr>
          <w:spacing w:val="61"/>
        </w:rPr>
        <w:t> </w:t>
      </w:r>
      <w:r>
        <w:rPr/>
        <w:t>1990-2009</w:t>
      </w:r>
    </w:p>
    <w:p>
      <w:pPr>
        <w:pStyle w:val="BodyText"/>
        <w:rPr>
          <w:b/>
          <w:sz w:val="19"/>
        </w:rPr>
      </w:pPr>
      <w:r>
        <w:rPr/>
        <w:pict>
          <v:group style="position:absolute;margin-left:71.159996pt;margin-top:12.912441pt;width:457.95pt;height:209.8pt;mso-position-horizontal-relative:page;mso-position-vertical-relative:paragraph;z-index:10648;mso-wrap-distance-left:0;mso-wrap-distance-right:0" coordorigin="1423,258" coordsize="9159,4196">
            <v:shape style="position:absolute;left:1435;top:268;width:2760;height:4176" type="#_x0000_t75" stroked="false">
              <v:imagedata r:id="rId332" o:title=""/>
            </v:shape>
            <v:shape style="position:absolute;left:1423;top:258;width:2768;height:4196" coordorigin="1423,258" coordsize="2768,4196" path="m4190,258l1423,258,1423,4454,4190,4454,4190,4449,1433,4449,1428,4444,1433,4444,1433,268,1428,268,1433,263,4190,263,4190,258xm1433,4444l1428,4444,1433,4449,1433,4444xm4190,4444l1433,4444,1433,4449,4190,4449,4190,4444xm1433,263l1428,268,1433,268,1433,263xm4190,263l1433,263,1433,268,4190,268,4190,263xe" filled="true" fillcolor="#000000" stroked="false">
              <v:path arrowok="t"/>
              <v:fill type="solid"/>
            </v:shape>
            <v:line style="position:absolute" from="4190,282" to="8378,282" stroked="true" strokeweight=".479991pt" strokecolor="#858585"/>
            <v:line style="position:absolute" from="4190,4439" to="8378,4439" stroked="true" strokeweight=".479995pt" strokecolor="#858585"/>
            <v:line style="position:absolute" from="4190,4449" to="8378,4449" stroked="true" strokeweight=".48pt" strokecolor="#000000"/>
            <v:line style="position:absolute" from="4190,263" to="8378,263" stroked="true" strokeweight=".48pt" strokecolor="#000000"/>
            <v:shape style="position:absolute;left:4190;top:268;width:6382;height:4176" type="#_x0000_t75" stroked="false">
              <v:imagedata r:id="rId333" o:title=""/>
            </v:shape>
            <v:shape style="position:absolute;left:8374;top:278;width:2203;height:4166" type="#_x0000_t75" stroked="false">
              <v:imagedata r:id="rId334" o:title=""/>
            </v:shape>
            <v:shape style="position:absolute;left:8378;top:258;width:2204;height:4196" coordorigin="8378,258" coordsize="2204,4196" path="m10572,4444l8378,4444,8378,4454,10582,4454,10582,4449,10572,4449,10572,4444xm10572,263l10572,4449,10577,4444,10582,4444,10582,268,10577,268,10572,263xm10582,4444l10577,4444,10572,4449,10582,4449,10582,4444xm10582,258l8378,258,8378,268,10572,268,10572,263,10582,263,10582,258xm10582,263l10572,263,10577,268,10582,268,10582,263xe" filled="true" fillcolor="#000000" stroked="false">
              <v:path arrowok="t"/>
              <v:fill type="solid"/>
            </v:shape>
            <w10:wrap type="topAndBottom"/>
          </v:group>
        </w:pict>
      </w:r>
    </w:p>
    <w:p>
      <w:pPr>
        <w:pStyle w:val="BodyText"/>
        <w:spacing w:before="4"/>
        <w:rPr>
          <w:b/>
          <w:sz w:val="20"/>
        </w:rPr>
      </w:pPr>
    </w:p>
    <w:p>
      <w:pPr>
        <w:spacing w:before="77"/>
        <w:ind w:left="161" w:right="403" w:firstLine="0"/>
        <w:jc w:val="left"/>
        <w:rPr>
          <w:sz w:val="21"/>
        </w:rPr>
      </w:pPr>
      <w:r>
        <w:rPr>
          <w:sz w:val="21"/>
        </w:rPr>
        <w:t>Fuente: Elaboración propia con datos del  BIE.</w:t>
      </w:r>
    </w:p>
    <w:p>
      <w:pPr>
        <w:spacing w:after="0"/>
        <w:jc w:val="left"/>
        <w:rPr>
          <w:sz w:val="21"/>
        </w:rPr>
        <w:sectPr>
          <w:type w:val="continuous"/>
          <w:pgSz w:w="11900" w:h="16840"/>
          <w:pgMar w:top="1600" w:bottom="280" w:left="1300" w:right="1200"/>
        </w:sectPr>
      </w:pPr>
    </w:p>
    <w:p>
      <w:pPr>
        <w:pStyle w:val="BodyText"/>
        <w:rPr>
          <w:sz w:val="20"/>
        </w:rPr>
      </w:pPr>
    </w:p>
    <w:p>
      <w:pPr>
        <w:pStyle w:val="BodyText"/>
        <w:spacing w:before="8"/>
        <w:rPr>
          <w:sz w:val="18"/>
        </w:rPr>
      </w:pPr>
    </w:p>
    <w:p>
      <w:pPr>
        <w:pStyle w:val="BodyText"/>
        <w:spacing w:line="364" w:lineRule="auto" w:before="74"/>
        <w:ind w:left="103" w:right="104"/>
        <w:jc w:val="both"/>
      </w:pPr>
      <w:r>
        <w:rPr/>
        <w:t>En México a partir de 1982, se aplican políticas de corte neoliberal y en el contexto de muy altos niveles de precios, comienza una etapa de pactos económicos que tratan de contener el proceso inflacionario. La crisis de 1987 colocó a la inflación en un índice del 160%. De acuerdo a la figura 3, la inflación registró un promedio anual de 54% de 1982  a 1994. De 1996 en adelante, los índices empezaron a bajar y para 2005 llega a 3.3%,  la más baja de la historia. Durante el periodo 1994 a 2006, la inflación creció en un promedio anual de</w:t>
      </w:r>
      <w:r>
        <w:rPr>
          <w:spacing w:val="31"/>
        </w:rPr>
        <w:t> </w:t>
      </w:r>
      <w:r>
        <w:rPr/>
        <w:t>14.4%.</w:t>
      </w:r>
    </w:p>
    <w:p>
      <w:pPr>
        <w:pStyle w:val="BodyText"/>
        <w:rPr>
          <w:sz w:val="22"/>
        </w:rPr>
      </w:pPr>
    </w:p>
    <w:p>
      <w:pPr>
        <w:pStyle w:val="BodyText"/>
        <w:rPr>
          <w:sz w:val="22"/>
        </w:rPr>
      </w:pPr>
    </w:p>
    <w:p>
      <w:pPr>
        <w:pStyle w:val="BodyText"/>
        <w:spacing w:before="1"/>
        <w:rPr>
          <w:sz w:val="25"/>
        </w:rPr>
      </w:pPr>
    </w:p>
    <w:p>
      <w:pPr>
        <w:pStyle w:val="Heading4"/>
        <w:ind w:left="103"/>
        <w:jc w:val="both"/>
      </w:pPr>
      <w:r>
        <w:rPr/>
        <w:t>Desempleo</w:t>
      </w:r>
    </w:p>
    <w:p>
      <w:pPr>
        <w:pStyle w:val="BodyText"/>
        <w:spacing w:before="11"/>
        <w:rPr>
          <w:b/>
          <w:sz w:val="28"/>
        </w:rPr>
      </w:pPr>
    </w:p>
    <w:p>
      <w:pPr>
        <w:pStyle w:val="BodyText"/>
        <w:spacing w:line="367" w:lineRule="auto"/>
        <w:ind w:left="103" w:right="105"/>
        <w:jc w:val="both"/>
      </w:pPr>
      <w:r>
        <w:rPr/>
        <w:t>Al hablar de desempleo en México, se refiere a una oferta de trabajo insuficiente para    la  demanda que existe de</w:t>
      </w:r>
      <w:r>
        <w:rPr>
          <w:spacing w:val="35"/>
        </w:rPr>
        <w:t> </w:t>
      </w:r>
      <w:r>
        <w:rPr/>
        <w:t>empleo.</w:t>
      </w:r>
    </w:p>
    <w:p>
      <w:pPr>
        <w:pStyle w:val="BodyText"/>
        <w:rPr>
          <w:sz w:val="20"/>
        </w:rPr>
      </w:pPr>
    </w:p>
    <w:p>
      <w:pPr>
        <w:pStyle w:val="BodyText"/>
        <w:rPr>
          <w:sz w:val="20"/>
        </w:rPr>
      </w:pPr>
    </w:p>
    <w:p>
      <w:pPr>
        <w:pStyle w:val="BodyText"/>
        <w:spacing w:before="3"/>
        <w:rPr>
          <w:sz w:val="22"/>
        </w:rPr>
      </w:pPr>
    </w:p>
    <w:p>
      <w:pPr>
        <w:pStyle w:val="Heading4"/>
        <w:spacing w:before="73"/>
        <w:ind w:left="1627" w:right="102"/>
      </w:pPr>
      <w:r>
        <w:rPr/>
        <w:t>Figura 4. Tasa de desempleo en México (%),</w:t>
      </w:r>
      <w:r>
        <w:rPr>
          <w:spacing w:val="61"/>
        </w:rPr>
        <w:t> </w:t>
      </w:r>
      <w:r>
        <w:rPr/>
        <w:t>1980-2009</w:t>
      </w:r>
    </w:p>
    <w:p>
      <w:pPr>
        <w:pStyle w:val="BodyText"/>
        <w:spacing w:before="3"/>
        <w:rPr>
          <w:b/>
          <w:sz w:val="19"/>
        </w:rPr>
      </w:pPr>
      <w:r>
        <w:rPr/>
        <w:pict>
          <v:group style="position:absolute;margin-left:71.159996pt;margin-top:13.032436pt;width:453.6pt;height:211.95pt;mso-position-horizontal-relative:page;mso-position-vertical-relative:paragraph;z-index:10672;mso-wrap-distance-left:0;mso-wrap-distance-right:0" coordorigin="1423,261" coordsize="9072,4239">
            <v:shape style="position:absolute;left:1435;top:278;width:2760;height:4212" type="#_x0000_t75" stroked="false">
              <v:imagedata r:id="rId335" o:title=""/>
            </v:shape>
            <v:shape style="position:absolute;left:1423;top:261;width:2768;height:4239" coordorigin="1423,261" coordsize="2768,4239" path="m4190,261l1423,261,1423,4499,4190,4499,4190,4494,1433,4494,1428,4490,1433,4490,1433,270,1428,270,1433,266,4190,266,4190,261xm1433,4490l1428,4490,1433,4494,1433,4490xm4190,4490l1433,4490,1433,4494,4190,4494,4190,4490xm1433,266l1428,270,1433,270,1433,266xm4190,266l1433,266,1433,270,4190,270,4190,266xe" filled="true" fillcolor="#000000" stroked="false">
              <v:path arrowok="t"/>
              <v:fill type="solid"/>
            </v:shape>
            <v:shape style="position:absolute;left:4186;top:278;width:4198;height:4212" type="#_x0000_t75" stroked="false">
              <v:imagedata r:id="rId336" o:title=""/>
            </v:shape>
            <v:line style="position:absolute" from="4190,4494" to="8378,4494" stroked="true" strokeweight=".48pt" strokecolor="#000000"/>
            <v:line style="position:absolute" from="4190,266" to="8378,266" stroked="true" strokeweight=".48pt" strokecolor="#000000"/>
            <v:shape style="position:absolute;left:8374;top:278;width:2117;height:4212" type="#_x0000_t75" stroked="false">
              <v:imagedata r:id="rId337" o:title=""/>
            </v:shape>
            <v:shape style="position:absolute;left:8378;top:261;width:2117;height:4239" coordorigin="8378,261" coordsize="2117,4239" path="m10486,4490l8378,4490,8378,4499,10495,4499,10495,4494,10486,4494,10486,4490xm10486,266l10486,4494,10490,4490,10495,4490,10495,270,10490,270,10486,266xm10495,4490l10490,4490,10486,4494,10495,4494,10495,4490xm10495,261l8378,261,8378,270,10486,270,10486,266,10495,266,10495,261xm10495,266l10486,266,10490,270,10495,270,10495,266xe" filled="true" fillcolor="#000000" stroked="false">
              <v:path arrowok="t"/>
              <v:fill type="solid"/>
            </v:shape>
            <w10:wrap type="topAndBottom"/>
          </v:group>
        </w:pict>
      </w:r>
    </w:p>
    <w:p>
      <w:pPr>
        <w:pStyle w:val="BodyText"/>
        <w:spacing w:before="1"/>
        <w:rPr>
          <w:b/>
          <w:sz w:val="14"/>
        </w:rPr>
      </w:pPr>
    </w:p>
    <w:p>
      <w:pPr>
        <w:spacing w:line="280" w:lineRule="auto" w:before="77"/>
        <w:ind w:left="103" w:right="102" w:firstLine="0"/>
        <w:jc w:val="left"/>
        <w:rPr>
          <w:sz w:val="21"/>
        </w:rPr>
      </w:pPr>
      <w:r>
        <w:rPr>
          <w:sz w:val="21"/>
        </w:rPr>
        <w:t>Fuente: Elaboración propia con datos: </w:t>
      </w:r>
      <w:hyperlink r:id="rId338">
        <w:r>
          <w:rPr>
            <w:sz w:val="21"/>
          </w:rPr>
          <w:t>http://www.profeco.gob.mx/encuesta/brujula/bruj_2008/bol76_mercado%20remesas.asp</w:t>
        </w:r>
      </w:hyperlink>
    </w:p>
    <w:p>
      <w:pPr>
        <w:spacing w:after="0" w:line="280" w:lineRule="auto"/>
        <w:jc w:val="left"/>
        <w:rPr>
          <w:sz w:val="21"/>
        </w:rPr>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3"/>
        <w:jc w:val="both"/>
      </w:pPr>
      <w:r>
        <w:rPr/>
        <w:t>En la figura 4, el desempleo presenta su porcentaje más alto (6.5%), en 1980, 1986 y 1995 a causa de las crisis originando el despido de miles de personas y el cierre de muchas empresas. A partir de 1996, el desempleo tiende a bajar  (2.2%)  en  2001 debido a que el gobierno ofreció la creación de oferta de trabajo (mini changarritos, la creación de pequeñas y medianas empresas, acuerdos con empresas);  de  2002  a 2009, se fue incrementando hasta llegar 5.47% está ultima debido a la crisis financiera mundial.</w:t>
      </w:r>
    </w:p>
    <w:p>
      <w:pPr>
        <w:pStyle w:val="BodyText"/>
        <w:rPr>
          <w:sz w:val="24"/>
        </w:rPr>
      </w:pPr>
    </w:p>
    <w:p>
      <w:pPr>
        <w:pStyle w:val="BodyText"/>
        <w:spacing w:line="364" w:lineRule="auto"/>
        <w:ind w:left="101" w:right="103"/>
        <w:jc w:val="both"/>
      </w:pPr>
      <w:r>
        <w:rPr/>
        <w:t>México presenta índices de desempleo menores que los países desarrollados, para entender estos datos es necesario analizar el desempleo, dentro de la categoría de empleado están todas aquellas personas que hayan trabajado por lo menos una hora retribuida o no retribuida durante la semana previa a la encuesta. Estos empleos, formales o no formales, pueden haberse desarrollado como ayuda a un familiar que tenga una actividad propia o pueden estar relacionados con una actividad personal y no continua.</w:t>
      </w:r>
    </w:p>
    <w:p>
      <w:pPr>
        <w:pStyle w:val="BodyText"/>
        <w:rPr>
          <w:sz w:val="24"/>
        </w:rPr>
      </w:pPr>
    </w:p>
    <w:p>
      <w:pPr>
        <w:pStyle w:val="BodyText"/>
        <w:spacing w:line="364" w:lineRule="auto"/>
        <w:ind w:left="101" w:right="105"/>
        <w:jc w:val="both"/>
      </w:pPr>
      <w:r>
        <w:rPr/>
        <w:t>Claramente dentro de esta macro categoría hay numerosas subcategorías que sirven para proporcionar una imagen más real del panorama laboral del país. Según estas definiciones, todas aquellas personas que en el periodo de referencia, no teniendo una ocupación y no han realizado ninguna gestión para encontrarla, no son desempleados, sino que pertenecen a la población económicamente inactiva (PEI). En las estadísticas, estos individuos no engrosan las filas del desempleo (Turner-Martínez, 2003)). Los números, una vez más, no reflejan la realidad del</w:t>
      </w:r>
      <w:r>
        <w:rPr>
          <w:spacing w:val="60"/>
        </w:rPr>
        <w:t> </w:t>
      </w:r>
      <w:r>
        <w:rPr/>
        <w:t>país.</w:t>
      </w:r>
    </w:p>
    <w:p>
      <w:pPr>
        <w:pStyle w:val="BodyText"/>
        <w:spacing w:before="9"/>
      </w:pPr>
    </w:p>
    <w:p>
      <w:pPr>
        <w:pStyle w:val="Heading4"/>
        <w:jc w:val="both"/>
      </w:pPr>
      <w:r>
        <w:rPr/>
        <w:t>Tipo de cambio</w:t>
      </w:r>
    </w:p>
    <w:p>
      <w:pPr>
        <w:pStyle w:val="BodyText"/>
        <w:spacing w:before="10"/>
        <w:rPr>
          <w:b/>
          <w:sz w:val="27"/>
        </w:rPr>
      </w:pPr>
    </w:p>
    <w:p>
      <w:pPr>
        <w:pStyle w:val="BodyText"/>
        <w:spacing w:line="364" w:lineRule="auto"/>
        <w:ind w:left="101" w:right="106"/>
        <w:jc w:val="both"/>
      </w:pPr>
      <w:r>
        <w:rPr/>
        <w:t>Como se observa en la figura 5, de 1980 a 1994 México tenía un tipo de cambio fijo, el cual a pesar de los acontecimientos se mantenía casi  igual.</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6"/>
        <w:rPr>
          <w:sz w:val="18"/>
        </w:rPr>
      </w:pPr>
    </w:p>
    <w:p>
      <w:pPr>
        <w:pStyle w:val="Heading4"/>
        <w:spacing w:before="74"/>
        <w:ind w:left="478" w:right="102"/>
      </w:pPr>
      <w:r>
        <w:rPr/>
        <w:pict>
          <v:shape style="position:absolute;margin-left:457.321198pt;margin-top:83.846161pt;width:19.2pt;height:8.550pt;mso-position-horizontal-relative:page;mso-position-vertical-relative:paragraph;z-index:-703768" type="#_x0000_t202" filled="false" stroked="false">
            <v:textbox inset="0,0,0,0">
              <w:txbxContent>
                <w:p>
                  <w:pPr>
                    <w:spacing w:before="26"/>
                    <w:ind w:left="0" w:right="0" w:firstLine="0"/>
                    <w:jc w:val="left"/>
                    <w:rPr>
                      <w:b/>
                      <w:sz w:val="10"/>
                    </w:rPr>
                  </w:pPr>
                  <w:r>
                    <w:rPr>
                      <w:b/>
                      <w:w w:val="98"/>
                      <w:sz w:val="10"/>
                    </w:rPr>
                    <w:t>0</w:t>
                  </w:r>
                </w:p>
              </w:txbxContent>
            </v:textbox>
            <w10:wrap type="none"/>
          </v:shape>
        </w:pict>
      </w:r>
      <w:r>
        <w:rPr/>
        <w:pict>
          <v:shape style="position:absolute;margin-left:470.7612pt;margin-top:83.366158pt;width:19.2pt;height:8.550pt;mso-position-horizontal-relative:page;mso-position-vertical-relative:paragraph;z-index:-703744" type="#_x0000_t202" filled="false" stroked="false">
            <v:textbox inset="0,0,0,0">
              <w:txbxContent>
                <w:p>
                  <w:pPr>
                    <w:spacing w:before="36"/>
                    <w:ind w:left="0" w:right="0" w:firstLine="0"/>
                    <w:jc w:val="left"/>
                    <w:rPr>
                      <w:b/>
                      <w:sz w:val="10"/>
                    </w:rPr>
                  </w:pPr>
                  <w:r>
                    <w:rPr>
                      <w:b/>
                      <w:w w:val="98"/>
                      <w:sz w:val="10"/>
                    </w:rPr>
                    <w:t>0</w:t>
                  </w:r>
                </w:p>
              </w:txbxContent>
            </v:textbox>
            <w10:wrap type="none"/>
          </v:shape>
        </w:pict>
      </w:r>
      <w:r>
        <w:rPr/>
        <w:pict>
          <v:shape style="position:absolute;margin-left:484.201202pt;margin-top:79.886162pt;width:19.2pt;height:10.45pt;mso-position-horizontal-relative:page;mso-position-vertical-relative:paragraph;z-index:-703720" type="#_x0000_t202" filled="false" stroked="false">
            <v:textbox inset="0,0,0,0">
              <w:txbxContent>
                <w:p>
                  <w:pPr>
                    <w:pStyle w:val="BodyText"/>
                    <w:spacing w:before="3"/>
                    <w:rPr>
                      <w:sz w:val="8"/>
                    </w:rPr>
                  </w:pPr>
                </w:p>
                <w:p>
                  <w:pPr>
                    <w:spacing w:line="112" w:lineRule="exact" w:before="1"/>
                    <w:ind w:left="0" w:right="0" w:firstLine="0"/>
                    <w:jc w:val="left"/>
                    <w:rPr>
                      <w:b/>
                      <w:sz w:val="10"/>
                    </w:rPr>
                  </w:pPr>
                  <w:r>
                    <w:rPr>
                      <w:b/>
                      <w:w w:val="98"/>
                      <w:sz w:val="10"/>
                    </w:rPr>
                    <w:t>3</w:t>
                  </w:r>
                </w:p>
              </w:txbxContent>
            </v:textbox>
            <w10:wrap type="none"/>
          </v:shape>
        </w:pict>
      </w:r>
      <w:r>
        <w:rPr/>
        <w:t>Figura 5. Tipo de cambio nominal  promedio nacional en México,  1980-2009</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17"/>
        </w:rPr>
      </w:pPr>
    </w:p>
    <w:p>
      <w:pPr>
        <w:spacing w:line="283" w:lineRule="auto" w:before="0"/>
        <w:ind w:left="103" w:right="102" w:firstLine="0"/>
        <w:jc w:val="left"/>
        <w:rPr>
          <w:sz w:val="21"/>
        </w:rPr>
      </w:pPr>
      <w:r>
        <w:rPr/>
        <w:pict>
          <v:group style="position:absolute;margin-left:70.680pt;margin-top:-297.006653pt;width:453.4pt;height:285.75pt;mso-position-horizontal-relative:page;mso-position-vertical-relative:paragraph;z-index:11320" coordorigin="1414,-5940" coordsize="9068,5715">
            <v:shape style="position:absolute;left:2184;top:-5721;width:2006;height:1351" type="#_x0000_t75" stroked="false">
              <v:imagedata r:id="rId339" o:title=""/>
            </v:shape>
            <v:shape style="position:absolute;left:2184;top:-4373;width:2010;height:679" type="#_x0000_t75" stroked="false">
              <v:imagedata r:id="rId340" o:title=""/>
            </v:shape>
            <v:shape style="position:absolute;left:2184;top:-3696;width:2010;height:677" type="#_x0000_t75" stroked="false">
              <v:imagedata r:id="rId341" o:title=""/>
            </v:shape>
            <v:shape style="position:absolute;left:2184;top:-3021;width:2010;height:677" type="#_x0000_t75" stroked="false">
              <v:imagedata r:id="rId342" o:title=""/>
            </v:shape>
            <v:shape style="position:absolute;left:2184;top:-2347;width:2010;height:1423" type="#_x0000_t75" stroked="false">
              <v:imagedata r:id="rId343" o:title=""/>
            </v:shape>
            <v:shape style="position:absolute;left:2184;top:-926;width:2010;height:22" type="#_x0000_t75" stroked="false">
              <v:imagedata r:id="rId344" o:title=""/>
            </v:shape>
            <v:line style="position:absolute" from="2148,-914" to="2196,-914" stroked="true" strokeweight=".72pt" strokecolor="#858585"/>
            <v:line style="position:absolute" from="2148,-1590" to="2196,-1590" stroked="true" strokeweight=".84pt" strokecolor="#858585"/>
            <v:shape style="position:absolute;left:2148;top:-5640;width:48;height:3375" coordorigin="2148,-5640" coordsize="48,3375" path="m2148,-2265l2196,-2265m2148,-2940l2196,-2940m2148,-3614l2196,-3614m2148,-4291l2196,-4291m2148,-4965l2196,-4965m2148,-5640l2196,-5640e" filled="false" stroked="true" strokeweight=".72pt" strokecolor="#858585">
              <v:path arrowok="t"/>
            </v:shape>
            <v:shape style="position:absolute;left:2186;top:-890;width:1899;height:2" coordorigin="2186,-890" coordsize="1899,0" path="m2186,-890l2201,-890m2458,-890l2472,-890m2726,-890l2741,-890m2995,-890l3010,-890m3264,-890l3278,-890m3533,-890l3547,-890m3802,-890l3816,-890m4070,-890l4085,-890e" filled="false" stroked="true" strokeweight="2.4pt" strokecolor="#858585">
              <v:path arrowok="t"/>
            </v:shape>
            <v:shape style="position:absolute;left:2743;top:-1627;width:1448;height:615" coordorigin="2743,-1627" coordsize="1448,615" path="m3048,-1183l2743,-1183,2743,-1013,3048,-1013,3048,-1183m3586,-1221l3281,-1221,3281,-1051,3586,-1051,3586,-1221m4190,-1627l4087,-1627,4087,-1457,4190,-1457,4190,-1627e" filled="true" fillcolor="#fcd5b4" stroked="false">
              <v:path arrowok="t"/>
              <v:fill type="solid"/>
            </v:shape>
            <v:shape style="position:absolute;left:1414;top:-5940;width:2777;height:5715" coordorigin="1414,-5940" coordsize="2777,5715" path="m4190,-5940l1421,-5940,1416,-5937,1414,-5933,1414,-233,1416,-228,1421,-225,4190,-225,4190,-233,1428,-233,1421,-240,1428,-240,1428,-5925,1421,-5925,1428,-5933,4190,-5933,4190,-5940xm1428,-240l1421,-240,1428,-233,1428,-240xm4190,-240l1428,-240,1428,-233,4190,-233,4190,-240xm1428,-5933l1421,-5925,1428,-5925,1428,-5933xm4190,-5933l1428,-5933,1428,-5925,4190,-5925,4190,-5933xe" filled="true" fillcolor="#858585" stroked="false">
              <v:path arrowok="t"/>
              <v:fill type="solid"/>
            </v:shape>
            <v:shape style="position:absolute;left:4190;top:-4373;width:4188;height:22" type="#_x0000_t75" stroked="false">
              <v:imagedata r:id="rId345" o:title=""/>
            </v:shape>
            <v:shape style="position:absolute;left:4190;top:-4224;width:4188;height:3319" type="#_x0000_t75" stroked="false">
              <v:imagedata r:id="rId346" o:title=""/>
            </v:shape>
            <v:shape style="position:absolute;left:4339;top:-890;width:4040;height:2" coordorigin="4339,-890" coordsize="4040,0" path="m4339,-890l4354,-890m4608,-890l4622,-890m4879,-890l4894,-890m5148,-890l5162,-890m5417,-890l5431,-890m5686,-890l5700,-890m5952,-890l5969,-890m6221,-890l6235,-890m6490,-890l6504,-890m6758,-890l6773,-890m7027,-890l7042,-890m7298,-890l7313,-890m7567,-890l7582,-890m7836,-890l7850,-890m8105,-890l8119,-890m8374,-890l8378,-890e" filled="false" stroked="true" strokeweight="2.4pt" strokecolor="#858585">
              <v:path arrowok="t"/>
            </v:shape>
            <v:shape style="position:absolute;left:4190;top:-4423;width:4188;height:2967" coordorigin="4190,-4423" coordsize="4188,2967" path="m4392,-1627l4190,-1627,4190,-1457,4392,-1457,4392,-1627m4663,-1932l4356,-1932,4356,-1761,4663,-1761,4663,-1932m6007,-2217l5700,-2217,5700,-2210,5431,-2210,5431,-2040,5738,-2040,5738,-2047,6007,-2047,6007,-2217m7620,-4392l7315,-4392,7315,-4248,7044,-4248,7044,-4077,7351,-4077,7351,-4221,7620,-4221,7620,-4392m8378,-4423l8122,-4423,8122,-4317,7853,-4317,7853,-4147,8158,-4147,8158,-4253,8378,-4253,8378,-4423e" filled="true" fillcolor="#fcd5b4" stroked="false">
              <v:path arrowok="t"/>
              <v:fill type="solid"/>
            </v:shape>
            <v:line style="position:absolute" from="8370,-4807" to="8370,-4637" stroked="true" strokeweight=".839975pt" strokecolor="#fcd5b4"/>
            <v:line style="position:absolute" from="4190,-233" to="8378,-233" stroked="true" strokeweight=".72pt" strokecolor="#858585"/>
            <v:line style="position:absolute" from="4190,-5933" to="8378,-5933" stroked="true" strokeweight=".719957pt" strokecolor="#858585"/>
            <v:shape style="position:absolute;left:4190;top:-5721;width:6173;height:22" type="#_x0000_t75" stroked="false">
              <v:imagedata r:id="rId347" o:title=""/>
            </v:shape>
            <v:shape style="position:absolute;left:4190;top:-5527;width:6175;height:4622" type="#_x0000_t75" stroked="false">
              <v:imagedata r:id="rId348" o:title=""/>
            </v:shape>
            <v:shape style="position:absolute;left:8378;top:-890;width:1892;height:2" coordorigin="8378,-890" coordsize="1892,0" path="m8378,-890l8388,-890m8642,-890l8657,-890m8911,-890l8926,-890m9180,-890l9194,-890m9451,-890l9466,-890m9720,-890l9734,-890m9986,-890l10003,-890m10255,-890l10270,-890e" filled="false" stroked="true" strokeweight="2.4pt" strokecolor="#858585">
              <v:path arrowok="t"/>
            </v:shape>
            <v:line style="position:absolute" from="8402,-4423" to="8402,-4253" stroked="true" strokeweight="2.400025pt" strokecolor="#fcd5b4"/>
            <v:shape style="position:absolute;left:8378;top:-4922;width:1690;height:286" coordorigin="8378,-4922" coordsize="1690,286" path="m8724,-4807l8378,-4807,8378,-4637,8724,-4637,8724,-4807m10068,-4922l9708,-4922,9708,-4752,10068,-4752,10068,-4922e" filled="true" fillcolor="#fcd5b4" stroked="false">
              <v:path arrowok="t"/>
              <v:fill type="solid"/>
            </v:shape>
            <v:shape style="position:absolute;left:8378;top:-5940;width:2103;height:5715" coordorigin="8378,-5940" coordsize="2103,5715" path="m10466,-240l8378,-240,8378,-225,10474,-225,10478,-228,10481,-233,10466,-233,10466,-240xm10466,-5933l10466,-233,10474,-240,10481,-240,10481,-5925,10474,-5925,10466,-5933xm10481,-240l10474,-240,10466,-233,10481,-233,10481,-240xm10474,-5940l8378,-5940,8378,-5925,10466,-5925,10466,-5933,10481,-5933,10478,-5937,10474,-5940xm10481,-5933l10466,-5933,10474,-5925,10481,-5925,10481,-5933xe" filled="true" fillcolor="#858585" stroked="false">
              <v:path arrowok="t"/>
              <v:fill type="solid"/>
            </v:shape>
            <v:shape style="position:absolute;left:1642;top:-5709;width:392;height:157" type="#_x0000_t202" filled="false" stroked="false">
              <v:textbox inset="0,0,0,0">
                <w:txbxContent>
                  <w:p>
                    <w:pPr>
                      <w:spacing w:line="157" w:lineRule="exact" w:before="0"/>
                      <w:ind w:left="0" w:right="-18" w:firstLine="0"/>
                      <w:jc w:val="left"/>
                      <w:rPr>
                        <w:sz w:val="15"/>
                      </w:rPr>
                    </w:pPr>
                    <w:r>
                      <w:rPr>
                        <w:spacing w:val="-1"/>
                        <w:w w:val="105"/>
                        <w:sz w:val="15"/>
                      </w:rPr>
                      <w:t>14.00</w:t>
                    </w:r>
                  </w:p>
                </w:txbxContent>
              </v:textbox>
              <w10:wrap type="none"/>
            </v:shape>
            <v:shape style="position:absolute;left:9977;top:-5683;width:360;height:99" type="#_x0000_t202" filled="false" stroked="false">
              <v:textbox inset="0,0,0,0">
                <w:txbxContent>
                  <w:p>
                    <w:pPr>
                      <w:spacing w:line="98" w:lineRule="exact" w:before="0"/>
                      <w:ind w:left="0" w:right="0" w:firstLine="0"/>
                      <w:jc w:val="left"/>
                      <w:rPr>
                        <w:b/>
                        <w:sz w:val="10"/>
                      </w:rPr>
                    </w:pPr>
                    <w:r>
                      <w:rPr>
                        <w:b/>
                        <w:w w:val="98"/>
                        <w:sz w:val="10"/>
                        <w:shd w:fill="FCD5B4" w:color="auto" w:val="clear"/>
                      </w:rPr>
                      <w:t> </w:t>
                    </w:r>
                    <w:r>
                      <w:rPr>
                        <w:b/>
                        <w:sz w:val="10"/>
                        <w:shd w:fill="FCD5B4" w:color="auto" w:val="clear"/>
                      </w:rPr>
                      <w:t> 13.51 </w:t>
                    </w:r>
                  </w:p>
                </w:txbxContent>
              </v:textbox>
              <w10:wrap type="none"/>
            </v:shape>
            <v:shape style="position:absolute;left:1642;top:-5035;width:392;height:157" type="#_x0000_t202" filled="false" stroked="false">
              <v:textbox inset="0,0,0,0">
                <w:txbxContent>
                  <w:p>
                    <w:pPr>
                      <w:spacing w:line="157" w:lineRule="exact" w:before="0"/>
                      <w:ind w:left="0" w:right="-18" w:firstLine="0"/>
                      <w:jc w:val="left"/>
                      <w:rPr>
                        <w:sz w:val="15"/>
                      </w:rPr>
                    </w:pPr>
                    <w:r>
                      <w:rPr>
                        <w:spacing w:val="-1"/>
                        <w:w w:val="105"/>
                        <w:sz w:val="15"/>
                      </w:rPr>
                      <w:t>12.00</w:t>
                    </w:r>
                  </w:p>
                </w:txbxContent>
              </v:textbox>
              <w10:wrap type="none"/>
            </v:shape>
            <v:shape style="position:absolute;left:8630;top:-4932;width:363;height:99" type="#_x0000_t202" filled="false" stroked="false">
              <v:textbox inset="0,0,0,0">
                <w:txbxContent>
                  <w:p>
                    <w:pPr>
                      <w:spacing w:line="98" w:lineRule="exact" w:before="0"/>
                      <w:ind w:left="0" w:right="0" w:firstLine="0"/>
                      <w:jc w:val="left"/>
                      <w:rPr>
                        <w:b/>
                        <w:sz w:val="10"/>
                      </w:rPr>
                    </w:pPr>
                    <w:r>
                      <w:rPr>
                        <w:b/>
                        <w:w w:val="98"/>
                        <w:sz w:val="10"/>
                        <w:shd w:fill="FCD5B4" w:color="auto" w:val="clear"/>
                      </w:rPr>
                      <w:t> </w:t>
                    </w:r>
                    <w:r>
                      <w:rPr>
                        <w:b/>
                        <w:sz w:val="10"/>
                        <w:shd w:fill="FCD5B4" w:color="auto" w:val="clear"/>
                      </w:rPr>
                      <w:t> 11.29 </w:t>
                    </w:r>
                  </w:p>
                </w:txbxContent>
              </v:textbox>
              <w10:wrap type="none"/>
            </v:shape>
            <v:shape style="position:absolute;left:8902;top:-4812;width:898;height:108" type="#_x0000_t202" filled="false" stroked="false">
              <v:textbox inset="0,0,0,0">
                <w:txbxContent>
                  <w:p>
                    <w:pPr>
                      <w:spacing w:line="108" w:lineRule="exact" w:before="0"/>
                      <w:ind w:left="0" w:right="0" w:firstLine="0"/>
                      <w:jc w:val="left"/>
                      <w:rPr>
                        <w:b/>
                        <w:sz w:val="10"/>
                      </w:rPr>
                    </w:pPr>
                    <w:r>
                      <w:rPr>
                        <w:b/>
                        <w:w w:val="98"/>
                        <w:sz w:val="10"/>
                        <w:shd w:fill="FCD5B4" w:color="auto" w:val="clear"/>
                      </w:rPr>
                      <w:t> </w:t>
                    </w:r>
                    <w:r>
                      <w:rPr>
                        <w:b/>
                        <w:sz w:val="10"/>
                        <w:shd w:fill="FCD5B4" w:color="auto" w:val="clear"/>
                      </w:rPr>
                      <w:t> 10.9  10.9  </w:t>
                    </w:r>
                    <w:r>
                      <w:rPr>
                        <w:b/>
                        <w:position w:val="1"/>
                        <w:sz w:val="10"/>
                        <w:shd w:fill="FCD5B4" w:color="auto" w:val="clear"/>
                      </w:rPr>
                      <w:t>10.9 </w:t>
                    </w:r>
                  </w:p>
                </w:txbxContent>
              </v:textbox>
              <w10:wrap type="none"/>
            </v:shape>
            <v:shape style="position:absolute;left:9766;top:-4879;width:242;height:99" type="#_x0000_t202" filled="false" stroked="false">
              <v:textbox inset="0,0,0,0">
                <w:txbxContent>
                  <w:p>
                    <w:pPr>
                      <w:spacing w:line="98" w:lineRule="exact" w:before="0"/>
                      <w:ind w:left="0" w:right="-16" w:firstLine="0"/>
                      <w:jc w:val="left"/>
                      <w:rPr>
                        <w:b/>
                        <w:sz w:val="10"/>
                      </w:rPr>
                    </w:pPr>
                    <w:r>
                      <w:rPr>
                        <w:b/>
                        <w:w w:val="95"/>
                        <w:sz w:val="10"/>
                      </w:rPr>
                      <w:t>11.13</w:t>
                    </w:r>
                  </w:p>
                </w:txbxContent>
              </v:textbox>
              <w10:wrap type="none"/>
            </v:shape>
            <v:shape style="position:absolute;left:1642;top:-4358;width:392;height:157" type="#_x0000_t202" filled="false" stroked="false">
              <v:textbox inset="0,0,0,0">
                <w:txbxContent>
                  <w:p>
                    <w:pPr>
                      <w:spacing w:line="157" w:lineRule="exact" w:before="0"/>
                      <w:ind w:left="0" w:right="-18" w:firstLine="0"/>
                      <w:jc w:val="left"/>
                      <w:rPr>
                        <w:sz w:val="15"/>
                      </w:rPr>
                    </w:pPr>
                    <w:r>
                      <w:rPr>
                        <w:spacing w:val="-1"/>
                        <w:w w:val="105"/>
                        <w:sz w:val="15"/>
                      </w:rPr>
                      <w:t>10.00</w:t>
                    </w:r>
                  </w:p>
                </w:txbxContent>
              </v:textbox>
              <w10:wrap type="none"/>
            </v:shape>
            <v:shape style="position:absolute;left:7373;top:-4351;width:516;height:135" type="#_x0000_t202" filled="false" stroked="false">
              <v:textbox inset="0,0,0,0">
                <w:txbxContent>
                  <w:p>
                    <w:pPr>
                      <w:spacing w:line="134" w:lineRule="exact" w:before="0"/>
                      <w:ind w:left="0" w:right="0" w:firstLine="0"/>
                      <w:jc w:val="left"/>
                      <w:rPr>
                        <w:b/>
                        <w:sz w:val="10"/>
                      </w:rPr>
                    </w:pPr>
                    <w:r>
                      <w:rPr>
                        <w:b/>
                        <w:position w:val="4"/>
                        <w:sz w:val="10"/>
                      </w:rPr>
                      <w:t>9.56  </w:t>
                    </w:r>
                    <w:r>
                      <w:rPr>
                        <w:b/>
                        <w:sz w:val="10"/>
                        <w:shd w:fill="FCD5B4" w:color="auto" w:val="clear"/>
                      </w:rPr>
                      <w:t>9.46 </w:t>
                    </w:r>
                  </w:p>
                </w:txbxContent>
              </v:textbox>
              <w10:wrap type="none"/>
            </v:shape>
            <v:shape style="position:absolute;left:8179;top:-4383;width:192;height:99" type="#_x0000_t202" filled="false" stroked="false">
              <v:textbox inset="0,0,0,0">
                <w:txbxContent>
                  <w:p>
                    <w:pPr>
                      <w:spacing w:line="98" w:lineRule="exact" w:before="0"/>
                      <w:ind w:left="0" w:right="-13" w:firstLine="0"/>
                      <w:jc w:val="left"/>
                      <w:rPr>
                        <w:b/>
                        <w:sz w:val="10"/>
                      </w:rPr>
                    </w:pPr>
                    <w:r>
                      <w:rPr>
                        <w:b/>
                        <w:w w:val="95"/>
                        <w:sz w:val="10"/>
                      </w:rPr>
                      <w:t>9.66</w:t>
                    </w:r>
                  </w:p>
                </w:txbxContent>
              </v:textbox>
              <w10:wrap type="none"/>
            </v:shape>
            <v:shape style="position:absolute;left:7104;top:-4207;width:192;height:99" type="#_x0000_t202" filled="false" stroked="false">
              <v:textbox inset="0,0,0,0">
                <w:txbxContent>
                  <w:p>
                    <w:pPr>
                      <w:spacing w:line="98" w:lineRule="exact" w:before="0"/>
                      <w:ind w:left="0" w:right="-13" w:firstLine="0"/>
                      <w:jc w:val="left"/>
                      <w:rPr>
                        <w:b/>
                        <w:sz w:val="10"/>
                      </w:rPr>
                    </w:pPr>
                    <w:r>
                      <w:rPr>
                        <w:b/>
                        <w:w w:val="95"/>
                        <w:sz w:val="10"/>
                      </w:rPr>
                      <w:t>9.14</w:t>
                    </w:r>
                  </w:p>
                </w:txbxContent>
              </v:textbox>
              <w10:wrap type="none"/>
            </v:shape>
            <v:shape style="position:absolute;left:7910;top:-4277;width:192;height:99" type="#_x0000_t202" filled="false" stroked="false">
              <v:textbox inset="0,0,0,0">
                <w:txbxContent>
                  <w:p>
                    <w:pPr>
                      <w:spacing w:line="98" w:lineRule="exact" w:before="0"/>
                      <w:ind w:left="0" w:right="-13" w:firstLine="0"/>
                      <w:jc w:val="left"/>
                      <w:rPr>
                        <w:b/>
                        <w:sz w:val="10"/>
                      </w:rPr>
                    </w:pPr>
                    <w:r>
                      <w:rPr>
                        <w:b/>
                        <w:w w:val="95"/>
                        <w:sz w:val="10"/>
                      </w:rPr>
                      <w:t>9.34</w:t>
                    </w:r>
                  </w:p>
                </w:txbxContent>
              </v:textbox>
              <w10:wrap type="none"/>
            </v:shape>
            <v:shape style="position:absolute;left:1728;top:-3683;width:304;height:157" type="#_x0000_t202" filled="false" stroked="false">
              <v:textbox inset="0,0,0,0">
                <w:txbxContent>
                  <w:p>
                    <w:pPr>
                      <w:spacing w:line="157" w:lineRule="exact" w:before="0"/>
                      <w:ind w:left="0" w:right="-19" w:firstLine="0"/>
                      <w:jc w:val="left"/>
                      <w:rPr>
                        <w:sz w:val="15"/>
                      </w:rPr>
                    </w:pPr>
                    <w:r>
                      <w:rPr>
                        <w:spacing w:val="-1"/>
                        <w:w w:val="105"/>
                        <w:sz w:val="15"/>
                      </w:rPr>
                      <w:t>8.00</w:t>
                    </w:r>
                  </w:p>
                </w:txbxContent>
              </v:textbox>
              <w10:wrap type="none"/>
            </v:shape>
            <v:shape style="position:absolute;left:6506;top:-3797;width:576;height:207" type="#_x0000_t202" filled="false" stroked="false">
              <v:textbox inset="0,0,0,0">
                <w:txbxContent>
                  <w:p>
                    <w:pPr>
                      <w:spacing w:line="97" w:lineRule="exact" w:before="0"/>
                      <w:ind w:left="268" w:right="-5" w:firstLine="0"/>
                      <w:jc w:val="left"/>
                      <w:rPr>
                        <w:b/>
                        <w:sz w:val="10"/>
                      </w:rPr>
                    </w:pPr>
                    <w:r>
                      <w:rPr>
                        <w:b/>
                        <w:w w:val="98"/>
                        <w:sz w:val="10"/>
                        <w:shd w:fill="FCD5B4" w:color="auto" w:val="clear"/>
                      </w:rPr>
                      <w:t> </w:t>
                    </w:r>
                    <w:r>
                      <w:rPr>
                        <w:b/>
                        <w:sz w:val="10"/>
                        <w:shd w:fill="FCD5B4" w:color="auto" w:val="clear"/>
                      </w:rPr>
                      <w:t> 7.92 </w:t>
                    </w:r>
                  </w:p>
                  <w:p>
                    <w:pPr>
                      <w:spacing w:line="109" w:lineRule="exact" w:before="0"/>
                      <w:ind w:left="0" w:right="-5" w:firstLine="0"/>
                      <w:jc w:val="left"/>
                      <w:rPr>
                        <w:b/>
                        <w:sz w:val="10"/>
                      </w:rPr>
                    </w:pPr>
                    <w:r>
                      <w:rPr>
                        <w:b/>
                        <w:w w:val="98"/>
                        <w:sz w:val="10"/>
                        <w:shd w:fill="FCD5B4" w:color="auto" w:val="clear"/>
                      </w:rPr>
                      <w:t> </w:t>
                    </w:r>
                    <w:r>
                      <w:rPr>
                        <w:b/>
                        <w:sz w:val="10"/>
                        <w:shd w:fill="FCD5B4" w:color="auto" w:val="clear"/>
                      </w:rPr>
                      <w:t> 7.60 </w:t>
                    </w:r>
                  </w:p>
                </w:txbxContent>
              </v:textbox>
              <w10:wrap type="none"/>
            </v:shape>
            <v:shape style="position:absolute;left:6238;top:-3291;width:308;height:99" type="#_x0000_t202" filled="false" stroked="false">
              <v:textbox inset="0,0,0,0">
                <w:txbxContent>
                  <w:p>
                    <w:pPr>
                      <w:spacing w:line="98" w:lineRule="exact" w:before="0"/>
                      <w:ind w:left="0" w:right="-16" w:firstLine="0"/>
                      <w:jc w:val="left"/>
                      <w:rPr>
                        <w:b/>
                        <w:sz w:val="10"/>
                      </w:rPr>
                    </w:pPr>
                    <w:r>
                      <w:rPr>
                        <w:b/>
                        <w:w w:val="98"/>
                        <w:sz w:val="10"/>
                        <w:shd w:fill="FCD5B4" w:color="auto" w:val="clear"/>
                      </w:rPr>
                      <w:t> </w:t>
                    </w:r>
                    <w:r>
                      <w:rPr>
                        <w:b/>
                        <w:sz w:val="10"/>
                        <w:shd w:fill="FCD5B4" w:color="auto" w:val="clear"/>
                      </w:rPr>
                      <w:t> 6.42 </w:t>
                    </w:r>
                  </w:p>
                </w:txbxContent>
              </v:textbox>
              <w10:wrap type="none"/>
            </v:shape>
            <v:shape style="position:absolute;left:1728;top:-3009;width:304;height:157" type="#_x0000_t202" filled="false" stroked="false">
              <v:textbox inset="0,0,0,0">
                <w:txbxContent>
                  <w:p>
                    <w:pPr>
                      <w:spacing w:line="157" w:lineRule="exact" w:before="0"/>
                      <w:ind w:left="0" w:right="-19" w:firstLine="0"/>
                      <w:jc w:val="left"/>
                      <w:rPr>
                        <w:sz w:val="15"/>
                      </w:rPr>
                    </w:pPr>
                    <w:r>
                      <w:rPr>
                        <w:spacing w:val="-1"/>
                        <w:w w:val="105"/>
                        <w:sz w:val="15"/>
                      </w:rPr>
                      <w:t>6.00</w:t>
                    </w:r>
                  </w:p>
                </w:txbxContent>
              </v:textbox>
              <w10:wrap type="none"/>
            </v:shape>
            <v:shape style="position:absolute;left:1728;top:-2335;width:304;height:157" type="#_x0000_t202" filled="false" stroked="false">
              <v:textbox inset="0,0,0,0">
                <w:txbxContent>
                  <w:p>
                    <w:pPr>
                      <w:spacing w:line="157" w:lineRule="exact" w:before="0"/>
                      <w:ind w:left="0" w:right="-19" w:firstLine="0"/>
                      <w:jc w:val="left"/>
                      <w:rPr>
                        <w:sz w:val="15"/>
                      </w:rPr>
                    </w:pPr>
                    <w:r>
                      <w:rPr>
                        <w:spacing w:val="-1"/>
                        <w:w w:val="105"/>
                        <w:sz w:val="15"/>
                      </w:rPr>
                      <w:t>4.00</w:t>
                    </w:r>
                  </w:p>
                </w:txbxContent>
              </v:textbox>
              <w10:wrap type="none"/>
            </v:shape>
            <v:shape style="position:absolute;left:5969;top:-2263;width:308;height:99" type="#_x0000_t202" filled="false" stroked="false">
              <v:textbox inset="0,0,0,0">
                <w:txbxContent>
                  <w:p>
                    <w:pPr>
                      <w:spacing w:line="98" w:lineRule="exact" w:before="0"/>
                      <w:ind w:left="0" w:right="-16" w:firstLine="0"/>
                      <w:jc w:val="left"/>
                      <w:rPr>
                        <w:b/>
                        <w:sz w:val="10"/>
                      </w:rPr>
                    </w:pPr>
                    <w:r>
                      <w:rPr>
                        <w:b/>
                        <w:w w:val="98"/>
                        <w:sz w:val="10"/>
                        <w:shd w:fill="FCD5B4" w:color="auto" w:val="clear"/>
                      </w:rPr>
                      <w:t> </w:t>
                    </w:r>
                    <w:r>
                      <w:rPr>
                        <w:b/>
                        <w:sz w:val="10"/>
                        <w:shd w:fill="FCD5B4" w:color="auto" w:val="clear"/>
                      </w:rPr>
                      <w:t> 3.38 </w:t>
                    </w:r>
                  </w:p>
                </w:txbxContent>
              </v:textbox>
              <w10:wrap type="none"/>
            </v:shape>
            <v:shape style="position:absolute;left:4416;top:-2175;width:1533;height:382" type="#_x0000_t202" filled="false" stroked="false">
              <v:textbox inset="0,0,0,0">
                <w:txbxContent>
                  <w:p>
                    <w:pPr>
                      <w:spacing w:line="112" w:lineRule="exact" w:before="0"/>
                      <w:ind w:left="746" w:right="0" w:firstLine="0"/>
                      <w:jc w:val="left"/>
                      <w:rPr>
                        <w:b/>
                        <w:sz w:val="10"/>
                      </w:rPr>
                    </w:pPr>
                    <w:r>
                      <w:rPr>
                        <w:b/>
                        <w:w w:val="98"/>
                        <w:position w:val="-2"/>
                        <w:sz w:val="10"/>
                        <w:shd w:fill="FCD5B4" w:color="auto" w:val="clear"/>
                      </w:rPr>
                      <w:t> </w:t>
                    </w:r>
                    <w:r>
                      <w:rPr>
                        <w:b/>
                        <w:position w:val="-2"/>
                        <w:sz w:val="10"/>
                        <w:shd w:fill="FCD5B4" w:color="auto" w:val="clear"/>
                      </w:rPr>
                      <w:t> 3.02  </w:t>
                    </w:r>
                    <w:r>
                      <w:rPr>
                        <w:b/>
                        <w:sz w:val="10"/>
                      </w:rPr>
                      <w:t>3.09  </w:t>
                    </w:r>
                    <w:r>
                      <w:rPr>
                        <w:b/>
                        <w:position w:val="1"/>
                        <w:sz w:val="10"/>
                      </w:rPr>
                      <w:t>3.12</w:t>
                    </w:r>
                  </w:p>
                  <w:p>
                    <w:pPr>
                      <w:spacing w:line="89" w:lineRule="exact" w:before="0"/>
                      <w:ind w:left="477" w:right="0" w:firstLine="0"/>
                      <w:jc w:val="left"/>
                      <w:rPr>
                        <w:b/>
                        <w:sz w:val="10"/>
                      </w:rPr>
                    </w:pPr>
                    <w:r>
                      <w:rPr>
                        <w:b/>
                        <w:w w:val="98"/>
                        <w:sz w:val="10"/>
                        <w:shd w:fill="FCD5B4" w:color="auto" w:val="clear"/>
                      </w:rPr>
                      <w:t> </w:t>
                    </w:r>
                    <w:r>
                      <w:rPr>
                        <w:b/>
                        <w:sz w:val="10"/>
                        <w:shd w:fill="FCD5B4" w:color="auto" w:val="clear"/>
                      </w:rPr>
                      <w:t> 2.81 </w:t>
                    </w:r>
                  </w:p>
                  <w:p>
                    <w:pPr>
                      <w:spacing w:before="5"/>
                      <w:ind w:left="0" w:right="0" w:firstLine="0"/>
                      <w:jc w:val="left"/>
                      <w:rPr>
                        <w:b/>
                        <w:sz w:val="10"/>
                      </w:rPr>
                    </w:pPr>
                    <w:r>
                      <w:rPr>
                        <w:b/>
                        <w:position w:val="-5"/>
                        <w:sz w:val="10"/>
                      </w:rPr>
                      <w:t>2.27  </w:t>
                    </w:r>
                    <w:r>
                      <w:rPr>
                        <w:b/>
                        <w:sz w:val="10"/>
                        <w:shd w:fill="FCD5B4" w:color="auto" w:val="clear"/>
                      </w:rPr>
                      <w:t>2.46 </w:t>
                    </w:r>
                  </w:p>
                </w:txbxContent>
              </v:textbox>
              <w10:wrap type="none"/>
            </v:shape>
            <v:shape style="position:absolute;left:1728;top:-1658;width:304;height:157" type="#_x0000_t202" filled="false" stroked="false">
              <v:textbox inset="0,0,0,0">
                <w:txbxContent>
                  <w:p>
                    <w:pPr>
                      <w:spacing w:line="157" w:lineRule="exact" w:before="0"/>
                      <w:ind w:left="0" w:right="-19" w:firstLine="0"/>
                      <w:jc w:val="left"/>
                      <w:rPr>
                        <w:sz w:val="15"/>
                      </w:rPr>
                    </w:pPr>
                    <w:r>
                      <w:rPr>
                        <w:spacing w:val="-1"/>
                        <w:w w:val="105"/>
                        <w:sz w:val="15"/>
                      </w:rPr>
                      <w:t>2.00</w:t>
                    </w:r>
                  </w:p>
                </w:txbxContent>
              </v:textbox>
              <w10:wrap type="none"/>
            </v:shape>
            <v:shape style="position:absolute;left:4147;top:-1587;width:189;height:99" type="#_x0000_t202" filled="false" stroked="false">
              <v:textbox inset="0,0,0,0">
                <w:txbxContent>
                  <w:p>
                    <w:pPr>
                      <w:spacing w:line="98" w:lineRule="exact" w:before="0"/>
                      <w:ind w:left="0" w:right="-16" w:firstLine="0"/>
                      <w:jc w:val="left"/>
                      <w:rPr>
                        <w:b/>
                        <w:sz w:val="10"/>
                      </w:rPr>
                    </w:pPr>
                    <w:r>
                      <w:rPr>
                        <w:b/>
                        <w:w w:val="95"/>
                        <w:sz w:val="10"/>
                      </w:rPr>
                      <w:t>1.37</w:t>
                    </w:r>
                  </w:p>
                </w:txbxContent>
              </v:textbox>
              <w10:wrap type="none"/>
            </v:shape>
            <v:shape style="position:absolute;left:2206;top:-1330;width:1918;height:298" type="#_x0000_t202" filled="false" stroked="false">
              <v:textbox inset="0,0,0,0">
                <w:txbxContent>
                  <w:p>
                    <w:pPr>
                      <w:spacing w:line="101" w:lineRule="exact" w:before="0"/>
                      <w:ind w:left="0" w:right="0" w:firstLine="0"/>
                      <w:jc w:val="right"/>
                      <w:rPr>
                        <w:b/>
                        <w:sz w:val="10"/>
                      </w:rPr>
                    </w:pPr>
                    <w:r>
                      <w:rPr>
                        <w:b/>
                        <w:w w:val="98"/>
                        <w:sz w:val="10"/>
                        <w:shd w:fill="FCD5B4" w:color="auto" w:val="clear"/>
                      </w:rPr>
                      <w:t> </w:t>
                    </w:r>
                    <w:r>
                      <w:rPr>
                        <w:b/>
                        <w:sz w:val="10"/>
                        <w:shd w:fill="FCD5B4" w:color="auto" w:val="clear"/>
                      </w:rPr>
                      <w:t> </w:t>
                    </w:r>
                    <w:r>
                      <w:rPr>
                        <w:b/>
                        <w:w w:val="95"/>
                        <w:sz w:val="10"/>
                        <w:shd w:fill="FCD5B4" w:color="auto" w:val="clear"/>
                      </w:rPr>
                      <w:t>0.61</w:t>
                    </w:r>
                    <w:r>
                      <w:rPr>
                        <w:b/>
                        <w:sz w:val="10"/>
                        <w:shd w:fill="FCD5B4" w:color="auto" w:val="clear"/>
                      </w:rPr>
                      <w:t> </w:t>
                    </w:r>
                  </w:p>
                  <w:p>
                    <w:pPr>
                      <w:spacing w:line="192" w:lineRule="exact" w:before="4"/>
                      <w:ind w:left="0" w:right="0" w:firstLine="0"/>
                      <w:jc w:val="left"/>
                      <w:rPr>
                        <w:b/>
                        <w:sz w:val="10"/>
                      </w:rPr>
                    </w:pPr>
                    <w:r>
                      <w:rPr>
                        <w:b/>
                        <w:w w:val="98"/>
                        <w:sz w:val="10"/>
                        <w:shd w:fill="FCD5B4" w:color="auto" w:val="clear"/>
                      </w:rPr>
                      <w:t> </w:t>
                    </w:r>
                    <w:r>
                      <w:rPr>
                        <w:b/>
                        <w:sz w:val="10"/>
                        <w:shd w:fill="FCD5B4" w:color="auto" w:val="clear"/>
                      </w:rPr>
                      <w:t> 0.02  0.02  </w:t>
                    </w:r>
                    <w:r>
                      <w:rPr>
                        <w:b/>
                        <w:position w:val="1"/>
                        <w:sz w:val="10"/>
                      </w:rPr>
                      <w:t>0.05  </w:t>
                    </w:r>
                    <w:r>
                      <w:rPr>
                        <w:b/>
                        <w:position w:val="3"/>
                        <w:sz w:val="10"/>
                        <w:shd w:fill="FCD5B4" w:color="auto" w:val="clear"/>
                      </w:rPr>
                      <w:t>0.12  </w:t>
                    </w:r>
                    <w:r>
                      <w:rPr>
                        <w:b/>
                        <w:position w:val="5"/>
                        <w:sz w:val="10"/>
                      </w:rPr>
                      <w:t>0.17    </w:t>
                    </w:r>
                    <w:r>
                      <w:rPr>
                        <w:b/>
                        <w:position w:val="8"/>
                        <w:sz w:val="10"/>
                        <w:shd w:fill="FCD5B4" w:color="auto" w:val="clear"/>
                      </w:rPr>
                      <w:t>0.26 </w:t>
                    </w:r>
                  </w:p>
                </w:txbxContent>
              </v:textbox>
              <w10:wrap type="none"/>
            </v:shape>
            <v:shape style="position:absolute;left:1728;top:-983;width:304;height:157" type="#_x0000_t202" filled="false" stroked="false">
              <v:textbox inset="0,0,0,0">
                <w:txbxContent>
                  <w:p>
                    <w:pPr>
                      <w:spacing w:line="157" w:lineRule="exact" w:before="0"/>
                      <w:ind w:left="0" w:right="-19" w:firstLine="0"/>
                      <w:jc w:val="left"/>
                      <w:rPr>
                        <w:sz w:val="15"/>
                      </w:rPr>
                    </w:pPr>
                    <w:r>
                      <w:rPr>
                        <w:spacing w:val="-1"/>
                        <w:w w:val="105"/>
                        <w:sz w:val="15"/>
                      </w:rPr>
                      <w:t>0.00</w:t>
                    </w:r>
                  </w:p>
                </w:txbxContent>
              </v:textbox>
              <w10:wrap type="none"/>
            </v:shape>
            <v:shape style="position:absolute;left:8370;top:-4807;width:354;height:171" type="#_x0000_t202" filled="false" stroked="false">
              <v:textbox inset="0,0,0,0">
                <w:txbxContent>
                  <w:p>
                    <w:pPr>
                      <w:spacing w:before="28"/>
                      <w:ind w:left="49" w:right="0" w:firstLine="0"/>
                      <w:jc w:val="left"/>
                      <w:rPr>
                        <w:b/>
                        <w:sz w:val="10"/>
                      </w:rPr>
                    </w:pPr>
                    <w:r>
                      <w:rPr>
                        <w:b/>
                        <w:sz w:val="10"/>
                      </w:rPr>
                      <w:t>10.79</w:t>
                    </w:r>
                  </w:p>
                </w:txbxContent>
              </v:textbox>
              <w10:wrap type="none"/>
            </v:shape>
            <w10:wrap type="none"/>
          </v:group>
        </w:pict>
      </w:r>
      <w:r>
        <w:rPr/>
        <w:pict>
          <v:shape style="position:absolute;margin-left:112.058983pt;margin-top:-38.467094pt;width:399.75pt;height:19.350pt;mso-position-horizontal-relative:page;mso-position-vertical-relative:paragraph;z-index:11344" type="#_x0000_t202" filled="false" stroked="false">
            <v:textbox inset="0,0,0,0" style="layout-flow:vertical;mso-layout-flow-alt:bottom-to-top">
              <w:txbxContent>
                <w:p>
                  <w:pPr>
                    <w:spacing w:before="6"/>
                    <w:ind w:left="20" w:right="0" w:firstLine="0"/>
                    <w:jc w:val="left"/>
                    <w:rPr>
                      <w:b/>
                      <w:sz w:val="15"/>
                    </w:rPr>
                  </w:pPr>
                  <w:r>
                    <w:rPr>
                      <w:b/>
                      <w:spacing w:val="-1"/>
                      <w:w w:val="104"/>
                      <w:sz w:val="15"/>
                    </w:rPr>
                    <w:t>198</w:t>
                  </w:r>
                  <w:r>
                    <w:rPr>
                      <w:b/>
                      <w:w w:val="104"/>
                      <w:sz w:val="15"/>
                    </w:rPr>
                    <w:t>0</w:t>
                  </w:r>
                </w:p>
                <w:p>
                  <w:pPr>
                    <w:spacing w:before="96"/>
                    <w:ind w:left="20" w:right="0" w:firstLine="0"/>
                    <w:jc w:val="left"/>
                    <w:rPr>
                      <w:b/>
                      <w:sz w:val="15"/>
                    </w:rPr>
                  </w:pPr>
                  <w:r>
                    <w:rPr>
                      <w:b/>
                      <w:spacing w:val="-1"/>
                      <w:w w:val="104"/>
                      <w:sz w:val="15"/>
                    </w:rPr>
                    <w:t>198</w:t>
                  </w:r>
                  <w:r>
                    <w:rPr>
                      <w:b/>
                      <w:w w:val="104"/>
                      <w:sz w:val="15"/>
                    </w:rPr>
                    <w:t>1</w:t>
                  </w:r>
                </w:p>
                <w:p>
                  <w:pPr>
                    <w:spacing w:before="96"/>
                    <w:ind w:left="20" w:right="0" w:firstLine="0"/>
                    <w:jc w:val="left"/>
                    <w:rPr>
                      <w:b/>
                      <w:sz w:val="15"/>
                    </w:rPr>
                  </w:pPr>
                  <w:r>
                    <w:rPr>
                      <w:b/>
                      <w:spacing w:val="-1"/>
                      <w:w w:val="104"/>
                      <w:sz w:val="15"/>
                    </w:rPr>
                    <w:t>198</w:t>
                  </w:r>
                  <w:r>
                    <w:rPr>
                      <w:b/>
                      <w:w w:val="104"/>
                      <w:sz w:val="15"/>
                    </w:rPr>
                    <w:t>2</w:t>
                  </w:r>
                </w:p>
                <w:p>
                  <w:pPr>
                    <w:spacing w:before="96"/>
                    <w:ind w:left="20" w:right="0" w:firstLine="0"/>
                    <w:jc w:val="left"/>
                    <w:rPr>
                      <w:b/>
                      <w:sz w:val="15"/>
                    </w:rPr>
                  </w:pPr>
                  <w:r>
                    <w:rPr>
                      <w:b/>
                      <w:spacing w:val="-1"/>
                      <w:w w:val="104"/>
                      <w:sz w:val="15"/>
                    </w:rPr>
                    <w:t>198</w:t>
                  </w:r>
                  <w:r>
                    <w:rPr>
                      <w:b/>
                      <w:w w:val="104"/>
                      <w:sz w:val="15"/>
                    </w:rPr>
                    <w:t>3</w:t>
                  </w:r>
                </w:p>
                <w:p>
                  <w:pPr>
                    <w:spacing w:before="96"/>
                    <w:ind w:left="20" w:right="0" w:firstLine="0"/>
                    <w:jc w:val="left"/>
                    <w:rPr>
                      <w:b/>
                      <w:sz w:val="15"/>
                    </w:rPr>
                  </w:pPr>
                  <w:r>
                    <w:rPr>
                      <w:b/>
                      <w:spacing w:val="-1"/>
                      <w:w w:val="104"/>
                      <w:sz w:val="15"/>
                    </w:rPr>
                    <w:t>198</w:t>
                  </w:r>
                  <w:r>
                    <w:rPr>
                      <w:b/>
                      <w:w w:val="104"/>
                      <w:sz w:val="15"/>
                    </w:rPr>
                    <w:t>4</w:t>
                  </w:r>
                </w:p>
                <w:p>
                  <w:pPr>
                    <w:spacing w:before="96"/>
                    <w:ind w:left="20" w:right="0" w:firstLine="0"/>
                    <w:jc w:val="left"/>
                    <w:rPr>
                      <w:b/>
                      <w:sz w:val="15"/>
                    </w:rPr>
                  </w:pPr>
                  <w:r>
                    <w:rPr>
                      <w:b/>
                      <w:spacing w:val="-1"/>
                      <w:w w:val="104"/>
                      <w:sz w:val="15"/>
                    </w:rPr>
                    <w:t>198</w:t>
                  </w:r>
                  <w:r>
                    <w:rPr>
                      <w:b/>
                      <w:w w:val="104"/>
                      <w:sz w:val="15"/>
                    </w:rPr>
                    <w:t>5</w:t>
                  </w:r>
                </w:p>
                <w:p>
                  <w:pPr>
                    <w:spacing w:before="98"/>
                    <w:ind w:left="20" w:right="0" w:firstLine="0"/>
                    <w:jc w:val="left"/>
                    <w:rPr>
                      <w:b/>
                      <w:sz w:val="15"/>
                    </w:rPr>
                  </w:pPr>
                  <w:r>
                    <w:rPr>
                      <w:b/>
                      <w:spacing w:val="-1"/>
                      <w:w w:val="104"/>
                      <w:sz w:val="15"/>
                    </w:rPr>
                    <w:t>198</w:t>
                  </w:r>
                  <w:r>
                    <w:rPr>
                      <w:b/>
                      <w:w w:val="104"/>
                      <w:sz w:val="15"/>
                    </w:rPr>
                    <w:t>6</w:t>
                  </w:r>
                </w:p>
                <w:p>
                  <w:pPr>
                    <w:spacing w:before="94"/>
                    <w:ind w:left="20" w:right="0" w:firstLine="0"/>
                    <w:jc w:val="left"/>
                    <w:rPr>
                      <w:b/>
                      <w:sz w:val="15"/>
                    </w:rPr>
                  </w:pPr>
                  <w:r>
                    <w:rPr>
                      <w:b/>
                      <w:spacing w:val="-1"/>
                      <w:w w:val="104"/>
                      <w:sz w:val="15"/>
                    </w:rPr>
                    <w:t>198</w:t>
                  </w:r>
                  <w:r>
                    <w:rPr>
                      <w:b/>
                      <w:w w:val="104"/>
                      <w:sz w:val="15"/>
                    </w:rPr>
                    <w:t>7</w:t>
                  </w:r>
                </w:p>
                <w:p>
                  <w:pPr>
                    <w:spacing w:before="98"/>
                    <w:ind w:left="20" w:right="0" w:firstLine="0"/>
                    <w:jc w:val="left"/>
                    <w:rPr>
                      <w:b/>
                      <w:sz w:val="15"/>
                    </w:rPr>
                  </w:pPr>
                  <w:r>
                    <w:rPr>
                      <w:b/>
                      <w:spacing w:val="-1"/>
                      <w:w w:val="104"/>
                      <w:sz w:val="15"/>
                    </w:rPr>
                    <w:t>198</w:t>
                  </w:r>
                  <w:r>
                    <w:rPr>
                      <w:b/>
                      <w:w w:val="104"/>
                      <w:sz w:val="15"/>
                    </w:rPr>
                    <w:t>8</w:t>
                  </w:r>
                </w:p>
                <w:p>
                  <w:pPr>
                    <w:spacing w:before="96"/>
                    <w:ind w:left="20" w:right="0" w:firstLine="0"/>
                    <w:jc w:val="left"/>
                    <w:rPr>
                      <w:b/>
                      <w:sz w:val="15"/>
                    </w:rPr>
                  </w:pPr>
                  <w:r>
                    <w:rPr>
                      <w:b/>
                      <w:spacing w:val="-1"/>
                      <w:w w:val="104"/>
                      <w:sz w:val="15"/>
                    </w:rPr>
                    <w:t>198</w:t>
                  </w:r>
                  <w:r>
                    <w:rPr>
                      <w:b/>
                      <w:w w:val="104"/>
                      <w:sz w:val="15"/>
                    </w:rPr>
                    <w:t>9</w:t>
                  </w:r>
                </w:p>
                <w:p>
                  <w:pPr>
                    <w:spacing w:before="96"/>
                    <w:ind w:left="20" w:right="0" w:firstLine="0"/>
                    <w:jc w:val="left"/>
                    <w:rPr>
                      <w:b/>
                      <w:sz w:val="15"/>
                    </w:rPr>
                  </w:pPr>
                  <w:r>
                    <w:rPr>
                      <w:b/>
                      <w:spacing w:val="-1"/>
                      <w:w w:val="104"/>
                      <w:sz w:val="15"/>
                    </w:rPr>
                    <w:t>199</w:t>
                  </w:r>
                  <w:r>
                    <w:rPr>
                      <w:b/>
                      <w:w w:val="104"/>
                      <w:sz w:val="15"/>
                    </w:rPr>
                    <w:t>0</w:t>
                  </w:r>
                </w:p>
                <w:p>
                  <w:pPr>
                    <w:spacing w:before="96"/>
                    <w:ind w:left="20" w:right="0" w:firstLine="0"/>
                    <w:jc w:val="left"/>
                    <w:rPr>
                      <w:b/>
                      <w:sz w:val="15"/>
                    </w:rPr>
                  </w:pPr>
                  <w:r>
                    <w:rPr>
                      <w:b/>
                      <w:spacing w:val="-1"/>
                      <w:w w:val="104"/>
                      <w:sz w:val="15"/>
                    </w:rPr>
                    <w:t>199</w:t>
                  </w:r>
                  <w:r>
                    <w:rPr>
                      <w:b/>
                      <w:w w:val="104"/>
                      <w:sz w:val="15"/>
                    </w:rPr>
                    <w:t>1</w:t>
                  </w:r>
                </w:p>
                <w:p>
                  <w:pPr>
                    <w:spacing w:before="96"/>
                    <w:ind w:left="20" w:right="0" w:firstLine="0"/>
                    <w:jc w:val="left"/>
                    <w:rPr>
                      <w:b/>
                      <w:sz w:val="15"/>
                    </w:rPr>
                  </w:pPr>
                  <w:r>
                    <w:rPr>
                      <w:b/>
                      <w:spacing w:val="-1"/>
                      <w:w w:val="104"/>
                      <w:sz w:val="15"/>
                    </w:rPr>
                    <w:t>199</w:t>
                  </w:r>
                  <w:r>
                    <w:rPr>
                      <w:b/>
                      <w:w w:val="104"/>
                      <w:sz w:val="15"/>
                    </w:rPr>
                    <w:t>2</w:t>
                  </w:r>
                </w:p>
                <w:p>
                  <w:pPr>
                    <w:spacing w:before="96"/>
                    <w:ind w:left="20" w:right="0" w:firstLine="0"/>
                    <w:jc w:val="left"/>
                    <w:rPr>
                      <w:b/>
                      <w:sz w:val="15"/>
                    </w:rPr>
                  </w:pPr>
                  <w:r>
                    <w:rPr>
                      <w:b/>
                      <w:spacing w:val="-1"/>
                      <w:w w:val="104"/>
                      <w:sz w:val="15"/>
                    </w:rPr>
                    <w:t>199</w:t>
                  </w:r>
                  <w:r>
                    <w:rPr>
                      <w:b/>
                      <w:w w:val="104"/>
                      <w:sz w:val="15"/>
                    </w:rPr>
                    <w:t>3</w:t>
                  </w:r>
                </w:p>
                <w:p>
                  <w:pPr>
                    <w:spacing w:before="96"/>
                    <w:ind w:left="20" w:right="0" w:firstLine="0"/>
                    <w:jc w:val="left"/>
                    <w:rPr>
                      <w:b/>
                      <w:sz w:val="15"/>
                    </w:rPr>
                  </w:pPr>
                  <w:r>
                    <w:rPr>
                      <w:b/>
                      <w:spacing w:val="-1"/>
                      <w:w w:val="104"/>
                      <w:sz w:val="15"/>
                    </w:rPr>
                    <w:t>199</w:t>
                  </w:r>
                  <w:r>
                    <w:rPr>
                      <w:b/>
                      <w:w w:val="104"/>
                      <w:sz w:val="15"/>
                    </w:rPr>
                    <w:t>4</w:t>
                  </w:r>
                </w:p>
                <w:p>
                  <w:pPr>
                    <w:spacing w:before="96"/>
                    <w:ind w:left="20" w:right="0" w:firstLine="0"/>
                    <w:jc w:val="left"/>
                    <w:rPr>
                      <w:b/>
                      <w:sz w:val="15"/>
                    </w:rPr>
                  </w:pPr>
                  <w:r>
                    <w:rPr>
                      <w:b/>
                      <w:spacing w:val="-1"/>
                      <w:w w:val="104"/>
                      <w:sz w:val="15"/>
                    </w:rPr>
                    <w:t>199</w:t>
                  </w:r>
                  <w:r>
                    <w:rPr>
                      <w:b/>
                      <w:w w:val="104"/>
                      <w:sz w:val="15"/>
                    </w:rPr>
                    <w:t>5</w:t>
                  </w:r>
                </w:p>
                <w:p>
                  <w:pPr>
                    <w:spacing w:before="96"/>
                    <w:ind w:left="20" w:right="0" w:firstLine="0"/>
                    <w:jc w:val="left"/>
                    <w:rPr>
                      <w:b/>
                      <w:sz w:val="15"/>
                    </w:rPr>
                  </w:pPr>
                  <w:r>
                    <w:rPr>
                      <w:b/>
                      <w:spacing w:val="-1"/>
                      <w:w w:val="104"/>
                      <w:sz w:val="15"/>
                    </w:rPr>
                    <w:t>199</w:t>
                  </w:r>
                  <w:r>
                    <w:rPr>
                      <w:b/>
                      <w:w w:val="104"/>
                      <w:sz w:val="15"/>
                    </w:rPr>
                    <w:t>6</w:t>
                  </w:r>
                </w:p>
                <w:p>
                  <w:pPr>
                    <w:spacing w:before="96"/>
                    <w:ind w:left="20" w:right="0" w:firstLine="0"/>
                    <w:jc w:val="left"/>
                    <w:rPr>
                      <w:b/>
                      <w:sz w:val="15"/>
                    </w:rPr>
                  </w:pPr>
                  <w:r>
                    <w:rPr>
                      <w:b/>
                      <w:spacing w:val="-1"/>
                      <w:w w:val="104"/>
                      <w:sz w:val="15"/>
                    </w:rPr>
                    <w:t>199</w:t>
                  </w:r>
                  <w:r>
                    <w:rPr>
                      <w:b/>
                      <w:w w:val="104"/>
                      <w:sz w:val="15"/>
                    </w:rPr>
                    <w:t>7</w:t>
                  </w:r>
                </w:p>
                <w:p>
                  <w:pPr>
                    <w:spacing w:before="96"/>
                    <w:ind w:left="20" w:right="0" w:firstLine="0"/>
                    <w:jc w:val="left"/>
                    <w:rPr>
                      <w:b/>
                      <w:sz w:val="15"/>
                    </w:rPr>
                  </w:pPr>
                  <w:r>
                    <w:rPr>
                      <w:b/>
                      <w:spacing w:val="-1"/>
                      <w:w w:val="104"/>
                      <w:sz w:val="15"/>
                    </w:rPr>
                    <w:t>199</w:t>
                  </w:r>
                  <w:r>
                    <w:rPr>
                      <w:b/>
                      <w:w w:val="104"/>
                      <w:sz w:val="15"/>
                    </w:rPr>
                    <w:t>8</w:t>
                  </w:r>
                </w:p>
                <w:p>
                  <w:pPr>
                    <w:spacing w:before="96"/>
                    <w:ind w:left="20" w:right="0" w:firstLine="0"/>
                    <w:jc w:val="left"/>
                    <w:rPr>
                      <w:b/>
                      <w:sz w:val="15"/>
                    </w:rPr>
                  </w:pPr>
                  <w:r>
                    <w:rPr>
                      <w:b/>
                      <w:spacing w:val="-1"/>
                      <w:w w:val="104"/>
                      <w:sz w:val="15"/>
                    </w:rPr>
                    <w:t>199</w:t>
                  </w:r>
                  <w:r>
                    <w:rPr>
                      <w:b/>
                      <w:w w:val="104"/>
                      <w:sz w:val="15"/>
                    </w:rPr>
                    <w:t>9</w:t>
                  </w:r>
                </w:p>
                <w:p>
                  <w:pPr>
                    <w:spacing w:before="96"/>
                    <w:ind w:left="20" w:right="0" w:firstLine="0"/>
                    <w:jc w:val="left"/>
                    <w:rPr>
                      <w:b/>
                      <w:sz w:val="15"/>
                    </w:rPr>
                  </w:pPr>
                  <w:r>
                    <w:rPr>
                      <w:b/>
                      <w:spacing w:val="-1"/>
                      <w:w w:val="104"/>
                      <w:sz w:val="15"/>
                    </w:rPr>
                    <w:t>200</w:t>
                  </w:r>
                  <w:r>
                    <w:rPr>
                      <w:b/>
                      <w:w w:val="104"/>
                      <w:sz w:val="15"/>
                    </w:rPr>
                    <w:t>0</w:t>
                  </w:r>
                </w:p>
                <w:p>
                  <w:pPr>
                    <w:spacing w:before="96"/>
                    <w:ind w:left="20" w:right="0" w:firstLine="0"/>
                    <w:jc w:val="left"/>
                    <w:rPr>
                      <w:b/>
                      <w:sz w:val="15"/>
                    </w:rPr>
                  </w:pPr>
                  <w:r>
                    <w:rPr>
                      <w:b/>
                      <w:spacing w:val="-1"/>
                      <w:w w:val="104"/>
                      <w:sz w:val="15"/>
                    </w:rPr>
                    <w:t>200</w:t>
                  </w:r>
                  <w:r>
                    <w:rPr>
                      <w:b/>
                      <w:w w:val="104"/>
                      <w:sz w:val="15"/>
                    </w:rPr>
                    <w:t>1</w:t>
                  </w:r>
                </w:p>
                <w:p>
                  <w:pPr>
                    <w:spacing w:before="96"/>
                    <w:ind w:left="20" w:right="0" w:firstLine="0"/>
                    <w:jc w:val="left"/>
                    <w:rPr>
                      <w:b/>
                      <w:sz w:val="15"/>
                    </w:rPr>
                  </w:pPr>
                  <w:r>
                    <w:rPr>
                      <w:b/>
                      <w:spacing w:val="-1"/>
                      <w:w w:val="104"/>
                      <w:sz w:val="15"/>
                    </w:rPr>
                    <w:t>200</w:t>
                  </w:r>
                  <w:r>
                    <w:rPr>
                      <w:b/>
                      <w:w w:val="104"/>
                      <w:sz w:val="15"/>
                    </w:rPr>
                    <w:t>2</w:t>
                  </w:r>
                </w:p>
                <w:p>
                  <w:pPr>
                    <w:spacing w:before="96"/>
                    <w:ind w:left="20" w:right="0" w:firstLine="0"/>
                    <w:jc w:val="left"/>
                    <w:rPr>
                      <w:b/>
                      <w:sz w:val="15"/>
                    </w:rPr>
                  </w:pPr>
                  <w:r>
                    <w:rPr>
                      <w:b/>
                      <w:spacing w:val="-1"/>
                      <w:w w:val="104"/>
                      <w:sz w:val="15"/>
                    </w:rPr>
                    <w:t>200</w:t>
                  </w:r>
                  <w:r>
                    <w:rPr>
                      <w:b/>
                      <w:w w:val="104"/>
                      <w:sz w:val="15"/>
                    </w:rPr>
                    <w:t>3</w:t>
                  </w:r>
                </w:p>
                <w:p>
                  <w:pPr>
                    <w:spacing w:before="96"/>
                    <w:ind w:left="20" w:right="0" w:firstLine="0"/>
                    <w:jc w:val="left"/>
                    <w:rPr>
                      <w:b/>
                      <w:sz w:val="15"/>
                    </w:rPr>
                  </w:pPr>
                  <w:r>
                    <w:rPr>
                      <w:b/>
                      <w:spacing w:val="-1"/>
                      <w:w w:val="104"/>
                      <w:sz w:val="15"/>
                    </w:rPr>
                    <w:t>200</w:t>
                  </w:r>
                  <w:r>
                    <w:rPr>
                      <w:b/>
                      <w:w w:val="104"/>
                      <w:sz w:val="15"/>
                    </w:rPr>
                    <w:t>4</w:t>
                  </w:r>
                </w:p>
                <w:p>
                  <w:pPr>
                    <w:spacing w:before="96"/>
                    <w:ind w:left="20" w:right="0" w:firstLine="0"/>
                    <w:jc w:val="left"/>
                    <w:rPr>
                      <w:b/>
                      <w:sz w:val="15"/>
                    </w:rPr>
                  </w:pPr>
                  <w:r>
                    <w:rPr>
                      <w:b/>
                      <w:spacing w:val="-1"/>
                      <w:w w:val="104"/>
                      <w:sz w:val="15"/>
                    </w:rPr>
                    <w:t>200</w:t>
                  </w:r>
                  <w:r>
                    <w:rPr>
                      <w:b/>
                      <w:w w:val="104"/>
                      <w:sz w:val="15"/>
                    </w:rPr>
                    <w:t>5</w:t>
                  </w:r>
                </w:p>
                <w:p>
                  <w:pPr>
                    <w:spacing w:before="96"/>
                    <w:ind w:left="20" w:right="0" w:firstLine="0"/>
                    <w:jc w:val="left"/>
                    <w:rPr>
                      <w:b/>
                      <w:sz w:val="15"/>
                    </w:rPr>
                  </w:pPr>
                  <w:r>
                    <w:rPr>
                      <w:b/>
                      <w:spacing w:val="-1"/>
                      <w:w w:val="104"/>
                      <w:sz w:val="15"/>
                    </w:rPr>
                    <w:t>200</w:t>
                  </w:r>
                  <w:r>
                    <w:rPr>
                      <w:b/>
                      <w:w w:val="104"/>
                      <w:sz w:val="15"/>
                    </w:rPr>
                    <w:t>6</w:t>
                  </w:r>
                </w:p>
                <w:p>
                  <w:pPr>
                    <w:spacing w:before="96"/>
                    <w:ind w:left="20" w:right="0" w:firstLine="0"/>
                    <w:jc w:val="left"/>
                    <w:rPr>
                      <w:b/>
                      <w:sz w:val="15"/>
                    </w:rPr>
                  </w:pPr>
                  <w:r>
                    <w:rPr>
                      <w:b/>
                      <w:spacing w:val="-1"/>
                      <w:w w:val="104"/>
                      <w:sz w:val="15"/>
                    </w:rPr>
                    <w:t>200</w:t>
                  </w:r>
                  <w:r>
                    <w:rPr>
                      <w:b/>
                      <w:w w:val="104"/>
                      <w:sz w:val="15"/>
                    </w:rPr>
                    <w:t>7</w:t>
                  </w:r>
                </w:p>
                <w:p>
                  <w:pPr>
                    <w:spacing w:before="96"/>
                    <w:ind w:left="20" w:right="0" w:firstLine="0"/>
                    <w:jc w:val="left"/>
                    <w:rPr>
                      <w:b/>
                      <w:sz w:val="15"/>
                    </w:rPr>
                  </w:pPr>
                  <w:r>
                    <w:rPr>
                      <w:b/>
                      <w:spacing w:val="-1"/>
                      <w:w w:val="104"/>
                      <w:sz w:val="15"/>
                    </w:rPr>
                    <w:t>200</w:t>
                  </w:r>
                  <w:r>
                    <w:rPr>
                      <w:b/>
                      <w:w w:val="104"/>
                      <w:sz w:val="15"/>
                    </w:rPr>
                    <w:t>8</w:t>
                  </w:r>
                </w:p>
                <w:p>
                  <w:pPr>
                    <w:spacing w:before="96"/>
                    <w:ind w:left="20" w:right="0" w:firstLine="0"/>
                    <w:jc w:val="left"/>
                    <w:rPr>
                      <w:b/>
                      <w:sz w:val="15"/>
                    </w:rPr>
                  </w:pPr>
                  <w:r>
                    <w:rPr>
                      <w:b/>
                      <w:spacing w:val="-1"/>
                      <w:w w:val="104"/>
                      <w:sz w:val="15"/>
                    </w:rPr>
                    <w:t>200</w:t>
                  </w:r>
                  <w:r>
                    <w:rPr>
                      <w:b/>
                      <w:w w:val="104"/>
                      <w:sz w:val="15"/>
                    </w:rPr>
                    <w:t>9</w:t>
                  </w:r>
                </w:p>
              </w:txbxContent>
            </v:textbox>
            <w10:wrap type="none"/>
          </v:shape>
        </w:pict>
      </w:r>
      <w:r>
        <w:rPr>
          <w:sz w:val="21"/>
        </w:rPr>
        <w:t>Fuente: Elaboración propia con datos: </w:t>
      </w:r>
      <w:hyperlink r:id="rId338">
        <w:r>
          <w:rPr>
            <w:sz w:val="21"/>
          </w:rPr>
          <w:t>http://www.profeco.gob.mx/encuesta/brujula/bruj_2008/bol76_mercado%20remesas.asp</w:t>
        </w:r>
      </w:hyperlink>
    </w:p>
    <w:p>
      <w:pPr>
        <w:pStyle w:val="BodyText"/>
        <w:rPr>
          <w:sz w:val="20"/>
        </w:rPr>
      </w:pPr>
    </w:p>
    <w:p>
      <w:pPr>
        <w:pStyle w:val="BodyText"/>
        <w:rPr>
          <w:sz w:val="20"/>
        </w:rPr>
      </w:pPr>
    </w:p>
    <w:p>
      <w:pPr>
        <w:pStyle w:val="BodyText"/>
        <w:spacing w:before="5"/>
        <w:rPr>
          <w:sz w:val="18"/>
        </w:rPr>
      </w:pPr>
    </w:p>
    <w:p>
      <w:pPr>
        <w:pStyle w:val="BodyText"/>
        <w:spacing w:line="364" w:lineRule="auto"/>
        <w:ind w:left="103" w:right="103"/>
        <w:jc w:val="both"/>
      </w:pPr>
      <w:r>
        <w:rPr/>
        <w:t>En el periodo 1982-93, el tipo de cambio tuvo una paridad de $1800.7/dólar. Para 1994, dados los sucesos económicos-políticos, se adopta un tipo de cambio flexible (libre flotación), la paridad pasa de $3329 a $4.9/dólar, razón por la cual al peso le eliminaron tres ceros  originado  por la  pérdida  del  poder  adquisitivo.  De  1994  a 2007  se dieron</w:t>
      </w:r>
    </w:p>
    <w:p>
      <w:pPr>
        <w:spacing w:after="0" w:line="364" w:lineRule="auto"/>
        <w:jc w:val="both"/>
        <w:sectPr>
          <w:pgSz w:w="11900" w:h="16840"/>
          <w:pgMar w:header="0" w:footer="1676" w:top="1600" w:bottom="1860" w:left="1300" w:right="1280"/>
        </w:sectPr>
      </w:pPr>
    </w:p>
    <w:p>
      <w:pPr>
        <w:pStyle w:val="BodyText"/>
        <w:spacing w:line="364" w:lineRule="auto" w:before="5"/>
        <w:ind w:left="103"/>
      </w:pPr>
      <w:r>
        <w:rPr/>
        <w:t>$11.18/dólar (ó $11,184/dólar en viejos pesos) y para 2009 promedio anual  (</w:t>
      </w:r>
      <w:hyperlink r:id="rId349">
        <w:r>
          <w:rPr/>
          <w:t>www.mexicomaxico.org/Voto/super.htm).</w:t>
        </w:r>
      </w:hyperlink>
    </w:p>
    <w:p>
      <w:pPr>
        <w:pStyle w:val="BodyText"/>
        <w:spacing w:before="5"/>
        <w:ind w:left="103"/>
      </w:pPr>
      <w:r>
        <w:rPr/>
        <w:br w:type="column"/>
      </w:r>
      <w:r>
        <w:rPr/>
        <w:t>de   $13.51/dólar  en</w:t>
      </w:r>
    </w:p>
    <w:p>
      <w:pPr>
        <w:spacing w:after="0"/>
        <w:sectPr>
          <w:type w:val="continuous"/>
          <w:pgSz w:w="11900" w:h="16840"/>
          <w:pgMar w:top="1600" w:bottom="280" w:left="1300" w:right="1280"/>
          <w:cols w:num="2" w:equalWidth="0">
            <w:col w:w="6935" w:space="51"/>
            <w:col w:w="2334"/>
          </w:cols>
        </w:sectPr>
      </w:pPr>
    </w:p>
    <w:p>
      <w:pPr>
        <w:pStyle w:val="BodyText"/>
        <w:rPr>
          <w:sz w:val="20"/>
        </w:rPr>
      </w:pPr>
    </w:p>
    <w:p>
      <w:pPr>
        <w:pStyle w:val="BodyText"/>
        <w:rPr>
          <w:sz w:val="20"/>
        </w:rPr>
      </w:pPr>
    </w:p>
    <w:p>
      <w:pPr>
        <w:pStyle w:val="BodyText"/>
        <w:spacing w:before="11"/>
        <w:rPr>
          <w:sz w:val="20"/>
        </w:rPr>
      </w:pPr>
    </w:p>
    <w:p>
      <w:pPr>
        <w:pStyle w:val="Heading4"/>
        <w:ind w:left="103" w:right="102"/>
      </w:pPr>
      <w:r>
        <w:rPr/>
        <w:t>Tasa de interés</w:t>
      </w:r>
    </w:p>
    <w:p>
      <w:pPr>
        <w:pStyle w:val="BodyText"/>
        <w:rPr>
          <w:b/>
          <w:sz w:val="21"/>
        </w:rPr>
      </w:pPr>
    </w:p>
    <w:p>
      <w:pPr>
        <w:pStyle w:val="BodyText"/>
        <w:spacing w:line="364" w:lineRule="auto"/>
        <w:ind w:left="103" w:right="104"/>
      </w:pPr>
      <w:r>
        <w:rPr/>
        <w:t>La figura 6 muestra, para 1987, la tasa de interés  alcanzó casi un 100% debido, por   una parte, al tratar de impedir que los capitales salieran del país, y por la otra, de  </w:t>
      </w:r>
      <w:r>
        <w:rPr>
          <w:spacing w:val="18"/>
        </w:rPr>
        <w:t> </w:t>
      </w:r>
      <w:r>
        <w:rPr/>
        <w:t>atraer</w:t>
      </w:r>
    </w:p>
    <w:p>
      <w:pPr>
        <w:pStyle w:val="BodyText"/>
        <w:spacing w:before="2"/>
        <w:ind w:left="103"/>
      </w:pPr>
      <w:r>
        <w:rPr/>
        <w:t>más  capitales,  para  evitar  una  mayor  devaluación  del  peso  y  solventar  en  parte la</w:t>
      </w:r>
    </w:p>
    <w:p>
      <w:pPr>
        <w:spacing w:after="0"/>
        <w:sectPr>
          <w:type w:val="continuous"/>
          <w:pgSz w:w="11900" w:h="16840"/>
          <w:pgMar w:top="1600" w:bottom="280" w:left="1300" w:right="1280"/>
        </w:sectPr>
      </w:pPr>
    </w:p>
    <w:p>
      <w:pPr>
        <w:pStyle w:val="BodyText"/>
        <w:rPr>
          <w:sz w:val="20"/>
        </w:rPr>
      </w:pPr>
    </w:p>
    <w:p>
      <w:pPr>
        <w:pStyle w:val="BodyText"/>
        <w:spacing w:before="8"/>
        <w:rPr>
          <w:sz w:val="18"/>
        </w:rPr>
      </w:pPr>
    </w:p>
    <w:p>
      <w:pPr>
        <w:pStyle w:val="BodyText"/>
        <w:spacing w:before="74"/>
        <w:ind w:left="103" w:right="102"/>
      </w:pPr>
      <w:r>
        <w:rPr/>
        <w:t>crisis.  Por  otro  lado,  altas  tasas  de  interés  desalientan  la  inversión,  lo  que genero</w:t>
      </w:r>
    </w:p>
    <w:p>
      <w:pPr>
        <w:pStyle w:val="BodyText"/>
        <w:spacing w:line="364" w:lineRule="auto" w:before="138"/>
        <w:ind w:left="103" w:right="102"/>
      </w:pPr>
      <w:r>
        <w:rPr/>
        <w:t>menos producción, y por ende, menor consumo. Para el periodo 1988-94, las tasas de interés presentaron en promedio 22%.</w:t>
      </w:r>
    </w:p>
    <w:p>
      <w:pPr>
        <w:pStyle w:val="BodyText"/>
        <w:rPr>
          <w:sz w:val="20"/>
        </w:rPr>
      </w:pPr>
    </w:p>
    <w:p>
      <w:pPr>
        <w:pStyle w:val="BodyText"/>
        <w:rPr>
          <w:sz w:val="20"/>
        </w:rPr>
      </w:pPr>
    </w:p>
    <w:p>
      <w:pPr>
        <w:pStyle w:val="BodyText"/>
        <w:spacing w:before="10"/>
        <w:rPr>
          <w:sz w:val="22"/>
        </w:rPr>
      </w:pPr>
    </w:p>
    <w:p>
      <w:pPr>
        <w:pStyle w:val="Heading4"/>
        <w:spacing w:before="74"/>
        <w:ind w:left="1042" w:right="102"/>
      </w:pPr>
      <w:r>
        <w:rPr/>
        <w:t>Figura 6. Tasa de interés  promedio anual (CETES) en México  (%)</w:t>
      </w:r>
    </w:p>
    <w:p>
      <w:pPr>
        <w:pStyle w:val="BodyText"/>
        <w:spacing w:before="9"/>
        <w:rPr>
          <w:b/>
          <w:sz w:val="18"/>
        </w:rPr>
      </w:pPr>
      <w:r>
        <w:rPr/>
        <w:pict>
          <v:group style="position:absolute;margin-left:71.159996pt;margin-top:12.792331pt;width:451.35pt;height:212.05pt;mso-position-horizontal-relative:page;mso-position-vertical-relative:paragraph;z-index:11368;mso-wrap-distance-left:0;mso-wrap-distance-right:0" coordorigin="1423,256" coordsize="9027,4241">
            <v:shape style="position:absolute;left:1435;top:270;width:2760;height:4214" type="#_x0000_t75" stroked="false">
              <v:imagedata r:id="rId350" o:title=""/>
            </v:shape>
            <v:line style="position:absolute" from="1440,4486" to="4190,4486" stroked="true" strokeweight=".12pt" strokecolor="#858585"/>
            <v:shape style="position:absolute;left:1423;top:256;width:2768;height:4241" coordorigin="1423,256" coordsize="2768,4241" path="m4190,256l1423,256,1423,4497,4190,4497,4190,4492,1433,4492,1428,4485,1433,4485,1433,266,1428,266,1433,261,4190,261,4190,256xm1433,4485l1428,4485,1433,4492,1433,4485xm4190,4485l1433,4485,1433,4492,4190,4492,4190,4485xm1433,261l1428,266,1433,266,1433,261xm4190,261l1433,261,1433,266,4190,266,4190,261xe" filled="true" fillcolor="#000000" stroked="false">
              <v:path arrowok="t"/>
              <v:fill type="solid"/>
            </v:shape>
            <v:shape style="position:absolute;left:4186;top:270;width:4198;height:4214" type="#_x0000_t75" stroked="false">
              <v:imagedata r:id="rId351" o:title=""/>
            </v:shape>
            <v:line style="position:absolute" from="4190,4486" to="8378,4486" stroked="true" strokeweight=".12pt" strokecolor="#858585"/>
            <v:line style="position:absolute" from="4190,4491" to="8378,4491" stroked="true" strokeweight=".6pt" strokecolor="#000000"/>
            <v:line style="position:absolute" from="4190,261" to="8378,261" stroked="true" strokeweight=".48pt" strokecolor="#000000"/>
            <v:shape style="position:absolute;left:8374;top:270;width:2071;height:4214" type="#_x0000_t75" stroked="false">
              <v:imagedata r:id="rId352" o:title=""/>
            </v:shape>
            <v:line style="position:absolute" from="8378,4486" to="10440,4486" stroked="true" strokeweight=".12pt" strokecolor="#858585"/>
            <v:shape style="position:absolute;left:8378;top:256;width:2072;height:4241" coordorigin="8378,256" coordsize="2072,4241" path="m10440,4485l8378,4485,8378,4497,10450,4497,10450,4492,10440,4492,10440,4485xm10440,261l10440,4492,10445,4485,10450,4485,10450,266,10445,266,10440,261xm10450,4485l10445,4485,10440,4492,10450,4492,10450,4485xm10450,256l8378,256,8378,266,10440,266,10440,261,10450,261,10450,256xm10450,261l10440,261,10445,266,10450,266,10450,261xe" filled="true" fillcolor="#000000" stroked="false">
              <v:path arrowok="t"/>
              <v:fill type="solid"/>
            </v:shape>
            <w10:wrap type="topAndBottom"/>
          </v:group>
        </w:pict>
      </w:r>
    </w:p>
    <w:p>
      <w:pPr>
        <w:pStyle w:val="BodyText"/>
        <w:spacing w:before="1"/>
        <w:rPr>
          <w:b/>
          <w:sz w:val="14"/>
        </w:rPr>
      </w:pPr>
    </w:p>
    <w:p>
      <w:pPr>
        <w:spacing w:line="280" w:lineRule="auto" w:before="77"/>
        <w:ind w:left="103" w:right="102" w:firstLine="0"/>
        <w:jc w:val="left"/>
        <w:rPr>
          <w:sz w:val="21"/>
        </w:rPr>
      </w:pPr>
      <w:r>
        <w:rPr>
          <w:sz w:val="21"/>
        </w:rPr>
        <w:t>Fuente: Elaboración propia con datos de: </w:t>
      </w:r>
      <w:hyperlink r:id="rId353">
        <w:r>
          <w:rPr>
            <w:sz w:val="21"/>
          </w:rPr>
          <w:t>http://www.profeco.gob.mx/encuesta/brujula/bruj_2008/bol76_mercadoremesas.asp</w:t>
        </w:r>
      </w:hyperlink>
    </w:p>
    <w:p>
      <w:pPr>
        <w:pStyle w:val="BodyText"/>
        <w:rPr>
          <w:sz w:val="20"/>
        </w:rPr>
      </w:pPr>
    </w:p>
    <w:p>
      <w:pPr>
        <w:pStyle w:val="BodyText"/>
        <w:rPr>
          <w:sz w:val="20"/>
        </w:rPr>
      </w:pPr>
    </w:p>
    <w:p>
      <w:pPr>
        <w:pStyle w:val="BodyText"/>
        <w:spacing w:before="10"/>
        <w:rPr>
          <w:sz w:val="22"/>
        </w:rPr>
      </w:pPr>
    </w:p>
    <w:p>
      <w:pPr>
        <w:pStyle w:val="BodyText"/>
        <w:spacing w:line="364" w:lineRule="auto" w:before="73"/>
        <w:ind w:left="103" w:right="105"/>
        <w:jc w:val="both"/>
      </w:pPr>
      <w:r>
        <w:rPr/>
        <w:t>Para 1995, las tasas se disparan a 35% con el fin de contener la crisis en la que se encontraba el país. De 1996 a 2006, fueron de 8.7% aproximadamente y de 2007 a  2009 bajó  a una tasa media anual alrededor de</w:t>
      </w:r>
      <w:r>
        <w:rPr>
          <w:spacing w:val="61"/>
        </w:rPr>
        <w:t> </w:t>
      </w:r>
      <w:r>
        <w:rPr/>
        <w:t>2%.</w:t>
      </w:r>
    </w:p>
    <w:p>
      <w:pPr>
        <w:pStyle w:val="BodyText"/>
        <w:rPr>
          <w:sz w:val="20"/>
        </w:rPr>
      </w:pPr>
    </w:p>
    <w:p>
      <w:pPr>
        <w:pStyle w:val="BodyText"/>
        <w:rPr>
          <w:sz w:val="20"/>
        </w:rPr>
      </w:pPr>
    </w:p>
    <w:p>
      <w:pPr>
        <w:pStyle w:val="BodyText"/>
        <w:spacing w:before="8"/>
        <w:rPr>
          <w:sz w:val="20"/>
        </w:rPr>
      </w:pPr>
    </w:p>
    <w:p>
      <w:pPr>
        <w:pStyle w:val="Heading4"/>
        <w:ind w:left="103" w:right="102"/>
      </w:pPr>
      <w:r>
        <w:rPr/>
        <w:t>Salario</w:t>
      </w:r>
    </w:p>
    <w:p>
      <w:pPr>
        <w:pStyle w:val="BodyText"/>
        <w:rPr>
          <w:b/>
          <w:sz w:val="21"/>
        </w:rPr>
      </w:pPr>
    </w:p>
    <w:p>
      <w:pPr>
        <w:pStyle w:val="BodyText"/>
        <w:spacing w:line="364" w:lineRule="auto"/>
        <w:ind w:left="103" w:right="318"/>
      </w:pPr>
      <w:r>
        <w:rPr/>
        <w:t>La figura 7 muestra cuál ha sido el comportamiento del salario en los últimos 25 años,  en 1982 con casi $116 y terminando en 2006 con $40 </w:t>
      </w:r>
      <w:r>
        <w:rPr>
          <w:spacing w:val="21"/>
        </w:rPr>
        <w:t> </w:t>
      </w:r>
      <w:r>
        <w:rPr/>
        <w:t>aproximadamente.</w:t>
      </w:r>
    </w:p>
    <w:p>
      <w:pPr>
        <w:spacing w:after="0" w:line="364" w:lineRule="auto"/>
        <w:sectPr>
          <w:pgSz w:w="11900" w:h="16840"/>
          <w:pgMar w:header="0" w:footer="1676" w:top="1600" w:bottom="1860" w:left="1300" w:right="1280"/>
        </w:sectPr>
      </w:pPr>
    </w:p>
    <w:p>
      <w:pPr>
        <w:pStyle w:val="BodyText"/>
        <w:rPr>
          <w:sz w:val="20"/>
        </w:rPr>
      </w:pPr>
    </w:p>
    <w:p>
      <w:pPr>
        <w:pStyle w:val="BodyText"/>
        <w:spacing w:before="6"/>
        <w:rPr>
          <w:sz w:val="18"/>
        </w:rPr>
      </w:pPr>
    </w:p>
    <w:p>
      <w:pPr>
        <w:pStyle w:val="Heading4"/>
        <w:spacing w:before="74"/>
        <w:ind w:left="1498" w:right="102"/>
      </w:pPr>
      <w:r>
        <w:rPr/>
        <w:t>Figura 7. Salario mínimo promedio real anual,</w:t>
      </w:r>
      <w:r>
        <w:rPr>
          <w:spacing w:val="62"/>
        </w:rPr>
        <w:t> </w:t>
      </w:r>
      <w:r>
        <w:rPr/>
        <w:t>($/jornada)</w:t>
      </w:r>
    </w:p>
    <w:p>
      <w:pPr>
        <w:pStyle w:val="BodyText"/>
        <w:rPr>
          <w:b/>
          <w:sz w:val="19"/>
        </w:rPr>
      </w:pPr>
      <w:r>
        <w:rPr/>
        <w:pict>
          <v:group style="position:absolute;margin-left:71.159996pt;margin-top:12.922284pt;width:452.9pt;height:212.05pt;mso-position-horizontal-relative:page;mso-position-vertical-relative:paragraph;z-index:11392;mso-wrap-distance-left:0;mso-wrap-distance-right:0" coordorigin="1423,258" coordsize="9058,4241">
            <v:shape style="position:absolute;left:1435;top:278;width:2760;height:4212" type="#_x0000_t75" stroked="false">
              <v:imagedata r:id="rId354" o:title=""/>
            </v:shape>
            <v:shape style="position:absolute;left:1423;top:258;width:2768;height:4241" coordorigin="1423,258" coordsize="2768,4241" path="m4190,258l1423,258,1423,4499,4190,4499,4190,4494,1433,4494,1428,4490,1433,4490,1433,270,1428,270,1433,263,4190,263,4190,258xm1433,4490l1428,4490,1433,4494,1433,4490xm4190,4490l1433,4490,1433,4494,4190,4494,4190,4490xm1433,263l1428,270,1433,270,1433,263xm4190,263l1433,263,1433,270,4190,270,4190,263xe" filled="true" fillcolor="#000000" stroked="false">
              <v:path arrowok="t"/>
              <v:fill type="solid"/>
            </v:shape>
            <v:shape style="position:absolute;left:4186;top:278;width:4198;height:4212" type="#_x0000_t75" stroked="false">
              <v:imagedata r:id="rId355" o:title=""/>
            </v:shape>
            <v:line style="position:absolute" from="4190,4494" to="8378,4494" stroked="true" strokeweight=".48pt" strokecolor="#000000"/>
            <v:line style="position:absolute" from="4190,264" to="8378,264" stroked="true" strokeweight=".6pt" strokecolor="#000000"/>
            <v:shape style="position:absolute;left:8374;top:278;width:2100;height:4212" type="#_x0000_t75" stroked="false">
              <v:imagedata r:id="rId356" o:title=""/>
            </v:shape>
            <v:shape style="position:absolute;left:8378;top:258;width:2103;height:4241" coordorigin="8378,258" coordsize="2103,4241" path="m10469,4490l8378,4490,8378,4499,10481,4499,10481,4494,10469,4494,10469,4490xm10469,263l10469,4494,10474,4490,10481,4490,10481,270,10474,270,10469,263xm10481,4490l10474,4490,10469,4494,10481,4494,10481,4490xm10481,258l8378,258,8378,270,10469,270,10469,263,10481,263,10481,258xm10481,263l10469,263,10474,270,10481,270,10481,263xe" filled="true" fillcolor="#000000" stroked="false">
              <v:path arrowok="t"/>
              <v:fill type="solid"/>
            </v:shape>
            <w10:wrap type="topAndBottom"/>
          </v:group>
        </w:pict>
      </w:r>
    </w:p>
    <w:p>
      <w:pPr>
        <w:pStyle w:val="BodyText"/>
        <w:spacing w:before="3"/>
        <w:rPr>
          <w:b/>
          <w:sz w:val="14"/>
        </w:rPr>
      </w:pPr>
    </w:p>
    <w:p>
      <w:pPr>
        <w:spacing w:line="280" w:lineRule="auto" w:before="78"/>
        <w:ind w:left="103" w:right="102" w:firstLine="0"/>
        <w:jc w:val="left"/>
        <w:rPr>
          <w:sz w:val="21"/>
        </w:rPr>
      </w:pPr>
      <w:r>
        <w:rPr>
          <w:sz w:val="21"/>
        </w:rPr>
        <w:t>Fuente: Elaboración propia con datos de: </w:t>
      </w:r>
      <w:hyperlink r:id="rId338">
        <w:r>
          <w:rPr>
            <w:sz w:val="21"/>
          </w:rPr>
          <w:t>http://www.profeco.gob.mx/encuesta/brujula/bruj_2008/bol76_mercado%20remesas.asp</w:t>
        </w:r>
      </w:hyperlink>
    </w:p>
    <w:p>
      <w:pPr>
        <w:pStyle w:val="BodyText"/>
        <w:rPr>
          <w:sz w:val="20"/>
        </w:rPr>
      </w:pPr>
    </w:p>
    <w:p>
      <w:pPr>
        <w:pStyle w:val="BodyText"/>
        <w:rPr>
          <w:sz w:val="20"/>
        </w:rPr>
      </w:pPr>
    </w:p>
    <w:p>
      <w:pPr>
        <w:pStyle w:val="BodyText"/>
        <w:spacing w:before="10"/>
        <w:rPr>
          <w:sz w:val="20"/>
        </w:rPr>
      </w:pPr>
    </w:p>
    <w:p>
      <w:pPr>
        <w:pStyle w:val="BodyText"/>
        <w:spacing w:line="364" w:lineRule="auto"/>
        <w:ind w:left="103" w:right="103"/>
        <w:jc w:val="both"/>
      </w:pPr>
      <w:r>
        <w:rPr/>
        <w:t>Si se toma 1982 como año base, para 1992, el salario tuvo una pérdida en su poder adquisitivo de 46% aproximadamente, es decir, sólo se podía adquirir la mitad de lo    que se compraba en ese año. Ahora bien, tomando como base a 1993 con un salario   de $53.40 y comparándolo con 2006 tuvo una pérdida de 25%; si se compara de 1999    a 2009, el salario se mantuvo en $39.5 Jornada en promedio anual en pesos </w:t>
      </w:r>
      <w:r>
        <w:rPr>
          <w:spacing w:val="31"/>
        </w:rPr>
        <w:t> </w:t>
      </w:r>
      <w:r>
        <w:rPr/>
        <w:t>reales.</w:t>
      </w:r>
    </w:p>
    <w:p>
      <w:pPr>
        <w:pStyle w:val="BodyText"/>
        <w:spacing w:before="10"/>
        <w:rPr>
          <w:sz w:val="10"/>
        </w:rPr>
      </w:pPr>
    </w:p>
    <w:p>
      <w:pPr>
        <w:pStyle w:val="BodyText"/>
        <w:spacing w:line="364" w:lineRule="auto" w:before="74"/>
        <w:ind w:left="103" w:right="104"/>
        <w:jc w:val="both"/>
      </w:pPr>
      <w:r>
        <w:rPr/>
        <w:t>Se tuvo una pérdida acumulada del poder adquisitivo del salario de 1982 a 2006 de 76.4%. Esto indica que solamente se puede adquirir el 24% de lo que se podía adquirir en 1982.</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6"/>
        <w:rPr>
          <w:sz w:val="18"/>
        </w:rPr>
      </w:pPr>
    </w:p>
    <w:p>
      <w:pPr>
        <w:pStyle w:val="Heading4"/>
        <w:spacing w:before="74"/>
        <w:ind w:left="103" w:right="102"/>
      </w:pPr>
      <w:r>
        <w:rPr/>
        <w:t>Número de emigrantes</w:t>
      </w:r>
    </w:p>
    <w:p>
      <w:pPr>
        <w:pStyle w:val="BodyText"/>
        <w:rPr>
          <w:b/>
          <w:sz w:val="22"/>
        </w:rPr>
      </w:pPr>
    </w:p>
    <w:p>
      <w:pPr>
        <w:pStyle w:val="BodyText"/>
        <w:spacing w:before="1"/>
        <w:rPr>
          <w:b/>
          <w:sz w:val="25"/>
        </w:rPr>
      </w:pPr>
    </w:p>
    <w:p>
      <w:pPr>
        <w:spacing w:before="0"/>
        <w:ind w:left="1205" w:right="102" w:firstLine="0"/>
        <w:jc w:val="left"/>
        <w:rPr>
          <w:b/>
          <w:sz w:val="23"/>
        </w:rPr>
      </w:pPr>
      <w:r>
        <w:rPr>
          <w:b/>
          <w:sz w:val="23"/>
        </w:rPr>
        <w:t>Figura 8. Comportamiento del número de migrantes  (Millones)</w:t>
      </w:r>
    </w:p>
    <w:p>
      <w:pPr>
        <w:pStyle w:val="BodyText"/>
        <w:spacing w:before="3"/>
        <w:rPr>
          <w:b/>
          <w:sz w:val="10"/>
        </w:rPr>
      </w:pPr>
      <w:r>
        <w:rPr/>
        <w:pict>
          <v:group style="position:absolute;margin-left:71.159996pt;margin-top:7.872337pt;width:444.15pt;height:238.35pt;mso-position-horizontal-relative:page;mso-position-vertical-relative:paragraph;z-index:11416;mso-wrap-distance-left:0;mso-wrap-distance-right:0" coordorigin="1423,157" coordsize="8883,4767">
            <v:shape style="position:absolute;left:1435;top:172;width:2760;height:4740" type="#_x0000_t75" stroked="false">
              <v:imagedata r:id="rId357" o:title=""/>
            </v:shape>
            <v:shape style="position:absolute;left:1423;top:158;width:2768;height:4767" coordorigin="1423,158" coordsize="2768,4767" path="m4190,158l1423,158,1423,4924,4190,4924,4190,4919,1433,4919,1428,4914,1433,4914,1433,167,1428,167,1433,162,4190,162,4190,158xm1433,4914l1428,4914,1433,4919,1433,4914xm4190,4914l1433,4914,1433,4919,4190,4919,4190,4914xm1433,162l1428,167,1433,167,1433,162xm4190,162l1433,162,1433,167,4190,167,4190,162xe" filled="true" fillcolor="#000000" stroked="false">
              <v:path arrowok="t"/>
              <v:fill type="solid"/>
            </v:shape>
            <v:shape style="position:absolute;left:4186;top:172;width:4198;height:4740" type="#_x0000_t75" stroked="false">
              <v:imagedata r:id="rId358" o:title=""/>
            </v:shape>
            <v:line style="position:absolute" from="4190,4919" to="8378,4919" stroked="true" strokeweight=".48pt" strokecolor="#000000"/>
            <v:line style="position:absolute" from="4190,162" to="8378,162" stroked="true" strokeweight=".48pt" strokecolor="#000000"/>
            <v:shape style="position:absolute;left:8374;top:172;width:1925;height:4740" type="#_x0000_t75" stroked="false">
              <v:imagedata r:id="rId359" o:title=""/>
            </v:shape>
            <v:shape style="position:absolute;left:8378;top:158;width:1928;height:4767" coordorigin="8378,158" coordsize="1928,4767" path="m10294,4914l8378,4914,8378,4924,10306,4924,10306,4919,10294,4919,10294,4914xm10294,162l10294,4919,10298,4914,10306,4914,10306,167,10298,167,10294,162xm10306,4914l10298,4914,10294,4919,10306,4919,10306,4914xm10306,158l8378,158,8378,167,10294,167,10294,162,10306,162,10306,158xm10306,162l10294,162,10298,167,10306,167,10306,162xe" filled="true" fillcolor="#000000" stroked="false">
              <v:path arrowok="t"/>
              <v:fill type="solid"/>
            </v:shape>
            <w10:wrap type="topAndBottom"/>
          </v:group>
        </w:pict>
      </w:r>
    </w:p>
    <w:p>
      <w:pPr>
        <w:spacing w:before="138"/>
        <w:ind w:left="103" w:right="102" w:firstLine="0"/>
        <w:jc w:val="left"/>
        <w:rPr>
          <w:sz w:val="21"/>
        </w:rPr>
      </w:pPr>
      <w:r>
        <w:rPr>
          <w:sz w:val="21"/>
        </w:rPr>
        <w:t>Fuente Elaborada con datos de:  </w:t>
      </w:r>
      <w:hyperlink r:id="rId360">
        <w:r>
          <w:rPr>
            <w:sz w:val="21"/>
          </w:rPr>
          <w:t>http://www.banxico.org.mx/documents.pdf</w:t>
        </w:r>
      </w:hyperlink>
    </w:p>
    <w:p>
      <w:pPr>
        <w:pStyle w:val="BodyText"/>
        <w:rPr>
          <w:sz w:val="20"/>
        </w:rPr>
      </w:pPr>
    </w:p>
    <w:p>
      <w:pPr>
        <w:pStyle w:val="BodyText"/>
        <w:spacing w:before="3"/>
        <w:rPr>
          <w:sz w:val="26"/>
        </w:rPr>
      </w:pPr>
    </w:p>
    <w:p>
      <w:pPr>
        <w:pStyle w:val="BodyText"/>
        <w:spacing w:before="74"/>
        <w:ind w:left="161" w:right="102"/>
      </w:pPr>
      <w:r>
        <w:rPr/>
        <w:t>De la figura 8, se puede observar como el número de migrantes ha ido aumentando</w:t>
      </w:r>
    </w:p>
    <w:p>
      <w:pPr>
        <w:spacing w:after="0"/>
        <w:sectPr>
          <w:pgSz w:w="11900" w:h="16840"/>
          <w:pgMar w:header="0" w:footer="1676" w:top="1600" w:bottom="1860" w:left="1300" w:right="1280"/>
        </w:sectPr>
      </w:pPr>
    </w:p>
    <w:p>
      <w:pPr>
        <w:pStyle w:val="BodyText"/>
        <w:spacing w:before="141"/>
        <w:ind w:left="103"/>
      </w:pPr>
      <w:r>
        <w:rPr/>
        <w:t>del  periodo  de 1980-1991</w:t>
      </w:r>
    </w:p>
    <w:p>
      <w:pPr>
        <w:pStyle w:val="BodyText"/>
        <w:spacing w:before="141"/>
        <w:ind w:left="60" w:right="-3"/>
      </w:pPr>
      <w:r>
        <w:rPr/>
        <w:br w:type="column"/>
      </w:r>
      <w:r>
        <w:rPr/>
        <w:t>y de 1992 tuvo una  disminución,    para</w:t>
      </w:r>
    </w:p>
    <w:p>
      <w:pPr>
        <w:pStyle w:val="BodyText"/>
        <w:spacing w:before="141"/>
        <w:ind w:left="60"/>
      </w:pPr>
      <w:r>
        <w:rPr/>
        <w:br w:type="column"/>
      </w:r>
      <w:r>
        <w:rPr/>
        <w:t>aumentar  de 1994-</w:t>
      </w:r>
    </w:p>
    <w:p>
      <w:pPr>
        <w:spacing w:after="0"/>
        <w:sectPr>
          <w:type w:val="continuous"/>
          <w:pgSz w:w="11900" w:h="16840"/>
          <w:pgMar w:top="1600" w:bottom="280" w:left="1300" w:right="1280"/>
          <w:cols w:num="3" w:equalWidth="0">
            <w:col w:w="2874" w:space="40"/>
            <w:col w:w="4156" w:space="40"/>
            <w:col w:w="2210"/>
          </w:cols>
        </w:sectPr>
      </w:pPr>
    </w:p>
    <w:p>
      <w:pPr>
        <w:pStyle w:val="BodyText"/>
        <w:spacing w:line="364" w:lineRule="auto" w:before="136"/>
        <w:ind w:left="103" w:right="104"/>
        <w:jc w:val="both"/>
      </w:pPr>
      <w:r>
        <w:rPr/>
        <w:t>2006 y disminuyo de 2007 a 2009 debido a la crisis financiera mundial. En base a lo antes mencionado, se planteo analizar la migración y las principales variables macroeconómicas de México (1980-2009).</w:t>
      </w:r>
    </w:p>
    <w:p>
      <w:pPr>
        <w:pStyle w:val="BodyText"/>
        <w:rPr>
          <w:sz w:val="20"/>
        </w:rPr>
      </w:pPr>
    </w:p>
    <w:p>
      <w:pPr>
        <w:pStyle w:val="BodyText"/>
        <w:spacing w:before="9"/>
        <w:rPr>
          <w:sz w:val="25"/>
        </w:rPr>
      </w:pPr>
    </w:p>
    <w:p>
      <w:pPr>
        <w:pStyle w:val="BodyText"/>
        <w:spacing w:before="74"/>
        <w:ind w:left="103" w:right="102"/>
      </w:pPr>
      <w:r>
        <w:rPr/>
        <w:t>Con los siguientes objetivos:</w:t>
      </w:r>
    </w:p>
    <w:p>
      <w:pPr>
        <w:pStyle w:val="BodyText"/>
        <w:spacing w:before="6"/>
        <w:rPr>
          <w:sz w:val="17"/>
        </w:rPr>
      </w:pPr>
    </w:p>
    <w:p>
      <w:pPr>
        <w:pStyle w:val="BodyText"/>
        <w:spacing w:line="364" w:lineRule="auto" w:before="74"/>
        <w:ind w:left="103" w:right="101"/>
        <w:jc w:val="both"/>
      </w:pPr>
      <w:r>
        <w:rPr/>
        <w:t>-Analizar el comportamiento de las principales variables macroeconómicas en México y el impacto que tienen en el crecimiento y desarrollo económico; estudiar la relación del PIB real con respecto al consumo, la inversión, el gasto de gobierno, las exportaciones netas</w:t>
      </w:r>
      <w:r>
        <w:rPr>
          <w:spacing w:val="48"/>
        </w:rPr>
        <w:t> </w:t>
      </w:r>
      <w:r>
        <w:rPr/>
        <w:t>y</w:t>
      </w:r>
      <w:r>
        <w:rPr>
          <w:spacing w:val="48"/>
        </w:rPr>
        <w:t> </w:t>
      </w:r>
      <w:r>
        <w:rPr/>
        <w:t>el</w:t>
      </w:r>
      <w:r>
        <w:rPr>
          <w:spacing w:val="48"/>
        </w:rPr>
        <w:t> </w:t>
      </w:r>
      <w:r>
        <w:rPr/>
        <w:t>número</w:t>
      </w:r>
      <w:r>
        <w:rPr>
          <w:spacing w:val="47"/>
        </w:rPr>
        <w:t> </w:t>
      </w:r>
      <w:r>
        <w:rPr/>
        <w:t>de</w:t>
      </w:r>
      <w:r>
        <w:rPr>
          <w:spacing w:val="47"/>
        </w:rPr>
        <w:t> </w:t>
      </w:r>
      <w:r>
        <w:rPr/>
        <w:t>emigrantes;</w:t>
      </w:r>
      <w:r>
        <w:rPr>
          <w:spacing w:val="50"/>
        </w:rPr>
        <w:t> </w:t>
      </w:r>
      <w:r>
        <w:rPr/>
        <w:t>explicar</w:t>
      </w:r>
      <w:r>
        <w:rPr>
          <w:spacing w:val="46"/>
        </w:rPr>
        <w:t> </w:t>
      </w:r>
      <w:r>
        <w:rPr/>
        <w:t>la</w:t>
      </w:r>
      <w:r>
        <w:rPr>
          <w:spacing w:val="45"/>
        </w:rPr>
        <w:t> </w:t>
      </w:r>
      <w:r>
        <w:rPr/>
        <w:t>relación</w:t>
      </w:r>
      <w:r>
        <w:rPr>
          <w:spacing w:val="49"/>
        </w:rPr>
        <w:t> </w:t>
      </w:r>
      <w:r>
        <w:rPr/>
        <w:t>de</w:t>
      </w:r>
      <w:r>
        <w:rPr>
          <w:spacing w:val="47"/>
        </w:rPr>
        <w:t> </w:t>
      </w:r>
      <w:r>
        <w:rPr/>
        <w:t>la</w:t>
      </w:r>
      <w:r>
        <w:rPr>
          <w:spacing w:val="45"/>
        </w:rPr>
        <w:t> </w:t>
      </w:r>
      <w:r>
        <w:rPr/>
        <w:t>inversión</w:t>
      </w:r>
      <w:r>
        <w:rPr>
          <w:spacing w:val="47"/>
        </w:rPr>
        <w:t> </w:t>
      </w:r>
      <w:r>
        <w:rPr/>
        <w:t>con</w:t>
      </w:r>
      <w:r>
        <w:rPr>
          <w:spacing w:val="47"/>
        </w:rPr>
        <w:t> </w:t>
      </w:r>
      <w:r>
        <w:rPr/>
        <w:t>el</w:t>
      </w:r>
      <w:r>
        <w:rPr>
          <w:spacing w:val="48"/>
        </w:rPr>
        <w:t> </w:t>
      </w:r>
      <w:r>
        <w:rPr/>
        <w:t>tipo</w:t>
      </w:r>
      <w:r>
        <w:rPr>
          <w:spacing w:val="47"/>
        </w:rPr>
        <w:t> </w:t>
      </w:r>
      <w:r>
        <w:rPr/>
        <w:t>de</w:t>
      </w:r>
    </w:p>
    <w:p>
      <w:pPr>
        <w:spacing w:after="0" w:line="364" w:lineRule="auto"/>
        <w:jc w:val="both"/>
        <w:sectPr>
          <w:type w:val="continuous"/>
          <w:pgSz w:w="11900" w:h="16840"/>
          <w:pgMar w:top="1600" w:bottom="280" w:left="1300" w:right="1280"/>
        </w:sectPr>
      </w:pPr>
    </w:p>
    <w:p>
      <w:pPr>
        <w:pStyle w:val="BodyText"/>
        <w:spacing w:before="2"/>
        <w:ind w:left="103"/>
      </w:pPr>
      <w:r>
        <w:rPr/>
        <w:t>cambio,  tasa  de  interés,</w:t>
      </w:r>
    </w:p>
    <w:p>
      <w:pPr>
        <w:pStyle w:val="BodyText"/>
        <w:spacing w:before="2"/>
        <w:ind w:left="99"/>
      </w:pPr>
      <w:r>
        <w:rPr/>
        <w:br w:type="column"/>
      </w:r>
      <w:r>
        <w:rPr/>
        <w:t>gasto  de  gobierno,  producto   interno</w:t>
      </w:r>
    </w:p>
    <w:p>
      <w:pPr>
        <w:pStyle w:val="BodyText"/>
        <w:spacing w:before="2"/>
        <w:ind w:left="94"/>
      </w:pPr>
      <w:r>
        <w:rPr/>
        <w:br w:type="column"/>
      </w:r>
      <w:r>
        <w:rPr/>
        <w:t>bruto  y  la  inflación;</w:t>
      </w:r>
    </w:p>
    <w:p>
      <w:pPr>
        <w:spacing w:after="0"/>
        <w:sectPr>
          <w:type w:val="continuous"/>
          <w:pgSz w:w="11900" w:h="16840"/>
          <w:pgMar w:top="1600" w:bottom="280" w:left="1300" w:right="1280"/>
          <w:cols w:num="3" w:equalWidth="0">
            <w:col w:w="2800" w:space="40"/>
            <w:col w:w="4077" w:space="40"/>
            <w:col w:w="2363"/>
          </w:cols>
        </w:sectPr>
      </w:pPr>
    </w:p>
    <w:p>
      <w:pPr>
        <w:pStyle w:val="BodyText"/>
        <w:spacing w:before="141"/>
        <w:ind w:left="103" w:right="102"/>
      </w:pPr>
      <w:r>
        <w:rPr/>
        <w:t>determinar la relación de la inflación con respecto al desempleo, tipo de cambio, tasa</w:t>
      </w:r>
    </w:p>
    <w:p>
      <w:pPr>
        <w:spacing w:after="0"/>
        <w:sectPr>
          <w:type w:val="continuous"/>
          <w:pgSz w:w="11900" w:h="16840"/>
          <w:pgMar w:top="1600" w:bottom="28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de interés, índice nacional de precios al consumidor y el producto interno bruto; determinar cuál de las variables inflación, salario en México, Producto  Interno Bruto,  tipo de cambio y número de emigrantes, inciden en el desempleo;  explicar la relación  del desempleo, salario, el tipo de cambio y el producto interno bruto sobre el número de emigrantes.</w:t>
      </w:r>
    </w:p>
    <w:p>
      <w:pPr>
        <w:pStyle w:val="BodyText"/>
        <w:spacing w:before="7"/>
      </w:pPr>
    </w:p>
    <w:p>
      <w:pPr>
        <w:pStyle w:val="BodyText"/>
        <w:spacing w:line="364" w:lineRule="auto"/>
        <w:ind w:left="101" w:right="102" w:firstLine="64"/>
        <w:jc w:val="both"/>
      </w:pPr>
      <w:r>
        <w:rPr/>
        <w:t>Las hipótesis estudiadas fueron: el crecimiento económico presenta una  relación  directa con el salario, las exportaciones netas, el consumo, y una relación inversa con   la tasa de interés, el desempleo, la inflación, el tipo de cambio y el número  de  migrantes; el producto interno bruto tiene una relación directa con el consumo, la inversión, el gasto de gobierno y las exportaciones netas e inversa con el número de emigrantes; la inversión se relaciona inversamente con la tasa de interés, el tipo de cambio, el gasto de gobierno y la inflación, pero directamente con el PIB; la inflación tiene una relación inversa con el desempleo, el producto interno bruto, el  tipo  de  cambio, la tasa de interés, pero directa con el índice nacional de precios; el desempleo se relaciona inversamente con el salario, la inflación, el PIB, y directamente con el tipo de cambio y el número de emigrantes; el número de emigrantes tiene una relación inversa con el tipo de cambio, el PIB, el salario en México y una relación directa con el desempleo.</w:t>
      </w:r>
    </w:p>
    <w:p>
      <w:pPr>
        <w:pStyle w:val="BodyText"/>
        <w:rPr>
          <w:sz w:val="22"/>
        </w:rPr>
      </w:pPr>
    </w:p>
    <w:p>
      <w:pPr>
        <w:pStyle w:val="BodyText"/>
        <w:rPr>
          <w:sz w:val="22"/>
        </w:rPr>
      </w:pPr>
    </w:p>
    <w:p>
      <w:pPr>
        <w:pStyle w:val="BodyText"/>
        <w:spacing w:before="8"/>
        <w:rPr>
          <w:sz w:val="32"/>
        </w:rPr>
      </w:pPr>
    </w:p>
    <w:p>
      <w:pPr>
        <w:pStyle w:val="Heading2"/>
        <w:numPr>
          <w:ilvl w:val="1"/>
          <w:numId w:val="21"/>
        </w:numPr>
        <w:tabs>
          <w:tab w:pos="447" w:val="left" w:leader="none"/>
        </w:tabs>
        <w:spacing w:line="240" w:lineRule="auto" w:before="1" w:after="0"/>
        <w:ind w:left="447" w:right="0" w:hanging="346"/>
        <w:jc w:val="both"/>
      </w:pPr>
      <w:r>
        <w:rPr/>
        <w:t>METODOLOGÍA</w:t>
      </w:r>
    </w:p>
    <w:p>
      <w:pPr>
        <w:pStyle w:val="BodyText"/>
        <w:rPr>
          <w:b/>
          <w:sz w:val="30"/>
        </w:rPr>
      </w:pPr>
    </w:p>
    <w:p>
      <w:pPr>
        <w:pStyle w:val="BodyText"/>
        <w:spacing w:before="4"/>
        <w:rPr>
          <w:b/>
          <w:sz w:val="42"/>
        </w:rPr>
      </w:pPr>
    </w:p>
    <w:p>
      <w:pPr>
        <w:pStyle w:val="BodyText"/>
        <w:spacing w:line="364" w:lineRule="auto"/>
        <w:ind w:left="101" w:right="105"/>
        <w:jc w:val="both"/>
      </w:pPr>
      <w:r>
        <w:rPr/>
        <w:t>Tomando como base los elementos teóricos, se elaboró un modelo de ecuaciones simultaneas estableciendo las relaciones funcionales en términos de ecuaciones  lineales, de la forma estructural y utilizando el sistema de notación correspondiente quedando de la siguiente</w:t>
      </w:r>
      <w:r>
        <w:rPr>
          <w:spacing w:val="38"/>
        </w:rPr>
        <w:t> </w:t>
      </w:r>
      <w:r>
        <w:rPr/>
        <w:t>forma.</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6"/>
        <w:rPr>
          <w:sz w:val="18"/>
        </w:rPr>
      </w:pPr>
    </w:p>
    <w:p>
      <w:pPr>
        <w:pStyle w:val="Heading4"/>
        <w:spacing w:before="74"/>
        <w:jc w:val="both"/>
        <w:rPr>
          <w:b w:val="0"/>
        </w:rPr>
      </w:pPr>
      <w:r>
        <w:rPr/>
        <w:t>Relación funcional del producto interno bruto  (PIBR</w:t>
      </w:r>
      <w:r>
        <w:rPr>
          <w:position w:val="-2"/>
          <w:sz w:val="15"/>
        </w:rPr>
        <w:t>t</w:t>
      </w:r>
      <w:r>
        <w:rPr>
          <w:b w:val="0"/>
        </w:rPr>
        <w:t>)</w:t>
      </w:r>
    </w:p>
    <w:p>
      <w:pPr>
        <w:pStyle w:val="BodyText"/>
        <w:rPr>
          <w:sz w:val="28"/>
        </w:rPr>
      </w:pPr>
    </w:p>
    <w:p>
      <w:pPr>
        <w:pStyle w:val="BodyText"/>
        <w:spacing w:line="364" w:lineRule="auto"/>
        <w:ind w:left="101" w:right="105"/>
        <w:jc w:val="both"/>
      </w:pPr>
      <w:r>
        <w:rPr/>
        <w:t>Con base en la Teoría Económica cuando el PIB real aumenta quiere decir que la economía se encuentra en crecimiento, pero si el PIB decrece o baja esto significa que  la economía está en recesión. La relación funcional del PIB de México, se puede expresar de la siguiente</w:t>
      </w:r>
      <w:r>
        <w:rPr>
          <w:spacing w:val="34"/>
        </w:rPr>
        <w:t> </w:t>
      </w:r>
      <w:r>
        <w:rPr/>
        <w:t>manera:</w:t>
      </w:r>
    </w:p>
    <w:p>
      <w:pPr>
        <w:spacing w:before="197"/>
        <w:ind w:left="101" w:right="0" w:firstLine="0"/>
        <w:jc w:val="both"/>
        <w:rPr>
          <w:sz w:val="23"/>
        </w:rPr>
      </w:pPr>
      <w:r>
        <w:rPr>
          <w:sz w:val="23"/>
        </w:rPr>
        <w:t>PIBR</w:t>
      </w:r>
      <w:r>
        <w:rPr>
          <w:position w:val="-2"/>
          <w:sz w:val="15"/>
        </w:rPr>
        <w:t>t  </w:t>
      </w:r>
      <w:r>
        <w:rPr>
          <w:sz w:val="23"/>
        </w:rPr>
        <w:t>= </w:t>
      </w:r>
      <w:r>
        <w:rPr>
          <w:i/>
          <w:sz w:val="23"/>
        </w:rPr>
        <w:t>f </w:t>
      </w:r>
      <w:r>
        <w:rPr>
          <w:sz w:val="23"/>
        </w:rPr>
        <w:t>(CTR</w:t>
      </w:r>
      <w:r>
        <w:rPr>
          <w:position w:val="-2"/>
          <w:sz w:val="15"/>
        </w:rPr>
        <w:t>t</w:t>
      </w:r>
      <w:r>
        <w:rPr>
          <w:sz w:val="23"/>
        </w:rPr>
        <w:t>, ITR</w:t>
      </w:r>
      <w:r>
        <w:rPr>
          <w:position w:val="-2"/>
          <w:sz w:val="15"/>
        </w:rPr>
        <w:t>t</w:t>
      </w:r>
      <w:r>
        <w:rPr>
          <w:sz w:val="23"/>
        </w:rPr>
        <w:t>, GTR</w:t>
      </w:r>
      <w:r>
        <w:rPr>
          <w:position w:val="-2"/>
          <w:sz w:val="15"/>
        </w:rPr>
        <w:t>t</w:t>
      </w:r>
      <w:r>
        <w:rPr>
          <w:sz w:val="23"/>
        </w:rPr>
        <w:t>, XNTR</w:t>
      </w:r>
      <w:r>
        <w:rPr>
          <w:position w:val="-2"/>
          <w:sz w:val="15"/>
        </w:rPr>
        <w:t>t</w:t>
      </w:r>
      <w:r>
        <w:rPr>
          <w:sz w:val="23"/>
        </w:rPr>
        <w:t>, NM</w:t>
      </w:r>
      <w:r>
        <w:rPr>
          <w:position w:val="-2"/>
          <w:sz w:val="15"/>
        </w:rPr>
        <w:t>t</w:t>
      </w:r>
      <w:r>
        <w:rPr>
          <w:sz w:val="23"/>
        </w:rPr>
        <w:t>)</w:t>
      </w:r>
    </w:p>
    <w:p>
      <w:pPr>
        <w:pStyle w:val="BodyText"/>
        <w:rPr>
          <w:sz w:val="28"/>
        </w:rPr>
      </w:pPr>
    </w:p>
    <w:p>
      <w:pPr>
        <w:pStyle w:val="BodyText"/>
        <w:ind w:left="101"/>
        <w:jc w:val="both"/>
      </w:pPr>
      <w:r>
        <w:rPr/>
        <w:t>Donde:</w:t>
      </w:r>
    </w:p>
    <w:p>
      <w:pPr>
        <w:pStyle w:val="BodyText"/>
        <w:spacing w:before="11"/>
        <w:rPr>
          <w:sz w:val="28"/>
        </w:rPr>
      </w:pPr>
    </w:p>
    <w:p>
      <w:pPr>
        <w:pStyle w:val="BodyText"/>
        <w:tabs>
          <w:tab w:pos="929" w:val="left" w:leader="none"/>
        </w:tabs>
        <w:spacing w:line="408" w:lineRule="auto"/>
        <w:ind w:left="101" w:right="2555"/>
      </w:pPr>
      <w:r>
        <w:rPr/>
        <w:t>PIBR</w:t>
      </w:r>
      <w:r>
        <w:rPr>
          <w:position w:val="-2"/>
          <w:sz w:val="15"/>
        </w:rPr>
        <w:t>t</w:t>
        <w:tab/>
      </w:r>
      <w:r>
        <w:rPr/>
        <w:t>= Producto Interno Real en México (millones</w:t>
      </w:r>
      <w:r>
        <w:rPr>
          <w:spacing w:val="52"/>
        </w:rPr>
        <w:t> </w:t>
      </w:r>
      <w:r>
        <w:rPr/>
        <w:t>de</w:t>
      </w:r>
      <w:r>
        <w:rPr>
          <w:spacing w:val="6"/>
        </w:rPr>
        <w:t> </w:t>
      </w:r>
      <w:r>
        <w:rPr/>
        <w:t>dólares)</w:t>
      </w:r>
      <w:r>
        <w:rPr>
          <w:w w:val="101"/>
        </w:rPr>
        <w:t> </w:t>
      </w:r>
      <w:r>
        <w:rPr/>
        <w:t>CTR</w:t>
      </w:r>
      <w:r>
        <w:rPr>
          <w:position w:val="-2"/>
          <w:sz w:val="15"/>
        </w:rPr>
        <w:t>t</w:t>
        <w:tab/>
      </w:r>
      <w:r>
        <w:rPr/>
        <w:t>= Consumo total real en México (millones</w:t>
      </w:r>
      <w:r>
        <w:rPr>
          <w:spacing w:val="47"/>
        </w:rPr>
        <w:t> </w:t>
      </w:r>
      <w:r>
        <w:rPr/>
        <w:t>de</w:t>
      </w:r>
      <w:r>
        <w:rPr>
          <w:spacing w:val="9"/>
        </w:rPr>
        <w:t> </w:t>
      </w:r>
      <w:r>
        <w:rPr/>
        <w:t>dólares)</w:t>
      </w:r>
      <w:r>
        <w:rPr>
          <w:w w:val="101"/>
        </w:rPr>
        <w:t> </w:t>
      </w:r>
      <w:r>
        <w:rPr/>
        <w:t>ITR</w:t>
      </w:r>
      <w:r>
        <w:rPr>
          <w:position w:val="-2"/>
          <w:sz w:val="15"/>
        </w:rPr>
        <w:t>t</w:t>
        <w:tab/>
      </w:r>
      <w:r>
        <w:rPr/>
        <w:t>= Inversión total real en México (millones de</w:t>
      </w:r>
      <w:r>
        <w:rPr>
          <w:spacing w:val="41"/>
        </w:rPr>
        <w:t> </w:t>
      </w:r>
      <w:r>
        <w:rPr/>
        <w:t>dólares)</w:t>
      </w:r>
    </w:p>
    <w:p>
      <w:pPr>
        <w:pStyle w:val="BodyText"/>
        <w:spacing w:line="277" w:lineRule="exact"/>
        <w:ind w:left="101"/>
        <w:jc w:val="both"/>
      </w:pPr>
      <w:r>
        <w:rPr/>
        <w:t>GTR</w:t>
      </w:r>
      <w:r>
        <w:rPr>
          <w:position w:val="-2"/>
          <w:sz w:val="15"/>
        </w:rPr>
        <w:t>t        </w:t>
      </w:r>
      <w:r>
        <w:rPr/>
        <w:t>= Gasto gubernamental total en México (millones de dólares)</w:t>
      </w:r>
    </w:p>
    <w:p>
      <w:pPr>
        <w:pStyle w:val="BodyText"/>
        <w:tabs>
          <w:tab w:pos="898" w:val="left" w:leader="none"/>
        </w:tabs>
        <w:spacing w:line="408" w:lineRule="auto" w:before="183"/>
        <w:ind w:left="101" w:right="1273"/>
      </w:pPr>
      <w:r>
        <w:rPr/>
        <w:t>XNTR</w:t>
      </w:r>
      <w:r>
        <w:rPr>
          <w:position w:val="-2"/>
          <w:sz w:val="15"/>
        </w:rPr>
        <w:t>t </w:t>
      </w:r>
      <w:r>
        <w:rPr/>
        <w:t>= Exportaciones netas totales reales en México (millones de dólares) NM</w:t>
      </w:r>
      <w:r>
        <w:rPr>
          <w:position w:val="-2"/>
          <w:sz w:val="15"/>
        </w:rPr>
        <w:t>t</w:t>
        <w:tab/>
      </w:r>
      <w:r>
        <w:rPr/>
        <w:t>= Número de</w:t>
      </w:r>
      <w:r>
        <w:rPr>
          <w:spacing w:val="27"/>
        </w:rPr>
        <w:t> </w:t>
      </w:r>
      <w:r>
        <w:rPr/>
        <w:t>emigrantes</w:t>
      </w:r>
    </w:p>
    <w:p>
      <w:pPr>
        <w:pStyle w:val="BodyText"/>
        <w:rPr>
          <w:sz w:val="24"/>
        </w:rPr>
      </w:pPr>
    </w:p>
    <w:p>
      <w:pPr>
        <w:pStyle w:val="BodyText"/>
        <w:spacing w:line="364" w:lineRule="auto" w:before="184"/>
        <w:ind w:left="101" w:right="103"/>
        <w:jc w:val="both"/>
      </w:pPr>
      <w:r>
        <w:rPr/>
        <w:t>El PIB presenta una relación directa con respecto al consumo, es decir, al aumentar el consumo provocará que aumente la producción para cubrir la demanda. Sucede lo mismo con la inversión, ya que al haber un flujo mayor de inversión esto generará más empleos lo que hace que la producción aumente. Al aumentar la inversión provocará mayor empleo, y esto a su vez, mayor producción.   Al aumentar las exportaciones   netas por la demanda en el extranjero de productos originará que se genere más producción. También se espera una relación directa con el gasto de gobierno, y una relación inversa con el número de emigrantes, </w:t>
      </w:r>
      <w:r>
        <w:rPr>
          <w:spacing w:val="-4"/>
        </w:rPr>
        <w:t>ya </w:t>
      </w:r>
      <w:r>
        <w:rPr/>
        <w:t>que al aumentar este índice significa que no hay</w:t>
      </w:r>
      <w:r>
        <w:rPr>
          <w:spacing w:val="27"/>
        </w:rPr>
        <w:t> </w:t>
      </w:r>
      <w:r>
        <w:rPr/>
        <w:t>producción.</w:t>
      </w:r>
    </w:p>
    <w:p>
      <w:pPr>
        <w:pStyle w:val="BodyText"/>
        <w:rPr>
          <w:sz w:val="22"/>
        </w:rPr>
      </w:pPr>
    </w:p>
    <w:p>
      <w:pPr>
        <w:pStyle w:val="BodyText"/>
        <w:rPr>
          <w:sz w:val="22"/>
        </w:rPr>
      </w:pPr>
    </w:p>
    <w:p>
      <w:pPr>
        <w:pStyle w:val="Heading4"/>
        <w:spacing w:before="192"/>
        <w:jc w:val="both"/>
      </w:pPr>
      <w:r>
        <w:rPr/>
        <w:t>Relación funcional de la inversión</w:t>
      </w:r>
      <w:r>
        <w:rPr>
          <w:spacing w:val="55"/>
        </w:rPr>
        <w:t> </w:t>
      </w:r>
      <w:r>
        <w:rPr/>
        <w:t>(INVTR</w:t>
      </w:r>
      <w:r>
        <w:rPr>
          <w:position w:val="-2"/>
          <w:sz w:val="15"/>
        </w:rPr>
        <w:t>t</w:t>
      </w:r>
      <w:r>
        <w:rPr/>
        <w:t>)</w:t>
      </w:r>
    </w:p>
    <w:p>
      <w:pPr>
        <w:pStyle w:val="BodyText"/>
        <w:spacing w:before="10"/>
        <w:rPr>
          <w:b/>
          <w:sz w:val="19"/>
        </w:rPr>
      </w:pPr>
    </w:p>
    <w:p>
      <w:pPr>
        <w:pStyle w:val="BodyText"/>
        <w:spacing w:line="364" w:lineRule="auto"/>
        <w:ind w:left="101" w:right="102"/>
      </w:pPr>
      <w:r>
        <w:rPr/>
        <w:t>La inversión es fundamental para toda economía, ya que es uno de los factores más importantes  para la  producción.  Ahora  bien  la inversión (formación  bruta de    capital)</w:t>
      </w:r>
    </w:p>
    <w:p>
      <w:pPr>
        <w:spacing w:after="0" w:line="364" w:lineRule="auto"/>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8"/>
        <w:jc w:val="both"/>
      </w:pPr>
      <w:r>
        <w:rPr/>
        <w:t>tiene su sustento en el ahorro. Ese ahorro convertido en reinversión generara más riquezas. Por lo que la función de estudio es la</w:t>
      </w:r>
      <w:r>
        <w:rPr>
          <w:spacing w:val="61"/>
        </w:rPr>
        <w:t> </w:t>
      </w:r>
      <w:r>
        <w:rPr/>
        <w:t>siguiente.</w:t>
      </w:r>
    </w:p>
    <w:p>
      <w:pPr>
        <w:spacing w:before="197"/>
        <w:ind w:left="101" w:right="0" w:firstLine="0"/>
        <w:jc w:val="both"/>
        <w:rPr>
          <w:sz w:val="23"/>
        </w:rPr>
      </w:pPr>
      <w:r>
        <w:rPr>
          <w:sz w:val="23"/>
        </w:rPr>
        <w:t>INVTR</w:t>
      </w:r>
      <w:r>
        <w:rPr>
          <w:position w:val="-2"/>
          <w:sz w:val="15"/>
        </w:rPr>
        <w:t>t  </w:t>
      </w:r>
      <w:r>
        <w:rPr>
          <w:sz w:val="23"/>
        </w:rPr>
        <w:t>= </w:t>
      </w:r>
      <w:r>
        <w:rPr>
          <w:i/>
          <w:sz w:val="23"/>
        </w:rPr>
        <w:t>f </w:t>
      </w:r>
      <w:r>
        <w:rPr>
          <w:sz w:val="23"/>
        </w:rPr>
        <w:t>(TC</w:t>
      </w:r>
      <w:r>
        <w:rPr>
          <w:position w:val="-2"/>
          <w:sz w:val="15"/>
        </w:rPr>
        <w:t>t</w:t>
      </w:r>
      <w:r>
        <w:rPr>
          <w:sz w:val="23"/>
        </w:rPr>
        <w:t>, TI</w:t>
      </w:r>
      <w:r>
        <w:rPr>
          <w:position w:val="-2"/>
          <w:sz w:val="15"/>
        </w:rPr>
        <w:t>t</w:t>
      </w:r>
      <w:r>
        <w:rPr>
          <w:sz w:val="23"/>
        </w:rPr>
        <w:t>, GT</w:t>
      </w:r>
      <w:r>
        <w:rPr>
          <w:position w:val="-2"/>
          <w:sz w:val="15"/>
        </w:rPr>
        <w:t>t</w:t>
      </w:r>
      <w:r>
        <w:rPr>
          <w:sz w:val="23"/>
        </w:rPr>
        <w:t>, PIBR</w:t>
      </w:r>
      <w:r>
        <w:rPr>
          <w:position w:val="-2"/>
          <w:sz w:val="15"/>
        </w:rPr>
        <w:t>t</w:t>
      </w:r>
      <w:r>
        <w:rPr>
          <w:sz w:val="23"/>
        </w:rPr>
        <w:t>, INF</w:t>
      </w:r>
      <w:r>
        <w:rPr>
          <w:position w:val="-2"/>
          <w:sz w:val="15"/>
        </w:rPr>
        <w:t>t</w:t>
      </w:r>
      <w:r>
        <w:rPr>
          <w:sz w:val="23"/>
        </w:rPr>
        <w:t>)</w:t>
      </w:r>
    </w:p>
    <w:p>
      <w:pPr>
        <w:pStyle w:val="BodyText"/>
        <w:rPr>
          <w:sz w:val="28"/>
        </w:rPr>
      </w:pPr>
    </w:p>
    <w:p>
      <w:pPr>
        <w:pStyle w:val="BodyText"/>
        <w:ind w:left="101"/>
        <w:jc w:val="both"/>
      </w:pPr>
      <w:r>
        <w:rPr/>
        <w:t>Donde:</w:t>
      </w:r>
    </w:p>
    <w:p>
      <w:pPr>
        <w:pStyle w:val="BodyText"/>
        <w:spacing w:before="11"/>
        <w:rPr>
          <w:sz w:val="28"/>
        </w:rPr>
      </w:pPr>
    </w:p>
    <w:p>
      <w:pPr>
        <w:pStyle w:val="BodyText"/>
        <w:tabs>
          <w:tab w:pos="953" w:val="left" w:leader="none"/>
        </w:tabs>
        <w:spacing w:line="408" w:lineRule="auto"/>
        <w:ind w:left="101" w:right="2937"/>
      </w:pPr>
      <w:r>
        <w:rPr/>
        <w:t>INVTR</w:t>
      </w:r>
      <w:r>
        <w:rPr>
          <w:position w:val="-2"/>
          <w:sz w:val="15"/>
        </w:rPr>
        <w:t>t </w:t>
      </w:r>
      <w:r>
        <w:rPr/>
        <w:t>= Inversión total real en México (millones de dólares) TC</w:t>
      </w:r>
      <w:r>
        <w:rPr>
          <w:position w:val="-2"/>
          <w:sz w:val="15"/>
        </w:rPr>
        <w:t>t</w:t>
        <w:tab/>
      </w:r>
      <w:r>
        <w:rPr/>
        <w:t>= Tipo de cambio en México</w:t>
      </w:r>
      <w:r>
        <w:rPr>
          <w:spacing w:val="46"/>
        </w:rPr>
        <w:t> </w:t>
      </w:r>
      <w:r>
        <w:rPr/>
        <w:t>(pesos/dólar)</w:t>
      </w:r>
    </w:p>
    <w:p>
      <w:pPr>
        <w:pStyle w:val="BodyText"/>
        <w:tabs>
          <w:tab w:pos="979" w:val="left" w:leader="none"/>
        </w:tabs>
        <w:spacing w:line="277" w:lineRule="exact"/>
        <w:ind w:left="101"/>
        <w:jc w:val="both"/>
      </w:pPr>
      <w:r>
        <w:rPr/>
        <w:t>TI</w:t>
      </w:r>
      <w:r>
        <w:rPr>
          <w:position w:val="-2"/>
          <w:sz w:val="15"/>
        </w:rPr>
        <w:t>t</w:t>
        <w:tab/>
      </w:r>
      <w:r>
        <w:rPr/>
        <w:t>=Tasa de</w:t>
      </w:r>
      <w:r>
        <w:rPr>
          <w:spacing w:val="16"/>
        </w:rPr>
        <w:t> </w:t>
      </w:r>
      <w:r>
        <w:rPr/>
        <w:t>interés</w:t>
      </w:r>
    </w:p>
    <w:p>
      <w:pPr>
        <w:pStyle w:val="BodyText"/>
        <w:tabs>
          <w:tab w:pos="977" w:val="left" w:leader="none"/>
        </w:tabs>
        <w:spacing w:line="408" w:lineRule="auto" w:before="185"/>
        <w:ind w:left="101" w:right="1996"/>
        <w:jc w:val="both"/>
      </w:pPr>
      <w:r>
        <w:rPr/>
        <w:t>GT</w:t>
      </w:r>
      <w:r>
        <w:rPr>
          <w:position w:val="-2"/>
          <w:sz w:val="15"/>
        </w:rPr>
        <w:t>t</w:t>
        <w:tab/>
      </w:r>
      <w:r>
        <w:rPr/>
        <w:t>= Gasto gubernamental total en México (millones</w:t>
      </w:r>
      <w:r>
        <w:rPr>
          <w:spacing w:val="58"/>
        </w:rPr>
        <w:t> </w:t>
      </w:r>
      <w:r>
        <w:rPr/>
        <w:t>de</w:t>
      </w:r>
      <w:r>
        <w:rPr>
          <w:spacing w:val="5"/>
        </w:rPr>
        <w:t> </w:t>
      </w:r>
      <w:r>
        <w:rPr/>
        <w:t>dólares)</w:t>
      </w:r>
      <w:r>
        <w:rPr>
          <w:w w:val="101"/>
        </w:rPr>
        <w:t> </w:t>
      </w:r>
      <w:r>
        <w:rPr/>
        <w:t>PIBR</w:t>
      </w:r>
      <w:r>
        <w:rPr>
          <w:position w:val="-2"/>
          <w:sz w:val="15"/>
        </w:rPr>
        <w:t>t </w:t>
      </w:r>
      <w:r>
        <w:rPr/>
        <w:t>= Producto interno bruto real en México (millones de dólares) INF</w:t>
      </w:r>
      <w:r>
        <w:rPr>
          <w:position w:val="-2"/>
          <w:sz w:val="15"/>
        </w:rPr>
        <w:t>t</w:t>
        <w:tab/>
      </w:r>
      <w:r>
        <w:rPr/>
        <w:t>= Inflación anual en</w:t>
      </w:r>
      <w:r>
        <w:rPr>
          <w:spacing w:val="28"/>
        </w:rPr>
        <w:t> </w:t>
      </w:r>
      <w:r>
        <w:rPr/>
        <w:t>México</w:t>
      </w:r>
    </w:p>
    <w:p>
      <w:pPr>
        <w:pStyle w:val="BodyText"/>
        <w:rPr>
          <w:sz w:val="24"/>
        </w:rPr>
      </w:pPr>
    </w:p>
    <w:p>
      <w:pPr>
        <w:pStyle w:val="BodyText"/>
        <w:spacing w:before="7"/>
        <w:rPr>
          <w:sz w:val="27"/>
        </w:rPr>
      </w:pPr>
    </w:p>
    <w:p>
      <w:pPr>
        <w:pStyle w:val="BodyText"/>
        <w:spacing w:line="364" w:lineRule="auto" w:before="1"/>
        <w:ind w:left="101" w:right="105"/>
        <w:jc w:val="both"/>
      </w:pPr>
      <w:r>
        <w:rPr/>
        <w:t>La relación del tipo de cambio frente a la inversión es directa, ya que al mantenerse estable la paridad del peso frente al dólar originara que inviertan con mayor frecuencia en</w:t>
      </w:r>
      <w:r>
        <w:rPr>
          <w:spacing w:val="11"/>
        </w:rPr>
        <w:t> </w:t>
      </w:r>
      <w:r>
        <w:rPr/>
        <w:t>México.</w:t>
      </w:r>
    </w:p>
    <w:p>
      <w:pPr>
        <w:pStyle w:val="BodyText"/>
        <w:spacing w:line="364" w:lineRule="auto" w:before="197"/>
        <w:ind w:left="101" w:right="105"/>
        <w:jc w:val="both"/>
      </w:pPr>
      <w:r>
        <w:rPr/>
        <w:t>Los inversionistas al obtener un premio mayor por invertir su dinero decidirán quedarse  y esto evitará la fuga de capitales, dando una relación directa de la tasa de interés con respecto a la</w:t>
      </w:r>
      <w:r>
        <w:rPr>
          <w:spacing w:val="24"/>
        </w:rPr>
        <w:t> </w:t>
      </w:r>
      <w:r>
        <w:rPr/>
        <w:t>inversión.</w:t>
      </w:r>
    </w:p>
    <w:p>
      <w:pPr>
        <w:pStyle w:val="BodyText"/>
        <w:spacing w:before="4"/>
        <w:rPr>
          <w:sz w:val="17"/>
        </w:rPr>
      </w:pPr>
    </w:p>
    <w:p>
      <w:pPr>
        <w:pStyle w:val="BodyText"/>
        <w:spacing w:line="364" w:lineRule="auto"/>
        <w:ind w:left="101" w:right="104"/>
        <w:jc w:val="both"/>
      </w:pPr>
      <w:r>
        <w:rPr/>
        <w:t>En lo referente al Producto interno bruto y la inversión se tiene una relació</w:t>
      </w:r>
      <w:r>
        <w:rPr>
          <w:sz w:val="21"/>
        </w:rPr>
        <w:t>n directa, </w:t>
      </w:r>
      <w:r>
        <w:rPr/>
        <w:t>al haber más producción originara un ámbito más favorable para invertir, ya que existirá más confianza en obtener una mayor ganancia por invertir en  México.</w:t>
      </w:r>
    </w:p>
    <w:p>
      <w:pPr>
        <w:pStyle w:val="BodyText"/>
        <w:rPr>
          <w:sz w:val="22"/>
        </w:rPr>
      </w:pPr>
    </w:p>
    <w:p>
      <w:pPr>
        <w:pStyle w:val="BodyText"/>
        <w:rPr>
          <w:sz w:val="22"/>
        </w:rPr>
      </w:pPr>
    </w:p>
    <w:p>
      <w:pPr>
        <w:pStyle w:val="BodyText"/>
        <w:spacing w:before="1"/>
        <w:rPr>
          <w:sz w:val="25"/>
        </w:rPr>
      </w:pPr>
    </w:p>
    <w:p>
      <w:pPr>
        <w:pStyle w:val="Heading4"/>
        <w:jc w:val="both"/>
      </w:pPr>
      <w:r>
        <w:rPr/>
        <w:t>Relación funcional de la inflación (INF</w:t>
      </w:r>
      <w:r>
        <w:rPr>
          <w:position w:val="-2"/>
          <w:sz w:val="15"/>
        </w:rPr>
        <w:t>t</w:t>
      </w:r>
      <w:r>
        <w:rPr/>
        <w:t>)</w:t>
      </w:r>
    </w:p>
    <w:p>
      <w:pPr>
        <w:pStyle w:val="BodyText"/>
        <w:rPr>
          <w:b/>
          <w:sz w:val="28"/>
        </w:rPr>
      </w:pPr>
    </w:p>
    <w:p>
      <w:pPr>
        <w:pStyle w:val="BodyText"/>
        <w:spacing w:line="364" w:lineRule="auto"/>
        <w:ind w:left="101" w:right="102"/>
        <w:jc w:val="both"/>
      </w:pPr>
      <w:r>
        <w:rPr/>
        <w:t>Un factor muy importante es la inflación, ya que de ella depende que el consumo aumente o disminuya, si hay un consumo mayor el producto interno bruto crece y eso   se traduce en la creación de más empleos, ya que la producción de bienes y servicios necesita ser</w:t>
      </w:r>
      <w:r>
        <w:rPr>
          <w:spacing w:val="21"/>
        </w:rPr>
        <w:t> </w:t>
      </w:r>
      <w:r>
        <w:rPr/>
        <w:t>mayor.</w:t>
      </w:r>
    </w:p>
    <w:p>
      <w:pPr>
        <w:spacing w:after="0" w:line="364" w:lineRule="auto"/>
        <w:jc w:val="both"/>
        <w:sectPr>
          <w:footerReference w:type="default" r:id="rId361"/>
          <w:pgSz w:w="11900" w:h="16840"/>
          <w:pgMar w:footer="1679" w:header="0" w:top="1600" w:bottom="1860" w:left="1300" w:right="1280"/>
          <w:pgNumType w:start="280"/>
        </w:sectPr>
      </w:pPr>
    </w:p>
    <w:p>
      <w:pPr>
        <w:pStyle w:val="BodyText"/>
        <w:rPr>
          <w:sz w:val="20"/>
        </w:rPr>
      </w:pPr>
    </w:p>
    <w:p>
      <w:pPr>
        <w:pStyle w:val="BodyText"/>
        <w:spacing w:before="8"/>
        <w:rPr>
          <w:sz w:val="18"/>
        </w:rPr>
      </w:pPr>
    </w:p>
    <w:p>
      <w:pPr>
        <w:pStyle w:val="BodyText"/>
        <w:spacing w:line="540" w:lineRule="auto" w:before="74"/>
        <w:ind w:left="101" w:right="638"/>
      </w:pPr>
      <w:r>
        <w:rPr/>
        <w:t>La relación funcional de la inflación de México se presenta de la siguiente forma: INF</w:t>
      </w:r>
      <w:r>
        <w:rPr>
          <w:position w:val="-2"/>
          <w:sz w:val="15"/>
        </w:rPr>
        <w:t>t  </w:t>
      </w:r>
      <w:r>
        <w:rPr/>
        <w:t>= </w:t>
      </w:r>
      <w:r>
        <w:rPr>
          <w:i/>
        </w:rPr>
        <w:t>f </w:t>
      </w:r>
      <w:r>
        <w:rPr/>
        <w:t>(U</w:t>
      </w:r>
      <w:r>
        <w:rPr>
          <w:position w:val="-2"/>
          <w:sz w:val="15"/>
        </w:rPr>
        <w:t>t</w:t>
      </w:r>
      <w:r>
        <w:rPr/>
        <w:t>, TC</w:t>
      </w:r>
      <w:r>
        <w:rPr>
          <w:position w:val="-2"/>
          <w:sz w:val="15"/>
        </w:rPr>
        <w:t>t</w:t>
      </w:r>
      <w:r>
        <w:rPr/>
        <w:t>, TI</w:t>
      </w:r>
      <w:r>
        <w:rPr>
          <w:position w:val="-2"/>
          <w:sz w:val="15"/>
        </w:rPr>
        <w:t>t</w:t>
      </w:r>
      <w:r>
        <w:rPr/>
        <w:t>, INPC</w:t>
      </w:r>
      <w:r>
        <w:rPr>
          <w:position w:val="-2"/>
          <w:sz w:val="15"/>
        </w:rPr>
        <w:t>t</w:t>
      </w:r>
      <w:r>
        <w:rPr/>
        <w:t>, PIBR</w:t>
      </w:r>
      <w:r>
        <w:rPr>
          <w:position w:val="-2"/>
          <w:sz w:val="15"/>
        </w:rPr>
        <w:t>t</w:t>
      </w:r>
      <w:r>
        <w:rPr/>
        <w:t>)</w:t>
      </w:r>
    </w:p>
    <w:p>
      <w:pPr>
        <w:pStyle w:val="BodyText"/>
        <w:spacing w:line="249" w:lineRule="exact"/>
        <w:ind w:left="101"/>
        <w:jc w:val="both"/>
      </w:pPr>
      <w:r>
        <w:rPr/>
        <w:t>Donde:</w:t>
      </w:r>
    </w:p>
    <w:p>
      <w:pPr>
        <w:pStyle w:val="BodyText"/>
        <w:spacing w:before="8"/>
        <w:rPr>
          <w:sz w:val="28"/>
        </w:rPr>
      </w:pPr>
    </w:p>
    <w:p>
      <w:pPr>
        <w:pStyle w:val="BodyText"/>
        <w:spacing w:line="446" w:lineRule="auto"/>
        <w:ind w:left="101" w:right="2233"/>
      </w:pPr>
      <w:r>
        <w:rPr/>
        <w:t>PIBR</w:t>
      </w:r>
      <w:r>
        <w:rPr>
          <w:position w:val="-2"/>
          <w:sz w:val="15"/>
        </w:rPr>
        <w:t>t </w:t>
      </w:r>
      <w:r>
        <w:rPr/>
        <w:t>= Producto interno bruto real en México (millones de dólares) INPC</w:t>
      </w:r>
      <w:r>
        <w:rPr>
          <w:position w:val="-2"/>
          <w:sz w:val="15"/>
        </w:rPr>
        <w:t>t     </w:t>
      </w:r>
      <w:r>
        <w:rPr/>
        <w:t>= Índice nacional de precios al consumidor (base</w:t>
      </w:r>
      <w:r>
        <w:rPr>
          <w:spacing w:val="51"/>
        </w:rPr>
        <w:t> </w:t>
      </w:r>
      <w:r>
        <w:rPr/>
        <w:t>2002)</w:t>
      </w:r>
    </w:p>
    <w:p>
      <w:pPr>
        <w:pStyle w:val="BodyText"/>
        <w:tabs>
          <w:tab w:pos="850" w:val="left" w:leader="none"/>
          <w:tab w:pos="977" w:val="left" w:leader="none"/>
        </w:tabs>
        <w:spacing w:line="444" w:lineRule="auto"/>
        <w:ind w:left="101" w:right="3258"/>
      </w:pPr>
      <w:r>
        <w:rPr/>
        <w:t>TC</w:t>
      </w:r>
      <w:r>
        <w:rPr>
          <w:position w:val="-2"/>
          <w:sz w:val="15"/>
        </w:rPr>
        <w:t>t</w:t>
        <w:tab/>
        <w:tab/>
      </w:r>
      <w:r>
        <w:rPr/>
        <w:t>= Tipo de cambio en México (paridad</w:t>
      </w:r>
      <w:r>
        <w:rPr>
          <w:spacing w:val="47"/>
        </w:rPr>
        <w:t> </w:t>
      </w:r>
      <w:r>
        <w:rPr/>
        <w:t>peso</w:t>
      </w:r>
      <w:r>
        <w:rPr>
          <w:spacing w:val="6"/>
        </w:rPr>
        <w:t> </w:t>
      </w:r>
      <w:r>
        <w:rPr/>
        <w:t>dólar)</w:t>
      </w:r>
      <w:r>
        <w:rPr>
          <w:w w:val="101"/>
        </w:rPr>
        <w:t> </w:t>
      </w:r>
      <w:r>
        <w:rPr/>
        <w:t>TI</w:t>
      </w:r>
      <w:r>
        <w:rPr>
          <w:position w:val="-2"/>
          <w:sz w:val="15"/>
        </w:rPr>
        <w:t>t</w:t>
        <w:tab/>
      </w:r>
      <w:r>
        <w:rPr/>
        <w:t>= Tasa de</w:t>
      </w:r>
      <w:r>
        <w:rPr>
          <w:spacing w:val="17"/>
        </w:rPr>
        <w:t> </w:t>
      </w:r>
      <w:r>
        <w:rPr/>
        <w:t>interés</w:t>
      </w:r>
    </w:p>
    <w:p>
      <w:pPr>
        <w:pStyle w:val="BodyText"/>
        <w:tabs>
          <w:tab w:pos="897" w:val="left" w:leader="none"/>
        </w:tabs>
        <w:spacing w:line="274" w:lineRule="exact"/>
        <w:ind w:left="101"/>
        <w:jc w:val="both"/>
      </w:pPr>
      <w:r>
        <w:rPr/>
        <w:t>U</w:t>
      </w:r>
      <w:r>
        <w:rPr>
          <w:position w:val="-2"/>
          <w:sz w:val="15"/>
        </w:rPr>
        <w:t>t</w:t>
        <w:tab/>
      </w:r>
      <w:r>
        <w:rPr/>
        <w:t>= Tasa de desempleo en</w:t>
      </w:r>
      <w:r>
        <w:rPr>
          <w:spacing w:val="35"/>
        </w:rPr>
        <w:t> </w:t>
      </w:r>
      <w:r>
        <w:rPr/>
        <w:t>México</w:t>
      </w:r>
    </w:p>
    <w:p>
      <w:pPr>
        <w:pStyle w:val="BodyText"/>
        <w:rPr>
          <w:sz w:val="24"/>
        </w:rPr>
      </w:pPr>
    </w:p>
    <w:p>
      <w:pPr>
        <w:pStyle w:val="BodyText"/>
        <w:rPr>
          <w:sz w:val="24"/>
        </w:rPr>
      </w:pPr>
    </w:p>
    <w:p>
      <w:pPr>
        <w:pStyle w:val="BodyText"/>
        <w:spacing w:before="7"/>
      </w:pPr>
    </w:p>
    <w:p>
      <w:pPr>
        <w:pStyle w:val="BodyText"/>
        <w:spacing w:line="364" w:lineRule="auto"/>
        <w:ind w:left="101" w:right="103"/>
        <w:jc w:val="both"/>
      </w:pPr>
      <w:r>
        <w:rPr/>
        <w:t>Se espera una relación inversa del PIB respecto de la inflación. Si la  inflación  aumentara el PIB disminuirá, originando que la producción se  encarezca. Se espera  una relación indirecta entre la inflación y el desempleo, ya que al incrementarse el desempleo la inflación disminuirá o</w:t>
      </w:r>
      <w:r>
        <w:rPr>
          <w:spacing w:val="51"/>
        </w:rPr>
        <w:t> </w:t>
      </w:r>
      <w:r>
        <w:rPr/>
        <w:t>aumentará.</w:t>
      </w:r>
    </w:p>
    <w:p>
      <w:pPr>
        <w:pStyle w:val="BodyText"/>
        <w:spacing w:line="364" w:lineRule="auto" w:before="197"/>
        <w:ind w:left="101" w:right="105"/>
        <w:jc w:val="both"/>
      </w:pPr>
      <w:r>
        <w:rPr/>
        <w:t>Por otro lado se espera una relación directa entre la inflación y el INPC, ya que al incrementarse el índice nacional de precios al consumidor (INPC), se incrementa la inflación.</w:t>
      </w:r>
    </w:p>
    <w:p>
      <w:pPr>
        <w:pStyle w:val="BodyText"/>
        <w:spacing w:before="4"/>
        <w:rPr>
          <w:sz w:val="17"/>
        </w:rPr>
      </w:pPr>
    </w:p>
    <w:p>
      <w:pPr>
        <w:pStyle w:val="BodyText"/>
        <w:spacing w:line="364" w:lineRule="auto"/>
        <w:ind w:left="101" w:right="103"/>
        <w:jc w:val="both"/>
      </w:pPr>
      <w:r>
        <w:rPr/>
        <w:t>Por otra parte, se espera que la tasa de interés tenga una relación directa con respecto  a la inflación, ya que al aumentar la inflación el nivel de precios de bienes y servicios aumentara teniendo como efecto la disminución en el consumo. Si disminuye el  consumo el nivel de producción disminuye, teniendo como  efecto desempleo masivo.  Se espera una relación directa del tipo de cambio con respecto a la </w:t>
      </w:r>
      <w:r>
        <w:rPr>
          <w:spacing w:val="20"/>
        </w:rPr>
        <w:t> </w:t>
      </w:r>
      <w:r>
        <w:rPr/>
        <w:t>inflación.</w:t>
      </w:r>
    </w:p>
    <w:p>
      <w:pPr>
        <w:pStyle w:val="BodyText"/>
        <w:rPr>
          <w:sz w:val="22"/>
        </w:rPr>
      </w:pPr>
    </w:p>
    <w:p>
      <w:pPr>
        <w:pStyle w:val="BodyText"/>
        <w:rPr>
          <w:sz w:val="22"/>
        </w:rPr>
      </w:pPr>
    </w:p>
    <w:p>
      <w:pPr>
        <w:pStyle w:val="BodyText"/>
        <w:spacing w:before="3"/>
        <w:rPr>
          <w:sz w:val="25"/>
        </w:rPr>
      </w:pPr>
    </w:p>
    <w:p>
      <w:pPr>
        <w:pStyle w:val="Heading4"/>
        <w:jc w:val="both"/>
      </w:pPr>
      <w:r>
        <w:rPr/>
        <w:t>Relación funcional del desempleo (U</w:t>
      </w:r>
      <w:r>
        <w:rPr>
          <w:position w:val="-2"/>
          <w:sz w:val="15"/>
        </w:rPr>
        <w:t>t</w:t>
      </w:r>
      <w:r>
        <w:rPr/>
        <w:t>)</w:t>
      </w:r>
    </w:p>
    <w:p>
      <w:pPr>
        <w:pStyle w:val="BodyText"/>
        <w:rPr>
          <w:b/>
          <w:sz w:val="28"/>
        </w:rPr>
      </w:pPr>
    </w:p>
    <w:p>
      <w:pPr>
        <w:pStyle w:val="BodyText"/>
        <w:spacing w:line="364" w:lineRule="auto"/>
        <w:ind w:left="101" w:right="105"/>
        <w:jc w:val="both"/>
      </w:pPr>
      <w:r>
        <w:rPr/>
        <w:t>Una de las mayores preocupaciones del gobierno en la actualidad es el desempleo, ya que,   tanto un índice   alto como uno bajo tiene repercusiones en todos los sectores   de</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318"/>
      </w:pPr>
      <w:r>
        <w:rPr/>
        <w:t>la economía. Se tomaron ciertas variables para el planteamiento de  la  relación  funcional del desempleo, quedando de la siguiente </w:t>
      </w:r>
      <w:r>
        <w:rPr>
          <w:spacing w:val="2"/>
        </w:rPr>
        <w:t> </w:t>
      </w:r>
      <w:r>
        <w:rPr/>
        <w:t>manera:</w:t>
      </w:r>
    </w:p>
    <w:p>
      <w:pPr>
        <w:spacing w:before="197"/>
        <w:ind w:left="1401" w:right="102" w:firstLine="0"/>
        <w:jc w:val="left"/>
        <w:rPr>
          <w:sz w:val="23"/>
        </w:rPr>
      </w:pPr>
      <w:r>
        <w:rPr>
          <w:sz w:val="23"/>
        </w:rPr>
        <w:t>U</w:t>
      </w:r>
      <w:r>
        <w:rPr>
          <w:position w:val="-2"/>
          <w:sz w:val="15"/>
        </w:rPr>
        <w:t>t  </w:t>
      </w:r>
      <w:r>
        <w:rPr>
          <w:sz w:val="23"/>
        </w:rPr>
        <w:t>= </w:t>
      </w:r>
      <w:r>
        <w:rPr>
          <w:i/>
          <w:sz w:val="23"/>
        </w:rPr>
        <w:t>f </w:t>
      </w:r>
      <w:r>
        <w:rPr>
          <w:sz w:val="23"/>
        </w:rPr>
        <w:t>(INF</w:t>
      </w:r>
      <w:r>
        <w:rPr>
          <w:position w:val="-2"/>
          <w:sz w:val="15"/>
        </w:rPr>
        <w:t>t</w:t>
      </w:r>
      <w:r>
        <w:rPr>
          <w:sz w:val="23"/>
        </w:rPr>
        <w:t>, SM</w:t>
      </w:r>
      <w:r>
        <w:rPr>
          <w:position w:val="-2"/>
          <w:sz w:val="15"/>
        </w:rPr>
        <w:t>t</w:t>
      </w:r>
      <w:r>
        <w:rPr>
          <w:sz w:val="23"/>
        </w:rPr>
        <w:t>, PIBR</w:t>
      </w:r>
      <w:r>
        <w:rPr>
          <w:position w:val="-2"/>
          <w:sz w:val="15"/>
        </w:rPr>
        <w:t>t</w:t>
      </w:r>
      <w:r>
        <w:rPr>
          <w:sz w:val="23"/>
        </w:rPr>
        <w:t>, TC</w:t>
      </w:r>
      <w:r>
        <w:rPr>
          <w:position w:val="-2"/>
          <w:sz w:val="15"/>
        </w:rPr>
        <w:t>t</w:t>
      </w:r>
      <w:r>
        <w:rPr>
          <w:sz w:val="23"/>
        </w:rPr>
        <w:t>, NM</w:t>
      </w:r>
      <w:r>
        <w:rPr>
          <w:position w:val="-2"/>
          <w:sz w:val="15"/>
        </w:rPr>
        <w:t>t</w:t>
      </w:r>
      <w:r>
        <w:rPr>
          <w:sz w:val="23"/>
        </w:rPr>
        <w:t>)</w:t>
      </w:r>
    </w:p>
    <w:p>
      <w:pPr>
        <w:pStyle w:val="BodyText"/>
        <w:rPr>
          <w:sz w:val="28"/>
        </w:rPr>
      </w:pPr>
    </w:p>
    <w:p>
      <w:pPr>
        <w:pStyle w:val="BodyText"/>
        <w:ind w:left="101"/>
        <w:jc w:val="both"/>
      </w:pPr>
      <w:r>
        <w:rPr/>
        <w:t>Donde:</w:t>
      </w:r>
    </w:p>
    <w:p>
      <w:pPr>
        <w:pStyle w:val="BodyText"/>
        <w:spacing w:before="11"/>
        <w:rPr>
          <w:sz w:val="28"/>
        </w:rPr>
      </w:pPr>
    </w:p>
    <w:p>
      <w:pPr>
        <w:pStyle w:val="BodyText"/>
        <w:tabs>
          <w:tab w:pos="746" w:val="left" w:leader="none"/>
        </w:tabs>
        <w:spacing w:line="448" w:lineRule="auto"/>
        <w:ind w:left="101" w:right="5188"/>
      </w:pPr>
      <w:r>
        <w:rPr/>
        <w:t>U</w:t>
      </w:r>
      <w:r>
        <w:rPr>
          <w:position w:val="-2"/>
          <w:sz w:val="15"/>
        </w:rPr>
        <w:t>t</w:t>
        <w:tab/>
      </w:r>
      <w:r>
        <w:rPr/>
        <w:t>= Tasa de desempleo</w:t>
      </w:r>
      <w:r>
        <w:rPr>
          <w:spacing w:val="30"/>
        </w:rPr>
        <w:t> </w:t>
      </w:r>
      <w:r>
        <w:rPr/>
        <w:t>en</w:t>
      </w:r>
      <w:r>
        <w:rPr>
          <w:spacing w:val="7"/>
        </w:rPr>
        <w:t> </w:t>
      </w:r>
      <w:r>
        <w:rPr/>
        <w:t>México</w:t>
      </w:r>
      <w:r>
        <w:rPr>
          <w:w w:val="101"/>
        </w:rPr>
        <w:t> </w:t>
      </w:r>
      <w:r>
        <w:rPr/>
        <w:t>INF</w:t>
      </w:r>
      <w:r>
        <w:rPr>
          <w:position w:val="-2"/>
          <w:sz w:val="15"/>
        </w:rPr>
        <w:t>t     </w:t>
      </w:r>
      <w:r>
        <w:rPr/>
        <w:t>= inflación anual en</w:t>
      </w:r>
      <w:r>
        <w:rPr>
          <w:spacing w:val="20"/>
        </w:rPr>
        <w:t> </w:t>
      </w:r>
      <w:r>
        <w:rPr/>
        <w:t>México</w:t>
      </w:r>
    </w:p>
    <w:p>
      <w:pPr>
        <w:pStyle w:val="BodyText"/>
        <w:spacing w:line="267" w:lineRule="exact"/>
        <w:ind w:left="101"/>
        <w:jc w:val="both"/>
      </w:pPr>
      <w:r>
        <w:rPr/>
        <w:t>SM</w:t>
      </w:r>
      <w:r>
        <w:rPr>
          <w:position w:val="-2"/>
          <w:sz w:val="15"/>
        </w:rPr>
        <w:t>t       </w:t>
      </w:r>
      <w:r>
        <w:rPr/>
        <w:t>= Salario en México (pesos por día)</w:t>
      </w:r>
    </w:p>
    <w:p>
      <w:pPr>
        <w:pStyle w:val="BodyText"/>
        <w:spacing w:before="8"/>
        <w:rPr>
          <w:sz w:val="19"/>
        </w:rPr>
      </w:pPr>
    </w:p>
    <w:p>
      <w:pPr>
        <w:pStyle w:val="BodyText"/>
        <w:tabs>
          <w:tab w:pos="780" w:val="left" w:leader="none"/>
        </w:tabs>
        <w:spacing w:line="444" w:lineRule="auto"/>
        <w:ind w:left="101" w:right="2233"/>
      </w:pPr>
      <w:r>
        <w:rPr/>
        <w:t>PIBR</w:t>
      </w:r>
      <w:r>
        <w:rPr>
          <w:position w:val="-2"/>
          <w:sz w:val="15"/>
        </w:rPr>
        <w:t>t </w:t>
      </w:r>
      <w:r>
        <w:rPr/>
        <w:t>= Producto interno bruto real en México (millones de dólares) TC</w:t>
      </w:r>
      <w:r>
        <w:rPr>
          <w:position w:val="-2"/>
          <w:sz w:val="15"/>
        </w:rPr>
        <w:t>t</w:t>
        <w:tab/>
      </w:r>
      <w:r>
        <w:rPr/>
        <w:t>= Tipo de cambio</w:t>
      </w:r>
      <w:r>
        <w:rPr>
          <w:spacing w:val="35"/>
        </w:rPr>
        <w:t> </w:t>
      </w:r>
      <w:r>
        <w:rPr/>
        <w:t>(pesos/dólar)</w:t>
      </w:r>
    </w:p>
    <w:p>
      <w:pPr>
        <w:pStyle w:val="BodyText"/>
        <w:spacing w:line="277" w:lineRule="exact"/>
        <w:ind w:left="101"/>
        <w:jc w:val="both"/>
      </w:pPr>
      <w:r>
        <w:rPr/>
        <w:t>NM</w:t>
      </w:r>
      <w:r>
        <w:rPr>
          <w:position w:val="-2"/>
          <w:sz w:val="15"/>
        </w:rPr>
        <w:t>t    </w:t>
      </w:r>
      <w:r>
        <w:rPr/>
        <w:t>= Número  de emigrantes</w:t>
      </w:r>
    </w:p>
    <w:p>
      <w:pPr>
        <w:pStyle w:val="BodyText"/>
        <w:rPr>
          <w:sz w:val="24"/>
        </w:rPr>
      </w:pPr>
    </w:p>
    <w:p>
      <w:pPr>
        <w:pStyle w:val="BodyText"/>
        <w:rPr>
          <w:sz w:val="24"/>
        </w:rPr>
      </w:pPr>
    </w:p>
    <w:p>
      <w:pPr>
        <w:pStyle w:val="BodyText"/>
        <w:spacing w:before="5"/>
      </w:pPr>
    </w:p>
    <w:p>
      <w:pPr>
        <w:pStyle w:val="BodyText"/>
        <w:spacing w:line="364" w:lineRule="auto"/>
        <w:ind w:left="101" w:right="105"/>
        <w:jc w:val="both"/>
      </w:pPr>
      <w:r>
        <w:rPr/>
        <w:t>La relación desempleo-inflación es indirecta ya que al aumentar el índice de inflación disminuirá la tasa de desempleo y viceversa. También al existir una valuación del peso frente al dólar los índices de desempleo se reducirán, de la misma forma un incremento del salario mínimo originará que el desempleo disminuya. Finalmente, si las tasas de desempleo disminuyen, originara que se incrementaran los índices de  migración.</w:t>
      </w:r>
    </w:p>
    <w:p>
      <w:pPr>
        <w:pStyle w:val="BodyText"/>
        <w:rPr>
          <w:sz w:val="22"/>
        </w:rPr>
      </w:pPr>
    </w:p>
    <w:p>
      <w:pPr>
        <w:pStyle w:val="BodyText"/>
        <w:rPr>
          <w:sz w:val="22"/>
        </w:rPr>
      </w:pPr>
    </w:p>
    <w:p>
      <w:pPr>
        <w:pStyle w:val="BodyText"/>
        <w:spacing w:before="1"/>
        <w:rPr>
          <w:sz w:val="25"/>
        </w:rPr>
      </w:pPr>
    </w:p>
    <w:p>
      <w:pPr>
        <w:pStyle w:val="Heading4"/>
        <w:jc w:val="both"/>
        <w:rPr>
          <w:b w:val="0"/>
        </w:rPr>
      </w:pPr>
      <w:r>
        <w:rPr/>
        <w:t>Relación funcional del número de emigrantes  (NM</w:t>
      </w:r>
      <w:r>
        <w:rPr>
          <w:position w:val="-2"/>
          <w:sz w:val="15"/>
        </w:rPr>
        <w:t>t</w:t>
      </w:r>
      <w:r>
        <w:rPr>
          <w:b w:val="0"/>
        </w:rPr>
        <w:t>)</w:t>
      </w:r>
    </w:p>
    <w:p>
      <w:pPr>
        <w:pStyle w:val="BodyText"/>
        <w:rPr>
          <w:sz w:val="28"/>
        </w:rPr>
      </w:pPr>
    </w:p>
    <w:p>
      <w:pPr>
        <w:pStyle w:val="BodyText"/>
        <w:spacing w:line="364" w:lineRule="auto"/>
        <w:ind w:left="101" w:right="102"/>
        <w:jc w:val="both"/>
      </w:pPr>
      <w:r>
        <w:rPr/>
        <w:t>La migración en México es un fenómeno que va en aumento, originado por la ineficacia de políticas gubernamentales para abatir la tasa de desempleo y por la búsqueda de  una mejor remuneración. La ecuación funcional queda de la siguiente </w:t>
      </w:r>
      <w:r>
        <w:rPr>
          <w:spacing w:val="25"/>
        </w:rPr>
        <w:t> </w:t>
      </w:r>
      <w:r>
        <w:rPr/>
        <w:t>manera:</w:t>
      </w:r>
    </w:p>
    <w:p>
      <w:pPr>
        <w:spacing w:before="194"/>
        <w:ind w:left="101" w:right="0" w:firstLine="0"/>
        <w:jc w:val="both"/>
        <w:rPr>
          <w:sz w:val="23"/>
        </w:rPr>
      </w:pPr>
      <w:r>
        <w:rPr>
          <w:sz w:val="23"/>
        </w:rPr>
        <w:t>NM</w:t>
      </w:r>
      <w:r>
        <w:rPr>
          <w:position w:val="-2"/>
          <w:sz w:val="15"/>
        </w:rPr>
        <w:t>t  </w:t>
      </w:r>
      <w:r>
        <w:rPr>
          <w:sz w:val="23"/>
        </w:rPr>
        <w:t>= </w:t>
      </w:r>
      <w:r>
        <w:rPr>
          <w:i/>
          <w:sz w:val="23"/>
        </w:rPr>
        <w:t>f </w:t>
      </w:r>
      <w:r>
        <w:rPr>
          <w:sz w:val="23"/>
        </w:rPr>
        <w:t>(SM</w:t>
      </w:r>
      <w:r>
        <w:rPr>
          <w:position w:val="-2"/>
          <w:sz w:val="15"/>
        </w:rPr>
        <w:t>t</w:t>
      </w:r>
      <w:r>
        <w:rPr>
          <w:sz w:val="23"/>
        </w:rPr>
        <w:t>, PIBR</w:t>
      </w:r>
      <w:r>
        <w:rPr>
          <w:position w:val="-2"/>
          <w:sz w:val="15"/>
        </w:rPr>
        <w:t>t</w:t>
      </w:r>
      <w:r>
        <w:rPr>
          <w:sz w:val="23"/>
        </w:rPr>
        <w:t>, U</w:t>
      </w:r>
      <w:r>
        <w:rPr>
          <w:position w:val="-2"/>
          <w:sz w:val="15"/>
        </w:rPr>
        <w:t>t</w:t>
      </w:r>
      <w:r>
        <w:rPr>
          <w:sz w:val="23"/>
        </w:rPr>
        <w:t>, TC</w:t>
      </w:r>
      <w:r>
        <w:rPr>
          <w:position w:val="-2"/>
          <w:sz w:val="15"/>
        </w:rPr>
        <w:t>t</w:t>
      </w:r>
      <w:r>
        <w:rPr>
          <w:sz w:val="23"/>
        </w:rPr>
        <w:t>)</w:t>
      </w:r>
    </w:p>
    <w:p>
      <w:pPr>
        <w:pStyle w:val="BodyText"/>
        <w:rPr>
          <w:sz w:val="28"/>
        </w:rPr>
      </w:pPr>
    </w:p>
    <w:p>
      <w:pPr>
        <w:pStyle w:val="BodyText"/>
        <w:ind w:left="101"/>
        <w:jc w:val="both"/>
      </w:pPr>
      <w:r>
        <w:rPr/>
        <w:t>Donde:</w:t>
      </w:r>
    </w:p>
    <w:p>
      <w:pPr>
        <w:pStyle w:val="BodyText"/>
        <w:spacing w:before="2"/>
        <w:rPr>
          <w:sz w:val="29"/>
        </w:rPr>
      </w:pPr>
    </w:p>
    <w:p>
      <w:pPr>
        <w:spacing w:before="0"/>
        <w:ind w:left="101" w:right="0" w:firstLine="0"/>
        <w:jc w:val="both"/>
        <w:rPr>
          <w:sz w:val="23"/>
        </w:rPr>
      </w:pPr>
      <w:r>
        <w:rPr>
          <w:sz w:val="23"/>
        </w:rPr>
        <w:t>SM</w:t>
      </w:r>
      <w:r>
        <w:rPr>
          <w:position w:val="-2"/>
          <w:sz w:val="15"/>
        </w:rPr>
        <w:t>t          </w:t>
      </w:r>
      <w:r>
        <w:rPr>
          <w:sz w:val="23"/>
        </w:rPr>
        <w:t>= Salario en México (pesos por día)</w:t>
      </w:r>
    </w:p>
    <w:p>
      <w:pPr>
        <w:pStyle w:val="BodyText"/>
        <w:spacing w:before="8"/>
        <w:rPr>
          <w:sz w:val="19"/>
        </w:rPr>
      </w:pPr>
    </w:p>
    <w:p>
      <w:pPr>
        <w:pStyle w:val="BodyText"/>
        <w:ind w:left="101"/>
        <w:jc w:val="both"/>
      </w:pPr>
      <w:r>
        <w:rPr/>
        <w:t>PIBR</w:t>
      </w:r>
      <w:r>
        <w:rPr>
          <w:position w:val="-2"/>
          <w:sz w:val="15"/>
        </w:rPr>
        <w:t>t     </w:t>
      </w:r>
      <w:r>
        <w:rPr/>
        <w:t>= Producto Interno Bruto en México (millones de</w:t>
      </w:r>
      <w:r>
        <w:rPr>
          <w:spacing w:val="58"/>
        </w:rPr>
        <w:t> </w:t>
      </w:r>
      <w:r>
        <w:rPr/>
        <w:t>dólares)</w:t>
      </w:r>
    </w:p>
    <w:p>
      <w:pPr>
        <w:spacing w:after="0"/>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tabs>
          <w:tab w:pos="864" w:val="left" w:leader="none"/>
          <w:tab w:pos="897" w:val="left" w:leader="none"/>
        </w:tabs>
        <w:spacing w:line="446" w:lineRule="auto" w:before="74"/>
        <w:ind w:left="101" w:right="5037"/>
      </w:pPr>
      <w:r>
        <w:rPr/>
        <w:t>U</w:t>
      </w:r>
      <w:r>
        <w:rPr>
          <w:position w:val="-2"/>
          <w:sz w:val="15"/>
        </w:rPr>
        <w:t>t</w:t>
        <w:tab/>
        <w:tab/>
      </w:r>
      <w:r>
        <w:rPr/>
        <w:t>= Tasa de desempleo</w:t>
      </w:r>
      <w:r>
        <w:rPr>
          <w:spacing w:val="28"/>
        </w:rPr>
        <w:t> </w:t>
      </w:r>
      <w:r>
        <w:rPr/>
        <w:t>en</w:t>
      </w:r>
      <w:r>
        <w:rPr>
          <w:spacing w:val="6"/>
        </w:rPr>
        <w:t> </w:t>
      </w:r>
      <w:r>
        <w:rPr/>
        <w:t>México</w:t>
      </w:r>
      <w:r>
        <w:rPr>
          <w:w w:val="101"/>
        </w:rPr>
        <w:t> </w:t>
      </w:r>
      <w:r>
        <w:rPr/>
        <w:t>TC</w:t>
      </w:r>
      <w:r>
        <w:rPr>
          <w:position w:val="-2"/>
          <w:sz w:val="15"/>
        </w:rPr>
        <w:t>t</w:t>
        <w:tab/>
      </w:r>
      <w:r>
        <w:rPr/>
        <w:t>= Tipo de cambio</w:t>
      </w:r>
      <w:r>
        <w:rPr>
          <w:spacing w:val="37"/>
        </w:rPr>
        <w:t> </w:t>
      </w:r>
      <w:r>
        <w:rPr/>
        <w:t>(pesos/dólar)</w:t>
      </w:r>
    </w:p>
    <w:p>
      <w:pPr>
        <w:pStyle w:val="BodyText"/>
        <w:spacing w:line="364" w:lineRule="auto"/>
        <w:ind w:left="101" w:right="105"/>
        <w:jc w:val="both"/>
      </w:pPr>
      <w:r>
        <w:rPr/>
        <w:t>Entre el número de emigrantes y el salario mínimo existe una relación inversa, ya que    al aumentar el salario el número de emigrantes disminuirá. Si el PIB se incrementa se necesitaría más mano de obra lo que frenaría la </w:t>
      </w:r>
      <w:r>
        <w:rPr>
          <w:spacing w:val="4"/>
        </w:rPr>
        <w:t> </w:t>
      </w:r>
      <w:r>
        <w:rPr/>
        <w:t>migración.</w:t>
      </w:r>
    </w:p>
    <w:p>
      <w:pPr>
        <w:pStyle w:val="BodyText"/>
        <w:spacing w:before="4"/>
        <w:rPr>
          <w:sz w:val="17"/>
        </w:rPr>
      </w:pPr>
    </w:p>
    <w:p>
      <w:pPr>
        <w:pStyle w:val="BodyText"/>
        <w:spacing w:line="364" w:lineRule="auto"/>
        <w:ind w:left="101" w:right="102"/>
        <w:jc w:val="both"/>
      </w:pPr>
      <w:r>
        <w:rPr/>
        <w:t>El desempleo y el número de emigrantes tienen una relación directa, ya que  al  aumentar el desempleo también aumentará el número de emigrantes. Con respecto al tipo de cambio, al existir una apreciación del peso frente al dólar el poder adquisitivo aumentará, originando que exista menos</w:t>
      </w:r>
      <w:r>
        <w:rPr>
          <w:spacing w:val="57"/>
        </w:rPr>
        <w:t> </w:t>
      </w:r>
      <w:r>
        <w:rPr/>
        <w:t>migración.</w:t>
      </w:r>
    </w:p>
    <w:p>
      <w:pPr>
        <w:pStyle w:val="BodyText"/>
        <w:rPr>
          <w:sz w:val="22"/>
        </w:rPr>
      </w:pPr>
    </w:p>
    <w:p>
      <w:pPr>
        <w:pStyle w:val="BodyText"/>
        <w:rPr>
          <w:sz w:val="22"/>
        </w:rPr>
      </w:pPr>
    </w:p>
    <w:p>
      <w:pPr>
        <w:pStyle w:val="BodyText"/>
        <w:spacing w:before="3"/>
        <w:rPr>
          <w:sz w:val="25"/>
        </w:rPr>
      </w:pPr>
    </w:p>
    <w:p>
      <w:pPr>
        <w:pStyle w:val="Heading4"/>
        <w:jc w:val="both"/>
      </w:pPr>
      <w:r>
        <w:rPr/>
        <w:t>Formulación e identificación del modelo  econométrico</w:t>
      </w:r>
    </w:p>
    <w:p>
      <w:pPr>
        <w:pStyle w:val="BodyText"/>
        <w:spacing w:before="2"/>
        <w:rPr>
          <w:b/>
          <w:sz w:val="29"/>
        </w:rPr>
      </w:pPr>
    </w:p>
    <w:p>
      <w:pPr>
        <w:pStyle w:val="BodyText"/>
        <w:spacing w:line="362" w:lineRule="auto"/>
        <w:ind w:left="101" w:right="103"/>
        <w:jc w:val="both"/>
      </w:pPr>
      <w:r>
        <w:rPr/>
        <w:t>El modelo que se plantea está compuesto  por un sistema de ecuaciones simultáneas  en donde las variables endógenas están representadas por: el Producto Interno Bruto Real (PIBR</w:t>
      </w:r>
      <w:r>
        <w:rPr>
          <w:position w:val="-2"/>
          <w:sz w:val="15"/>
        </w:rPr>
        <w:t>t</w:t>
      </w:r>
      <w:r>
        <w:rPr/>
        <w:t>), el desempleo nacional (U</w:t>
      </w:r>
      <w:r>
        <w:rPr>
          <w:position w:val="-2"/>
          <w:sz w:val="15"/>
        </w:rPr>
        <w:t>t</w:t>
      </w:r>
      <w:r>
        <w:rPr/>
        <w:t>), la inversión nacional (ITR</w:t>
      </w:r>
      <w:r>
        <w:rPr>
          <w:position w:val="-2"/>
          <w:sz w:val="15"/>
        </w:rPr>
        <w:t>t</w:t>
      </w:r>
      <w:r>
        <w:rPr/>
        <w:t>), la  inflación  nacional (INF</w:t>
      </w:r>
      <w:r>
        <w:rPr>
          <w:position w:val="-2"/>
          <w:sz w:val="15"/>
        </w:rPr>
        <w:t>t</w:t>
      </w:r>
      <w:r>
        <w:rPr/>
        <w:t>) y el número de migrantes</w:t>
      </w:r>
      <w:r>
        <w:rPr>
          <w:spacing w:val="56"/>
        </w:rPr>
        <w:t> </w:t>
      </w:r>
      <w:r>
        <w:rPr/>
        <w:t>(NM</w:t>
      </w:r>
      <w:r>
        <w:rPr>
          <w:position w:val="-2"/>
          <w:sz w:val="15"/>
        </w:rPr>
        <w:t>t</w:t>
      </w:r>
      <w:r>
        <w:rPr/>
        <w:t>).</w:t>
      </w:r>
    </w:p>
    <w:p>
      <w:pPr>
        <w:pStyle w:val="Heading4"/>
        <w:spacing w:before="180"/>
        <w:jc w:val="both"/>
      </w:pPr>
      <w:r>
        <w:rPr/>
        <w:t>Modelo en su forma estructural</w:t>
      </w:r>
    </w:p>
    <w:p>
      <w:pPr>
        <w:pStyle w:val="BodyText"/>
        <w:spacing w:before="2"/>
        <w:rPr>
          <w:b/>
          <w:sz w:val="29"/>
        </w:rPr>
      </w:pPr>
    </w:p>
    <w:p>
      <w:pPr>
        <w:tabs>
          <w:tab w:pos="1080" w:val="left" w:leader="none"/>
          <w:tab w:pos="8370" w:val="left" w:leader="none"/>
        </w:tabs>
        <w:spacing w:line="448" w:lineRule="auto" w:before="0"/>
        <w:ind w:left="101" w:right="638" w:firstLine="0"/>
        <w:jc w:val="left"/>
        <w:rPr>
          <w:sz w:val="23"/>
        </w:rPr>
      </w:pPr>
      <w:r>
        <w:rPr>
          <w:sz w:val="23"/>
        </w:rPr>
        <w:t>PIBR</w:t>
      </w:r>
      <w:r>
        <w:rPr>
          <w:position w:val="-2"/>
          <w:sz w:val="15"/>
        </w:rPr>
        <w:t>t</w:t>
        <w:tab/>
      </w:r>
      <w:r>
        <w:rPr>
          <w:sz w:val="23"/>
        </w:rPr>
        <w:t>=</w:t>
      </w:r>
      <w:r>
        <w:rPr>
          <w:spacing w:val="6"/>
          <w:sz w:val="23"/>
        </w:rPr>
        <w:t> </w:t>
      </w:r>
      <w:r>
        <w:rPr>
          <w:sz w:val="23"/>
        </w:rPr>
        <w:t>α</w:t>
      </w:r>
      <w:r>
        <w:rPr>
          <w:position w:val="-2"/>
          <w:sz w:val="15"/>
        </w:rPr>
        <w:t>0</w:t>
      </w:r>
      <w:r>
        <w:rPr>
          <w:spacing w:val="22"/>
          <w:position w:val="-2"/>
          <w:sz w:val="15"/>
        </w:rPr>
        <w:t> </w:t>
      </w:r>
      <w:r>
        <w:rPr>
          <w:sz w:val="23"/>
        </w:rPr>
        <w:t>+</w:t>
      </w:r>
      <w:r>
        <w:rPr>
          <w:spacing w:val="5"/>
          <w:sz w:val="23"/>
        </w:rPr>
        <w:t> </w:t>
      </w:r>
      <w:r>
        <w:rPr>
          <w:sz w:val="23"/>
        </w:rPr>
        <w:t>α</w:t>
      </w:r>
      <w:r>
        <w:rPr>
          <w:position w:val="-2"/>
          <w:sz w:val="15"/>
        </w:rPr>
        <w:t>1</w:t>
      </w:r>
      <w:r>
        <w:rPr>
          <w:spacing w:val="23"/>
          <w:position w:val="-2"/>
          <w:sz w:val="15"/>
        </w:rPr>
        <w:t> </w:t>
      </w:r>
      <w:r>
        <w:rPr>
          <w:sz w:val="23"/>
        </w:rPr>
        <w:t>CTR</w:t>
      </w:r>
      <w:r>
        <w:rPr>
          <w:position w:val="-2"/>
          <w:sz w:val="15"/>
        </w:rPr>
        <w:t>t</w:t>
      </w:r>
      <w:r>
        <w:rPr>
          <w:spacing w:val="25"/>
          <w:position w:val="-2"/>
          <w:sz w:val="15"/>
        </w:rPr>
        <w:t> </w:t>
      </w:r>
      <w:r>
        <w:rPr>
          <w:sz w:val="23"/>
        </w:rPr>
        <w:t>+</w:t>
      </w:r>
      <w:r>
        <w:rPr>
          <w:spacing w:val="5"/>
          <w:sz w:val="23"/>
        </w:rPr>
        <w:t> </w:t>
      </w:r>
      <w:r>
        <w:rPr>
          <w:sz w:val="23"/>
        </w:rPr>
        <w:t>α</w:t>
      </w:r>
      <w:r>
        <w:rPr>
          <w:position w:val="-2"/>
          <w:sz w:val="15"/>
        </w:rPr>
        <w:t>2</w:t>
      </w:r>
      <w:r>
        <w:rPr>
          <w:spacing w:val="23"/>
          <w:position w:val="-2"/>
          <w:sz w:val="15"/>
        </w:rPr>
        <w:t> </w:t>
      </w:r>
      <w:r>
        <w:rPr>
          <w:sz w:val="23"/>
        </w:rPr>
        <w:t>ITR</w:t>
      </w:r>
      <w:r>
        <w:rPr>
          <w:position w:val="-2"/>
          <w:sz w:val="15"/>
        </w:rPr>
        <w:t>t</w:t>
      </w:r>
      <w:r>
        <w:rPr>
          <w:spacing w:val="25"/>
          <w:position w:val="-2"/>
          <w:sz w:val="15"/>
        </w:rPr>
        <w:t> </w:t>
      </w:r>
      <w:r>
        <w:rPr>
          <w:sz w:val="23"/>
        </w:rPr>
        <w:t>+</w:t>
      </w:r>
      <w:r>
        <w:rPr>
          <w:spacing w:val="5"/>
          <w:sz w:val="23"/>
        </w:rPr>
        <w:t> </w:t>
      </w:r>
      <w:r>
        <w:rPr>
          <w:sz w:val="23"/>
        </w:rPr>
        <w:t>α</w:t>
      </w:r>
      <w:r>
        <w:rPr>
          <w:position w:val="-2"/>
          <w:sz w:val="15"/>
        </w:rPr>
        <w:t>3</w:t>
      </w:r>
      <w:r>
        <w:rPr>
          <w:spacing w:val="23"/>
          <w:position w:val="-2"/>
          <w:sz w:val="15"/>
        </w:rPr>
        <w:t> </w:t>
      </w:r>
      <w:r>
        <w:rPr>
          <w:sz w:val="23"/>
        </w:rPr>
        <w:t>GTR</w:t>
      </w:r>
      <w:r>
        <w:rPr>
          <w:position w:val="-2"/>
          <w:sz w:val="15"/>
        </w:rPr>
        <w:t>t</w:t>
      </w:r>
      <w:r>
        <w:rPr>
          <w:spacing w:val="22"/>
          <w:position w:val="-2"/>
          <w:sz w:val="15"/>
        </w:rPr>
        <w:t> </w:t>
      </w:r>
      <w:r>
        <w:rPr>
          <w:sz w:val="23"/>
        </w:rPr>
        <w:t>+</w:t>
      </w:r>
      <w:r>
        <w:rPr>
          <w:spacing w:val="5"/>
          <w:sz w:val="23"/>
        </w:rPr>
        <w:t> </w:t>
      </w:r>
      <w:r>
        <w:rPr>
          <w:sz w:val="23"/>
        </w:rPr>
        <w:t>α</w:t>
      </w:r>
      <w:r>
        <w:rPr>
          <w:position w:val="-2"/>
          <w:sz w:val="15"/>
        </w:rPr>
        <w:t>4</w:t>
      </w:r>
      <w:r>
        <w:rPr>
          <w:spacing w:val="23"/>
          <w:position w:val="-2"/>
          <w:sz w:val="15"/>
        </w:rPr>
        <w:t> </w:t>
      </w:r>
      <w:r>
        <w:rPr>
          <w:sz w:val="23"/>
        </w:rPr>
        <w:t>XNTR</w:t>
      </w:r>
      <w:r>
        <w:rPr>
          <w:position w:val="-2"/>
          <w:sz w:val="15"/>
        </w:rPr>
        <w:t>t</w:t>
      </w:r>
      <w:r>
        <w:rPr>
          <w:spacing w:val="22"/>
          <w:position w:val="-2"/>
          <w:sz w:val="15"/>
        </w:rPr>
        <w:t> </w:t>
      </w:r>
      <w:r>
        <w:rPr>
          <w:sz w:val="23"/>
        </w:rPr>
        <w:t>+</w:t>
      </w:r>
      <w:r>
        <w:rPr>
          <w:spacing w:val="5"/>
          <w:sz w:val="23"/>
        </w:rPr>
        <w:t> </w:t>
      </w:r>
      <w:r>
        <w:rPr>
          <w:sz w:val="23"/>
        </w:rPr>
        <w:t>α</w:t>
      </w:r>
      <w:r>
        <w:rPr>
          <w:position w:val="-2"/>
          <w:sz w:val="15"/>
        </w:rPr>
        <w:t>5</w:t>
      </w:r>
      <w:r>
        <w:rPr>
          <w:spacing w:val="23"/>
          <w:position w:val="-2"/>
          <w:sz w:val="15"/>
        </w:rPr>
        <w:t> </w:t>
      </w:r>
      <w:r>
        <w:rPr>
          <w:sz w:val="23"/>
        </w:rPr>
        <w:t>NM</w:t>
      </w:r>
      <w:r>
        <w:rPr>
          <w:position w:val="-2"/>
          <w:sz w:val="15"/>
        </w:rPr>
        <w:t>t</w:t>
      </w:r>
      <w:r>
        <w:rPr>
          <w:spacing w:val="22"/>
          <w:position w:val="-2"/>
          <w:sz w:val="15"/>
        </w:rPr>
        <w:t> </w:t>
      </w:r>
      <w:r>
        <w:rPr>
          <w:sz w:val="23"/>
        </w:rPr>
        <w:t>+</w:t>
      </w:r>
      <w:r>
        <w:rPr>
          <w:spacing w:val="5"/>
          <w:sz w:val="23"/>
        </w:rPr>
        <w:t> </w:t>
      </w:r>
      <w:r>
        <w:rPr>
          <w:sz w:val="23"/>
        </w:rPr>
        <w:t>ξ</w:t>
      </w:r>
      <w:r>
        <w:rPr>
          <w:position w:val="-2"/>
          <w:sz w:val="15"/>
        </w:rPr>
        <w:t>1</w:t>
        <w:tab/>
      </w:r>
      <w:r>
        <w:rPr>
          <w:sz w:val="23"/>
        </w:rPr>
        <w:t>(1)</w:t>
      </w:r>
      <w:r>
        <w:rPr>
          <w:w w:val="101"/>
          <w:sz w:val="23"/>
        </w:rPr>
        <w:t> </w:t>
      </w:r>
      <w:r>
        <w:rPr>
          <w:sz w:val="23"/>
        </w:rPr>
        <w:t>INVTR</w:t>
      </w:r>
      <w:r>
        <w:rPr>
          <w:position w:val="-2"/>
          <w:sz w:val="15"/>
        </w:rPr>
        <w:t>t   </w:t>
      </w:r>
      <w:r>
        <w:rPr>
          <w:sz w:val="23"/>
        </w:rPr>
        <w:t>=  µ</w:t>
      </w:r>
      <w:r>
        <w:rPr>
          <w:position w:val="-2"/>
          <w:sz w:val="15"/>
        </w:rPr>
        <w:t>0  </w:t>
      </w:r>
      <w:r>
        <w:rPr>
          <w:sz w:val="23"/>
        </w:rPr>
        <w:t>+µ</w:t>
      </w:r>
      <w:r>
        <w:rPr>
          <w:position w:val="-2"/>
          <w:sz w:val="15"/>
        </w:rPr>
        <w:t>1 </w:t>
      </w:r>
      <w:r>
        <w:rPr>
          <w:sz w:val="23"/>
        </w:rPr>
        <w:t>TC</w:t>
      </w:r>
      <w:r>
        <w:rPr>
          <w:position w:val="-2"/>
          <w:sz w:val="15"/>
        </w:rPr>
        <w:t>t  </w:t>
      </w:r>
      <w:r>
        <w:rPr>
          <w:sz w:val="23"/>
        </w:rPr>
        <w:t>+ µ</w:t>
      </w:r>
      <w:r>
        <w:rPr>
          <w:position w:val="-2"/>
          <w:sz w:val="15"/>
        </w:rPr>
        <w:t>2  </w:t>
      </w:r>
      <w:r>
        <w:rPr>
          <w:sz w:val="23"/>
        </w:rPr>
        <w:t>TI</w:t>
      </w:r>
      <w:r>
        <w:rPr>
          <w:position w:val="-2"/>
          <w:sz w:val="15"/>
        </w:rPr>
        <w:t>t </w:t>
      </w:r>
      <w:r>
        <w:rPr>
          <w:sz w:val="23"/>
        </w:rPr>
        <w:t>+ µ</w:t>
      </w:r>
      <w:r>
        <w:rPr>
          <w:position w:val="-2"/>
          <w:sz w:val="15"/>
        </w:rPr>
        <w:t>3  </w:t>
      </w:r>
      <w:r>
        <w:rPr>
          <w:sz w:val="23"/>
        </w:rPr>
        <w:t>G</w:t>
      </w:r>
      <w:r>
        <w:rPr>
          <w:position w:val="-2"/>
          <w:sz w:val="15"/>
        </w:rPr>
        <w:t>Tt  </w:t>
      </w:r>
      <w:r>
        <w:rPr>
          <w:sz w:val="23"/>
        </w:rPr>
        <w:t>+ µ</w:t>
      </w:r>
      <w:r>
        <w:rPr>
          <w:position w:val="-2"/>
          <w:sz w:val="15"/>
        </w:rPr>
        <w:t>4  </w:t>
      </w:r>
      <w:r>
        <w:rPr>
          <w:sz w:val="23"/>
        </w:rPr>
        <w:t>PIBR</w:t>
      </w:r>
      <w:r>
        <w:rPr>
          <w:position w:val="-2"/>
          <w:sz w:val="15"/>
        </w:rPr>
        <w:t>t  </w:t>
      </w:r>
      <w:r>
        <w:rPr>
          <w:sz w:val="23"/>
        </w:rPr>
        <w:t>+ µ</w:t>
      </w:r>
      <w:r>
        <w:rPr>
          <w:position w:val="-2"/>
          <w:sz w:val="15"/>
        </w:rPr>
        <w:t>5</w:t>
      </w:r>
      <w:r>
        <w:rPr>
          <w:spacing w:val="26"/>
          <w:position w:val="-2"/>
          <w:sz w:val="15"/>
        </w:rPr>
        <w:t> </w:t>
      </w:r>
      <w:r>
        <w:rPr>
          <w:sz w:val="23"/>
        </w:rPr>
        <w:t>INF</w:t>
      </w:r>
      <w:r>
        <w:rPr>
          <w:position w:val="-2"/>
          <w:sz w:val="15"/>
        </w:rPr>
        <w:t>t</w:t>
      </w:r>
      <w:r>
        <w:rPr>
          <w:spacing w:val="27"/>
          <w:position w:val="-2"/>
          <w:sz w:val="15"/>
        </w:rPr>
        <w:t> </w:t>
      </w:r>
      <w:r>
        <w:rPr>
          <w:sz w:val="23"/>
        </w:rPr>
        <w:t>+ξ</w:t>
      </w:r>
      <w:r>
        <w:rPr>
          <w:position w:val="-2"/>
          <w:sz w:val="15"/>
        </w:rPr>
        <w:t>2</w:t>
        <w:tab/>
      </w:r>
      <w:r>
        <w:rPr>
          <w:sz w:val="23"/>
        </w:rPr>
        <w:t>(2)</w:t>
      </w:r>
    </w:p>
    <w:p>
      <w:pPr>
        <w:tabs>
          <w:tab w:pos="1003" w:val="left" w:leader="none"/>
          <w:tab w:pos="8356" w:val="left" w:leader="none"/>
          <w:tab w:pos="8387" w:val="left" w:leader="none"/>
          <w:tab w:pos="8463" w:val="left" w:leader="none"/>
        </w:tabs>
        <w:spacing w:line="444" w:lineRule="auto" w:before="0"/>
        <w:ind w:left="101" w:right="572" w:firstLine="0"/>
        <w:jc w:val="both"/>
        <w:rPr>
          <w:sz w:val="23"/>
        </w:rPr>
      </w:pPr>
      <w:r>
        <w:rPr>
          <w:sz w:val="23"/>
        </w:rPr>
        <w:t>INF</w:t>
      </w:r>
      <w:r>
        <w:rPr>
          <w:position w:val="-2"/>
          <w:sz w:val="15"/>
        </w:rPr>
        <w:t>t    </w:t>
      </w:r>
      <w:r>
        <w:rPr>
          <w:spacing w:val="28"/>
          <w:position w:val="-2"/>
          <w:sz w:val="15"/>
        </w:rPr>
        <w:t> </w:t>
      </w:r>
      <w:r>
        <w:rPr>
          <w:sz w:val="23"/>
        </w:rPr>
        <w:t>= β</w:t>
      </w:r>
      <w:r>
        <w:rPr>
          <w:position w:val="-2"/>
          <w:sz w:val="15"/>
        </w:rPr>
        <w:t>0  </w:t>
      </w:r>
      <w:r>
        <w:rPr>
          <w:sz w:val="23"/>
        </w:rPr>
        <w:t>+ β</w:t>
      </w:r>
      <w:r>
        <w:rPr>
          <w:position w:val="-2"/>
          <w:sz w:val="15"/>
        </w:rPr>
        <w:t>1  </w:t>
      </w:r>
      <w:r>
        <w:rPr>
          <w:sz w:val="23"/>
        </w:rPr>
        <w:t>U</w:t>
      </w:r>
      <w:r>
        <w:rPr>
          <w:position w:val="-2"/>
          <w:sz w:val="15"/>
        </w:rPr>
        <w:t>t  </w:t>
      </w:r>
      <w:r>
        <w:rPr>
          <w:sz w:val="23"/>
        </w:rPr>
        <w:t>+ β</w:t>
      </w:r>
      <w:r>
        <w:rPr>
          <w:position w:val="-2"/>
          <w:sz w:val="15"/>
        </w:rPr>
        <w:t>2 </w:t>
      </w:r>
      <w:r>
        <w:rPr>
          <w:sz w:val="23"/>
        </w:rPr>
        <w:t>TI</w:t>
      </w:r>
      <w:r>
        <w:rPr>
          <w:position w:val="-2"/>
          <w:sz w:val="15"/>
        </w:rPr>
        <w:t>t   </w:t>
      </w:r>
      <w:r>
        <w:rPr>
          <w:sz w:val="23"/>
        </w:rPr>
        <w:t>+ β</w:t>
      </w:r>
      <w:r>
        <w:rPr>
          <w:position w:val="-2"/>
          <w:sz w:val="15"/>
        </w:rPr>
        <w:t>3  </w:t>
      </w:r>
      <w:r>
        <w:rPr>
          <w:sz w:val="23"/>
        </w:rPr>
        <w:t>TC</w:t>
      </w:r>
      <w:r>
        <w:rPr>
          <w:position w:val="-2"/>
          <w:sz w:val="15"/>
        </w:rPr>
        <w:t>t  </w:t>
      </w:r>
      <w:r>
        <w:rPr>
          <w:sz w:val="23"/>
        </w:rPr>
        <w:t>+ β</w:t>
      </w:r>
      <w:r>
        <w:rPr>
          <w:position w:val="-2"/>
          <w:sz w:val="15"/>
        </w:rPr>
        <w:t>4  </w:t>
      </w:r>
      <w:r>
        <w:rPr>
          <w:sz w:val="23"/>
        </w:rPr>
        <w:t>INPC</w:t>
      </w:r>
      <w:r>
        <w:rPr>
          <w:position w:val="-2"/>
          <w:sz w:val="15"/>
        </w:rPr>
        <w:t>t  </w:t>
      </w:r>
      <w:r>
        <w:rPr>
          <w:sz w:val="23"/>
        </w:rPr>
        <w:t>+β</w:t>
      </w:r>
      <w:r>
        <w:rPr>
          <w:position w:val="-2"/>
          <w:sz w:val="15"/>
        </w:rPr>
        <w:t>5  </w:t>
      </w:r>
      <w:r>
        <w:rPr>
          <w:sz w:val="23"/>
        </w:rPr>
        <w:t>PIBR</w:t>
      </w:r>
      <w:r>
        <w:rPr>
          <w:position w:val="-2"/>
          <w:sz w:val="15"/>
        </w:rPr>
        <w:t>t  </w:t>
      </w:r>
      <w:r>
        <w:rPr>
          <w:sz w:val="23"/>
        </w:rPr>
        <w:t>+ </w:t>
      </w:r>
      <w:r>
        <w:rPr>
          <w:spacing w:val="11"/>
          <w:sz w:val="23"/>
        </w:rPr>
        <w:t> </w:t>
      </w:r>
      <w:r>
        <w:rPr>
          <w:sz w:val="23"/>
        </w:rPr>
        <w:t>ξ</w:t>
      </w:r>
      <w:r>
        <w:rPr>
          <w:position w:val="-2"/>
          <w:sz w:val="15"/>
        </w:rPr>
        <w:t>3</w:t>
        <w:tab/>
      </w:r>
      <w:r>
        <w:rPr>
          <w:sz w:val="23"/>
        </w:rPr>
        <w:t>(3) U</w:t>
      </w:r>
      <w:r>
        <w:rPr>
          <w:position w:val="-2"/>
          <w:sz w:val="15"/>
        </w:rPr>
        <w:t>t</w:t>
        <w:tab/>
      </w:r>
      <w:r>
        <w:rPr>
          <w:sz w:val="23"/>
        </w:rPr>
        <w:t>= £</w:t>
      </w:r>
      <w:r>
        <w:rPr>
          <w:position w:val="-2"/>
          <w:sz w:val="15"/>
        </w:rPr>
        <w:t>0 </w:t>
      </w:r>
      <w:r>
        <w:rPr>
          <w:sz w:val="23"/>
        </w:rPr>
        <w:t>+ £</w:t>
      </w:r>
      <w:r>
        <w:rPr>
          <w:position w:val="-2"/>
          <w:sz w:val="15"/>
        </w:rPr>
        <w:t>1  </w:t>
      </w:r>
      <w:r>
        <w:rPr>
          <w:sz w:val="23"/>
        </w:rPr>
        <w:t>INF</w:t>
      </w:r>
      <w:r>
        <w:rPr>
          <w:position w:val="-2"/>
          <w:sz w:val="15"/>
        </w:rPr>
        <w:t>t  </w:t>
      </w:r>
      <w:r>
        <w:rPr>
          <w:sz w:val="23"/>
        </w:rPr>
        <w:t>+ £</w:t>
      </w:r>
      <w:r>
        <w:rPr>
          <w:position w:val="-2"/>
          <w:sz w:val="15"/>
        </w:rPr>
        <w:t>2  </w:t>
      </w:r>
      <w:r>
        <w:rPr>
          <w:sz w:val="23"/>
        </w:rPr>
        <w:t>SM</w:t>
      </w:r>
      <w:r>
        <w:rPr>
          <w:position w:val="-2"/>
          <w:sz w:val="15"/>
        </w:rPr>
        <w:t>t  </w:t>
      </w:r>
      <w:r>
        <w:rPr>
          <w:sz w:val="23"/>
        </w:rPr>
        <w:t>+ £</w:t>
      </w:r>
      <w:r>
        <w:rPr>
          <w:position w:val="-2"/>
          <w:sz w:val="15"/>
        </w:rPr>
        <w:t>3 </w:t>
      </w:r>
      <w:r>
        <w:rPr>
          <w:sz w:val="23"/>
        </w:rPr>
        <w:t>PIBRt + £</w:t>
      </w:r>
      <w:r>
        <w:rPr>
          <w:position w:val="-2"/>
          <w:sz w:val="15"/>
        </w:rPr>
        <w:t>4  </w:t>
      </w:r>
      <w:r>
        <w:rPr>
          <w:sz w:val="23"/>
        </w:rPr>
        <w:t>TC</w:t>
      </w:r>
      <w:r>
        <w:rPr>
          <w:position w:val="-2"/>
          <w:sz w:val="15"/>
        </w:rPr>
        <w:t>t </w:t>
      </w:r>
      <w:r>
        <w:rPr>
          <w:sz w:val="23"/>
        </w:rPr>
        <w:t>+ £</w:t>
      </w:r>
      <w:r>
        <w:rPr>
          <w:position w:val="-2"/>
          <w:sz w:val="15"/>
        </w:rPr>
        <w:t>5  </w:t>
      </w:r>
      <w:r>
        <w:rPr>
          <w:sz w:val="23"/>
        </w:rPr>
        <w:t>NM</w:t>
      </w:r>
      <w:r>
        <w:rPr>
          <w:position w:val="-2"/>
          <w:sz w:val="15"/>
        </w:rPr>
        <w:t>t</w:t>
      </w:r>
      <w:r>
        <w:rPr>
          <w:spacing w:val="-1"/>
          <w:position w:val="-2"/>
          <w:sz w:val="15"/>
        </w:rPr>
        <w:t> </w:t>
      </w:r>
      <w:r>
        <w:rPr>
          <w:sz w:val="23"/>
        </w:rPr>
        <w:t>+</w:t>
      </w:r>
      <w:r>
        <w:rPr>
          <w:spacing w:val="7"/>
          <w:sz w:val="23"/>
        </w:rPr>
        <w:t> </w:t>
      </w:r>
      <w:r>
        <w:rPr>
          <w:sz w:val="23"/>
        </w:rPr>
        <w:t>ξ</w:t>
      </w:r>
      <w:r>
        <w:rPr>
          <w:position w:val="-2"/>
          <w:sz w:val="15"/>
        </w:rPr>
        <w:t>4</w:t>
        <w:tab/>
        <w:tab/>
      </w:r>
      <w:r>
        <w:rPr>
          <w:sz w:val="23"/>
        </w:rPr>
        <w:t>(4) NM</w:t>
      </w:r>
      <w:r>
        <w:rPr>
          <w:position w:val="-2"/>
          <w:sz w:val="15"/>
        </w:rPr>
        <w:t>t         </w:t>
      </w:r>
      <w:r>
        <w:rPr>
          <w:sz w:val="23"/>
        </w:rPr>
        <w:t>= σ</w:t>
      </w:r>
      <w:r>
        <w:rPr>
          <w:position w:val="-2"/>
          <w:sz w:val="15"/>
        </w:rPr>
        <w:t>0  </w:t>
      </w:r>
      <w:r>
        <w:rPr>
          <w:sz w:val="23"/>
        </w:rPr>
        <w:t>+ σ</w:t>
      </w:r>
      <w:r>
        <w:rPr>
          <w:position w:val="-2"/>
          <w:sz w:val="15"/>
        </w:rPr>
        <w:t>1  </w:t>
      </w:r>
      <w:r>
        <w:rPr>
          <w:sz w:val="23"/>
        </w:rPr>
        <w:t>SM</w:t>
      </w:r>
      <w:r>
        <w:rPr>
          <w:position w:val="-2"/>
          <w:sz w:val="15"/>
        </w:rPr>
        <w:t>t  </w:t>
      </w:r>
      <w:r>
        <w:rPr>
          <w:sz w:val="23"/>
        </w:rPr>
        <w:t>+ σ</w:t>
      </w:r>
      <w:r>
        <w:rPr>
          <w:position w:val="-2"/>
          <w:sz w:val="15"/>
        </w:rPr>
        <w:t>2 </w:t>
      </w:r>
      <w:r>
        <w:rPr>
          <w:sz w:val="23"/>
        </w:rPr>
        <w:t>PIBR</w:t>
      </w:r>
      <w:r>
        <w:rPr>
          <w:position w:val="-2"/>
          <w:sz w:val="15"/>
        </w:rPr>
        <w:t>t  </w:t>
      </w:r>
      <w:r>
        <w:rPr>
          <w:sz w:val="23"/>
        </w:rPr>
        <w:t>+ σ</w:t>
      </w:r>
      <w:r>
        <w:rPr>
          <w:position w:val="-2"/>
          <w:sz w:val="15"/>
        </w:rPr>
        <w:t>3  </w:t>
      </w:r>
      <w:r>
        <w:rPr>
          <w:sz w:val="23"/>
        </w:rPr>
        <w:t>U</w:t>
      </w:r>
      <w:r>
        <w:rPr>
          <w:position w:val="-2"/>
          <w:sz w:val="15"/>
        </w:rPr>
        <w:t>t  </w:t>
      </w:r>
      <w:r>
        <w:rPr>
          <w:sz w:val="23"/>
        </w:rPr>
        <w:t>+ σ</w:t>
      </w:r>
      <w:r>
        <w:rPr>
          <w:position w:val="-2"/>
          <w:sz w:val="15"/>
        </w:rPr>
        <w:t>4 </w:t>
      </w:r>
      <w:r>
        <w:rPr>
          <w:sz w:val="23"/>
        </w:rPr>
        <w:t>TC</w:t>
      </w:r>
      <w:r>
        <w:rPr>
          <w:position w:val="-2"/>
          <w:sz w:val="15"/>
        </w:rPr>
        <w:t>t</w:t>
      </w:r>
      <w:r>
        <w:rPr>
          <w:spacing w:val="-6"/>
          <w:position w:val="-2"/>
          <w:sz w:val="15"/>
        </w:rPr>
        <w:t> </w:t>
      </w:r>
      <w:r>
        <w:rPr>
          <w:sz w:val="23"/>
        </w:rPr>
        <w:t>+</w:t>
      </w:r>
      <w:r>
        <w:rPr>
          <w:spacing w:val="7"/>
          <w:sz w:val="23"/>
        </w:rPr>
        <w:t> </w:t>
      </w:r>
      <w:r>
        <w:rPr>
          <w:sz w:val="23"/>
        </w:rPr>
        <w:t>ξ</w:t>
      </w:r>
      <w:r>
        <w:rPr>
          <w:position w:val="-2"/>
          <w:sz w:val="15"/>
        </w:rPr>
        <w:t>5</w:t>
        <w:tab/>
        <w:tab/>
        <w:tab/>
      </w:r>
      <w:r>
        <w:rPr>
          <w:spacing w:val="-1"/>
          <w:sz w:val="23"/>
        </w:rPr>
        <w:t>(5)</w:t>
      </w:r>
    </w:p>
    <w:p>
      <w:pPr>
        <w:pStyle w:val="BodyText"/>
        <w:spacing w:line="264" w:lineRule="exact"/>
        <w:ind w:left="101"/>
        <w:jc w:val="both"/>
      </w:pPr>
      <w:r>
        <w:rPr/>
        <w:t>Donde:</w:t>
      </w:r>
    </w:p>
    <w:p>
      <w:pPr>
        <w:pStyle w:val="BodyText"/>
        <w:spacing w:before="11"/>
        <w:rPr>
          <w:sz w:val="28"/>
        </w:rPr>
      </w:pPr>
    </w:p>
    <w:p>
      <w:pPr>
        <w:pStyle w:val="BodyText"/>
        <w:tabs>
          <w:tab w:pos="1102" w:val="left" w:leader="none"/>
        </w:tabs>
        <w:spacing w:line="420" w:lineRule="auto"/>
        <w:ind w:left="101" w:right="2380"/>
      </w:pPr>
      <w:r>
        <w:rPr/>
        <w:t>PIBRt</w:t>
        <w:tab/>
        <w:t>= Producto Interno Real en México (millones</w:t>
      </w:r>
      <w:r>
        <w:rPr>
          <w:spacing w:val="56"/>
        </w:rPr>
        <w:t> </w:t>
      </w:r>
      <w:r>
        <w:rPr/>
        <w:t>de</w:t>
      </w:r>
      <w:r>
        <w:rPr>
          <w:spacing w:val="6"/>
        </w:rPr>
        <w:t> </w:t>
      </w:r>
      <w:r>
        <w:rPr/>
        <w:t>dólares)</w:t>
      </w:r>
      <w:r>
        <w:rPr>
          <w:w w:val="101"/>
        </w:rPr>
        <w:t> </w:t>
      </w:r>
      <w:r>
        <w:rPr/>
        <w:t>CTRt</w:t>
        <w:tab/>
        <w:t>= Consumo total real en México (millones</w:t>
      </w:r>
      <w:r>
        <w:rPr>
          <w:spacing w:val="47"/>
        </w:rPr>
        <w:t> </w:t>
      </w:r>
      <w:r>
        <w:rPr/>
        <w:t>de</w:t>
      </w:r>
      <w:r>
        <w:rPr>
          <w:spacing w:val="9"/>
        </w:rPr>
        <w:t> </w:t>
      </w:r>
      <w:r>
        <w:rPr/>
        <w:t>dólares)</w:t>
      </w:r>
      <w:r>
        <w:rPr>
          <w:w w:val="101"/>
        </w:rPr>
        <w:t> </w:t>
      </w:r>
      <w:r>
        <w:rPr/>
        <w:t>ITRt</w:t>
        <w:tab/>
        <w:t>= Inversión total real en México (millones de</w:t>
      </w:r>
      <w:r>
        <w:rPr>
          <w:spacing w:val="34"/>
        </w:rPr>
        <w:t> </w:t>
      </w:r>
      <w:r>
        <w:rPr/>
        <w:t>dólares)</w:t>
      </w:r>
    </w:p>
    <w:p>
      <w:pPr>
        <w:pStyle w:val="BodyText"/>
        <w:spacing w:before="8"/>
        <w:ind w:left="101"/>
        <w:jc w:val="both"/>
      </w:pPr>
      <w:r>
        <w:rPr/>
        <w:t>GTRt        = Gasto gubernamental total en México (millones de dólares)</w:t>
      </w:r>
    </w:p>
    <w:p>
      <w:pPr>
        <w:spacing w:after="0"/>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tabs>
          <w:tab w:pos="1049" w:val="left" w:leader="none"/>
        </w:tabs>
        <w:spacing w:line="417" w:lineRule="auto" w:before="74"/>
        <w:ind w:left="101" w:right="1122"/>
      </w:pPr>
      <w:r>
        <w:rPr/>
        <w:t>XNTRt</w:t>
        <w:tab/>
        <w:t>= Exportaciones netas totales reales en México (millones  de</w:t>
      </w:r>
      <w:r>
        <w:rPr>
          <w:spacing w:val="10"/>
        </w:rPr>
        <w:t> </w:t>
      </w:r>
      <w:r>
        <w:rPr/>
        <w:t>dólares)</w:t>
      </w:r>
      <w:r>
        <w:rPr>
          <w:w w:val="101"/>
        </w:rPr>
        <w:t> </w:t>
      </w:r>
      <w:r>
        <w:rPr/>
        <w:t>NMt</w:t>
        <w:tab/>
        <w:t>= Número de</w:t>
      </w:r>
      <w:r>
        <w:rPr>
          <w:spacing w:val="27"/>
        </w:rPr>
        <w:t> </w:t>
      </w:r>
      <w:r>
        <w:rPr/>
        <w:t>emigrantes</w:t>
      </w:r>
    </w:p>
    <w:p>
      <w:pPr>
        <w:pStyle w:val="BodyText"/>
        <w:tabs>
          <w:tab w:pos="1125" w:val="left" w:leader="none"/>
        </w:tabs>
        <w:spacing w:line="420" w:lineRule="auto" w:before="11"/>
        <w:ind w:left="101" w:right="2921"/>
      </w:pPr>
      <w:r>
        <w:rPr/>
        <w:t>INVTRt = Inversión total real en México (millones de dólares) TCt</w:t>
        <w:tab/>
        <w:t>= Tipo de cambio en México</w:t>
      </w:r>
      <w:r>
        <w:rPr>
          <w:spacing w:val="47"/>
        </w:rPr>
        <w:t> </w:t>
      </w:r>
      <w:r>
        <w:rPr/>
        <w:t>(pesos/dólar)</w:t>
      </w:r>
    </w:p>
    <w:p>
      <w:pPr>
        <w:pStyle w:val="BodyText"/>
        <w:tabs>
          <w:tab w:pos="1089" w:val="left" w:leader="none"/>
        </w:tabs>
        <w:spacing w:before="3"/>
        <w:ind w:left="101" w:right="102"/>
      </w:pPr>
      <w:r>
        <w:rPr/>
        <w:t>TIt</w:t>
        <w:tab/>
        <w:t>=Tasa de</w:t>
      </w:r>
      <w:r>
        <w:rPr>
          <w:spacing w:val="14"/>
        </w:rPr>
        <w:t> </w:t>
      </w:r>
      <w:r>
        <w:rPr/>
        <w:t>interés</w:t>
      </w:r>
    </w:p>
    <w:p>
      <w:pPr>
        <w:pStyle w:val="BodyText"/>
        <w:spacing w:before="5"/>
        <w:rPr>
          <w:sz w:val="17"/>
        </w:rPr>
      </w:pPr>
    </w:p>
    <w:p>
      <w:pPr>
        <w:pStyle w:val="BodyText"/>
        <w:tabs>
          <w:tab w:pos="1063" w:val="left" w:leader="none"/>
        </w:tabs>
        <w:ind w:left="101" w:right="102"/>
      </w:pPr>
      <w:r>
        <w:rPr/>
        <w:t>INFt</w:t>
        <w:tab/>
        <w:t>= Inflación anual en</w:t>
      </w:r>
      <w:r>
        <w:rPr>
          <w:spacing w:val="27"/>
        </w:rPr>
        <w:t> </w:t>
      </w:r>
      <w:r>
        <w:rPr/>
        <w:t>México</w:t>
      </w:r>
    </w:p>
    <w:p>
      <w:pPr>
        <w:pStyle w:val="BodyText"/>
        <w:spacing w:before="3"/>
        <w:rPr>
          <w:sz w:val="17"/>
        </w:rPr>
      </w:pPr>
    </w:p>
    <w:p>
      <w:pPr>
        <w:pStyle w:val="BodyText"/>
        <w:tabs>
          <w:tab w:pos="1034" w:val="left" w:leader="none"/>
        </w:tabs>
        <w:spacing w:line="420" w:lineRule="auto"/>
        <w:ind w:left="101" w:right="2536"/>
      </w:pPr>
      <w:r>
        <w:rPr/>
        <w:t>INPCt</w:t>
        <w:tab/>
        <w:t>= Índice nacional de precios al consumidor</w:t>
      </w:r>
      <w:r>
        <w:rPr>
          <w:spacing w:val="56"/>
        </w:rPr>
        <w:t> </w:t>
      </w:r>
      <w:r>
        <w:rPr/>
        <w:t>(base</w:t>
      </w:r>
      <w:r>
        <w:rPr>
          <w:spacing w:val="5"/>
        </w:rPr>
        <w:t> </w:t>
      </w:r>
      <w:r>
        <w:rPr/>
        <w:t>2002)</w:t>
      </w:r>
      <w:r>
        <w:rPr>
          <w:w w:val="101"/>
        </w:rPr>
        <w:t> </w:t>
      </w:r>
      <w:r>
        <w:rPr/>
        <w:t>SMt</w:t>
        <w:tab/>
        <w:t>= Salario en México (pesos por</w:t>
      </w:r>
      <w:r>
        <w:rPr>
          <w:spacing w:val="41"/>
        </w:rPr>
        <w:t> </w:t>
      </w:r>
      <w:r>
        <w:rPr/>
        <w:t>día)</w:t>
      </w:r>
    </w:p>
    <w:p>
      <w:pPr>
        <w:pStyle w:val="BodyText"/>
        <w:rPr>
          <w:sz w:val="22"/>
        </w:rPr>
      </w:pPr>
    </w:p>
    <w:p>
      <w:pPr>
        <w:pStyle w:val="BodyText"/>
        <w:rPr>
          <w:sz w:val="30"/>
        </w:rPr>
      </w:pPr>
    </w:p>
    <w:p>
      <w:pPr>
        <w:pStyle w:val="Heading4"/>
        <w:spacing w:before="1"/>
        <w:ind w:right="102"/>
      </w:pPr>
      <w:r>
        <w:rPr/>
        <w:t>Condición para la identificación del</w:t>
      </w:r>
      <w:r>
        <w:rPr>
          <w:spacing w:val="50"/>
        </w:rPr>
        <w:t> </w:t>
      </w:r>
      <w:r>
        <w:rPr/>
        <w:t>modelo</w:t>
      </w:r>
    </w:p>
    <w:p>
      <w:pPr>
        <w:pStyle w:val="BodyText"/>
        <w:spacing w:before="4"/>
        <w:rPr>
          <w:b/>
          <w:sz w:val="29"/>
        </w:rPr>
      </w:pPr>
    </w:p>
    <w:p>
      <w:pPr>
        <w:pStyle w:val="BodyText"/>
        <w:tabs>
          <w:tab w:pos="2442" w:val="left" w:leader="none"/>
        </w:tabs>
        <w:spacing w:line="542" w:lineRule="auto"/>
        <w:ind w:left="101" w:right="1122"/>
      </w:pPr>
      <w:r>
        <w:rPr/>
        <w:t>Donde: M son las variables endógenas y K son las variables predeterminadas. M</w:t>
      </w:r>
      <w:r>
        <w:rPr>
          <w:spacing w:val="1"/>
        </w:rPr>
        <w:t> </w:t>
      </w:r>
      <w:r>
        <w:rPr/>
        <w:t>=</w:t>
      </w:r>
      <w:r>
        <w:rPr>
          <w:spacing w:val="4"/>
        </w:rPr>
        <w:t> </w:t>
      </w:r>
      <w:r>
        <w:rPr/>
        <w:t>5</w:t>
        <w:tab/>
        <w:t>K =</w:t>
      </w:r>
      <w:r>
        <w:rPr>
          <w:spacing w:val="10"/>
        </w:rPr>
        <w:t> </w:t>
      </w:r>
      <w:r>
        <w:rPr/>
        <w:t>8</w:t>
      </w:r>
    </w:p>
    <w:p>
      <w:pPr>
        <w:pStyle w:val="BodyText"/>
        <w:spacing w:before="9"/>
        <w:ind w:left="101" w:right="102"/>
      </w:pPr>
      <w:r>
        <w:rPr/>
        <w:t>Las 5 ecuaciones del modelo están sobré identificadas por la condición de  orden.</w:t>
      </w:r>
    </w:p>
    <w:p>
      <w:pPr>
        <w:pStyle w:val="BodyText"/>
        <w:rPr>
          <w:sz w:val="22"/>
        </w:rPr>
      </w:pPr>
    </w:p>
    <w:p>
      <w:pPr>
        <w:pStyle w:val="BodyText"/>
        <w:rPr>
          <w:sz w:val="22"/>
        </w:rPr>
      </w:pPr>
    </w:p>
    <w:p>
      <w:pPr>
        <w:pStyle w:val="BodyText"/>
        <w:rPr>
          <w:sz w:val="22"/>
        </w:rPr>
      </w:pPr>
    </w:p>
    <w:p>
      <w:pPr>
        <w:pStyle w:val="Heading2"/>
        <w:numPr>
          <w:ilvl w:val="1"/>
          <w:numId w:val="21"/>
        </w:numPr>
        <w:tabs>
          <w:tab w:pos="539" w:val="left" w:leader="none"/>
        </w:tabs>
        <w:spacing w:line="240" w:lineRule="auto" w:before="166" w:after="0"/>
        <w:ind w:left="538" w:right="0" w:hanging="437"/>
        <w:jc w:val="left"/>
      </w:pPr>
      <w:r>
        <w:rPr/>
        <w:t>ANÀLISIS Y DISCUSIÒN DE</w:t>
      </w:r>
      <w:r>
        <w:rPr>
          <w:spacing w:val="9"/>
        </w:rPr>
        <w:t> </w:t>
      </w:r>
      <w:r>
        <w:rPr/>
        <w:t>RESULTADOS</w:t>
      </w:r>
    </w:p>
    <w:p>
      <w:pPr>
        <w:pStyle w:val="BodyText"/>
        <w:rPr>
          <w:b/>
          <w:sz w:val="30"/>
        </w:rPr>
      </w:pPr>
    </w:p>
    <w:p>
      <w:pPr>
        <w:pStyle w:val="BodyText"/>
        <w:rPr>
          <w:b/>
          <w:sz w:val="30"/>
        </w:rPr>
      </w:pPr>
    </w:p>
    <w:p>
      <w:pPr>
        <w:pStyle w:val="BodyText"/>
        <w:spacing w:line="364" w:lineRule="auto" w:before="188"/>
        <w:ind w:left="101" w:right="102"/>
      </w:pPr>
      <w:r>
        <w:rPr/>
        <w:t>Se analizará en primer lugar los resultados estadísticos tomando como base los parámetros de las ecuaciones obtenidas.</w:t>
      </w:r>
    </w:p>
    <w:p>
      <w:pPr>
        <w:pStyle w:val="BodyText"/>
        <w:rPr>
          <w:sz w:val="22"/>
        </w:rPr>
      </w:pPr>
    </w:p>
    <w:p>
      <w:pPr>
        <w:pStyle w:val="BodyText"/>
        <w:rPr>
          <w:sz w:val="22"/>
        </w:rPr>
      </w:pPr>
    </w:p>
    <w:p>
      <w:pPr>
        <w:pStyle w:val="Heading4"/>
        <w:spacing w:before="192"/>
        <w:ind w:right="102"/>
      </w:pPr>
      <w:r>
        <w:rPr/>
        <w:t>Interpretación económica de las elasticidades de la forma  estructural</w:t>
      </w:r>
    </w:p>
    <w:p>
      <w:pPr>
        <w:pStyle w:val="BodyText"/>
        <w:spacing w:before="2"/>
        <w:rPr>
          <w:b/>
          <w:sz w:val="29"/>
        </w:rPr>
      </w:pPr>
    </w:p>
    <w:p>
      <w:pPr>
        <w:pStyle w:val="BodyText"/>
        <w:spacing w:line="367" w:lineRule="auto"/>
        <w:ind w:left="101" w:right="102"/>
      </w:pPr>
      <w:r>
        <w:rPr/>
        <w:t>Los resultados económicos de las elasticidades de la forma estructural de cada una de las ecuaciones, se presentan en el cuadro 2.</w:t>
      </w:r>
    </w:p>
    <w:p>
      <w:pPr>
        <w:spacing w:after="0" w:line="367" w:lineRule="auto"/>
        <w:sectPr>
          <w:pgSz w:w="11900" w:h="16840"/>
          <w:pgMar w:header="0" w:footer="1679" w:top="1600" w:bottom="1860" w:left="1300" w:right="1280"/>
        </w:sectPr>
      </w:pPr>
    </w:p>
    <w:p>
      <w:pPr>
        <w:pStyle w:val="BodyText"/>
        <w:rPr>
          <w:sz w:val="20"/>
        </w:rPr>
      </w:pPr>
    </w:p>
    <w:p>
      <w:pPr>
        <w:pStyle w:val="BodyText"/>
        <w:spacing w:before="6"/>
        <w:rPr>
          <w:sz w:val="18"/>
        </w:rPr>
      </w:pPr>
    </w:p>
    <w:p>
      <w:pPr>
        <w:pStyle w:val="Heading4"/>
        <w:spacing w:before="74"/>
        <w:ind w:left="1219" w:right="150"/>
      </w:pPr>
      <w:r>
        <w:rPr/>
        <w:t>Cuadro 2. Resumen de las elasticidades en su forma  estructural</w:t>
      </w:r>
    </w:p>
    <w:p>
      <w:pPr>
        <w:pStyle w:val="BodyText"/>
        <w:spacing w:before="10" w:after="1"/>
        <w:rPr>
          <w:b/>
          <w:sz w:val="28"/>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2"/>
        <w:gridCol w:w="1849"/>
        <w:gridCol w:w="1938"/>
        <w:gridCol w:w="1788"/>
        <w:gridCol w:w="1764"/>
      </w:tblGrid>
      <w:tr>
        <w:trPr>
          <w:trHeight w:val="1010" w:hRule="exact"/>
        </w:trPr>
        <w:tc>
          <w:tcPr>
            <w:tcW w:w="1982" w:type="dxa"/>
          </w:tcPr>
          <w:p>
            <w:pPr>
              <w:pStyle w:val="TableParagraph"/>
              <w:ind w:left="100"/>
              <w:jc w:val="left"/>
              <w:rPr>
                <w:sz w:val="23"/>
              </w:rPr>
            </w:pPr>
            <w:r>
              <w:rPr>
                <w:sz w:val="23"/>
              </w:rPr>
              <w:t>PIB</w:t>
            </w:r>
          </w:p>
        </w:tc>
        <w:tc>
          <w:tcPr>
            <w:tcW w:w="1849" w:type="dxa"/>
            <w:tcBorders>
              <w:right w:val="single" w:sz="3" w:space="0" w:color="000000"/>
            </w:tcBorders>
          </w:tcPr>
          <w:p>
            <w:pPr>
              <w:pStyle w:val="TableParagraph"/>
              <w:ind w:left="98"/>
              <w:jc w:val="left"/>
              <w:rPr>
                <w:sz w:val="23"/>
              </w:rPr>
            </w:pPr>
            <w:r>
              <w:rPr>
                <w:sz w:val="23"/>
              </w:rPr>
              <w:t>INVERSIÓN</w:t>
            </w:r>
          </w:p>
        </w:tc>
        <w:tc>
          <w:tcPr>
            <w:tcW w:w="1938" w:type="dxa"/>
            <w:tcBorders>
              <w:left w:val="single" w:sz="3" w:space="0" w:color="000000"/>
            </w:tcBorders>
          </w:tcPr>
          <w:p>
            <w:pPr>
              <w:pStyle w:val="TableParagraph"/>
              <w:ind w:left="100"/>
              <w:jc w:val="left"/>
              <w:rPr>
                <w:sz w:val="23"/>
              </w:rPr>
            </w:pPr>
            <w:r>
              <w:rPr>
                <w:sz w:val="23"/>
              </w:rPr>
              <w:t>INFLACIÓN</w:t>
            </w:r>
          </w:p>
        </w:tc>
        <w:tc>
          <w:tcPr>
            <w:tcW w:w="1788" w:type="dxa"/>
          </w:tcPr>
          <w:p>
            <w:pPr>
              <w:pStyle w:val="TableParagraph"/>
              <w:ind w:right="219"/>
              <w:rPr>
                <w:sz w:val="23"/>
              </w:rPr>
            </w:pPr>
            <w:r>
              <w:rPr>
                <w:sz w:val="23"/>
              </w:rPr>
              <w:t>DESEMPLEO</w:t>
            </w:r>
          </w:p>
        </w:tc>
        <w:tc>
          <w:tcPr>
            <w:tcW w:w="1764" w:type="dxa"/>
          </w:tcPr>
          <w:p>
            <w:pPr>
              <w:pStyle w:val="TableParagraph"/>
              <w:spacing w:line="364" w:lineRule="auto"/>
              <w:ind w:left="100" w:hanging="1"/>
              <w:jc w:val="left"/>
              <w:rPr>
                <w:sz w:val="23"/>
              </w:rPr>
            </w:pPr>
            <w:r>
              <w:rPr>
                <w:sz w:val="23"/>
              </w:rPr>
              <w:t>NÚM. DE MIGRANTES</w:t>
            </w:r>
          </w:p>
        </w:tc>
      </w:tr>
      <w:tr>
        <w:trPr>
          <w:trHeight w:val="679" w:hRule="exact"/>
        </w:trPr>
        <w:tc>
          <w:tcPr>
            <w:tcW w:w="1982" w:type="dxa"/>
          </w:tcPr>
          <w:p>
            <w:pPr>
              <w:pStyle w:val="TableParagraph"/>
              <w:spacing w:line="225" w:lineRule="exact" w:before="20"/>
              <w:ind w:left="597"/>
              <w:jc w:val="left"/>
              <w:rPr>
                <w:rFonts w:ascii="Times New Roman" w:hAnsi="Times New Roman"/>
                <w:sz w:val="23"/>
              </w:rPr>
            </w:pPr>
            <w:r>
              <w:rPr>
                <w:rFonts w:ascii="Symbol" w:hAnsi="Symbol"/>
                <w:sz w:val="23"/>
              </w:rPr>
              <w:t></w:t>
            </w:r>
            <w:r>
              <w:rPr>
                <w:rFonts w:ascii="Times New Roman" w:hAnsi="Times New Roman"/>
                <w:i/>
                <w:position w:val="10"/>
                <w:sz w:val="13"/>
              </w:rPr>
              <w:t>PIB  </w:t>
            </w:r>
            <w:r>
              <w:rPr>
                <w:rFonts w:ascii="Symbol" w:hAnsi="Symbol"/>
                <w:sz w:val="23"/>
              </w:rPr>
              <w:t></w:t>
            </w:r>
            <w:r>
              <w:rPr>
                <w:rFonts w:ascii="Times New Roman" w:hAnsi="Times New Roman"/>
                <w:sz w:val="23"/>
              </w:rPr>
              <w:t> 1.1817</w:t>
            </w:r>
          </w:p>
          <w:p>
            <w:pPr>
              <w:pStyle w:val="TableParagraph"/>
              <w:spacing w:line="92" w:lineRule="exact" w:before="0"/>
              <w:ind w:right="374"/>
              <w:jc w:val="center"/>
              <w:rPr>
                <w:rFonts w:ascii="Times New Roman"/>
                <w:i/>
                <w:sz w:val="13"/>
              </w:rPr>
            </w:pPr>
            <w:r>
              <w:rPr>
                <w:rFonts w:ascii="Times New Roman"/>
                <w:i/>
                <w:w w:val="103"/>
                <w:sz w:val="13"/>
              </w:rPr>
              <w:t>C</w:t>
            </w:r>
          </w:p>
        </w:tc>
        <w:tc>
          <w:tcPr>
            <w:tcW w:w="1849" w:type="dxa"/>
            <w:tcBorders>
              <w:right w:val="single" w:sz="3" w:space="0" w:color="000000"/>
            </w:tcBorders>
          </w:tcPr>
          <w:p>
            <w:pPr>
              <w:pStyle w:val="TableParagraph"/>
              <w:spacing w:line="225" w:lineRule="exact" w:before="6"/>
              <w:ind w:left="290"/>
              <w:jc w:val="left"/>
              <w:rPr>
                <w:rFonts w:ascii="Times New Roman" w:hAnsi="Times New Roman"/>
                <w:sz w:val="23"/>
              </w:rPr>
            </w:pPr>
            <w:r>
              <w:rPr>
                <w:rFonts w:ascii="Symbol" w:hAnsi="Symbol"/>
                <w:sz w:val="23"/>
              </w:rPr>
              <w:t></w:t>
            </w:r>
            <w:r>
              <w:rPr>
                <w:rFonts w:ascii="Times New Roman" w:hAnsi="Times New Roman"/>
                <w:i/>
                <w:position w:val="10"/>
                <w:sz w:val="13"/>
              </w:rPr>
              <w:t>INV  </w:t>
            </w:r>
            <w:r>
              <w:rPr>
                <w:rFonts w:ascii="Symbol" w:hAnsi="Symbol"/>
                <w:sz w:val="23"/>
              </w:rPr>
              <w:t></w:t>
            </w:r>
            <w:r>
              <w:rPr>
                <w:rFonts w:ascii="Times New Roman" w:hAnsi="Times New Roman"/>
                <w:sz w:val="23"/>
              </w:rPr>
              <w:t> </w:t>
            </w:r>
            <w:r>
              <w:rPr>
                <w:rFonts w:ascii="Symbol" w:hAnsi="Symbol"/>
                <w:sz w:val="23"/>
              </w:rPr>
              <w:t></w:t>
            </w:r>
            <w:r>
              <w:rPr>
                <w:rFonts w:ascii="Times New Roman" w:hAnsi="Times New Roman"/>
                <w:sz w:val="23"/>
              </w:rPr>
              <w:t>2.1534</w:t>
            </w:r>
          </w:p>
          <w:p>
            <w:pPr>
              <w:pStyle w:val="TableParagraph"/>
              <w:spacing w:line="92" w:lineRule="exact" w:before="0"/>
              <w:ind w:left="441"/>
              <w:jc w:val="left"/>
              <w:rPr>
                <w:rFonts w:ascii="Times New Roman"/>
                <w:i/>
                <w:sz w:val="13"/>
              </w:rPr>
            </w:pPr>
            <w:r>
              <w:rPr>
                <w:rFonts w:ascii="Times New Roman"/>
                <w:i/>
                <w:w w:val="105"/>
                <w:sz w:val="13"/>
              </w:rPr>
              <w:t>TC</w:t>
            </w:r>
          </w:p>
        </w:tc>
        <w:tc>
          <w:tcPr>
            <w:tcW w:w="1938" w:type="dxa"/>
            <w:tcBorders>
              <w:left w:val="single" w:sz="3" w:space="0" w:color="000000"/>
            </w:tcBorders>
          </w:tcPr>
          <w:p>
            <w:pPr>
              <w:pStyle w:val="TableParagraph"/>
              <w:spacing w:line="225" w:lineRule="exact" w:before="6"/>
              <w:ind w:left="395"/>
              <w:jc w:val="left"/>
              <w:rPr>
                <w:rFonts w:ascii="Times New Roman" w:hAnsi="Times New Roman"/>
                <w:sz w:val="23"/>
              </w:rPr>
            </w:pPr>
            <w:r>
              <w:rPr>
                <w:rFonts w:ascii="Symbol" w:hAnsi="Symbol"/>
                <w:sz w:val="23"/>
              </w:rPr>
              <w:t></w:t>
            </w:r>
            <w:r>
              <w:rPr>
                <w:rFonts w:ascii="Times New Roman" w:hAnsi="Times New Roman"/>
                <w:i/>
                <w:position w:val="10"/>
                <w:sz w:val="13"/>
              </w:rPr>
              <w:t>INF  </w:t>
            </w:r>
            <w:r>
              <w:rPr>
                <w:rFonts w:ascii="Symbol" w:hAnsi="Symbol"/>
                <w:sz w:val="23"/>
              </w:rPr>
              <w:t></w:t>
            </w:r>
            <w:r>
              <w:rPr>
                <w:rFonts w:ascii="Times New Roman" w:hAnsi="Times New Roman"/>
                <w:sz w:val="23"/>
              </w:rPr>
              <w:t> </w:t>
            </w:r>
            <w:r>
              <w:rPr>
                <w:rFonts w:ascii="Symbol" w:hAnsi="Symbol"/>
                <w:sz w:val="23"/>
              </w:rPr>
              <w:t></w:t>
            </w:r>
            <w:r>
              <w:rPr>
                <w:rFonts w:ascii="Times New Roman" w:hAnsi="Times New Roman"/>
                <w:sz w:val="23"/>
              </w:rPr>
              <w:t>0.0298</w:t>
            </w:r>
          </w:p>
          <w:p>
            <w:pPr>
              <w:pStyle w:val="TableParagraph"/>
              <w:spacing w:line="92" w:lineRule="exact" w:before="0"/>
              <w:ind w:left="539"/>
              <w:jc w:val="left"/>
              <w:rPr>
                <w:rFonts w:ascii="Times New Roman"/>
                <w:i/>
                <w:sz w:val="13"/>
              </w:rPr>
            </w:pPr>
            <w:r>
              <w:rPr>
                <w:rFonts w:ascii="Times New Roman"/>
                <w:i/>
                <w:w w:val="103"/>
                <w:sz w:val="13"/>
              </w:rPr>
              <w:t>U</w:t>
            </w:r>
          </w:p>
        </w:tc>
        <w:tc>
          <w:tcPr>
            <w:tcW w:w="1788" w:type="dxa"/>
          </w:tcPr>
          <w:p>
            <w:pPr>
              <w:pStyle w:val="TableParagraph"/>
              <w:spacing w:line="225" w:lineRule="exact" w:before="20"/>
              <w:ind w:left="213" w:right="-12"/>
              <w:jc w:val="left"/>
              <w:rPr>
                <w:rFonts w:ascii="Times New Roman" w:hAnsi="Times New Roman"/>
                <w:sz w:val="23"/>
              </w:rPr>
            </w:pPr>
            <w:r>
              <w:rPr>
                <w:rFonts w:ascii="Symbol" w:hAnsi="Symbol"/>
                <w:sz w:val="23"/>
              </w:rPr>
              <w:t></w:t>
            </w:r>
            <w:r>
              <w:rPr>
                <w:rFonts w:ascii="Times New Roman" w:hAnsi="Times New Roman"/>
                <w:i/>
                <w:position w:val="10"/>
                <w:sz w:val="13"/>
              </w:rPr>
              <w:t>U         </w:t>
            </w:r>
            <w:r>
              <w:rPr>
                <w:rFonts w:ascii="Symbol" w:hAnsi="Symbol"/>
                <w:sz w:val="23"/>
              </w:rPr>
              <w:t></w:t>
            </w:r>
            <w:r>
              <w:rPr>
                <w:rFonts w:ascii="Times New Roman" w:hAnsi="Times New Roman"/>
                <w:sz w:val="23"/>
              </w:rPr>
              <w:t> 0.1719</w:t>
            </w:r>
          </w:p>
          <w:p>
            <w:pPr>
              <w:pStyle w:val="TableParagraph"/>
              <w:spacing w:line="92" w:lineRule="exact" w:before="0"/>
              <w:ind w:left="374" w:right="-12"/>
              <w:jc w:val="left"/>
              <w:rPr>
                <w:rFonts w:ascii="Times New Roman"/>
                <w:i/>
                <w:sz w:val="13"/>
              </w:rPr>
            </w:pPr>
            <w:r>
              <w:rPr>
                <w:rFonts w:ascii="Times New Roman"/>
                <w:i/>
                <w:w w:val="105"/>
                <w:sz w:val="13"/>
              </w:rPr>
              <w:t>INF</w:t>
            </w:r>
          </w:p>
        </w:tc>
        <w:tc>
          <w:tcPr>
            <w:tcW w:w="1764" w:type="dxa"/>
          </w:tcPr>
          <w:p>
            <w:pPr>
              <w:pStyle w:val="TableParagraph"/>
              <w:spacing w:line="225" w:lineRule="exact" w:before="20"/>
              <w:ind w:left="367"/>
              <w:jc w:val="left"/>
              <w:rPr>
                <w:rFonts w:ascii="Times New Roman" w:hAnsi="Times New Roman"/>
                <w:sz w:val="23"/>
              </w:rPr>
            </w:pPr>
            <w:r>
              <w:rPr>
                <w:rFonts w:ascii="Symbol" w:hAnsi="Symbol"/>
                <w:sz w:val="23"/>
              </w:rPr>
              <w:t></w:t>
            </w:r>
            <w:r>
              <w:rPr>
                <w:rFonts w:ascii="Times New Roman" w:hAnsi="Times New Roman"/>
                <w:i/>
                <w:position w:val="10"/>
                <w:sz w:val="13"/>
              </w:rPr>
              <w:t>NM  </w:t>
            </w:r>
            <w:r>
              <w:rPr>
                <w:rFonts w:ascii="Symbol" w:hAnsi="Symbol"/>
                <w:sz w:val="23"/>
              </w:rPr>
              <w:t></w:t>
            </w:r>
            <w:r>
              <w:rPr>
                <w:rFonts w:ascii="Times New Roman" w:hAnsi="Times New Roman"/>
                <w:sz w:val="23"/>
              </w:rPr>
              <w:t> 0.3606</w:t>
            </w:r>
          </w:p>
          <w:p>
            <w:pPr>
              <w:pStyle w:val="TableParagraph"/>
              <w:spacing w:line="92" w:lineRule="exact" w:before="0"/>
              <w:ind w:left="525"/>
              <w:jc w:val="left"/>
              <w:rPr>
                <w:rFonts w:ascii="Times New Roman"/>
                <w:i/>
                <w:sz w:val="13"/>
              </w:rPr>
            </w:pPr>
            <w:r>
              <w:rPr>
                <w:rFonts w:ascii="Times New Roman"/>
                <w:i/>
                <w:w w:val="105"/>
                <w:sz w:val="13"/>
              </w:rPr>
              <w:t>SM</w:t>
            </w:r>
          </w:p>
        </w:tc>
      </w:tr>
      <w:tr>
        <w:trPr>
          <w:trHeight w:val="974" w:hRule="exact"/>
        </w:trPr>
        <w:tc>
          <w:tcPr>
            <w:tcW w:w="1982" w:type="dxa"/>
          </w:tcPr>
          <w:p>
            <w:pPr>
              <w:pStyle w:val="TableParagraph"/>
              <w:spacing w:line="225" w:lineRule="exact" w:before="18"/>
              <w:ind w:left="551"/>
              <w:jc w:val="left"/>
              <w:rPr>
                <w:rFonts w:ascii="Times New Roman" w:hAnsi="Times New Roman"/>
                <w:sz w:val="23"/>
              </w:rPr>
            </w:pPr>
            <w:r>
              <w:rPr>
                <w:rFonts w:ascii="Symbol" w:hAnsi="Symbol"/>
                <w:sz w:val="23"/>
              </w:rPr>
              <w:t></w:t>
            </w:r>
            <w:r>
              <w:rPr>
                <w:rFonts w:ascii="Times New Roman" w:hAnsi="Times New Roman"/>
                <w:i/>
                <w:position w:val="10"/>
                <w:sz w:val="13"/>
              </w:rPr>
              <w:t>PIB  </w:t>
            </w:r>
            <w:r>
              <w:rPr>
                <w:rFonts w:ascii="Symbol" w:hAnsi="Symbol"/>
                <w:sz w:val="23"/>
              </w:rPr>
              <w:t></w:t>
            </w:r>
            <w:r>
              <w:rPr>
                <w:rFonts w:ascii="Times New Roman" w:hAnsi="Times New Roman"/>
                <w:sz w:val="23"/>
              </w:rPr>
              <w:t> 0.8250</w:t>
            </w:r>
          </w:p>
          <w:p>
            <w:pPr>
              <w:pStyle w:val="TableParagraph"/>
              <w:spacing w:line="92" w:lineRule="exact" w:before="0"/>
              <w:ind w:left="694" w:right="1017"/>
              <w:jc w:val="center"/>
              <w:rPr>
                <w:rFonts w:ascii="Times New Roman"/>
                <w:i/>
                <w:sz w:val="13"/>
              </w:rPr>
            </w:pPr>
            <w:r>
              <w:rPr>
                <w:rFonts w:ascii="Times New Roman"/>
                <w:i/>
                <w:w w:val="105"/>
                <w:sz w:val="13"/>
              </w:rPr>
              <w:t>INV</w:t>
            </w:r>
          </w:p>
        </w:tc>
        <w:tc>
          <w:tcPr>
            <w:tcW w:w="1849" w:type="dxa"/>
            <w:tcBorders>
              <w:right w:val="single" w:sz="3" w:space="0" w:color="000000"/>
            </w:tcBorders>
          </w:tcPr>
          <w:p>
            <w:pPr>
              <w:pStyle w:val="TableParagraph"/>
              <w:spacing w:line="226" w:lineRule="exact" w:before="6"/>
              <w:ind w:left="208"/>
              <w:jc w:val="left"/>
              <w:rPr>
                <w:rFonts w:ascii="Times New Roman" w:hAnsi="Times New Roman"/>
                <w:sz w:val="23"/>
              </w:rPr>
            </w:pPr>
            <w:r>
              <w:rPr>
                <w:rFonts w:ascii="Symbol" w:hAnsi="Symbol"/>
                <w:sz w:val="23"/>
              </w:rPr>
              <w:t></w:t>
            </w:r>
            <w:r>
              <w:rPr>
                <w:rFonts w:ascii="Times New Roman" w:hAnsi="Times New Roman"/>
                <w:i/>
                <w:position w:val="10"/>
                <w:sz w:val="13"/>
              </w:rPr>
              <w:t>INV  </w:t>
            </w:r>
            <w:r>
              <w:rPr>
                <w:rFonts w:ascii="Symbol" w:hAnsi="Symbol"/>
                <w:sz w:val="23"/>
              </w:rPr>
              <w:t></w:t>
            </w:r>
            <w:r>
              <w:rPr>
                <w:rFonts w:ascii="Times New Roman" w:hAnsi="Times New Roman"/>
                <w:sz w:val="23"/>
              </w:rPr>
              <w:t> </w:t>
            </w:r>
            <w:r>
              <w:rPr>
                <w:rFonts w:ascii="Symbol" w:hAnsi="Symbol"/>
                <w:sz w:val="23"/>
              </w:rPr>
              <w:t></w:t>
            </w:r>
            <w:r>
              <w:rPr>
                <w:rFonts w:ascii="Times New Roman" w:hAnsi="Times New Roman"/>
                <w:sz w:val="23"/>
              </w:rPr>
              <w:t>5.7905</w:t>
            </w:r>
          </w:p>
          <w:p>
            <w:pPr>
              <w:pStyle w:val="TableParagraph"/>
              <w:spacing w:line="94" w:lineRule="exact" w:before="0"/>
              <w:ind w:left="357"/>
              <w:jc w:val="left"/>
              <w:rPr>
                <w:rFonts w:ascii="Times New Roman"/>
                <w:i/>
                <w:sz w:val="13"/>
              </w:rPr>
            </w:pPr>
            <w:r>
              <w:rPr>
                <w:rFonts w:ascii="Times New Roman"/>
                <w:i/>
                <w:w w:val="105"/>
                <w:sz w:val="13"/>
              </w:rPr>
              <w:t>TI</w:t>
            </w:r>
          </w:p>
        </w:tc>
        <w:tc>
          <w:tcPr>
            <w:tcW w:w="1938" w:type="dxa"/>
            <w:tcBorders>
              <w:left w:val="single" w:sz="3" w:space="0" w:color="000000"/>
            </w:tcBorders>
          </w:tcPr>
          <w:p>
            <w:pPr>
              <w:pStyle w:val="TableParagraph"/>
              <w:spacing w:line="225" w:lineRule="exact" w:before="20"/>
              <w:ind w:left="539"/>
              <w:jc w:val="left"/>
              <w:rPr>
                <w:rFonts w:ascii="Times New Roman" w:hAnsi="Times New Roman"/>
                <w:sz w:val="23"/>
              </w:rPr>
            </w:pPr>
            <w:r>
              <w:rPr>
                <w:rFonts w:ascii="Symbol" w:hAnsi="Symbol"/>
                <w:sz w:val="23"/>
              </w:rPr>
              <w:t></w:t>
            </w:r>
            <w:r>
              <w:rPr>
                <w:rFonts w:ascii="Times New Roman" w:hAnsi="Times New Roman"/>
                <w:i/>
                <w:position w:val="10"/>
                <w:sz w:val="13"/>
              </w:rPr>
              <w:t>INF  </w:t>
            </w:r>
            <w:r>
              <w:rPr>
                <w:rFonts w:ascii="Symbol" w:hAnsi="Symbol"/>
                <w:sz w:val="23"/>
              </w:rPr>
              <w:t></w:t>
            </w:r>
            <w:r>
              <w:rPr>
                <w:rFonts w:ascii="Times New Roman" w:hAnsi="Times New Roman"/>
                <w:sz w:val="23"/>
              </w:rPr>
              <w:t> 0.9046</w:t>
            </w:r>
          </w:p>
          <w:p>
            <w:pPr>
              <w:pStyle w:val="TableParagraph"/>
              <w:spacing w:line="92" w:lineRule="exact" w:before="0"/>
              <w:ind w:left="592" w:right="979"/>
              <w:jc w:val="center"/>
              <w:rPr>
                <w:rFonts w:ascii="Times New Roman"/>
                <w:i/>
                <w:sz w:val="13"/>
              </w:rPr>
            </w:pPr>
            <w:r>
              <w:rPr>
                <w:rFonts w:ascii="Times New Roman"/>
                <w:i/>
                <w:w w:val="105"/>
                <w:sz w:val="13"/>
              </w:rPr>
              <w:t>TC</w:t>
            </w:r>
          </w:p>
        </w:tc>
        <w:tc>
          <w:tcPr>
            <w:tcW w:w="1788" w:type="dxa"/>
          </w:tcPr>
          <w:p>
            <w:pPr>
              <w:pStyle w:val="TableParagraph"/>
              <w:spacing w:line="225" w:lineRule="exact" w:before="18"/>
              <w:ind w:left="287" w:right="-12"/>
              <w:jc w:val="left"/>
              <w:rPr>
                <w:rFonts w:ascii="Times New Roman" w:hAnsi="Times New Roman"/>
                <w:sz w:val="23"/>
              </w:rPr>
            </w:pPr>
            <w:r>
              <w:rPr>
                <w:rFonts w:ascii="Symbol" w:hAnsi="Symbol"/>
                <w:sz w:val="23"/>
              </w:rPr>
              <w:t></w:t>
            </w:r>
            <w:r>
              <w:rPr>
                <w:rFonts w:ascii="Times New Roman" w:hAnsi="Times New Roman"/>
                <w:i/>
                <w:position w:val="10"/>
                <w:sz w:val="13"/>
              </w:rPr>
              <w:t>U        </w:t>
            </w:r>
            <w:r>
              <w:rPr>
                <w:rFonts w:ascii="Symbol" w:hAnsi="Symbol"/>
                <w:sz w:val="23"/>
              </w:rPr>
              <w:t></w:t>
            </w:r>
            <w:r>
              <w:rPr>
                <w:rFonts w:ascii="Times New Roman" w:hAnsi="Times New Roman"/>
                <w:sz w:val="23"/>
              </w:rPr>
              <w:t> </w:t>
            </w:r>
            <w:r>
              <w:rPr>
                <w:rFonts w:ascii="Symbol" w:hAnsi="Symbol"/>
                <w:sz w:val="23"/>
              </w:rPr>
              <w:t></w:t>
            </w:r>
            <w:r>
              <w:rPr>
                <w:rFonts w:ascii="Times New Roman" w:hAnsi="Times New Roman"/>
                <w:sz w:val="23"/>
              </w:rPr>
              <w:t>2.2801</w:t>
            </w:r>
          </w:p>
          <w:p>
            <w:pPr>
              <w:pStyle w:val="TableParagraph"/>
              <w:spacing w:line="92" w:lineRule="exact" w:before="0"/>
              <w:ind w:left="446" w:right="-12"/>
              <w:jc w:val="left"/>
              <w:rPr>
                <w:rFonts w:ascii="Times New Roman"/>
                <w:i/>
                <w:sz w:val="13"/>
              </w:rPr>
            </w:pPr>
            <w:r>
              <w:rPr>
                <w:rFonts w:ascii="Times New Roman"/>
                <w:i/>
                <w:w w:val="105"/>
                <w:sz w:val="13"/>
              </w:rPr>
              <w:t>SM</w:t>
            </w:r>
          </w:p>
        </w:tc>
        <w:tc>
          <w:tcPr>
            <w:tcW w:w="1764" w:type="dxa"/>
          </w:tcPr>
          <w:p>
            <w:pPr>
              <w:pStyle w:val="TableParagraph"/>
              <w:spacing w:line="226" w:lineRule="exact" w:before="20"/>
              <w:ind w:left="218"/>
              <w:jc w:val="left"/>
              <w:rPr>
                <w:rFonts w:ascii="Times New Roman" w:hAnsi="Times New Roman"/>
                <w:sz w:val="23"/>
              </w:rPr>
            </w:pPr>
            <w:r>
              <w:rPr>
                <w:rFonts w:ascii="Symbol" w:hAnsi="Symbol"/>
                <w:sz w:val="23"/>
              </w:rPr>
              <w:t></w:t>
            </w:r>
            <w:r>
              <w:rPr>
                <w:rFonts w:ascii="Times New Roman" w:hAnsi="Times New Roman"/>
                <w:i/>
                <w:position w:val="10"/>
                <w:sz w:val="13"/>
              </w:rPr>
              <w:t>NM  </w:t>
            </w:r>
            <w:r>
              <w:rPr>
                <w:rFonts w:ascii="Symbol" w:hAnsi="Symbol"/>
                <w:sz w:val="23"/>
              </w:rPr>
              <w:t></w:t>
            </w:r>
            <w:r>
              <w:rPr>
                <w:rFonts w:ascii="Times New Roman" w:hAnsi="Times New Roman"/>
                <w:sz w:val="23"/>
              </w:rPr>
              <w:t> </w:t>
            </w:r>
            <w:r>
              <w:rPr>
                <w:rFonts w:ascii="Symbol" w:hAnsi="Symbol"/>
                <w:sz w:val="23"/>
              </w:rPr>
              <w:t></w:t>
            </w:r>
            <w:r>
              <w:rPr>
                <w:rFonts w:ascii="Times New Roman" w:hAnsi="Times New Roman"/>
                <w:sz w:val="23"/>
              </w:rPr>
              <w:t>0.0385</w:t>
            </w:r>
          </w:p>
          <w:p>
            <w:pPr>
              <w:pStyle w:val="TableParagraph"/>
              <w:spacing w:line="94" w:lineRule="exact" w:before="0"/>
              <w:ind w:left="381"/>
              <w:jc w:val="left"/>
              <w:rPr>
                <w:rFonts w:ascii="Times New Roman"/>
                <w:i/>
                <w:sz w:val="13"/>
              </w:rPr>
            </w:pPr>
            <w:r>
              <w:rPr>
                <w:rFonts w:ascii="Times New Roman"/>
                <w:i/>
                <w:w w:val="105"/>
                <w:sz w:val="13"/>
              </w:rPr>
              <w:t>PIB</w:t>
            </w:r>
          </w:p>
        </w:tc>
      </w:tr>
      <w:tr>
        <w:trPr>
          <w:trHeight w:val="876" w:hRule="exact"/>
        </w:trPr>
        <w:tc>
          <w:tcPr>
            <w:tcW w:w="1982" w:type="dxa"/>
          </w:tcPr>
          <w:p>
            <w:pPr>
              <w:pStyle w:val="TableParagraph"/>
              <w:spacing w:line="225" w:lineRule="exact" w:before="18"/>
              <w:ind w:left="206"/>
              <w:jc w:val="left"/>
              <w:rPr>
                <w:rFonts w:ascii="Times New Roman" w:hAnsi="Times New Roman"/>
                <w:sz w:val="23"/>
              </w:rPr>
            </w:pPr>
            <w:r>
              <w:rPr>
                <w:rFonts w:ascii="Symbol" w:hAnsi="Symbol"/>
                <w:sz w:val="23"/>
              </w:rPr>
              <w:t></w:t>
            </w:r>
            <w:r>
              <w:rPr>
                <w:rFonts w:ascii="Times New Roman" w:hAnsi="Times New Roman"/>
                <w:i/>
                <w:position w:val="10"/>
                <w:sz w:val="13"/>
              </w:rPr>
              <w:t>PIB  </w:t>
            </w:r>
            <w:r>
              <w:rPr>
                <w:rFonts w:ascii="Symbol" w:hAnsi="Symbol"/>
                <w:sz w:val="23"/>
              </w:rPr>
              <w:t></w:t>
            </w:r>
            <w:r>
              <w:rPr>
                <w:rFonts w:ascii="Times New Roman" w:hAnsi="Times New Roman"/>
                <w:sz w:val="23"/>
              </w:rPr>
              <w:t> </w:t>
            </w:r>
            <w:r>
              <w:rPr>
                <w:rFonts w:ascii="Symbol" w:hAnsi="Symbol"/>
                <w:sz w:val="23"/>
              </w:rPr>
              <w:t></w:t>
            </w:r>
            <w:r>
              <w:rPr>
                <w:rFonts w:ascii="Times New Roman" w:hAnsi="Times New Roman"/>
                <w:sz w:val="23"/>
              </w:rPr>
              <w:t>0.0328</w:t>
            </w:r>
          </w:p>
          <w:p>
            <w:pPr>
              <w:pStyle w:val="TableParagraph"/>
              <w:spacing w:line="92" w:lineRule="exact" w:before="0"/>
              <w:ind w:left="364"/>
              <w:jc w:val="left"/>
              <w:rPr>
                <w:rFonts w:ascii="Times New Roman"/>
                <w:i/>
                <w:sz w:val="13"/>
              </w:rPr>
            </w:pPr>
            <w:r>
              <w:rPr>
                <w:rFonts w:ascii="Times New Roman"/>
                <w:i/>
                <w:w w:val="103"/>
                <w:sz w:val="13"/>
              </w:rPr>
              <w:t>G</w:t>
            </w:r>
          </w:p>
        </w:tc>
        <w:tc>
          <w:tcPr>
            <w:tcW w:w="1849" w:type="dxa"/>
            <w:tcBorders>
              <w:right w:val="single" w:sz="3" w:space="0" w:color="000000"/>
            </w:tcBorders>
          </w:tcPr>
          <w:p>
            <w:pPr>
              <w:pStyle w:val="TableParagraph"/>
              <w:spacing w:line="225" w:lineRule="exact" w:before="18"/>
              <w:ind w:left="208"/>
              <w:jc w:val="left"/>
              <w:rPr>
                <w:rFonts w:ascii="Times New Roman" w:hAnsi="Times New Roman"/>
                <w:sz w:val="23"/>
              </w:rPr>
            </w:pPr>
            <w:r>
              <w:rPr>
                <w:rFonts w:ascii="Symbol" w:hAnsi="Symbol"/>
                <w:sz w:val="23"/>
              </w:rPr>
              <w:t></w:t>
            </w:r>
            <w:r>
              <w:rPr>
                <w:rFonts w:ascii="Times New Roman" w:hAnsi="Times New Roman"/>
                <w:i/>
                <w:position w:val="10"/>
                <w:sz w:val="13"/>
              </w:rPr>
              <w:t>INV  </w:t>
            </w:r>
            <w:r>
              <w:rPr>
                <w:rFonts w:ascii="Symbol" w:hAnsi="Symbol"/>
                <w:sz w:val="23"/>
              </w:rPr>
              <w:t></w:t>
            </w:r>
            <w:r>
              <w:rPr>
                <w:rFonts w:ascii="Times New Roman" w:hAnsi="Times New Roman"/>
                <w:sz w:val="23"/>
              </w:rPr>
              <w:t> 0.3559</w:t>
            </w:r>
          </w:p>
          <w:p>
            <w:pPr>
              <w:pStyle w:val="TableParagraph"/>
              <w:spacing w:line="92" w:lineRule="exact" w:before="0"/>
              <w:ind w:left="362"/>
              <w:jc w:val="left"/>
              <w:rPr>
                <w:rFonts w:ascii="Times New Roman"/>
                <w:i/>
                <w:sz w:val="13"/>
              </w:rPr>
            </w:pPr>
            <w:r>
              <w:rPr>
                <w:rFonts w:ascii="Times New Roman"/>
                <w:i/>
                <w:w w:val="103"/>
                <w:sz w:val="13"/>
              </w:rPr>
              <w:t>G</w:t>
            </w:r>
          </w:p>
        </w:tc>
        <w:tc>
          <w:tcPr>
            <w:tcW w:w="1938" w:type="dxa"/>
            <w:tcBorders>
              <w:left w:val="single" w:sz="3" w:space="0" w:color="000000"/>
            </w:tcBorders>
          </w:tcPr>
          <w:p>
            <w:pPr>
              <w:pStyle w:val="TableParagraph"/>
              <w:spacing w:line="226" w:lineRule="exact" w:before="20"/>
              <w:ind w:left="556"/>
              <w:jc w:val="left"/>
              <w:rPr>
                <w:rFonts w:ascii="Times New Roman" w:hAnsi="Times New Roman"/>
                <w:sz w:val="23"/>
              </w:rPr>
            </w:pPr>
            <w:r>
              <w:rPr>
                <w:rFonts w:ascii="Symbol" w:hAnsi="Symbol"/>
                <w:sz w:val="23"/>
              </w:rPr>
              <w:t></w:t>
            </w:r>
            <w:r>
              <w:rPr>
                <w:rFonts w:ascii="Times New Roman" w:hAnsi="Times New Roman"/>
                <w:i/>
                <w:position w:val="10"/>
                <w:sz w:val="13"/>
              </w:rPr>
              <w:t>INF  </w:t>
            </w:r>
            <w:r>
              <w:rPr>
                <w:rFonts w:ascii="Symbol" w:hAnsi="Symbol"/>
                <w:sz w:val="23"/>
              </w:rPr>
              <w:t></w:t>
            </w:r>
            <w:r>
              <w:rPr>
                <w:rFonts w:ascii="Times New Roman" w:hAnsi="Times New Roman"/>
                <w:sz w:val="23"/>
              </w:rPr>
              <w:t> 1.2983</w:t>
            </w:r>
          </w:p>
          <w:p>
            <w:pPr>
              <w:pStyle w:val="TableParagraph"/>
              <w:spacing w:line="94" w:lineRule="exact" w:before="0"/>
              <w:ind w:left="585" w:right="979"/>
              <w:jc w:val="center"/>
              <w:rPr>
                <w:rFonts w:ascii="Times New Roman"/>
                <w:i/>
                <w:sz w:val="13"/>
              </w:rPr>
            </w:pPr>
            <w:r>
              <w:rPr>
                <w:rFonts w:ascii="Times New Roman"/>
                <w:i/>
                <w:w w:val="105"/>
                <w:sz w:val="13"/>
              </w:rPr>
              <w:t>TI</w:t>
            </w:r>
          </w:p>
        </w:tc>
        <w:tc>
          <w:tcPr>
            <w:tcW w:w="1788" w:type="dxa"/>
          </w:tcPr>
          <w:p>
            <w:pPr>
              <w:pStyle w:val="TableParagraph"/>
              <w:spacing w:line="225" w:lineRule="exact" w:before="20"/>
              <w:ind w:left="359" w:right="-12"/>
              <w:jc w:val="left"/>
              <w:rPr>
                <w:rFonts w:ascii="Times New Roman" w:hAnsi="Times New Roman"/>
                <w:sz w:val="23"/>
              </w:rPr>
            </w:pPr>
            <w:r>
              <w:rPr>
                <w:rFonts w:ascii="Symbol" w:hAnsi="Symbol"/>
                <w:sz w:val="23"/>
              </w:rPr>
              <w:t></w:t>
            </w:r>
            <w:r>
              <w:rPr>
                <w:rFonts w:ascii="Times New Roman" w:hAnsi="Times New Roman"/>
                <w:i/>
                <w:position w:val="10"/>
                <w:sz w:val="13"/>
              </w:rPr>
              <w:t>U        </w:t>
            </w:r>
            <w:r>
              <w:rPr>
                <w:rFonts w:ascii="Symbol" w:hAnsi="Symbol"/>
                <w:sz w:val="23"/>
              </w:rPr>
              <w:t></w:t>
            </w:r>
            <w:r>
              <w:rPr>
                <w:rFonts w:ascii="Times New Roman" w:hAnsi="Times New Roman"/>
                <w:sz w:val="23"/>
              </w:rPr>
              <w:t> 0.0988</w:t>
            </w:r>
          </w:p>
          <w:p>
            <w:pPr>
              <w:pStyle w:val="TableParagraph"/>
              <w:spacing w:line="92" w:lineRule="exact" w:before="0"/>
              <w:ind w:left="525" w:right="-12"/>
              <w:jc w:val="left"/>
              <w:rPr>
                <w:rFonts w:ascii="Times New Roman"/>
                <w:i/>
                <w:sz w:val="13"/>
              </w:rPr>
            </w:pPr>
            <w:r>
              <w:rPr>
                <w:rFonts w:ascii="Times New Roman"/>
                <w:i/>
                <w:w w:val="105"/>
                <w:sz w:val="13"/>
              </w:rPr>
              <w:t>INV</w:t>
            </w:r>
          </w:p>
        </w:tc>
        <w:tc>
          <w:tcPr>
            <w:tcW w:w="1764" w:type="dxa"/>
          </w:tcPr>
          <w:p>
            <w:pPr>
              <w:pStyle w:val="TableParagraph"/>
              <w:spacing w:line="225" w:lineRule="exact" w:before="20"/>
              <w:ind w:left="367"/>
              <w:jc w:val="left"/>
              <w:rPr>
                <w:rFonts w:ascii="Times New Roman" w:hAnsi="Times New Roman"/>
                <w:sz w:val="23"/>
              </w:rPr>
            </w:pPr>
            <w:r>
              <w:rPr>
                <w:rFonts w:ascii="Symbol" w:hAnsi="Symbol"/>
                <w:sz w:val="23"/>
              </w:rPr>
              <w:t></w:t>
            </w:r>
            <w:r>
              <w:rPr>
                <w:rFonts w:ascii="Times New Roman" w:hAnsi="Times New Roman"/>
                <w:i/>
                <w:position w:val="10"/>
                <w:sz w:val="13"/>
              </w:rPr>
              <w:t>NM  </w:t>
            </w:r>
            <w:r>
              <w:rPr>
                <w:rFonts w:ascii="Symbol" w:hAnsi="Symbol"/>
                <w:sz w:val="23"/>
              </w:rPr>
              <w:t></w:t>
            </w:r>
            <w:r>
              <w:rPr>
                <w:rFonts w:ascii="Times New Roman" w:hAnsi="Times New Roman"/>
                <w:sz w:val="23"/>
              </w:rPr>
              <w:t> 0.5399</w:t>
            </w:r>
          </w:p>
          <w:p>
            <w:pPr>
              <w:pStyle w:val="TableParagraph"/>
              <w:spacing w:line="92" w:lineRule="exact" w:before="0"/>
              <w:ind w:left="515"/>
              <w:jc w:val="left"/>
              <w:rPr>
                <w:rFonts w:ascii="Times New Roman"/>
                <w:i/>
                <w:sz w:val="13"/>
              </w:rPr>
            </w:pPr>
            <w:r>
              <w:rPr>
                <w:rFonts w:ascii="Times New Roman"/>
                <w:i/>
                <w:w w:val="105"/>
                <w:sz w:val="13"/>
              </w:rPr>
              <w:t>TC</w:t>
            </w:r>
          </w:p>
        </w:tc>
      </w:tr>
      <w:tr>
        <w:trPr>
          <w:trHeight w:val="876" w:hRule="exact"/>
        </w:trPr>
        <w:tc>
          <w:tcPr>
            <w:tcW w:w="1982" w:type="dxa"/>
          </w:tcPr>
          <w:p>
            <w:pPr>
              <w:pStyle w:val="TableParagraph"/>
              <w:spacing w:line="225" w:lineRule="exact" w:before="18"/>
              <w:ind w:left="206"/>
              <w:jc w:val="left"/>
              <w:rPr>
                <w:rFonts w:ascii="Times New Roman" w:hAnsi="Times New Roman"/>
                <w:sz w:val="23"/>
              </w:rPr>
            </w:pPr>
            <w:r>
              <w:rPr>
                <w:rFonts w:ascii="Symbol" w:hAnsi="Symbol"/>
                <w:sz w:val="23"/>
              </w:rPr>
              <w:t></w:t>
            </w:r>
            <w:r>
              <w:rPr>
                <w:rFonts w:ascii="Times New Roman" w:hAnsi="Times New Roman"/>
                <w:i/>
                <w:position w:val="10"/>
                <w:sz w:val="13"/>
              </w:rPr>
              <w:t>PIB </w:t>
            </w:r>
            <w:r>
              <w:rPr>
                <w:rFonts w:ascii="Symbol" w:hAnsi="Symbol"/>
                <w:sz w:val="23"/>
              </w:rPr>
              <w:t></w:t>
            </w:r>
            <w:r>
              <w:rPr>
                <w:rFonts w:ascii="Times New Roman" w:hAnsi="Times New Roman"/>
                <w:sz w:val="23"/>
              </w:rPr>
              <w:t> 0.3338</w:t>
            </w:r>
          </w:p>
          <w:p>
            <w:pPr>
              <w:pStyle w:val="TableParagraph"/>
              <w:spacing w:line="92" w:lineRule="exact" w:before="0"/>
              <w:ind w:left="374"/>
              <w:jc w:val="left"/>
              <w:rPr>
                <w:rFonts w:ascii="Times New Roman"/>
                <w:i/>
                <w:sz w:val="13"/>
              </w:rPr>
            </w:pPr>
            <w:r>
              <w:rPr>
                <w:rFonts w:ascii="Times New Roman"/>
                <w:i/>
                <w:w w:val="105"/>
                <w:sz w:val="13"/>
              </w:rPr>
              <w:t>XN</w:t>
            </w:r>
          </w:p>
        </w:tc>
        <w:tc>
          <w:tcPr>
            <w:tcW w:w="1849" w:type="dxa"/>
            <w:tcBorders>
              <w:right w:val="single" w:sz="3" w:space="0" w:color="000000"/>
            </w:tcBorders>
          </w:tcPr>
          <w:p>
            <w:pPr>
              <w:pStyle w:val="TableParagraph"/>
              <w:spacing w:line="226" w:lineRule="exact" w:before="20"/>
              <w:ind w:left="208"/>
              <w:jc w:val="left"/>
              <w:rPr>
                <w:rFonts w:ascii="Times New Roman" w:hAnsi="Times New Roman"/>
                <w:sz w:val="23"/>
              </w:rPr>
            </w:pPr>
            <w:r>
              <w:rPr>
                <w:rFonts w:ascii="Symbol" w:hAnsi="Symbol"/>
                <w:sz w:val="23"/>
              </w:rPr>
              <w:t></w:t>
            </w:r>
            <w:r>
              <w:rPr>
                <w:rFonts w:ascii="Times New Roman" w:hAnsi="Times New Roman"/>
                <w:i/>
                <w:position w:val="10"/>
                <w:sz w:val="13"/>
              </w:rPr>
              <w:t>INV  </w:t>
            </w:r>
            <w:r>
              <w:rPr>
                <w:rFonts w:ascii="Symbol" w:hAnsi="Symbol"/>
                <w:sz w:val="23"/>
              </w:rPr>
              <w:t></w:t>
            </w:r>
            <w:r>
              <w:rPr>
                <w:rFonts w:ascii="Times New Roman" w:hAnsi="Times New Roman"/>
                <w:sz w:val="23"/>
              </w:rPr>
              <w:t> 0.3456</w:t>
            </w:r>
          </w:p>
          <w:p>
            <w:pPr>
              <w:pStyle w:val="TableParagraph"/>
              <w:spacing w:line="94" w:lineRule="exact" w:before="0"/>
              <w:ind w:left="371"/>
              <w:jc w:val="left"/>
              <w:rPr>
                <w:rFonts w:ascii="Times New Roman"/>
                <w:i/>
                <w:sz w:val="13"/>
              </w:rPr>
            </w:pPr>
            <w:r>
              <w:rPr>
                <w:rFonts w:ascii="Times New Roman"/>
                <w:i/>
                <w:w w:val="105"/>
                <w:sz w:val="13"/>
              </w:rPr>
              <w:t>PIB</w:t>
            </w:r>
          </w:p>
        </w:tc>
        <w:tc>
          <w:tcPr>
            <w:tcW w:w="1938" w:type="dxa"/>
            <w:tcBorders>
              <w:left w:val="single" w:sz="3" w:space="0" w:color="000000"/>
            </w:tcBorders>
          </w:tcPr>
          <w:p>
            <w:pPr>
              <w:pStyle w:val="TableParagraph"/>
              <w:spacing w:line="225" w:lineRule="exact" w:before="20"/>
              <w:ind w:left="307"/>
              <w:jc w:val="left"/>
              <w:rPr>
                <w:rFonts w:ascii="Times New Roman" w:hAnsi="Times New Roman"/>
                <w:sz w:val="23"/>
              </w:rPr>
            </w:pPr>
            <w:r>
              <w:rPr>
                <w:rFonts w:ascii="Symbol" w:hAnsi="Symbol"/>
                <w:sz w:val="23"/>
              </w:rPr>
              <w:t></w:t>
            </w:r>
            <w:r>
              <w:rPr>
                <w:rFonts w:ascii="Times New Roman" w:hAnsi="Times New Roman"/>
                <w:i/>
                <w:position w:val="10"/>
                <w:sz w:val="13"/>
              </w:rPr>
              <w:t>INF    </w:t>
            </w:r>
            <w:r>
              <w:rPr>
                <w:rFonts w:ascii="Symbol" w:hAnsi="Symbol"/>
                <w:sz w:val="23"/>
              </w:rPr>
              <w:t></w:t>
            </w:r>
            <w:r>
              <w:rPr>
                <w:rFonts w:ascii="Times New Roman" w:hAnsi="Times New Roman"/>
                <w:sz w:val="23"/>
              </w:rPr>
              <w:t> </w:t>
            </w:r>
            <w:r>
              <w:rPr>
                <w:rFonts w:ascii="Symbol" w:hAnsi="Symbol"/>
                <w:sz w:val="23"/>
              </w:rPr>
              <w:t></w:t>
            </w:r>
            <w:r>
              <w:rPr>
                <w:rFonts w:ascii="Times New Roman" w:hAnsi="Times New Roman"/>
                <w:sz w:val="23"/>
              </w:rPr>
              <w:t>0.4877</w:t>
            </w:r>
          </w:p>
          <w:p>
            <w:pPr>
              <w:pStyle w:val="TableParagraph"/>
              <w:spacing w:line="92" w:lineRule="exact" w:before="0"/>
              <w:ind w:left="467"/>
              <w:jc w:val="left"/>
              <w:rPr>
                <w:rFonts w:ascii="Times New Roman"/>
                <w:i/>
                <w:sz w:val="13"/>
              </w:rPr>
            </w:pPr>
            <w:r>
              <w:rPr>
                <w:rFonts w:ascii="Times New Roman"/>
                <w:i/>
                <w:w w:val="105"/>
                <w:sz w:val="13"/>
              </w:rPr>
              <w:t>INPC</w:t>
            </w:r>
          </w:p>
        </w:tc>
        <w:tc>
          <w:tcPr>
            <w:tcW w:w="1788" w:type="dxa"/>
          </w:tcPr>
          <w:p>
            <w:pPr>
              <w:pStyle w:val="TableParagraph"/>
              <w:spacing w:line="226" w:lineRule="exact" w:before="20"/>
              <w:ind w:left="403" w:right="-12"/>
              <w:jc w:val="left"/>
              <w:rPr>
                <w:rFonts w:ascii="Times New Roman" w:hAnsi="Times New Roman"/>
                <w:sz w:val="23"/>
              </w:rPr>
            </w:pPr>
            <w:r>
              <w:rPr>
                <w:rFonts w:ascii="Symbol" w:hAnsi="Symbol"/>
                <w:sz w:val="23"/>
              </w:rPr>
              <w:t></w:t>
            </w:r>
            <w:r>
              <w:rPr>
                <w:rFonts w:ascii="Times New Roman" w:hAnsi="Times New Roman"/>
                <w:i/>
                <w:position w:val="10"/>
                <w:sz w:val="13"/>
              </w:rPr>
              <w:t>U         </w:t>
            </w:r>
            <w:r>
              <w:rPr>
                <w:rFonts w:ascii="Symbol" w:hAnsi="Symbol"/>
                <w:sz w:val="23"/>
              </w:rPr>
              <w:t></w:t>
            </w:r>
            <w:r>
              <w:rPr>
                <w:rFonts w:ascii="Times New Roman" w:hAnsi="Times New Roman"/>
                <w:sz w:val="23"/>
              </w:rPr>
              <w:t> 0.4218</w:t>
            </w:r>
          </w:p>
          <w:p>
            <w:pPr>
              <w:pStyle w:val="TableParagraph"/>
              <w:spacing w:line="94" w:lineRule="exact" w:before="0"/>
              <w:ind w:left="563" w:right="-12"/>
              <w:jc w:val="left"/>
              <w:rPr>
                <w:rFonts w:ascii="Times New Roman"/>
                <w:i/>
                <w:sz w:val="13"/>
              </w:rPr>
            </w:pPr>
            <w:r>
              <w:rPr>
                <w:rFonts w:ascii="Times New Roman"/>
                <w:i/>
                <w:w w:val="105"/>
                <w:sz w:val="13"/>
              </w:rPr>
              <w:t>PIB</w:t>
            </w:r>
          </w:p>
        </w:tc>
        <w:tc>
          <w:tcPr>
            <w:tcW w:w="1764" w:type="dxa"/>
          </w:tcPr>
          <w:p>
            <w:pPr>
              <w:pStyle w:val="TableParagraph"/>
              <w:spacing w:line="225" w:lineRule="exact" w:before="20"/>
              <w:ind w:left="367"/>
              <w:jc w:val="left"/>
              <w:rPr>
                <w:rFonts w:ascii="Times New Roman" w:hAnsi="Times New Roman"/>
                <w:sz w:val="23"/>
              </w:rPr>
            </w:pPr>
            <w:r>
              <w:rPr>
                <w:rFonts w:ascii="Symbol" w:hAnsi="Symbol"/>
                <w:sz w:val="23"/>
              </w:rPr>
              <w:t></w:t>
            </w:r>
            <w:r>
              <w:rPr>
                <w:rFonts w:ascii="Times New Roman" w:hAnsi="Times New Roman"/>
                <w:i/>
                <w:position w:val="10"/>
                <w:sz w:val="13"/>
              </w:rPr>
              <w:t>NM  </w:t>
            </w:r>
            <w:r>
              <w:rPr>
                <w:rFonts w:ascii="Symbol" w:hAnsi="Symbol"/>
                <w:sz w:val="23"/>
              </w:rPr>
              <w:t></w:t>
            </w:r>
            <w:r>
              <w:rPr>
                <w:rFonts w:ascii="Times New Roman" w:hAnsi="Times New Roman"/>
                <w:sz w:val="23"/>
              </w:rPr>
              <w:t> 0.1458</w:t>
            </w:r>
          </w:p>
          <w:p>
            <w:pPr>
              <w:pStyle w:val="TableParagraph"/>
              <w:spacing w:line="92" w:lineRule="exact" w:before="0"/>
              <w:ind w:left="511"/>
              <w:jc w:val="left"/>
              <w:rPr>
                <w:rFonts w:ascii="Times New Roman"/>
                <w:i/>
                <w:sz w:val="13"/>
              </w:rPr>
            </w:pPr>
            <w:r>
              <w:rPr>
                <w:rFonts w:ascii="Times New Roman"/>
                <w:i/>
                <w:w w:val="103"/>
                <w:sz w:val="13"/>
              </w:rPr>
              <w:t>U</w:t>
            </w:r>
          </w:p>
        </w:tc>
      </w:tr>
      <w:tr>
        <w:trPr>
          <w:trHeight w:val="540" w:hRule="exact"/>
        </w:trPr>
        <w:tc>
          <w:tcPr>
            <w:tcW w:w="1982" w:type="dxa"/>
            <w:tcBorders>
              <w:bottom w:val="nil"/>
            </w:tcBorders>
          </w:tcPr>
          <w:p>
            <w:pPr>
              <w:pStyle w:val="TableParagraph"/>
              <w:spacing w:line="225" w:lineRule="exact" w:before="18"/>
              <w:ind w:left="206"/>
              <w:jc w:val="left"/>
              <w:rPr>
                <w:rFonts w:ascii="Times New Roman" w:hAnsi="Times New Roman"/>
                <w:sz w:val="23"/>
              </w:rPr>
            </w:pPr>
            <w:r>
              <w:rPr>
                <w:rFonts w:ascii="Symbol" w:hAnsi="Symbol"/>
                <w:sz w:val="23"/>
              </w:rPr>
              <w:t></w:t>
            </w:r>
            <w:r>
              <w:rPr>
                <w:rFonts w:ascii="Times New Roman" w:hAnsi="Times New Roman"/>
                <w:i/>
                <w:position w:val="10"/>
                <w:sz w:val="13"/>
              </w:rPr>
              <w:t>PIB  </w:t>
            </w:r>
            <w:r>
              <w:rPr>
                <w:rFonts w:ascii="Symbol" w:hAnsi="Symbol"/>
                <w:sz w:val="23"/>
              </w:rPr>
              <w:t></w:t>
            </w:r>
            <w:r>
              <w:rPr>
                <w:rFonts w:ascii="Times New Roman" w:hAnsi="Times New Roman"/>
                <w:sz w:val="23"/>
              </w:rPr>
              <w:t> </w:t>
            </w:r>
            <w:r>
              <w:rPr>
                <w:rFonts w:ascii="Symbol" w:hAnsi="Symbol"/>
                <w:sz w:val="23"/>
              </w:rPr>
              <w:t></w:t>
            </w:r>
            <w:r>
              <w:rPr>
                <w:rFonts w:ascii="Times New Roman" w:hAnsi="Times New Roman"/>
                <w:sz w:val="23"/>
              </w:rPr>
              <w:t>0.0138</w:t>
            </w:r>
          </w:p>
          <w:p>
            <w:pPr>
              <w:pStyle w:val="TableParagraph"/>
              <w:spacing w:line="92" w:lineRule="exact" w:before="0"/>
              <w:ind w:left="371"/>
              <w:jc w:val="left"/>
              <w:rPr>
                <w:rFonts w:ascii="Times New Roman"/>
                <w:i/>
                <w:sz w:val="13"/>
              </w:rPr>
            </w:pPr>
            <w:r>
              <w:rPr>
                <w:rFonts w:ascii="Times New Roman"/>
                <w:i/>
                <w:w w:val="105"/>
                <w:sz w:val="13"/>
              </w:rPr>
              <w:t>NM</w:t>
            </w:r>
          </w:p>
        </w:tc>
        <w:tc>
          <w:tcPr>
            <w:tcW w:w="1849" w:type="dxa"/>
            <w:tcBorders>
              <w:bottom w:val="nil"/>
              <w:right w:val="single" w:sz="3" w:space="0" w:color="000000"/>
            </w:tcBorders>
          </w:tcPr>
          <w:p>
            <w:pPr>
              <w:pStyle w:val="TableParagraph"/>
              <w:spacing w:line="225" w:lineRule="exact" w:before="20"/>
              <w:ind w:left="422"/>
              <w:jc w:val="left"/>
              <w:rPr>
                <w:rFonts w:ascii="Times New Roman" w:hAnsi="Times New Roman"/>
                <w:sz w:val="23"/>
              </w:rPr>
            </w:pPr>
            <w:r>
              <w:rPr>
                <w:rFonts w:ascii="Symbol" w:hAnsi="Symbol"/>
                <w:sz w:val="23"/>
              </w:rPr>
              <w:t></w:t>
            </w:r>
            <w:r>
              <w:rPr>
                <w:rFonts w:ascii="Times New Roman" w:hAnsi="Times New Roman"/>
                <w:i/>
                <w:position w:val="10"/>
                <w:sz w:val="13"/>
              </w:rPr>
              <w:t>INV  </w:t>
            </w:r>
            <w:r>
              <w:rPr>
                <w:rFonts w:ascii="Symbol" w:hAnsi="Symbol"/>
                <w:sz w:val="23"/>
              </w:rPr>
              <w:t></w:t>
            </w:r>
            <w:r>
              <w:rPr>
                <w:rFonts w:ascii="Times New Roman" w:hAnsi="Times New Roman"/>
                <w:sz w:val="23"/>
              </w:rPr>
              <w:t> 4.1966</w:t>
            </w:r>
          </w:p>
          <w:p>
            <w:pPr>
              <w:pStyle w:val="TableParagraph"/>
              <w:spacing w:line="92" w:lineRule="exact" w:before="0"/>
              <w:ind w:left="585"/>
              <w:jc w:val="left"/>
              <w:rPr>
                <w:rFonts w:ascii="Times New Roman"/>
                <w:i/>
                <w:sz w:val="13"/>
              </w:rPr>
            </w:pPr>
            <w:r>
              <w:rPr>
                <w:rFonts w:ascii="Times New Roman"/>
                <w:i/>
                <w:w w:val="105"/>
                <w:sz w:val="13"/>
              </w:rPr>
              <w:t>INF</w:t>
            </w:r>
          </w:p>
        </w:tc>
        <w:tc>
          <w:tcPr>
            <w:tcW w:w="1938" w:type="dxa"/>
            <w:tcBorders>
              <w:left w:val="single" w:sz="3" w:space="0" w:color="000000"/>
              <w:bottom w:val="nil"/>
            </w:tcBorders>
          </w:tcPr>
          <w:p>
            <w:pPr>
              <w:pStyle w:val="TableParagraph"/>
              <w:spacing w:line="226" w:lineRule="exact" w:before="20"/>
              <w:ind w:left="556"/>
              <w:jc w:val="left"/>
              <w:rPr>
                <w:rFonts w:ascii="Times New Roman" w:hAnsi="Times New Roman"/>
                <w:sz w:val="23"/>
              </w:rPr>
            </w:pPr>
            <w:r>
              <w:rPr>
                <w:rFonts w:ascii="Symbol" w:hAnsi="Symbol"/>
                <w:sz w:val="23"/>
              </w:rPr>
              <w:t></w:t>
            </w:r>
            <w:r>
              <w:rPr>
                <w:rFonts w:ascii="Times New Roman" w:hAnsi="Times New Roman"/>
                <w:i/>
                <w:position w:val="10"/>
                <w:sz w:val="13"/>
              </w:rPr>
              <w:t>INF  </w:t>
            </w:r>
            <w:r>
              <w:rPr>
                <w:rFonts w:ascii="Symbol" w:hAnsi="Symbol"/>
                <w:sz w:val="23"/>
              </w:rPr>
              <w:t></w:t>
            </w:r>
            <w:r>
              <w:rPr>
                <w:rFonts w:ascii="Times New Roman" w:hAnsi="Times New Roman"/>
                <w:sz w:val="23"/>
              </w:rPr>
              <w:t> 0.1121</w:t>
            </w:r>
          </w:p>
          <w:p>
            <w:pPr>
              <w:pStyle w:val="TableParagraph"/>
              <w:spacing w:line="94" w:lineRule="exact" w:before="0"/>
              <w:ind w:left="667" w:right="949"/>
              <w:jc w:val="center"/>
              <w:rPr>
                <w:rFonts w:ascii="Times New Roman"/>
                <w:i/>
                <w:sz w:val="13"/>
              </w:rPr>
            </w:pPr>
            <w:r>
              <w:rPr>
                <w:rFonts w:ascii="Times New Roman"/>
                <w:i/>
                <w:w w:val="105"/>
                <w:sz w:val="13"/>
              </w:rPr>
              <w:t>PIB</w:t>
            </w:r>
          </w:p>
        </w:tc>
        <w:tc>
          <w:tcPr>
            <w:tcW w:w="1788" w:type="dxa"/>
            <w:tcBorders>
              <w:bottom w:val="nil"/>
            </w:tcBorders>
          </w:tcPr>
          <w:p>
            <w:pPr>
              <w:pStyle w:val="TableParagraph"/>
              <w:spacing w:line="212" w:lineRule="exact" w:before="14"/>
              <w:ind w:left="302" w:right="-12"/>
              <w:jc w:val="left"/>
              <w:rPr>
                <w:rFonts w:ascii="Times New Roman" w:hAnsi="Times New Roman"/>
                <w:sz w:val="22"/>
              </w:rPr>
            </w:pPr>
            <w:r>
              <w:rPr>
                <w:rFonts w:ascii="Symbol" w:hAnsi="Symbol"/>
                <w:sz w:val="22"/>
              </w:rPr>
              <w:t></w:t>
            </w:r>
            <w:r>
              <w:rPr>
                <w:rFonts w:ascii="Times New Roman" w:hAnsi="Times New Roman"/>
                <w:i/>
                <w:position w:val="10"/>
                <w:sz w:val="13"/>
              </w:rPr>
              <w:t>U     </w:t>
            </w:r>
            <w:r>
              <w:rPr>
                <w:rFonts w:ascii="Symbol" w:hAnsi="Symbol"/>
                <w:sz w:val="22"/>
              </w:rPr>
              <w:t></w:t>
            </w:r>
            <w:r>
              <w:rPr>
                <w:rFonts w:ascii="Times New Roman" w:hAnsi="Times New Roman"/>
                <w:sz w:val="22"/>
              </w:rPr>
              <w:t> </w:t>
            </w:r>
            <w:r>
              <w:rPr>
                <w:rFonts w:ascii="Symbol" w:hAnsi="Symbol"/>
                <w:sz w:val="22"/>
              </w:rPr>
              <w:t></w:t>
            </w:r>
            <w:r>
              <w:rPr>
                <w:rFonts w:ascii="Times New Roman" w:hAnsi="Times New Roman"/>
                <w:sz w:val="22"/>
              </w:rPr>
              <w:t>0.9299</w:t>
            </w:r>
          </w:p>
          <w:p>
            <w:pPr>
              <w:pStyle w:val="TableParagraph"/>
              <w:spacing w:line="92" w:lineRule="exact" w:before="0"/>
              <w:ind w:left="451" w:right="-12"/>
              <w:jc w:val="left"/>
              <w:rPr>
                <w:rFonts w:ascii="Times New Roman"/>
                <w:i/>
                <w:sz w:val="13"/>
              </w:rPr>
            </w:pPr>
            <w:r>
              <w:rPr>
                <w:rFonts w:ascii="Times New Roman"/>
                <w:i/>
                <w:sz w:val="13"/>
              </w:rPr>
              <w:t>TC</w:t>
            </w:r>
          </w:p>
        </w:tc>
        <w:tc>
          <w:tcPr>
            <w:tcW w:w="1764" w:type="dxa"/>
            <w:vMerge w:val="restart"/>
          </w:tcPr>
          <w:p>
            <w:pPr/>
          </w:p>
        </w:tc>
      </w:tr>
      <w:tr>
        <w:trPr>
          <w:trHeight w:val="398" w:hRule="exact"/>
        </w:trPr>
        <w:tc>
          <w:tcPr>
            <w:tcW w:w="1982" w:type="dxa"/>
            <w:tcBorders>
              <w:top w:val="nil"/>
              <w:bottom w:val="nil"/>
            </w:tcBorders>
          </w:tcPr>
          <w:p>
            <w:pPr/>
          </w:p>
        </w:tc>
        <w:tc>
          <w:tcPr>
            <w:tcW w:w="1849" w:type="dxa"/>
            <w:tcBorders>
              <w:top w:val="nil"/>
              <w:bottom w:val="nil"/>
              <w:right w:val="single" w:sz="3" w:space="0" w:color="000000"/>
            </w:tcBorders>
          </w:tcPr>
          <w:p>
            <w:pPr/>
          </w:p>
        </w:tc>
        <w:tc>
          <w:tcPr>
            <w:tcW w:w="1938" w:type="dxa"/>
            <w:tcBorders>
              <w:top w:val="nil"/>
              <w:left w:val="single" w:sz="3" w:space="0" w:color="000000"/>
              <w:bottom w:val="nil"/>
            </w:tcBorders>
          </w:tcPr>
          <w:p>
            <w:pPr/>
          </w:p>
        </w:tc>
        <w:tc>
          <w:tcPr>
            <w:tcW w:w="1788" w:type="dxa"/>
            <w:tcBorders>
              <w:top w:val="nil"/>
              <w:bottom w:val="nil"/>
            </w:tcBorders>
          </w:tcPr>
          <w:p>
            <w:pPr>
              <w:pStyle w:val="TableParagraph"/>
              <w:spacing w:line="259" w:lineRule="exact" w:before="180"/>
              <w:ind w:right="237"/>
              <w:rPr>
                <w:rFonts w:ascii="Times New Roman" w:hAnsi="Times New Roman"/>
                <w:sz w:val="22"/>
              </w:rPr>
            </w:pPr>
            <w:r>
              <w:rPr>
                <w:rFonts w:ascii="Symbol" w:hAnsi="Symbol"/>
                <w:sz w:val="22"/>
              </w:rPr>
              <w:t></w:t>
            </w:r>
            <w:r>
              <w:rPr>
                <w:rFonts w:ascii="Times New Roman" w:hAnsi="Times New Roman"/>
                <w:i/>
                <w:position w:val="10"/>
                <w:sz w:val="13"/>
              </w:rPr>
              <w:t>U       </w:t>
            </w:r>
            <w:r>
              <w:rPr>
                <w:rFonts w:ascii="Symbol" w:hAnsi="Symbol"/>
                <w:sz w:val="22"/>
              </w:rPr>
              <w:t></w:t>
            </w:r>
            <w:r>
              <w:rPr>
                <w:rFonts w:ascii="Times New Roman" w:hAnsi="Times New Roman"/>
                <w:sz w:val="22"/>
              </w:rPr>
              <w:t> 0.6399</w:t>
            </w:r>
          </w:p>
        </w:tc>
        <w:tc>
          <w:tcPr>
            <w:tcW w:w="1764" w:type="dxa"/>
            <w:vMerge/>
          </w:tcPr>
          <w:p>
            <w:pPr/>
          </w:p>
        </w:tc>
      </w:tr>
      <w:tr>
        <w:trPr>
          <w:trHeight w:val="267" w:hRule="exact"/>
        </w:trPr>
        <w:tc>
          <w:tcPr>
            <w:tcW w:w="1982" w:type="dxa"/>
            <w:tcBorders>
              <w:top w:val="nil"/>
            </w:tcBorders>
          </w:tcPr>
          <w:p>
            <w:pPr/>
          </w:p>
        </w:tc>
        <w:tc>
          <w:tcPr>
            <w:tcW w:w="1849" w:type="dxa"/>
            <w:tcBorders>
              <w:top w:val="nil"/>
              <w:right w:val="single" w:sz="3" w:space="0" w:color="000000"/>
            </w:tcBorders>
          </w:tcPr>
          <w:p>
            <w:pPr/>
          </w:p>
        </w:tc>
        <w:tc>
          <w:tcPr>
            <w:tcW w:w="1938" w:type="dxa"/>
            <w:tcBorders>
              <w:top w:val="nil"/>
              <w:left w:val="single" w:sz="3" w:space="0" w:color="000000"/>
            </w:tcBorders>
          </w:tcPr>
          <w:p>
            <w:pPr/>
          </w:p>
        </w:tc>
        <w:tc>
          <w:tcPr>
            <w:tcW w:w="1788" w:type="dxa"/>
            <w:tcBorders>
              <w:top w:val="nil"/>
            </w:tcBorders>
          </w:tcPr>
          <w:p>
            <w:pPr>
              <w:pStyle w:val="TableParagraph"/>
              <w:spacing w:line="86" w:lineRule="exact" w:before="0"/>
              <w:ind w:left="467" w:right="-12"/>
              <w:jc w:val="left"/>
              <w:rPr>
                <w:rFonts w:ascii="Times New Roman"/>
                <w:i/>
                <w:sz w:val="13"/>
              </w:rPr>
            </w:pPr>
            <w:r>
              <w:rPr>
                <w:rFonts w:ascii="Times New Roman"/>
                <w:i/>
                <w:sz w:val="13"/>
              </w:rPr>
              <w:t>NM</w:t>
            </w:r>
          </w:p>
        </w:tc>
        <w:tc>
          <w:tcPr>
            <w:tcW w:w="1764" w:type="dxa"/>
            <w:vMerge/>
          </w:tcPr>
          <w:p>
            <w:pPr/>
          </w:p>
        </w:tc>
      </w:tr>
    </w:tbl>
    <w:p>
      <w:pPr>
        <w:spacing w:before="2"/>
        <w:ind w:left="221" w:right="0" w:firstLine="0"/>
        <w:jc w:val="both"/>
        <w:rPr>
          <w:sz w:val="21"/>
        </w:rPr>
      </w:pPr>
      <w:r>
        <w:rPr>
          <w:sz w:val="21"/>
        </w:rPr>
        <w:t>Fuente: Elaboración propia con la salida del paquete estadístico  SAS.</w:t>
      </w:r>
    </w:p>
    <w:p>
      <w:pPr>
        <w:pStyle w:val="BodyText"/>
        <w:rPr>
          <w:sz w:val="20"/>
        </w:rPr>
      </w:pPr>
    </w:p>
    <w:p>
      <w:pPr>
        <w:pStyle w:val="BodyText"/>
        <w:rPr>
          <w:sz w:val="20"/>
        </w:rPr>
      </w:pPr>
    </w:p>
    <w:p>
      <w:pPr>
        <w:pStyle w:val="BodyText"/>
        <w:rPr>
          <w:sz w:val="20"/>
        </w:rPr>
      </w:pPr>
    </w:p>
    <w:p>
      <w:pPr>
        <w:pStyle w:val="BodyText"/>
        <w:spacing w:before="9"/>
        <w:rPr>
          <w:sz w:val="19"/>
        </w:rPr>
      </w:pPr>
    </w:p>
    <w:p>
      <w:pPr>
        <w:pStyle w:val="BodyText"/>
        <w:spacing w:line="364" w:lineRule="auto"/>
        <w:ind w:left="221" w:right="224"/>
        <w:jc w:val="both"/>
      </w:pPr>
      <w:r>
        <w:rPr/>
        <w:t>En el análisis de las elasticidades, para cualquier modelo, se considera el concepto de </w:t>
      </w:r>
      <w:r>
        <w:rPr>
          <w:i/>
        </w:rPr>
        <w:t>Ceteris Paríbus</w:t>
      </w:r>
      <w:r>
        <w:rPr/>
        <w:t>, usarlo permite estudiar una variable aislada del resto para observar mejor sus cambios cuando las demás variables permanecen igual; es decir, que todas  las demás variables son constantes, o que los demás factores no se  transforman cuando cambia una</w:t>
      </w:r>
      <w:r>
        <w:rPr>
          <w:spacing w:val="30"/>
        </w:rPr>
        <w:t> </w:t>
      </w:r>
      <w:r>
        <w:rPr/>
        <w:t>variable.</w:t>
      </w:r>
    </w:p>
    <w:p>
      <w:pPr>
        <w:pStyle w:val="BodyText"/>
        <w:spacing w:before="4"/>
        <w:rPr>
          <w:sz w:val="17"/>
        </w:rPr>
      </w:pPr>
    </w:p>
    <w:p>
      <w:pPr>
        <w:pStyle w:val="BodyText"/>
        <w:spacing w:line="364" w:lineRule="auto"/>
        <w:ind w:left="221" w:right="226"/>
        <w:jc w:val="both"/>
      </w:pPr>
      <w:r>
        <w:rPr/>
        <w:t>Se calcularon las elasticidades para cuantificar los efectos establecidos en  las  relaciones funcionales que componen el</w:t>
      </w:r>
      <w:r>
        <w:rPr>
          <w:spacing w:val="55"/>
        </w:rPr>
        <w:t> </w:t>
      </w:r>
      <w:r>
        <w:rPr/>
        <w:t>modelo.</w:t>
      </w:r>
    </w:p>
    <w:p>
      <w:pPr>
        <w:pStyle w:val="BodyText"/>
        <w:rPr>
          <w:sz w:val="22"/>
        </w:rPr>
      </w:pPr>
    </w:p>
    <w:p>
      <w:pPr>
        <w:pStyle w:val="BodyText"/>
        <w:rPr>
          <w:sz w:val="22"/>
        </w:rPr>
      </w:pPr>
    </w:p>
    <w:p>
      <w:pPr>
        <w:pStyle w:val="BodyText"/>
        <w:spacing w:before="3"/>
        <w:rPr>
          <w:sz w:val="25"/>
        </w:rPr>
      </w:pPr>
    </w:p>
    <w:p>
      <w:pPr>
        <w:pStyle w:val="Heading4"/>
        <w:ind w:left="221"/>
        <w:jc w:val="both"/>
      </w:pPr>
      <w:r>
        <w:rPr/>
        <w:t>Elasticidad Producto Interno Bruto Real en</w:t>
      </w:r>
      <w:r>
        <w:rPr>
          <w:spacing w:val="62"/>
        </w:rPr>
        <w:t> </w:t>
      </w:r>
      <w:r>
        <w:rPr/>
        <w:t>México</w:t>
      </w:r>
    </w:p>
    <w:p>
      <w:pPr>
        <w:pStyle w:val="BodyText"/>
        <w:spacing w:before="2"/>
        <w:rPr>
          <w:b/>
          <w:sz w:val="29"/>
        </w:rPr>
      </w:pPr>
    </w:p>
    <w:p>
      <w:pPr>
        <w:pStyle w:val="BodyText"/>
        <w:spacing w:line="364" w:lineRule="auto"/>
        <w:ind w:left="221" w:right="225"/>
        <w:jc w:val="both"/>
      </w:pPr>
      <w:r>
        <w:rPr/>
        <w:t>La elasticidad del producto interno bruto real con respecto al consumo es de 1.18, es decir  que  ante un incremento del  10%  en  el  consumo tendría  como consecuencia un</w:t>
      </w:r>
    </w:p>
    <w:p>
      <w:pPr>
        <w:spacing w:after="0" w:line="364" w:lineRule="auto"/>
        <w:jc w:val="both"/>
        <w:sectPr>
          <w:pgSz w:w="11900" w:h="16840"/>
          <w:pgMar w:header="0" w:footer="1679" w:top="1600" w:bottom="1860" w:left="1180" w:right="1160"/>
        </w:sectPr>
      </w:pPr>
    </w:p>
    <w:p>
      <w:pPr>
        <w:pStyle w:val="BodyText"/>
        <w:rPr>
          <w:sz w:val="20"/>
        </w:rPr>
      </w:pPr>
    </w:p>
    <w:p>
      <w:pPr>
        <w:pStyle w:val="BodyText"/>
        <w:spacing w:before="8"/>
        <w:rPr>
          <w:sz w:val="18"/>
        </w:rPr>
      </w:pPr>
    </w:p>
    <w:p>
      <w:pPr>
        <w:pStyle w:val="BodyText"/>
        <w:spacing w:line="364" w:lineRule="auto" w:before="74"/>
        <w:ind w:left="101" w:right="104"/>
        <w:jc w:val="both"/>
      </w:pPr>
      <w:r>
        <w:rPr/>
        <w:t>incremento en el PIBR de 11.8%. En cambio, la elasticidad del producto interno bruto real   con respecto al gasto de gobierno y al número de emigrantes es inversa,   ya que   si se incrementaran en un 10%  estas variables provocarían   un decremento de 0.32%   y 0.13% respectivamente en el</w:t>
      </w:r>
      <w:r>
        <w:rPr>
          <w:spacing w:val="46"/>
        </w:rPr>
        <w:t> </w:t>
      </w:r>
      <w:r>
        <w:rPr/>
        <w:t>PIBR.</w:t>
      </w:r>
    </w:p>
    <w:p>
      <w:pPr>
        <w:pStyle w:val="BodyText"/>
        <w:spacing w:before="4"/>
        <w:rPr>
          <w:sz w:val="17"/>
        </w:rPr>
      </w:pPr>
    </w:p>
    <w:p>
      <w:pPr>
        <w:pStyle w:val="BodyText"/>
        <w:spacing w:line="364" w:lineRule="auto"/>
        <w:ind w:left="101" w:right="105"/>
        <w:jc w:val="both"/>
      </w:pPr>
      <w:r>
        <w:rPr/>
        <w:t>Por otro lado si la inversión aumentara 10%, el producto interno bruto real aumentaría  en 8.2%. Finalmente, la elasticidad del PIBR respecto a las Exportaciones netas totales reales es de 0.33, es decir, si se incrementan en 10% las exportaciones netas reales el producto interno bruto se incrementaría en</w:t>
      </w:r>
      <w:r>
        <w:rPr>
          <w:spacing w:val="52"/>
        </w:rPr>
        <w:t> </w:t>
      </w:r>
      <w:r>
        <w:rPr/>
        <w:t>3.3%.</w:t>
      </w:r>
    </w:p>
    <w:p>
      <w:pPr>
        <w:pStyle w:val="BodyText"/>
        <w:rPr>
          <w:sz w:val="22"/>
        </w:rPr>
      </w:pPr>
    </w:p>
    <w:p>
      <w:pPr>
        <w:pStyle w:val="BodyText"/>
        <w:rPr>
          <w:sz w:val="22"/>
        </w:rPr>
      </w:pPr>
    </w:p>
    <w:p>
      <w:pPr>
        <w:pStyle w:val="BodyText"/>
        <w:spacing w:before="1"/>
        <w:rPr>
          <w:sz w:val="25"/>
        </w:rPr>
      </w:pPr>
    </w:p>
    <w:p>
      <w:pPr>
        <w:pStyle w:val="Heading4"/>
        <w:jc w:val="both"/>
      </w:pPr>
      <w:r>
        <w:rPr/>
        <w:t>Elasticidad de la Inversión total real</w:t>
      </w:r>
    </w:p>
    <w:p>
      <w:pPr>
        <w:pStyle w:val="BodyText"/>
        <w:spacing w:before="2"/>
        <w:rPr>
          <w:b/>
          <w:sz w:val="29"/>
        </w:rPr>
      </w:pPr>
    </w:p>
    <w:p>
      <w:pPr>
        <w:pStyle w:val="BodyText"/>
        <w:spacing w:line="364" w:lineRule="auto"/>
        <w:ind w:left="101" w:right="105"/>
        <w:jc w:val="both"/>
      </w:pPr>
      <w:r>
        <w:rPr/>
        <w:t>La elasticidad del tipo de cambio tiene un valor de -2.153, es decir, que si el tipo de cambio aumenta 10% la inversión se reduciría en 21.53%. Para la variable tasa de interés si esta aumentara en un 10% la inversión se reduciría en 57.90%. En lo que respecta a la inflación si esta aumentara en un 10% la inversión aumentaría en  41.96%.</w:t>
      </w:r>
    </w:p>
    <w:p>
      <w:pPr>
        <w:pStyle w:val="BodyText"/>
        <w:spacing w:line="364" w:lineRule="auto" w:before="197"/>
        <w:ind w:left="101" w:right="105"/>
        <w:jc w:val="both"/>
      </w:pPr>
      <w:r>
        <w:rPr/>
        <w:t>Finalmente para las variables gasto de gobierno y producto interno bruto si aumentaran en 10% la inversión aumentaría en 3.5% y 3.45%,  respectivamente.</w:t>
      </w:r>
    </w:p>
    <w:p>
      <w:pPr>
        <w:pStyle w:val="BodyText"/>
        <w:spacing w:before="4"/>
        <w:rPr>
          <w:sz w:val="17"/>
        </w:rPr>
      </w:pPr>
    </w:p>
    <w:p>
      <w:pPr>
        <w:pStyle w:val="Heading4"/>
        <w:jc w:val="both"/>
      </w:pPr>
      <w:r>
        <w:rPr/>
        <w:t>Elasticidad de la inflación en México</w:t>
      </w:r>
    </w:p>
    <w:p>
      <w:pPr>
        <w:pStyle w:val="BodyText"/>
        <w:spacing w:before="2"/>
        <w:rPr>
          <w:b/>
          <w:sz w:val="29"/>
        </w:rPr>
      </w:pPr>
    </w:p>
    <w:p>
      <w:pPr>
        <w:pStyle w:val="BodyText"/>
        <w:spacing w:line="364" w:lineRule="auto"/>
        <w:ind w:left="101" w:right="102"/>
        <w:jc w:val="both"/>
      </w:pPr>
      <w:r>
        <w:rPr/>
        <w:t>La elasticidad Índice Nacional de Precios al Consumidor y  desempleo  presentan  valores de -0.029 y -0.487 respectivamente, si ambas variables aumentaran en 10% la inflación se reduciría en tan solo 0.29% y 4.87% </w:t>
      </w:r>
      <w:r>
        <w:rPr>
          <w:spacing w:val="10"/>
        </w:rPr>
        <w:t> </w:t>
      </w:r>
      <w:r>
        <w:rPr/>
        <w:t>respectivamente.</w:t>
      </w:r>
    </w:p>
    <w:p>
      <w:pPr>
        <w:pStyle w:val="BodyText"/>
        <w:spacing w:line="364" w:lineRule="auto" w:before="197"/>
        <w:ind w:left="101" w:right="103"/>
        <w:jc w:val="both"/>
      </w:pPr>
      <w:r>
        <w:rPr/>
        <w:t>En lo que respecta a la variable tasa de interés si se incrementara en 10% la inflación aumentaría en 13%. La variable tipo de cambio presenta un valor aproximado de 0.90,   si este aumentara en un 10% la inflación lo haría en un 9%. Por último, para  la elasticidad PIB si esta aumentara 10%, la inflación se incrementaría en </w:t>
      </w:r>
      <w:r>
        <w:rPr>
          <w:spacing w:val="21"/>
        </w:rPr>
        <w:t> </w:t>
      </w:r>
      <w:r>
        <w:rPr/>
        <w:t>1.1%.</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6"/>
        <w:rPr>
          <w:sz w:val="18"/>
        </w:rPr>
      </w:pPr>
    </w:p>
    <w:p>
      <w:pPr>
        <w:pStyle w:val="Heading4"/>
        <w:spacing w:before="74"/>
        <w:jc w:val="both"/>
      </w:pPr>
      <w:r>
        <w:rPr/>
        <w:t>Elasticidad del desempleo en México</w:t>
      </w:r>
    </w:p>
    <w:p>
      <w:pPr>
        <w:pStyle w:val="BodyText"/>
        <w:spacing w:before="2"/>
        <w:rPr>
          <w:b/>
          <w:sz w:val="29"/>
        </w:rPr>
      </w:pPr>
    </w:p>
    <w:p>
      <w:pPr>
        <w:pStyle w:val="BodyText"/>
        <w:spacing w:line="364" w:lineRule="auto"/>
        <w:ind w:left="101" w:right="105"/>
        <w:jc w:val="both"/>
      </w:pPr>
      <w:r>
        <w:rPr/>
        <w:t>En lo que se refiere a la elasticidad desempleo, se tiene que ante un incremento del   10% del salario en México provocaría una disminución del 22.8% en la tasa de desempleo. La elasticidad tipo de cambio indica que ante un incremento de 10% en el tipo de cambio provocaría un decremento en  el desempleo de  9.2%. En lo que se  refiere a la inversión si esta se incrementara en un 10% el desempleo aumentaría en 0.9%.</w:t>
      </w:r>
    </w:p>
    <w:p>
      <w:pPr>
        <w:pStyle w:val="BodyText"/>
        <w:spacing w:before="4"/>
        <w:rPr>
          <w:sz w:val="17"/>
        </w:rPr>
      </w:pPr>
    </w:p>
    <w:p>
      <w:pPr>
        <w:pStyle w:val="BodyText"/>
        <w:spacing w:line="364" w:lineRule="auto"/>
        <w:ind w:left="101" w:right="105"/>
        <w:jc w:val="both"/>
      </w:pPr>
      <w:r>
        <w:rPr/>
        <w:t>Con respecto a las elasticidades inflación y PIB si ambas se incrementaran en 10% provocarían en el desempleo un aumento del 1.8% y 1.5%, respectivamente. Por último y no menos importante la elasticidad número de emigrantes muestra que ante un aumento del 10%, el desempleo se acrecentaría en </w:t>
      </w:r>
      <w:r>
        <w:rPr>
          <w:spacing w:val="1"/>
        </w:rPr>
        <w:t> </w:t>
      </w:r>
      <w:r>
        <w:rPr/>
        <w:t>6.4%.</w:t>
      </w:r>
    </w:p>
    <w:p>
      <w:pPr>
        <w:pStyle w:val="BodyText"/>
        <w:rPr>
          <w:sz w:val="22"/>
        </w:rPr>
      </w:pPr>
    </w:p>
    <w:p>
      <w:pPr>
        <w:pStyle w:val="BodyText"/>
        <w:rPr>
          <w:sz w:val="22"/>
        </w:rPr>
      </w:pPr>
    </w:p>
    <w:p>
      <w:pPr>
        <w:pStyle w:val="BodyText"/>
        <w:spacing w:before="10"/>
        <w:rPr>
          <w:sz w:val="24"/>
        </w:rPr>
      </w:pPr>
    </w:p>
    <w:p>
      <w:pPr>
        <w:pStyle w:val="Heading4"/>
        <w:jc w:val="both"/>
      </w:pPr>
      <w:r>
        <w:rPr/>
        <w:t>Elasticidad del número de emigrantes</w:t>
      </w:r>
    </w:p>
    <w:p>
      <w:pPr>
        <w:pStyle w:val="BodyText"/>
        <w:spacing w:before="4"/>
        <w:rPr>
          <w:b/>
          <w:sz w:val="29"/>
        </w:rPr>
      </w:pPr>
    </w:p>
    <w:p>
      <w:pPr>
        <w:pStyle w:val="BodyText"/>
        <w:spacing w:line="364" w:lineRule="auto"/>
        <w:ind w:left="101" w:right="105"/>
        <w:jc w:val="both"/>
      </w:pPr>
      <w:r>
        <w:rPr/>
        <w:t>La elasticidad número de emigrantes indica que ante un incremento del 10% en el  salario el número de migrantes aumentaría 3.6%. Por otro lado si el producto interno bruto se incrementa en 10% el número de emigrantes se reduciría en </w:t>
      </w:r>
      <w:r>
        <w:rPr>
          <w:spacing w:val="24"/>
        </w:rPr>
        <w:t> </w:t>
      </w:r>
      <w:r>
        <w:rPr/>
        <w:t>0.3%</w:t>
      </w:r>
    </w:p>
    <w:p>
      <w:pPr>
        <w:pStyle w:val="BodyText"/>
        <w:spacing w:before="6"/>
        <w:rPr>
          <w:sz w:val="17"/>
        </w:rPr>
      </w:pPr>
    </w:p>
    <w:p>
      <w:pPr>
        <w:pStyle w:val="BodyText"/>
        <w:spacing w:line="364" w:lineRule="auto"/>
        <w:ind w:left="101" w:right="103"/>
        <w:jc w:val="both"/>
      </w:pPr>
      <w:r>
        <w:rPr/>
        <w:t>Para la elasticidad del número de emigrantes con respecto al tipo de cambio, si el tipo  de cambio aumentara 10% el número de emigrantes lo haría en 5.3%. Finalmente si el índice de desempleo se incrementará en un 10% el número de emigrantes se incrementaría en 1.4</w:t>
      </w:r>
      <w:r>
        <w:rPr>
          <w:spacing w:val="24"/>
        </w:rPr>
        <w:t> </w:t>
      </w:r>
      <w:r>
        <w:rPr/>
        <w:t>%.</w:t>
      </w:r>
    </w:p>
    <w:p>
      <w:pPr>
        <w:pStyle w:val="BodyText"/>
        <w:rPr>
          <w:sz w:val="22"/>
        </w:rPr>
      </w:pPr>
    </w:p>
    <w:p>
      <w:pPr>
        <w:pStyle w:val="BodyText"/>
        <w:rPr>
          <w:sz w:val="22"/>
        </w:rPr>
      </w:pPr>
    </w:p>
    <w:p>
      <w:pPr>
        <w:pStyle w:val="BodyText"/>
        <w:spacing w:before="9"/>
        <w:rPr>
          <w:sz w:val="24"/>
        </w:rPr>
      </w:pPr>
    </w:p>
    <w:p>
      <w:pPr>
        <w:pStyle w:val="Heading2"/>
        <w:numPr>
          <w:ilvl w:val="1"/>
          <w:numId w:val="21"/>
        </w:numPr>
        <w:tabs>
          <w:tab w:pos="568" w:val="left" w:leader="none"/>
        </w:tabs>
        <w:spacing w:line="240" w:lineRule="auto" w:before="0" w:after="0"/>
        <w:ind w:left="567" w:right="0" w:hanging="466"/>
        <w:jc w:val="both"/>
      </w:pPr>
      <w:r>
        <w:rPr/>
        <w:t>CONCLUSIONES Y</w:t>
      </w:r>
      <w:r>
        <w:rPr>
          <w:spacing w:val="13"/>
        </w:rPr>
        <w:t> </w:t>
      </w:r>
      <w:r>
        <w:rPr/>
        <w:t>RECOMENDACIONES</w:t>
      </w:r>
    </w:p>
    <w:p>
      <w:pPr>
        <w:pStyle w:val="BodyText"/>
        <w:spacing w:before="256"/>
        <w:ind w:left="101"/>
        <w:jc w:val="both"/>
      </w:pPr>
      <w:r>
        <w:rPr/>
        <w:t>Con base en los resultados obtenidos, se concluye lo  siguiente:</w:t>
      </w:r>
    </w:p>
    <w:p>
      <w:pPr>
        <w:pStyle w:val="BodyText"/>
        <w:spacing w:before="8"/>
        <w:rPr>
          <w:sz w:val="28"/>
        </w:rPr>
      </w:pPr>
    </w:p>
    <w:p>
      <w:pPr>
        <w:pStyle w:val="BodyText"/>
        <w:spacing w:line="367" w:lineRule="auto"/>
        <w:ind w:left="101" w:right="103"/>
        <w:jc w:val="both"/>
      </w:pPr>
      <w:r>
        <w:rPr/>
        <w:t>El PIB presento relación directa con el consumo, la inversión y las exportaciones netas    y</w:t>
      </w:r>
      <w:r>
        <w:rPr>
          <w:spacing w:val="23"/>
        </w:rPr>
        <w:t> </w:t>
      </w:r>
      <w:r>
        <w:rPr/>
        <w:t>una</w:t>
      </w:r>
      <w:r>
        <w:rPr>
          <w:spacing w:val="22"/>
        </w:rPr>
        <w:t> </w:t>
      </w:r>
      <w:r>
        <w:rPr/>
        <w:t>relación</w:t>
      </w:r>
      <w:r>
        <w:rPr>
          <w:spacing w:val="19"/>
        </w:rPr>
        <w:t> </w:t>
      </w:r>
      <w:r>
        <w:rPr/>
        <w:t>inversa</w:t>
      </w:r>
      <w:r>
        <w:rPr>
          <w:spacing w:val="25"/>
        </w:rPr>
        <w:t> </w:t>
      </w:r>
      <w:r>
        <w:rPr/>
        <w:t>con</w:t>
      </w:r>
      <w:r>
        <w:rPr>
          <w:spacing w:val="22"/>
        </w:rPr>
        <w:t> </w:t>
      </w:r>
      <w:r>
        <w:rPr/>
        <w:t>el</w:t>
      </w:r>
      <w:r>
        <w:rPr>
          <w:spacing w:val="23"/>
        </w:rPr>
        <w:t> </w:t>
      </w:r>
      <w:r>
        <w:rPr/>
        <w:t>número</w:t>
      </w:r>
      <w:r>
        <w:rPr>
          <w:spacing w:val="22"/>
        </w:rPr>
        <w:t> </w:t>
      </w:r>
      <w:r>
        <w:rPr/>
        <w:t>de</w:t>
      </w:r>
      <w:r>
        <w:rPr>
          <w:spacing w:val="22"/>
        </w:rPr>
        <w:t> </w:t>
      </w:r>
      <w:r>
        <w:rPr/>
        <w:t>migrantes,</w:t>
      </w:r>
      <w:r>
        <w:rPr>
          <w:spacing w:val="23"/>
        </w:rPr>
        <w:t> </w:t>
      </w:r>
      <w:r>
        <w:rPr/>
        <w:t>de</w:t>
      </w:r>
      <w:r>
        <w:rPr>
          <w:spacing w:val="22"/>
        </w:rPr>
        <w:t> </w:t>
      </w:r>
      <w:r>
        <w:rPr/>
        <w:t>acuerdo</w:t>
      </w:r>
      <w:r>
        <w:rPr>
          <w:spacing w:val="25"/>
        </w:rPr>
        <w:t> </w:t>
      </w:r>
      <w:r>
        <w:rPr/>
        <w:t>a</w:t>
      </w:r>
      <w:r>
        <w:rPr>
          <w:spacing w:val="22"/>
        </w:rPr>
        <w:t> </w:t>
      </w:r>
      <w:r>
        <w:rPr/>
        <w:t>la</w:t>
      </w:r>
      <w:r>
        <w:rPr>
          <w:spacing w:val="19"/>
        </w:rPr>
        <w:t> </w:t>
      </w:r>
      <w:r>
        <w:rPr/>
        <w:t>teoría</w:t>
      </w:r>
      <w:r>
        <w:rPr>
          <w:spacing w:val="25"/>
        </w:rPr>
        <w:t> </w:t>
      </w:r>
      <w:r>
        <w:rPr/>
        <w:t>económica.</w:t>
      </w:r>
    </w:p>
    <w:p>
      <w:pPr>
        <w:spacing w:after="0" w:line="367"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3"/>
        <w:jc w:val="both"/>
      </w:pPr>
      <w:r>
        <w:rPr/>
        <w:t>Por otro lado, el gasto de gobierno se relaciono en forma inversa con el PIB, contrario a lo</w:t>
      </w:r>
      <w:r>
        <w:rPr>
          <w:spacing w:val="12"/>
        </w:rPr>
        <w:t> </w:t>
      </w:r>
      <w:r>
        <w:rPr/>
        <w:t>esperado.</w:t>
      </w:r>
    </w:p>
    <w:p>
      <w:pPr>
        <w:pStyle w:val="BodyText"/>
        <w:spacing w:before="4"/>
        <w:rPr>
          <w:sz w:val="17"/>
        </w:rPr>
      </w:pPr>
    </w:p>
    <w:p>
      <w:pPr>
        <w:pStyle w:val="BodyText"/>
        <w:spacing w:line="364" w:lineRule="auto"/>
        <w:ind w:left="101" w:right="103"/>
        <w:jc w:val="both"/>
      </w:pPr>
      <w:r>
        <w:rPr/>
        <w:t>Para la inversión las variables inflación, gasto de gobierno presentaron una relación directa contrario a la hipótesis planteada. En lo que respecta a la tasa de interés, el tipo de cambio y el PIB se confirmo de acuerdo a lo planteada en la  hipótesis.</w:t>
      </w:r>
    </w:p>
    <w:p>
      <w:pPr>
        <w:pStyle w:val="BodyText"/>
        <w:spacing w:before="4"/>
        <w:rPr>
          <w:sz w:val="17"/>
        </w:rPr>
      </w:pPr>
    </w:p>
    <w:p>
      <w:pPr>
        <w:pStyle w:val="BodyText"/>
        <w:spacing w:line="364" w:lineRule="auto"/>
        <w:ind w:left="101" w:right="104"/>
        <w:jc w:val="both"/>
      </w:pPr>
      <w:r>
        <w:rPr/>
        <w:t>Para la Inflación, se obtuvieron resultados contrarios a los esperados. Se obtuvieron relaciones directas de la tasa de interés, el tipo de cambio y el producto interno bruto y una relación inversa del INPC con respecto a la inflación. El desempleo presento una relación inversa de conforme a lo planteado en la hipótesis  particular.</w:t>
      </w:r>
    </w:p>
    <w:p>
      <w:pPr>
        <w:pStyle w:val="BodyText"/>
        <w:spacing w:line="367" w:lineRule="auto" w:before="197"/>
        <w:ind w:left="101" w:right="105"/>
        <w:jc w:val="both"/>
      </w:pPr>
      <w:r>
        <w:rPr/>
        <w:t>En el caso del desempleo solo dos variables presentaron los resultados esperados el salario y el número de migrantes. Por otro lado, se obtuvo una relación directa de la inversión, el PIB, la inflación y una relación inversa del tipo de cambio con respecto al desempleo, contrario a lo planteado.</w:t>
      </w:r>
    </w:p>
    <w:p>
      <w:pPr>
        <w:pStyle w:val="BodyText"/>
        <w:spacing w:line="364" w:lineRule="auto" w:before="197"/>
        <w:ind w:left="101" w:right="103"/>
        <w:jc w:val="both"/>
      </w:pPr>
      <w:r>
        <w:rPr/>
        <w:t>En lo que toca al número de migrantes solo el desempleo obtuvo la relación directa esperada. En lo que respecta al tipo de cambio, el PIB y el salario en México  presentaron una relación directa con respecto al número de migrantes contrario a lo planteado.</w:t>
      </w:r>
    </w:p>
    <w:p>
      <w:pPr>
        <w:pStyle w:val="BodyText"/>
        <w:spacing w:before="4"/>
        <w:rPr>
          <w:sz w:val="17"/>
        </w:rPr>
      </w:pPr>
    </w:p>
    <w:p>
      <w:pPr>
        <w:pStyle w:val="BodyText"/>
        <w:spacing w:line="364" w:lineRule="auto"/>
        <w:ind w:left="101" w:right="105"/>
        <w:jc w:val="both"/>
      </w:pPr>
      <w:r>
        <w:rPr/>
        <w:t>En la ecuación desempleo, para poder mejorar los resultados obtenidos, se debe  agregar otras variables, como el nivel de educación, la tecnología y número de  empresas en</w:t>
      </w:r>
      <w:r>
        <w:rPr>
          <w:spacing w:val="22"/>
        </w:rPr>
        <w:t> </w:t>
      </w:r>
      <w:r>
        <w:rPr/>
        <w:t>México.</w:t>
      </w:r>
    </w:p>
    <w:p>
      <w:pPr>
        <w:pStyle w:val="BodyText"/>
        <w:spacing w:before="4"/>
        <w:rPr>
          <w:sz w:val="17"/>
        </w:rPr>
      </w:pPr>
    </w:p>
    <w:p>
      <w:pPr>
        <w:pStyle w:val="BodyText"/>
        <w:spacing w:line="364" w:lineRule="auto"/>
        <w:ind w:left="101" w:right="105"/>
        <w:jc w:val="both"/>
      </w:pPr>
      <w:r>
        <w:rPr/>
        <w:t>Finalmente, la ecuación número de migrantes, se podría agregar el salario de E. U., el nivel educativo y el costo social de la desintegración familiar. La migración es un fenómeno que se debe estudiar con mayor frecuencia en  México.</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4"/>
        <w:rPr>
          <w:sz w:val="19"/>
        </w:rPr>
      </w:pPr>
    </w:p>
    <w:p>
      <w:pPr>
        <w:pStyle w:val="Heading2"/>
        <w:numPr>
          <w:ilvl w:val="1"/>
          <w:numId w:val="21"/>
        </w:numPr>
        <w:tabs>
          <w:tab w:pos="481" w:val="left" w:leader="none"/>
        </w:tabs>
        <w:spacing w:line="240" w:lineRule="auto" w:before="61" w:after="0"/>
        <w:ind w:left="480" w:right="0" w:hanging="379"/>
        <w:jc w:val="left"/>
      </w:pPr>
      <w:r>
        <w:rPr/>
        <w:t>REFERENCIAS</w:t>
      </w:r>
      <w:r>
        <w:rPr>
          <w:spacing w:val="9"/>
        </w:rPr>
        <w:t> </w:t>
      </w:r>
      <w:r>
        <w:rPr/>
        <w:t>BIBLIOGRÀFICAS</w:t>
      </w:r>
    </w:p>
    <w:p>
      <w:pPr>
        <w:pStyle w:val="BodyText"/>
        <w:rPr>
          <w:b/>
          <w:sz w:val="30"/>
        </w:rPr>
      </w:pPr>
    </w:p>
    <w:p>
      <w:pPr>
        <w:pStyle w:val="BodyText"/>
        <w:rPr>
          <w:b/>
          <w:sz w:val="36"/>
        </w:rPr>
      </w:pPr>
    </w:p>
    <w:p>
      <w:pPr>
        <w:pStyle w:val="ListParagraph"/>
        <w:numPr>
          <w:ilvl w:val="2"/>
          <w:numId w:val="21"/>
        </w:numPr>
        <w:tabs>
          <w:tab w:pos="802" w:val="left" w:leader="none"/>
          <w:tab w:pos="803" w:val="left" w:leader="none"/>
          <w:tab w:pos="2163" w:val="left" w:leader="none"/>
          <w:tab w:pos="2561" w:val="left" w:leader="none"/>
          <w:tab w:pos="2959" w:val="left" w:leader="none"/>
          <w:tab w:pos="3747" w:val="left" w:leader="none"/>
          <w:tab w:pos="5566" w:val="left" w:leader="none"/>
          <w:tab w:pos="5885" w:val="left" w:leader="none"/>
          <w:tab w:pos="7035" w:val="left" w:leader="none"/>
          <w:tab w:pos="7942" w:val="left" w:leader="none"/>
          <w:tab w:pos="8403" w:val="left" w:leader="none"/>
        </w:tabs>
        <w:spacing w:line="355" w:lineRule="auto" w:before="0" w:after="0"/>
        <w:ind w:left="802" w:right="104" w:hanging="350"/>
        <w:jc w:val="left"/>
        <w:rPr>
          <w:sz w:val="23"/>
        </w:rPr>
      </w:pPr>
      <w:r>
        <w:rPr>
          <w:sz w:val="23"/>
        </w:rPr>
        <w:t>Arredondo,</w:t>
        <w:tab/>
        <w:t>L.</w:t>
        <w:tab/>
        <w:t>L.</w:t>
        <w:tab/>
        <w:t>2006.</w:t>
        <w:tab/>
        <w:t>Investigaciones</w:t>
        <w:tab/>
        <w:t>y</w:t>
        <w:tab/>
        <w:t>artículos.</w:t>
        <w:tab/>
        <w:t>Centro</w:t>
        <w:tab/>
        <w:t>de</w:t>
        <w:tab/>
        <w:t>Análisis Multidisciplinario de la UNAM, (CAM).</w:t>
      </w:r>
      <w:r>
        <w:rPr>
          <w:spacing w:val="48"/>
          <w:sz w:val="23"/>
        </w:rPr>
        <w:t> </w:t>
      </w:r>
      <w:r>
        <w:rPr>
          <w:sz w:val="23"/>
        </w:rPr>
        <w:t>México.</w:t>
      </w:r>
    </w:p>
    <w:p>
      <w:pPr>
        <w:pStyle w:val="BodyText"/>
        <w:rPr>
          <w:sz w:val="22"/>
        </w:rPr>
      </w:pPr>
    </w:p>
    <w:p>
      <w:pPr>
        <w:pStyle w:val="ListParagraph"/>
        <w:numPr>
          <w:ilvl w:val="2"/>
          <w:numId w:val="21"/>
        </w:numPr>
        <w:tabs>
          <w:tab w:pos="802" w:val="left" w:leader="none"/>
          <w:tab w:pos="803" w:val="left" w:leader="none"/>
        </w:tabs>
        <w:spacing w:line="357" w:lineRule="auto" w:before="167" w:after="0"/>
        <w:ind w:left="802" w:right="105" w:hanging="351"/>
        <w:jc w:val="left"/>
        <w:rPr>
          <w:sz w:val="23"/>
        </w:rPr>
      </w:pPr>
      <w:r>
        <w:rPr>
          <w:sz w:val="23"/>
        </w:rPr>
        <w:t>Castellanos, S. G. 2000. El efecto del corto sobre la estructura de tasas de interés. Documento trabajo. Banco de</w:t>
      </w:r>
      <w:r>
        <w:rPr>
          <w:spacing w:val="52"/>
          <w:sz w:val="23"/>
        </w:rPr>
        <w:t> </w:t>
      </w:r>
      <w:r>
        <w:rPr>
          <w:sz w:val="23"/>
        </w:rPr>
        <w:t>México.</w:t>
      </w:r>
    </w:p>
    <w:p>
      <w:pPr>
        <w:pStyle w:val="BodyText"/>
        <w:rPr>
          <w:sz w:val="22"/>
        </w:rPr>
      </w:pPr>
    </w:p>
    <w:p>
      <w:pPr>
        <w:pStyle w:val="BodyText"/>
      </w:pPr>
    </w:p>
    <w:p>
      <w:pPr>
        <w:pStyle w:val="ListParagraph"/>
        <w:numPr>
          <w:ilvl w:val="2"/>
          <w:numId w:val="21"/>
        </w:numPr>
        <w:tabs>
          <w:tab w:pos="802" w:val="left" w:leader="none"/>
          <w:tab w:pos="803" w:val="left" w:leader="none"/>
        </w:tabs>
        <w:spacing w:line="240" w:lineRule="auto" w:before="0" w:after="0"/>
        <w:ind w:left="802" w:right="0" w:hanging="350"/>
        <w:jc w:val="left"/>
        <w:rPr>
          <w:sz w:val="23"/>
        </w:rPr>
      </w:pPr>
      <w:r>
        <w:rPr>
          <w:sz w:val="23"/>
        </w:rPr>
        <w:t>Diario Oficial. México. Jueves 25 de Julio de 2002, pág. 126. Primera </w:t>
      </w:r>
      <w:r>
        <w:rPr>
          <w:spacing w:val="24"/>
          <w:sz w:val="23"/>
        </w:rPr>
        <w:t> </w:t>
      </w:r>
      <w:r>
        <w:rPr>
          <w:sz w:val="23"/>
        </w:rPr>
        <w:t>sección.</w:t>
      </w:r>
    </w:p>
    <w:p>
      <w:pPr>
        <w:pStyle w:val="BodyText"/>
        <w:rPr>
          <w:sz w:val="24"/>
        </w:rPr>
      </w:pPr>
    </w:p>
    <w:p>
      <w:pPr>
        <w:pStyle w:val="BodyText"/>
        <w:rPr>
          <w:sz w:val="24"/>
        </w:rPr>
      </w:pPr>
    </w:p>
    <w:p>
      <w:pPr>
        <w:pStyle w:val="ListParagraph"/>
        <w:numPr>
          <w:ilvl w:val="2"/>
          <w:numId w:val="21"/>
        </w:numPr>
        <w:tabs>
          <w:tab w:pos="802" w:val="left" w:leader="none"/>
          <w:tab w:pos="803" w:val="left" w:leader="none"/>
        </w:tabs>
        <w:spacing w:line="355" w:lineRule="auto" w:before="181" w:after="0"/>
        <w:ind w:left="802" w:right="105" w:hanging="350"/>
        <w:jc w:val="left"/>
        <w:rPr>
          <w:sz w:val="23"/>
        </w:rPr>
      </w:pPr>
      <w:r>
        <w:rPr/>
        <w:pict>
          <v:line style="position:absolute;mso-position-horizontal-relative:page;mso-position-vertical-relative:paragraph;z-index:-703024" from="194.639999pt,42.391178pt" to="197.879999pt,42.391178pt" stroked="true" strokeweight=".84pt" strokecolor="#000000">
            <w10:wrap type="none"/>
          </v:line>
        </w:pict>
      </w:r>
      <w:r>
        <w:rPr>
          <w:sz w:val="23"/>
        </w:rPr>
        <w:t>Tuirán, A. G. 2001. Este país tendencias y opiniones, la pobreza y la  política social en México,  revista mensual, número 122, mayo </w:t>
      </w:r>
      <w:r>
        <w:rPr>
          <w:spacing w:val="3"/>
          <w:sz w:val="23"/>
        </w:rPr>
        <w:t> </w:t>
      </w:r>
      <w:r>
        <w:rPr>
          <w:sz w:val="23"/>
        </w:rPr>
        <w:t>2001.</w:t>
      </w:r>
    </w:p>
    <w:p>
      <w:pPr>
        <w:pStyle w:val="BodyText"/>
        <w:rPr>
          <w:sz w:val="22"/>
        </w:rPr>
      </w:pPr>
    </w:p>
    <w:p>
      <w:pPr>
        <w:pStyle w:val="BodyText"/>
        <w:spacing w:before="4"/>
        <w:rPr>
          <w:sz w:val="31"/>
        </w:rPr>
      </w:pPr>
    </w:p>
    <w:p>
      <w:pPr>
        <w:pStyle w:val="ListParagraph"/>
        <w:numPr>
          <w:ilvl w:val="2"/>
          <w:numId w:val="21"/>
        </w:numPr>
        <w:tabs>
          <w:tab w:pos="802" w:val="left" w:leader="none"/>
          <w:tab w:pos="803" w:val="left" w:leader="none"/>
        </w:tabs>
        <w:spacing w:line="355" w:lineRule="auto" w:before="1" w:after="0"/>
        <w:ind w:left="802" w:right="108" w:hanging="350"/>
        <w:jc w:val="left"/>
        <w:rPr>
          <w:sz w:val="23"/>
        </w:rPr>
      </w:pPr>
      <w:r>
        <w:rPr>
          <w:sz w:val="23"/>
        </w:rPr>
        <w:t>Figueroa, E. H. 2005. El mercado de café en México: 1970-2004. Chapingo, México. Tesis de</w:t>
      </w:r>
      <w:r>
        <w:rPr>
          <w:spacing w:val="28"/>
          <w:sz w:val="23"/>
        </w:rPr>
        <w:t> </w:t>
      </w:r>
      <w:r>
        <w:rPr>
          <w:sz w:val="23"/>
        </w:rPr>
        <w:t>Doctorado.</w:t>
      </w:r>
    </w:p>
    <w:p>
      <w:pPr>
        <w:pStyle w:val="BodyText"/>
        <w:rPr>
          <w:sz w:val="22"/>
        </w:rPr>
      </w:pPr>
    </w:p>
    <w:p>
      <w:pPr>
        <w:pStyle w:val="BodyText"/>
        <w:spacing w:before="7"/>
        <w:rPr>
          <w:sz w:val="31"/>
        </w:rPr>
      </w:pPr>
    </w:p>
    <w:p>
      <w:pPr>
        <w:pStyle w:val="ListParagraph"/>
        <w:numPr>
          <w:ilvl w:val="2"/>
          <w:numId w:val="21"/>
        </w:numPr>
        <w:tabs>
          <w:tab w:pos="802" w:val="left" w:leader="none"/>
          <w:tab w:pos="803" w:val="left" w:leader="none"/>
        </w:tabs>
        <w:spacing w:line="355" w:lineRule="auto" w:before="0" w:after="0"/>
        <w:ind w:left="802" w:right="103" w:hanging="350"/>
        <w:jc w:val="left"/>
        <w:rPr>
          <w:sz w:val="23"/>
        </w:rPr>
      </w:pPr>
      <w:r>
        <w:rPr>
          <w:sz w:val="23"/>
        </w:rPr>
        <w:t>Gujarati N. D. 1999. Econometría básica. United Status Military Academy, </w:t>
      </w:r>
      <w:r>
        <w:rPr>
          <w:spacing w:val="2"/>
          <w:sz w:val="23"/>
        </w:rPr>
        <w:t>West </w:t>
      </w:r>
      <w:r>
        <w:rPr>
          <w:sz w:val="23"/>
        </w:rPr>
        <w:t>Point. Editorial McGraw-Hill. Santafé de Bogotá,  Colombia.</w:t>
      </w:r>
    </w:p>
    <w:p>
      <w:pPr>
        <w:pStyle w:val="BodyText"/>
        <w:rPr>
          <w:sz w:val="22"/>
        </w:rPr>
      </w:pPr>
    </w:p>
    <w:p>
      <w:pPr>
        <w:pStyle w:val="BodyText"/>
        <w:spacing w:before="2"/>
        <w:rPr>
          <w:sz w:val="31"/>
        </w:rPr>
      </w:pPr>
    </w:p>
    <w:p>
      <w:pPr>
        <w:pStyle w:val="ListParagraph"/>
        <w:numPr>
          <w:ilvl w:val="2"/>
          <w:numId w:val="21"/>
        </w:numPr>
        <w:tabs>
          <w:tab w:pos="802" w:val="left" w:leader="none"/>
          <w:tab w:pos="803" w:val="left" w:leader="none"/>
        </w:tabs>
        <w:spacing w:line="357" w:lineRule="auto" w:before="0" w:after="0"/>
        <w:ind w:left="802" w:right="103" w:hanging="350"/>
        <w:jc w:val="left"/>
        <w:rPr>
          <w:sz w:val="23"/>
        </w:rPr>
      </w:pPr>
      <w:r>
        <w:rPr>
          <w:sz w:val="23"/>
        </w:rPr>
        <w:t>Méndez, S. y Ballesteros, N. 1983. Problemas y Política económicos de México  II., Nueva Editorial</w:t>
      </w:r>
      <w:r>
        <w:rPr>
          <w:spacing w:val="36"/>
          <w:sz w:val="23"/>
        </w:rPr>
        <w:t> </w:t>
      </w:r>
      <w:r>
        <w:rPr>
          <w:sz w:val="23"/>
        </w:rPr>
        <w:t>Hispanoamericana.</w:t>
      </w:r>
    </w:p>
    <w:p>
      <w:pPr>
        <w:pStyle w:val="BodyText"/>
        <w:rPr>
          <w:sz w:val="22"/>
        </w:rPr>
      </w:pPr>
    </w:p>
    <w:p>
      <w:pPr>
        <w:pStyle w:val="BodyText"/>
        <w:spacing w:before="11"/>
        <w:rPr>
          <w:sz w:val="30"/>
        </w:rPr>
      </w:pPr>
    </w:p>
    <w:p>
      <w:pPr>
        <w:pStyle w:val="ListParagraph"/>
        <w:numPr>
          <w:ilvl w:val="2"/>
          <w:numId w:val="21"/>
        </w:numPr>
        <w:tabs>
          <w:tab w:pos="802" w:val="left" w:leader="none"/>
          <w:tab w:pos="803" w:val="left" w:leader="none"/>
        </w:tabs>
        <w:spacing w:line="240" w:lineRule="auto" w:before="0" w:after="0"/>
        <w:ind w:left="802" w:right="0" w:hanging="350"/>
        <w:jc w:val="left"/>
        <w:rPr>
          <w:sz w:val="23"/>
        </w:rPr>
      </w:pPr>
      <w:r>
        <w:rPr>
          <w:sz w:val="23"/>
        </w:rPr>
        <w:t>Méndez, M. J. 1983. Problemas económicos de México, Mac </w:t>
      </w:r>
      <w:r>
        <w:rPr>
          <w:spacing w:val="22"/>
          <w:sz w:val="23"/>
        </w:rPr>
        <w:t> </w:t>
      </w:r>
      <w:r>
        <w:rPr>
          <w:sz w:val="23"/>
        </w:rPr>
        <w:t>Graw-Hill.</w:t>
      </w:r>
    </w:p>
    <w:p>
      <w:pPr>
        <w:pStyle w:val="BodyText"/>
        <w:rPr>
          <w:sz w:val="24"/>
        </w:rPr>
      </w:pPr>
    </w:p>
    <w:p>
      <w:pPr>
        <w:pStyle w:val="BodyText"/>
        <w:rPr>
          <w:sz w:val="24"/>
        </w:rPr>
      </w:pPr>
    </w:p>
    <w:p>
      <w:pPr>
        <w:pStyle w:val="ListParagraph"/>
        <w:numPr>
          <w:ilvl w:val="2"/>
          <w:numId w:val="21"/>
        </w:numPr>
        <w:tabs>
          <w:tab w:pos="802" w:val="left" w:leader="none"/>
          <w:tab w:pos="803" w:val="left" w:leader="none"/>
        </w:tabs>
        <w:spacing w:line="240" w:lineRule="auto" w:before="184" w:after="0"/>
        <w:ind w:left="802" w:right="0" w:hanging="350"/>
        <w:jc w:val="left"/>
        <w:rPr>
          <w:sz w:val="23"/>
        </w:rPr>
      </w:pPr>
      <w:r>
        <w:rPr>
          <w:sz w:val="23"/>
        </w:rPr>
        <w:t>Pazos, L.1990. El gobierno y la inflación, Editorial Diana, </w:t>
      </w:r>
      <w:r>
        <w:rPr>
          <w:spacing w:val="8"/>
          <w:sz w:val="23"/>
        </w:rPr>
        <w:t> </w:t>
      </w:r>
      <w:r>
        <w:rPr>
          <w:sz w:val="23"/>
        </w:rPr>
        <w:t>México.</w:t>
      </w:r>
    </w:p>
    <w:p>
      <w:pPr>
        <w:spacing w:after="0" w:line="240" w:lineRule="auto"/>
        <w:jc w:val="left"/>
        <w:rPr>
          <w:sz w:val="23"/>
        </w:rPr>
        <w:sectPr>
          <w:pgSz w:w="11900" w:h="16840"/>
          <w:pgMar w:header="0" w:footer="1679" w:top="1600" w:bottom="1860" w:left="1300" w:right="1280"/>
        </w:sectPr>
      </w:pPr>
    </w:p>
    <w:p>
      <w:pPr>
        <w:pStyle w:val="BodyText"/>
        <w:rPr>
          <w:sz w:val="20"/>
        </w:rPr>
      </w:pPr>
    </w:p>
    <w:p>
      <w:pPr>
        <w:pStyle w:val="BodyText"/>
        <w:spacing w:before="9"/>
        <w:rPr>
          <w:sz w:val="19"/>
        </w:rPr>
      </w:pPr>
    </w:p>
    <w:p>
      <w:pPr>
        <w:pStyle w:val="ListParagraph"/>
        <w:numPr>
          <w:ilvl w:val="2"/>
          <w:numId w:val="21"/>
        </w:numPr>
        <w:tabs>
          <w:tab w:pos="802" w:val="left" w:leader="none"/>
          <w:tab w:pos="803" w:val="left" w:leader="none"/>
        </w:tabs>
        <w:spacing w:line="357" w:lineRule="auto" w:before="61" w:after="0"/>
        <w:ind w:left="802" w:right="103" w:hanging="350"/>
        <w:jc w:val="left"/>
        <w:rPr>
          <w:sz w:val="23"/>
        </w:rPr>
      </w:pPr>
      <w:r>
        <w:rPr>
          <w:sz w:val="23"/>
        </w:rPr>
        <w:t>Roll, E. 1980. Historia de las doctrinas económicas. Sección de obras de Economía. Fondo de Cultura Económica.</w:t>
      </w:r>
      <w:r>
        <w:rPr>
          <w:spacing w:val="58"/>
          <w:sz w:val="23"/>
        </w:rPr>
        <w:t> </w:t>
      </w:r>
      <w:r>
        <w:rPr>
          <w:sz w:val="23"/>
        </w:rPr>
        <w:t>México.</w:t>
      </w:r>
    </w:p>
    <w:p>
      <w:pPr>
        <w:pStyle w:val="BodyText"/>
        <w:rPr>
          <w:sz w:val="22"/>
        </w:rPr>
      </w:pPr>
    </w:p>
    <w:p>
      <w:pPr>
        <w:pStyle w:val="BodyText"/>
        <w:spacing w:before="2"/>
        <w:rPr>
          <w:sz w:val="31"/>
        </w:rPr>
      </w:pPr>
    </w:p>
    <w:p>
      <w:pPr>
        <w:pStyle w:val="ListParagraph"/>
        <w:numPr>
          <w:ilvl w:val="2"/>
          <w:numId w:val="21"/>
        </w:numPr>
        <w:tabs>
          <w:tab w:pos="802" w:val="left" w:leader="none"/>
          <w:tab w:pos="803" w:val="left" w:leader="none"/>
        </w:tabs>
        <w:spacing w:line="357" w:lineRule="auto" w:before="0" w:after="0"/>
        <w:ind w:left="802" w:right="108" w:hanging="350"/>
        <w:jc w:val="left"/>
        <w:rPr>
          <w:sz w:val="23"/>
        </w:rPr>
      </w:pPr>
      <w:r>
        <w:rPr>
          <w:sz w:val="23"/>
        </w:rPr>
        <w:t>Székely, M. 2005. Pobreza y desigualdad en México entre 1950 y el 2004. Documentos de</w:t>
      </w:r>
      <w:r>
        <w:rPr>
          <w:spacing w:val="31"/>
          <w:sz w:val="23"/>
        </w:rPr>
        <w:t> </w:t>
      </w:r>
      <w:r>
        <w:rPr>
          <w:sz w:val="23"/>
        </w:rPr>
        <w:t>investigación.</w:t>
      </w:r>
    </w:p>
    <w:p>
      <w:pPr>
        <w:pStyle w:val="BodyText"/>
        <w:rPr>
          <w:sz w:val="22"/>
        </w:rPr>
      </w:pPr>
    </w:p>
    <w:p>
      <w:pPr>
        <w:pStyle w:val="BodyText"/>
        <w:spacing w:before="11"/>
        <w:rPr>
          <w:sz w:val="30"/>
        </w:rPr>
      </w:pPr>
    </w:p>
    <w:p>
      <w:pPr>
        <w:pStyle w:val="ListParagraph"/>
        <w:numPr>
          <w:ilvl w:val="2"/>
          <w:numId w:val="21"/>
        </w:numPr>
        <w:tabs>
          <w:tab w:pos="802" w:val="left" w:leader="none"/>
          <w:tab w:pos="803" w:val="left" w:leader="none"/>
        </w:tabs>
        <w:spacing w:line="355" w:lineRule="auto" w:before="0" w:after="0"/>
        <w:ind w:left="802" w:right="105" w:hanging="350"/>
        <w:jc w:val="left"/>
        <w:rPr>
          <w:sz w:val="23"/>
        </w:rPr>
      </w:pPr>
      <w:r>
        <w:rPr>
          <w:sz w:val="23"/>
        </w:rPr>
        <w:t>Solís, L. 1985, La realidad económica mexicana, retro-visión  y  perspectivas, Siglo Veintiuno</w:t>
      </w:r>
      <w:r>
        <w:rPr>
          <w:spacing w:val="28"/>
          <w:sz w:val="23"/>
        </w:rPr>
        <w:t> </w:t>
      </w:r>
      <w:r>
        <w:rPr>
          <w:sz w:val="23"/>
        </w:rPr>
        <w:t>Editores.</w:t>
      </w:r>
    </w:p>
    <w:p>
      <w:pPr>
        <w:pStyle w:val="BodyText"/>
        <w:rPr>
          <w:sz w:val="22"/>
        </w:rPr>
      </w:pPr>
    </w:p>
    <w:p>
      <w:pPr>
        <w:pStyle w:val="BodyText"/>
        <w:spacing w:before="3"/>
      </w:pPr>
    </w:p>
    <w:p>
      <w:pPr>
        <w:pStyle w:val="ListParagraph"/>
        <w:numPr>
          <w:ilvl w:val="2"/>
          <w:numId w:val="21"/>
        </w:numPr>
        <w:tabs>
          <w:tab w:pos="802" w:val="left" w:leader="none"/>
          <w:tab w:pos="803" w:val="left" w:leader="none"/>
        </w:tabs>
        <w:spacing w:line="357" w:lineRule="auto" w:before="0" w:after="0"/>
        <w:ind w:left="802" w:right="104" w:hanging="350"/>
        <w:jc w:val="left"/>
        <w:rPr>
          <w:sz w:val="23"/>
        </w:rPr>
      </w:pPr>
      <w:r>
        <w:rPr>
          <w:sz w:val="23"/>
        </w:rPr>
        <w:t>Solís, L. 1997, Evolución del sistema financiero mexicano hacia los umbrales del siglo XXI, Siglo Veintiuno</w:t>
      </w:r>
      <w:r>
        <w:rPr>
          <w:spacing w:val="35"/>
          <w:sz w:val="23"/>
        </w:rPr>
        <w:t> </w:t>
      </w:r>
      <w:r>
        <w:rPr>
          <w:sz w:val="23"/>
        </w:rPr>
        <w:t>Editores.</w:t>
      </w:r>
    </w:p>
    <w:p>
      <w:pPr>
        <w:pStyle w:val="BodyText"/>
        <w:rPr>
          <w:sz w:val="22"/>
        </w:rPr>
      </w:pPr>
    </w:p>
    <w:p>
      <w:pPr>
        <w:pStyle w:val="BodyText"/>
        <w:spacing w:before="2"/>
        <w:rPr>
          <w:sz w:val="31"/>
        </w:rPr>
      </w:pPr>
    </w:p>
    <w:p>
      <w:pPr>
        <w:pStyle w:val="ListParagraph"/>
        <w:numPr>
          <w:ilvl w:val="2"/>
          <w:numId w:val="21"/>
        </w:numPr>
        <w:tabs>
          <w:tab w:pos="802" w:val="left" w:leader="none"/>
          <w:tab w:pos="803" w:val="left" w:leader="none"/>
        </w:tabs>
        <w:spacing w:line="240" w:lineRule="auto" w:before="0" w:after="0"/>
        <w:ind w:left="802" w:right="0" w:hanging="350"/>
        <w:jc w:val="left"/>
        <w:rPr>
          <w:sz w:val="23"/>
        </w:rPr>
      </w:pPr>
      <w:r>
        <w:rPr>
          <w:sz w:val="23"/>
        </w:rPr>
        <w:t>Solís L. B. 1970. El hombre y la economía. Editorial Herrero, S.A. DF. </w:t>
      </w:r>
      <w:r>
        <w:rPr>
          <w:spacing w:val="28"/>
          <w:sz w:val="23"/>
        </w:rPr>
        <w:t> </w:t>
      </w:r>
      <w:r>
        <w:rPr>
          <w:sz w:val="23"/>
        </w:rPr>
        <w:t>México.</w:t>
      </w:r>
    </w:p>
    <w:p>
      <w:pPr>
        <w:pStyle w:val="BodyText"/>
        <w:rPr>
          <w:sz w:val="24"/>
        </w:rPr>
      </w:pPr>
    </w:p>
    <w:p>
      <w:pPr>
        <w:pStyle w:val="BodyText"/>
        <w:rPr>
          <w:sz w:val="24"/>
        </w:rPr>
      </w:pPr>
    </w:p>
    <w:p>
      <w:pPr>
        <w:pStyle w:val="ListParagraph"/>
        <w:numPr>
          <w:ilvl w:val="2"/>
          <w:numId w:val="21"/>
        </w:numPr>
        <w:tabs>
          <w:tab w:pos="802" w:val="left" w:leader="none"/>
          <w:tab w:pos="803" w:val="left" w:leader="none"/>
        </w:tabs>
        <w:spacing w:line="240" w:lineRule="auto" w:before="181" w:after="0"/>
        <w:ind w:left="802" w:right="0" w:hanging="350"/>
        <w:jc w:val="left"/>
        <w:rPr>
          <w:sz w:val="23"/>
        </w:rPr>
      </w:pPr>
      <w:r>
        <w:rPr>
          <w:sz w:val="23"/>
        </w:rPr>
        <w:t>Samuelson, P. A. y Nordaus, </w:t>
      </w:r>
      <w:r>
        <w:rPr>
          <w:spacing w:val="5"/>
          <w:sz w:val="23"/>
        </w:rPr>
        <w:t>W. </w:t>
      </w:r>
      <w:r>
        <w:rPr>
          <w:sz w:val="23"/>
        </w:rPr>
        <w:t>D. 2002. Economía  </w:t>
      </w:r>
      <w:r>
        <w:rPr>
          <w:spacing w:val="62"/>
          <w:sz w:val="23"/>
        </w:rPr>
        <w:t> </w:t>
      </w:r>
      <w:r>
        <w:rPr>
          <w:sz w:val="23"/>
        </w:rPr>
        <w:t>McGraw-Hill</w:t>
      </w:r>
    </w:p>
    <w:p>
      <w:pPr>
        <w:pStyle w:val="BodyText"/>
        <w:rPr>
          <w:sz w:val="24"/>
        </w:rPr>
      </w:pPr>
    </w:p>
    <w:p>
      <w:pPr>
        <w:pStyle w:val="BodyText"/>
        <w:rPr>
          <w:sz w:val="24"/>
        </w:rPr>
      </w:pPr>
    </w:p>
    <w:p>
      <w:pPr>
        <w:pStyle w:val="ListParagraph"/>
        <w:numPr>
          <w:ilvl w:val="2"/>
          <w:numId w:val="21"/>
        </w:numPr>
        <w:tabs>
          <w:tab w:pos="802" w:val="left" w:leader="none"/>
          <w:tab w:pos="803" w:val="left" w:leader="none"/>
        </w:tabs>
        <w:spacing w:line="240" w:lineRule="auto" w:before="181" w:after="0"/>
        <w:ind w:left="802" w:right="0" w:hanging="350"/>
        <w:jc w:val="left"/>
        <w:rPr>
          <w:sz w:val="23"/>
        </w:rPr>
      </w:pPr>
      <w:r>
        <w:rPr>
          <w:sz w:val="23"/>
        </w:rPr>
        <w:t>Salinas L. R. 1999. ensayo. DF,</w:t>
      </w:r>
      <w:r>
        <w:rPr>
          <w:spacing w:val="45"/>
          <w:sz w:val="23"/>
        </w:rPr>
        <w:t> </w:t>
      </w:r>
      <w:r>
        <w:rPr>
          <w:sz w:val="23"/>
        </w:rPr>
        <w:t>México.</w:t>
      </w:r>
    </w:p>
    <w:p>
      <w:pPr>
        <w:pStyle w:val="BodyText"/>
        <w:rPr>
          <w:sz w:val="24"/>
        </w:rPr>
      </w:pPr>
    </w:p>
    <w:p>
      <w:pPr>
        <w:pStyle w:val="BodyText"/>
        <w:rPr>
          <w:sz w:val="24"/>
        </w:rPr>
      </w:pPr>
    </w:p>
    <w:p>
      <w:pPr>
        <w:pStyle w:val="ListParagraph"/>
        <w:numPr>
          <w:ilvl w:val="2"/>
          <w:numId w:val="21"/>
        </w:numPr>
        <w:tabs>
          <w:tab w:pos="802" w:val="left" w:leader="none"/>
          <w:tab w:pos="803" w:val="left" w:leader="none"/>
        </w:tabs>
        <w:spacing w:line="240" w:lineRule="auto" w:before="184" w:after="0"/>
        <w:ind w:left="802" w:right="0" w:hanging="350"/>
        <w:jc w:val="left"/>
        <w:rPr>
          <w:sz w:val="23"/>
        </w:rPr>
      </w:pPr>
      <w:r>
        <w:rPr>
          <w:sz w:val="23"/>
        </w:rPr>
        <w:t>Wonnacott, P. y Wonnacott R.1992. Economía. Cuarta edición, </w:t>
      </w:r>
      <w:r>
        <w:rPr>
          <w:spacing w:val="26"/>
          <w:sz w:val="23"/>
        </w:rPr>
        <w:t> </w:t>
      </w:r>
      <w:r>
        <w:rPr>
          <w:sz w:val="23"/>
        </w:rPr>
        <w:t>McGraw-Hill.</w:t>
      </w:r>
    </w:p>
    <w:p>
      <w:pPr>
        <w:pStyle w:val="BodyText"/>
        <w:rPr>
          <w:sz w:val="24"/>
        </w:rPr>
      </w:pPr>
    </w:p>
    <w:p>
      <w:pPr>
        <w:pStyle w:val="BodyText"/>
        <w:rPr>
          <w:sz w:val="24"/>
        </w:rPr>
      </w:pPr>
    </w:p>
    <w:p>
      <w:pPr>
        <w:pStyle w:val="BodyText"/>
        <w:spacing w:before="180"/>
        <w:ind w:left="101" w:right="102"/>
      </w:pPr>
      <w:r>
        <w:rPr/>
        <w:t>INTERNET</w:t>
      </w:r>
    </w:p>
    <w:p>
      <w:pPr>
        <w:pStyle w:val="BodyText"/>
        <w:spacing w:before="10"/>
        <w:rPr>
          <w:sz w:val="20"/>
        </w:rPr>
      </w:pPr>
    </w:p>
    <w:p>
      <w:pPr>
        <w:pStyle w:val="ListParagraph"/>
        <w:numPr>
          <w:ilvl w:val="2"/>
          <w:numId w:val="21"/>
        </w:numPr>
        <w:tabs>
          <w:tab w:pos="802" w:val="left" w:leader="none"/>
          <w:tab w:pos="803" w:val="left" w:leader="none"/>
        </w:tabs>
        <w:spacing w:line="240" w:lineRule="auto" w:before="1" w:after="0"/>
        <w:ind w:left="802" w:right="0" w:hanging="350"/>
        <w:jc w:val="left"/>
        <w:rPr>
          <w:sz w:val="23"/>
        </w:rPr>
      </w:pPr>
      <w:hyperlink r:id="rId363">
        <w:r>
          <w:rPr>
            <w:sz w:val="23"/>
          </w:rPr>
          <w:t>http://www.banxico.org.mx/tipo/estadisticas/index.html,</w:t>
        </w:r>
      </w:hyperlink>
      <w:r>
        <w:rPr>
          <w:sz w:val="23"/>
        </w:rPr>
        <w:t>  (Revisado</w:t>
      </w:r>
      <w:r>
        <w:rPr>
          <w:spacing w:val="7"/>
          <w:sz w:val="23"/>
        </w:rPr>
        <w:t> </w:t>
      </w:r>
      <w:r>
        <w:rPr>
          <w:sz w:val="23"/>
        </w:rPr>
        <w:t>2005)</w:t>
      </w:r>
    </w:p>
    <w:p>
      <w:pPr>
        <w:pStyle w:val="ListParagraph"/>
        <w:numPr>
          <w:ilvl w:val="2"/>
          <w:numId w:val="21"/>
        </w:numPr>
        <w:tabs>
          <w:tab w:pos="802" w:val="left" w:leader="none"/>
          <w:tab w:pos="803" w:val="left" w:leader="none"/>
        </w:tabs>
        <w:spacing w:line="240" w:lineRule="auto" w:before="138" w:after="0"/>
        <w:ind w:left="802" w:right="0" w:hanging="350"/>
        <w:jc w:val="left"/>
        <w:rPr>
          <w:sz w:val="23"/>
        </w:rPr>
      </w:pPr>
      <w:hyperlink r:id="rId364">
        <w:r>
          <w:rPr>
            <w:sz w:val="23"/>
          </w:rPr>
          <w:t>http://www.bancomundial.org/investigacion/</w:t>
        </w:r>
      </w:hyperlink>
    </w:p>
    <w:p>
      <w:pPr>
        <w:pStyle w:val="ListParagraph"/>
        <w:numPr>
          <w:ilvl w:val="2"/>
          <w:numId w:val="21"/>
        </w:numPr>
        <w:tabs>
          <w:tab w:pos="802" w:val="left" w:leader="none"/>
          <w:tab w:pos="803" w:val="left" w:leader="none"/>
        </w:tabs>
        <w:spacing w:line="240" w:lineRule="auto" w:before="136" w:after="0"/>
        <w:ind w:left="802" w:right="0" w:hanging="350"/>
        <w:jc w:val="left"/>
        <w:rPr>
          <w:sz w:val="23"/>
        </w:rPr>
      </w:pPr>
      <w:hyperlink r:id="rId365">
        <w:r>
          <w:rPr>
            <w:sz w:val="23"/>
          </w:rPr>
          <w:t>http://www.bves.com.sv/glosario/g_e.htm</w:t>
        </w:r>
      </w:hyperlink>
    </w:p>
    <w:p>
      <w:pPr>
        <w:pStyle w:val="ListParagraph"/>
        <w:numPr>
          <w:ilvl w:val="2"/>
          <w:numId w:val="21"/>
        </w:numPr>
        <w:tabs>
          <w:tab w:pos="802" w:val="left" w:leader="none"/>
          <w:tab w:pos="803" w:val="left" w:leader="none"/>
        </w:tabs>
        <w:spacing w:line="357" w:lineRule="auto" w:before="136" w:after="0"/>
        <w:ind w:left="802" w:right="111" w:hanging="350"/>
        <w:jc w:val="left"/>
        <w:rPr>
          <w:sz w:val="23"/>
        </w:rPr>
      </w:pPr>
      <w:hyperlink r:id="rId366">
        <w:r>
          <w:rPr>
            <w:spacing w:val="-1"/>
            <w:sz w:val="23"/>
          </w:rPr>
          <w:t>http://www.camaradediputados.gob.mx/03_bancos_de_informacion/01_estadistic</w:t>
        </w:r>
      </w:hyperlink>
      <w:r>
        <w:rPr>
          <w:spacing w:val="-1"/>
          <w:sz w:val="23"/>
        </w:rPr>
        <w:t> </w:t>
      </w:r>
      <w:r>
        <w:rPr>
          <w:sz w:val="23"/>
        </w:rPr>
        <w:t>as</w:t>
      </w:r>
    </w:p>
    <w:p>
      <w:pPr>
        <w:pStyle w:val="ListParagraph"/>
        <w:numPr>
          <w:ilvl w:val="2"/>
          <w:numId w:val="21"/>
        </w:numPr>
        <w:tabs>
          <w:tab w:pos="802" w:val="left" w:leader="none"/>
          <w:tab w:pos="803" w:val="left" w:leader="none"/>
        </w:tabs>
        <w:spacing w:line="240" w:lineRule="auto" w:before="11" w:after="0"/>
        <w:ind w:left="802" w:right="0" w:hanging="350"/>
        <w:jc w:val="left"/>
        <w:rPr>
          <w:sz w:val="23"/>
        </w:rPr>
      </w:pPr>
      <w:hyperlink r:id="rId367">
        <w:r>
          <w:rPr>
            <w:sz w:val="23"/>
          </w:rPr>
          <w:t>http://www.cefp.gob.mx</w:t>
        </w:r>
      </w:hyperlink>
    </w:p>
    <w:p>
      <w:pPr>
        <w:spacing w:after="0" w:line="240" w:lineRule="auto"/>
        <w:jc w:val="left"/>
        <w:rPr>
          <w:sz w:val="23"/>
        </w:rPr>
        <w:sectPr>
          <w:footerReference w:type="default" r:id="rId362"/>
          <w:pgSz w:w="11900" w:h="16840"/>
          <w:pgMar w:footer="1619" w:header="0" w:top="1600" w:bottom="1800" w:left="1300" w:right="1280"/>
          <w:pgNumType w:start="290"/>
        </w:sectPr>
      </w:pPr>
    </w:p>
    <w:p>
      <w:pPr>
        <w:pStyle w:val="BodyText"/>
        <w:rPr>
          <w:sz w:val="20"/>
        </w:rPr>
      </w:pPr>
    </w:p>
    <w:p>
      <w:pPr>
        <w:pStyle w:val="BodyText"/>
        <w:spacing w:before="9"/>
        <w:rPr>
          <w:sz w:val="19"/>
        </w:rPr>
      </w:pPr>
    </w:p>
    <w:p>
      <w:pPr>
        <w:pStyle w:val="ListParagraph"/>
        <w:numPr>
          <w:ilvl w:val="0"/>
          <w:numId w:val="25"/>
        </w:numPr>
        <w:tabs>
          <w:tab w:pos="462" w:val="left" w:leader="none"/>
          <w:tab w:pos="463" w:val="left" w:leader="none"/>
        </w:tabs>
        <w:spacing w:line="240" w:lineRule="auto" w:before="61" w:after="0"/>
        <w:ind w:left="462" w:right="0" w:hanging="350"/>
        <w:jc w:val="left"/>
        <w:rPr>
          <w:sz w:val="23"/>
        </w:rPr>
      </w:pPr>
      <w:hyperlink r:id="rId368">
        <w:r>
          <w:rPr>
            <w:sz w:val="23"/>
          </w:rPr>
          <w:t>http://www.inegi.gob.mx/inegi/default.aspx?s=est</w:t>
        </w:r>
      </w:hyperlink>
    </w:p>
    <w:p>
      <w:pPr>
        <w:pStyle w:val="ListParagraph"/>
        <w:numPr>
          <w:ilvl w:val="0"/>
          <w:numId w:val="25"/>
        </w:numPr>
        <w:tabs>
          <w:tab w:pos="462" w:val="left" w:leader="none"/>
          <w:tab w:pos="463" w:val="left" w:leader="none"/>
        </w:tabs>
        <w:spacing w:line="240" w:lineRule="auto" w:before="138" w:after="0"/>
        <w:ind w:left="462" w:right="0" w:hanging="350"/>
        <w:jc w:val="left"/>
        <w:rPr>
          <w:sz w:val="23"/>
        </w:rPr>
      </w:pPr>
      <w:hyperlink r:id="rId369">
        <w:r>
          <w:rPr>
            <w:sz w:val="23"/>
          </w:rPr>
          <w:t>http://www.mexicomaxico.org/Voto/super.htm</w:t>
        </w:r>
      </w:hyperlink>
    </w:p>
    <w:p>
      <w:pPr>
        <w:pStyle w:val="ListParagraph"/>
        <w:numPr>
          <w:ilvl w:val="0"/>
          <w:numId w:val="25"/>
        </w:numPr>
        <w:tabs>
          <w:tab w:pos="462" w:val="left" w:leader="none"/>
          <w:tab w:pos="463" w:val="left" w:leader="none"/>
        </w:tabs>
        <w:spacing w:line="240" w:lineRule="auto" w:before="133" w:after="0"/>
        <w:ind w:left="462" w:right="0" w:hanging="350"/>
        <w:jc w:val="left"/>
        <w:rPr>
          <w:sz w:val="23"/>
        </w:rPr>
      </w:pPr>
      <w:hyperlink r:id="rId370">
        <w:r>
          <w:rPr>
            <w:sz w:val="23"/>
          </w:rPr>
          <w:t>http://www.zonaeconomica.com/tipo-de-cambio</w:t>
        </w:r>
      </w:hyperlink>
    </w:p>
    <w:p>
      <w:pPr>
        <w:spacing w:after="0" w:line="240" w:lineRule="auto"/>
        <w:jc w:val="left"/>
        <w:rPr>
          <w:sz w:val="23"/>
        </w:rPr>
        <w:sectPr>
          <w:pgSz w:w="11900" w:h="16840"/>
          <w:pgMar w:header="0" w:footer="1619" w:top="1600" w:bottom="1860" w:left="1640" w:right="1280"/>
        </w:sectPr>
      </w:pPr>
    </w:p>
    <w:p>
      <w:pPr>
        <w:pStyle w:val="BodyText"/>
        <w:spacing w:before="4"/>
        <w:rPr>
          <w:rFonts w:ascii="Times New Roman"/>
          <w:sz w:val="17"/>
        </w:rPr>
      </w:pPr>
    </w:p>
    <w:p>
      <w:pPr>
        <w:spacing w:after="0"/>
        <w:rPr>
          <w:rFonts w:ascii="Times New Roman"/>
          <w:sz w:val="17"/>
        </w:rPr>
        <w:sectPr>
          <w:pgSz w:w="11900" w:h="16840"/>
          <w:pgMar w:header="0" w:footer="1619" w:top="1600" w:bottom="1800" w:left="1680" w:right="1280"/>
        </w:sectPr>
      </w:pPr>
    </w:p>
    <w:p>
      <w:pPr>
        <w:pStyle w:val="BodyText"/>
        <w:rPr>
          <w:rFonts w:ascii="Times New Roman"/>
          <w:sz w:val="20"/>
        </w:rPr>
      </w:pPr>
    </w:p>
    <w:p>
      <w:pPr>
        <w:pStyle w:val="BodyText"/>
        <w:spacing w:before="6"/>
        <w:rPr>
          <w:rFonts w:ascii="Times New Roman"/>
          <w:sz w:val="19"/>
        </w:rPr>
      </w:pPr>
    </w:p>
    <w:p>
      <w:pPr>
        <w:pStyle w:val="Heading1"/>
        <w:numPr>
          <w:ilvl w:val="0"/>
          <w:numId w:val="26"/>
        </w:numPr>
        <w:tabs>
          <w:tab w:pos="772" w:val="left" w:leader="none"/>
        </w:tabs>
        <w:spacing w:line="360" w:lineRule="auto" w:before="55" w:after="0"/>
        <w:ind w:left="812" w:right="386" w:hanging="430"/>
        <w:jc w:val="left"/>
      </w:pPr>
      <w:r>
        <w:rPr/>
        <w:t>EL EFECTO DE LAS REMESAS DE EE.UU. EN EL BIENESTAR DE LOS HABITANTES DE</w:t>
      </w:r>
      <w:r>
        <w:rPr>
          <w:spacing w:val="-8"/>
        </w:rPr>
        <w:t> </w:t>
      </w:r>
      <w:r>
        <w:rPr/>
        <w:t>SANTO</w:t>
      </w:r>
    </w:p>
    <w:p>
      <w:pPr>
        <w:spacing w:before="9"/>
        <w:ind w:left="345" w:right="356" w:firstLine="0"/>
        <w:jc w:val="center"/>
        <w:rPr>
          <w:b/>
          <w:sz w:val="35"/>
        </w:rPr>
      </w:pPr>
      <w:r>
        <w:rPr>
          <w:b/>
          <w:sz w:val="35"/>
        </w:rPr>
        <w:t>DOMINGO TEPUXTEPEC MIXE, OAX</w:t>
      </w:r>
    </w:p>
    <w:p>
      <w:pPr>
        <w:pStyle w:val="BodyText"/>
        <w:spacing w:before="7"/>
        <w:rPr>
          <w:b/>
          <w:sz w:val="34"/>
        </w:rPr>
      </w:pPr>
    </w:p>
    <w:p>
      <w:pPr>
        <w:pStyle w:val="Heading4"/>
        <w:spacing w:before="1"/>
        <w:ind w:left="345" w:right="353"/>
        <w:jc w:val="center"/>
      </w:pPr>
      <w:r>
        <w:rPr/>
        <w:t>Francisco Pérez Soto</w:t>
      </w:r>
    </w:p>
    <w:p>
      <w:pPr>
        <w:spacing w:before="8"/>
        <w:ind w:left="345" w:right="348" w:firstLine="0"/>
        <w:jc w:val="center"/>
        <w:rPr>
          <w:sz w:val="19"/>
        </w:rPr>
      </w:pPr>
      <w:r>
        <w:rPr>
          <w:sz w:val="19"/>
        </w:rPr>
        <w:t>División de Ciencias Económico Administrativas de la UACH,   </w:t>
      </w:r>
      <w:hyperlink r:id="rId19">
        <w:r>
          <w:rPr>
            <w:sz w:val="19"/>
          </w:rPr>
          <w:t>perezsotof@hotmail.com</w:t>
        </w:r>
      </w:hyperlink>
    </w:p>
    <w:p>
      <w:pPr>
        <w:pStyle w:val="BodyText"/>
        <w:spacing w:before="2"/>
      </w:pPr>
    </w:p>
    <w:p>
      <w:pPr>
        <w:pStyle w:val="Heading4"/>
        <w:ind w:left="345" w:right="352"/>
        <w:jc w:val="center"/>
      </w:pPr>
      <w:r>
        <w:rPr/>
        <w:t>Esther Figueroa Hernández</w:t>
      </w:r>
    </w:p>
    <w:p>
      <w:pPr>
        <w:spacing w:before="10"/>
        <w:ind w:left="345" w:right="298" w:firstLine="0"/>
        <w:jc w:val="center"/>
        <w:rPr>
          <w:sz w:val="19"/>
        </w:rPr>
      </w:pPr>
      <w:r>
        <w:rPr>
          <w:sz w:val="19"/>
        </w:rPr>
        <w:t>Universidad Autónoma Estado de México,   </w:t>
      </w:r>
      <w:hyperlink r:id="rId17">
        <w:r>
          <w:rPr>
            <w:sz w:val="19"/>
          </w:rPr>
          <w:t>esfigue_3@yahoo.com.mx</w:t>
        </w:r>
      </w:hyperlink>
    </w:p>
    <w:p>
      <w:pPr>
        <w:pStyle w:val="BodyText"/>
        <w:spacing w:before="10"/>
        <w:rPr>
          <w:sz w:val="16"/>
        </w:rPr>
      </w:pPr>
    </w:p>
    <w:p>
      <w:pPr>
        <w:spacing w:before="0"/>
        <w:ind w:left="345" w:right="347" w:firstLine="0"/>
        <w:jc w:val="center"/>
        <w:rPr>
          <w:b/>
          <w:sz w:val="21"/>
        </w:rPr>
      </w:pPr>
      <w:r>
        <w:rPr>
          <w:b/>
          <w:sz w:val="21"/>
        </w:rPr>
        <w:t>Gerónimo Barrios Puente</w:t>
      </w:r>
    </w:p>
    <w:p>
      <w:pPr>
        <w:spacing w:before="10"/>
        <w:ind w:left="345" w:right="353" w:firstLine="0"/>
        <w:jc w:val="center"/>
        <w:rPr>
          <w:sz w:val="19"/>
        </w:rPr>
      </w:pPr>
      <w:r>
        <w:rPr>
          <w:sz w:val="19"/>
        </w:rPr>
        <w:t>División de Ciencias Económico Administrativas de la UACH,   </w:t>
      </w:r>
      <w:hyperlink r:id="rId139">
        <w:r>
          <w:rPr>
            <w:sz w:val="19"/>
          </w:rPr>
          <w:t>gbarrios@yahoo.com.mx</w:t>
        </w:r>
      </w:hyperlink>
    </w:p>
    <w:p>
      <w:pPr>
        <w:pStyle w:val="BodyText"/>
        <w:spacing w:before="4"/>
        <w:rPr>
          <w:sz w:val="21"/>
        </w:rPr>
      </w:pPr>
    </w:p>
    <w:p>
      <w:pPr>
        <w:pStyle w:val="Heading4"/>
        <w:ind w:left="345" w:right="351"/>
        <w:jc w:val="center"/>
      </w:pPr>
      <w:r>
        <w:rPr/>
        <w:t>Orsohe Ramírez Abarca</w:t>
      </w:r>
    </w:p>
    <w:p>
      <w:pPr>
        <w:spacing w:before="8"/>
        <w:ind w:left="345" w:right="351" w:firstLine="0"/>
        <w:jc w:val="center"/>
        <w:rPr>
          <w:sz w:val="19"/>
        </w:rPr>
      </w:pPr>
      <w:r>
        <w:rPr>
          <w:sz w:val="19"/>
        </w:rPr>
        <w:t>Universidad Autónoma del Estado de México,   </w:t>
      </w:r>
      <w:hyperlink r:id="rId18">
        <w:r>
          <w:rPr>
            <w:sz w:val="19"/>
          </w:rPr>
          <w:t>orsohe@yahoo.com</w:t>
        </w:r>
      </w:hyperlink>
    </w:p>
    <w:p>
      <w:pPr>
        <w:pStyle w:val="BodyText"/>
        <w:spacing w:before="8"/>
        <w:rPr>
          <w:sz w:val="21"/>
        </w:rPr>
      </w:pPr>
    </w:p>
    <w:p>
      <w:pPr>
        <w:spacing w:before="0"/>
        <w:ind w:left="345" w:right="352" w:firstLine="0"/>
        <w:jc w:val="center"/>
        <w:rPr>
          <w:b/>
          <w:sz w:val="21"/>
        </w:rPr>
      </w:pPr>
      <w:r>
        <w:rPr>
          <w:b/>
          <w:sz w:val="21"/>
        </w:rPr>
        <w:t>Marcos Portillo Vázquez</w:t>
      </w:r>
    </w:p>
    <w:p>
      <w:pPr>
        <w:spacing w:before="10"/>
        <w:ind w:left="345" w:right="350" w:firstLine="0"/>
        <w:jc w:val="center"/>
        <w:rPr>
          <w:sz w:val="19"/>
        </w:rPr>
      </w:pPr>
      <w:r>
        <w:rPr>
          <w:sz w:val="19"/>
        </w:rPr>
        <w:t>División de Ciencias Económico Administrativas de la  UACH,</w:t>
      </w:r>
    </w:p>
    <w:p>
      <w:pPr>
        <w:pStyle w:val="BodyText"/>
        <w:spacing w:before="10"/>
        <w:rPr>
          <w:sz w:val="16"/>
        </w:rPr>
      </w:pPr>
    </w:p>
    <w:p>
      <w:pPr>
        <w:spacing w:before="0"/>
        <w:ind w:left="345" w:right="347" w:firstLine="0"/>
        <w:jc w:val="center"/>
        <w:rPr>
          <w:b/>
          <w:sz w:val="21"/>
        </w:rPr>
      </w:pPr>
      <w:r>
        <w:rPr>
          <w:b/>
          <w:sz w:val="21"/>
        </w:rPr>
        <w:t>Jesús Loera Martínez</w:t>
      </w:r>
    </w:p>
    <w:p>
      <w:pPr>
        <w:spacing w:before="7"/>
        <w:ind w:left="345" w:right="350" w:firstLine="0"/>
        <w:jc w:val="center"/>
        <w:rPr>
          <w:sz w:val="19"/>
        </w:rPr>
      </w:pPr>
      <w:r>
        <w:rPr>
          <w:sz w:val="19"/>
        </w:rPr>
        <w:t>Universidad  Autónoma  Chapingo, </w:t>
      </w:r>
      <w:hyperlink r:id="rId32">
        <w:r>
          <w:rPr>
            <w:sz w:val="19"/>
          </w:rPr>
          <w:t>jloeramtz2004@yahoo.com.mx</w:t>
        </w:r>
      </w:hyperlink>
    </w:p>
    <w:p>
      <w:pPr>
        <w:pStyle w:val="BodyText"/>
        <w:rPr>
          <w:sz w:val="18"/>
        </w:rPr>
      </w:pPr>
    </w:p>
    <w:p>
      <w:pPr>
        <w:pStyle w:val="BodyText"/>
        <w:rPr>
          <w:sz w:val="18"/>
        </w:rPr>
      </w:pPr>
    </w:p>
    <w:p>
      <w:pPr>
        <w:pStyle w:val="ListParagraph"/>
        <w:numPr>
          <w:ilvl w:val="0"/>
          <w:numId w:val="27"/>
        </w:numPr>
        <w:tabs>
          <w:tab w:pos="361" w:val="left" w:leader="none"/>
        </w:tabs>
        <w:spacing w:line="240" w:lineRule="auto" w:before="119" w:after="0"/>
        <w:ind w:left="360" w:right="0" w:hanging="259"/>
        <w:jc w:val="both"/>
        <w:rPr>
          <w:b/>
          <w:sz w:val="31"/>
        </w:rPr>
      </w:pPr>
      <w:r>
        <w:rPr>
          <w:b/>
          <w:sz w:val="31"/>
        </w:rPr>
        <w:t>INTRODUCCIÓN</w:t>
      </w:r>
    </w:p>
    <w:p>
      <w:pPr>
        <w:pStyle w:val="BodyText"/>
        <w:rPr>
          <w:b/>
          <w:sz w:val="30"/>
        </w:rPr>
      </w:pPr>
    </w:p>
    <w:p>
      <w:pPr>
        <w:pStyle w:val="BodyText"/>
        <w:spacing w:before="3"/>
        <w:rPr>
          <w:b/>
          <w:sz w:val="40"/>
        </w:rPr>
      </w:pPr>
    </w:p>
    <w:p>
      <w:pPr>
        <w:pStyle w:val="BodyText"/>
        <w:spacing w:line="364" w:lineRule="auto"/>
        <w:ind w:left="101" w:right="104"/>
        <w:jc w:val="both"/>
      </w:pPr>
      <w:r>
        <w:rPr/>
        <w:t>La búsqueda de mejores condiciones de vida, ha sido una característica natural del ser humano en cualquier espacio y tiempo. La población mexicana no es la excepción, es por ello que los mexicanos carentes de oportunidades de mejora de calidad de vida o desarrollo económico en el país recurren a la migración hacia Estados Unidos de Norteamérica, buscando nuevos y mejores horizontes laborales con la esperanza de mejorar su calidad y de su</w:t>
      </w:r>
      <w:r>
        <w:rPr>
          <w:spacing w:val="37"/>
        </w:rPr>
        <w:t> </w:t>
      </w:r>
      <w:r>
        <w:rPr/>
        <w:t>familia.</w:t>
      </w:r>
    </w:p>
    <w:p>
      <w:pPr>
        <w:pStyle w:val="BodyText"/>
        <w:spacing w:line="364" w:lineRule="auto" w:before="120"/>
        <w:ind w:left="101" w:right="103"/>
        <w:jc w:val="both"/>
      </w:pPr>
      <w:r>
        <w:rPr/>
        <w:t>La migración es un proceso que ha adquirido amplias dimensiones en México, en la actualidad el diez por ciento del total de mexicanos residen fuera del país y la mayor parte de ellos emigró hacia los Estados Unidos, siendo ésta la más importante de las migraciones en la escala mundial. Una de las expresiones más  notables  de  la  migración internacional y de la operación de complejas redes es el flujo de remesas. Estos</w:t>
      </w:r>
      <w:r>
        <w:rPr>
          <w:spacing w:val="32"/>
        </w:rPr>
        <w:t> </w:t>
      </w:r>
      <w:r>
        <w:rPr/>
        <w:t>recursos</w:t>
      </w:r>
      <w:r>
        <w:rPr>
          <w:spacing w:val="38"/>
        </w:rPr>
        <w:t> </w:t>
      </w:r>
      <w:r>
        <w:rPr/>
        <w:t>han</w:t>
      </w:r>
      <w:r>
        <w:rPr>
          <w:spacing w:val="35"/>
        </w:rPr>
        <w:t> </w:t>
      </w:r>
      <w:r>
        <w:rPr/>
        <w:t>venido</w:t>
      </w:r>
      <w:r>
        <w:rPr>
          <w:spacing w:val="35"/>
        </w:rPr>
        <w:t> </w:t>
      </w:r>
      <w:r>
        <w:rPr/>
        <w:t>creciendo</w:t>
      </w:r>
      <w:r>
        <w:rPr>
          <w:spacing w:val="35"/>
        </w:rPr>
        <w:t> </w:t>
      </w:r>
      <w:r>
        <w:rPr/>
        <w:t>en</w:t>
      </w:r>
      <w:r>
        <w:rPr>
          <w:spacing w:val="35"/>
        </w:rPr>
        <w:t> </w:t>
      </w:r>
      <w:r>
        <w:rPr/>
        <w:t>paralelo</w:t>
      </w:r>
      <w:r>
        <w:rPr>
          <w:spacing w:val="35"/>
        </w:rPr>
        <w:t> </w:t>
      </w:r>
      <w:r>
        <w:rPr/>
        <w:t>con</w:t>
      </w:r>
      <w:r>
        <w:rPr>
          <w:spacing w:val="30"/>
        </w:rPr>
        <w:t> </w:t>
      </w:r>
      <w:r>
        <w:rPr/>
        <w:t>la</w:t>
      </w:r>
      <w:r>
        <w:rPr>
          <w:spacing w:val="31"/>
        </w:rPr>
        <w:t> </w:t>
      </w:r>
      <w:r>
        <w:rPr/>
        <w:t>migración,</w:t>
      </w:r>
      <w:r>
        <w:rPr>
          <w:spacing w:val="37"/>
        </w:rPr>
        <w:t> </w:t>
      </w:r>
      <w:r>
        <w:rPr/>
        <w:t>beneficiando</w:t>
      </w:r>
      <w:r>
        <w:rPr>
          <w:spacing w:val="37"/>
        </w:rPr>
        <w:t> </w:t>
      </w:r>
      <w:r>
        <w:rPr/>
        <w:t>a</w:t>
      </w:r>
      <w:r>
        <w:rPr>
          <w:spacing w:val="31"/>
        </w:rPr>
        <w:t> </w:t>
      </w:r>
      <w:r>
        <w:rPr/>
        <w:t>un</w:t>
      </w:r>
    </w:p>
    <w:p>
      <w:pPr>
        <w:spacing w:after="0" w:line="364" w:lineRule="auto"/>
        <w:jc w:val="both"/>
        <w:sectPr>
          <w:pgSz w:w="11900" w:h="16840"/>
          <w:pgMar w:header="0" w:footer="1619" w:top="1600" w:bottom="180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número cada vez mayor de familias y personas. Sus magnitudes han alcanzando dimensiones cada vez más significativas que revelan su importancia como fuente de divisas y como sostén esencial para los integrantes de millones de hogares  en los  países de origen de la migración. (Lestrade Sadurni, </w:t>
      </w:r>
      <w:r>
        <w:rPr>
          <w:spacing w:val="3"/>
        </w:rPr>
        <w:t> </w:t>
      </w:r>
      <w:r>
        <w:rPr/>
        <w:t>2004).</w:t>
      </w:r>
    </w:p>
    <w:p>
      <w:pPr>
        <w:pStyle w:val="BodyText"/>
        <w:rPr>
          <w:sz w:val="22"/>
        </w:rPr>
      </w:pPr>
    </w:p>
    <w:p>
      <w:pPr>
        <w:pStyle w:val="BodyText"/>
        <w:rPr>
          <w:sz w:val="22"/>
        </w:rPr>
      </w:pPr>
    </w:p>
    <w:p>
      <w:pPr>
        <w:pStyle w:val="BodyText"/>
        <w:spacing w:line="364" w:lineRule="auto" w:before="135"/>
        <w:ind w:left="101" w:right="104"/>
        <w:jc w:val="both"/>
      </w:pPr>
      <w:r>
        <w:rPr/>
        <w:t>Estos recursos monetarios son la expresión más visible de la migración caracterizada como laboral. En el caso de México, las remesas han sido una  alternativa cada vez   más recurrente como fuente de financiamiento doméstico para millones de familias. (Góngora,</w:t>
      </w:r>
      <w:r>
        <w:rPr>
          <w:spacing w:val="18"/>
        </w:rPr>
        <w:t> </w:t>
      </w:r>
      <w:r>
        <w:rPr/>
        <w:t>2007).</w:t>
      </w:r>
    </w:p>
    <w:p>
      <w:pPr>
        <w:pStyle w:val="BodyText"/>
        <w:spacing w:line="364" w:lineRule="auto" w:before="120"/>
        <w:ind w:left="101" w:right="105"/>
        <w:jc w:val="both"/>
      </w:pPr>
      <w:r>
        <w:rPr/>
        <w:t>A pesar de las repercusiones positivas de las remesas en las zonas  de origen, se  puede cuestionar la bondad de las mismas por diversos motivos, la auto-reproducción  de las migraciones a través de la financiación de las mismas y el efecto de imitación derivado del establecimiento de una cultura de la migración, sostenida por imágenes   del éxito de los migrantes o la dependencia que se puede llegar a crear desde las familias, comunidades e incluso países enteros con respecto a estas transferencias internacionales.</w:t>
      </w:r>
    </w:p>
    <w:p>
      <w:pPr>
        <w:pStyle w:val="BodyText"/>
        <w:spacing w:line="364" w:lineRule="auto" w:before="122"/>
        <w:ind w:left="101" w:right="106"/>
        <w:jc w:val="both"/>
      </w:pPr>
      <w:r>
        <w:rPr/>
        <w:t>La importancia del presente estudio radica en que muchas familias indígenas del municipio de Santo Domingo Tepuxtepec Mixe, Oax., dependen totalmente de las remesas familiares enviadas desde Estados</w:t>
      </w:r>
      <w:r>
        <w:rPr>
          <w:spacing w:val="54"/>
        </w:rPr>
        <w:t> </w:t>
      </w:r>
      <w:r>
        <w:rPr/>
        <w:t>Unidos.</w:t>
      </w:r>
    </w:p>
    <w:p>
      <w:pPr>
        <w:pStyle w:val="BodyText"/>
        <w:spacing w:line="364" w:lineRule="auto" w:before="120"/>
        <w:ind w:left="101" w:right="103"/>
        <w:jc w:val="both"/>
      </w:pPr>
      <w:r>
        <w:rPr/>
        <w:t>En el presente trabajo se realiza la caracterización socioeconómica de las familias receptoras de remesas, los motivos de migración de los habitantes del municipio, analizando los efectos positivos y negativos de las remesas en el desarrollo económico municipal y de igual manera se analiza el uso de las remesas y la mejora de la calidad  de vida de la familia </w:t>
      </w:r>
      <w:r>
        <w:rPr>
          <w:spacing w:val="-3"/>
        </w:rPr>
        <w:t>de </w:t>
      </w:r>
      <w:r>
        <w:rPr/>
        <w:t>los migrantes en los sectores de vivienda, alimentación, salud, educación e</w:t>
      </w:r>
      <w:r>
        <w:rPr>
          <w:spacing w:val="19"/>
        </w:rPr>
        <w:t> </w:t>
      </w:r>
      <w:r>
        <w:rPr/>
        <w:t>inversión.</w:t>
      </w:r>
    </w:p>
    <w:p>
      <w:pPr>
        <w:spacing w:after="0" w:line="364" w:lineRule="auto"/>
        <w:jc w:val="both"/>
        <w:sectPr>
          <w:pgSz w:w="11900" w:h="16840"/>
          <w:pgMar w:header="0" w:footer="1619" w:top="1600" w:bottom="1860" w:left="1300" w:right="1280"/>
        </w:sectPr>
      </w:pPr>
    </w:p>
    <w:p>
      <w:pPr>
        <w:pStyle w:val="BodyText"/>
        <w:rPr>
          <w:sz w:val="20"/>
        </w:rPr>
      </w:pPr>
    </w:p>
    <w:p>
      <w:pPr>
        <w:pStyle w:val="BodyText"/>
        <w:spacing w:before="2"/>
        <w:rPr>
          <w:sz w:val="19"/>
        </w:rPr>
      </w:pPr>
    </w:p>
    <w:p>
      <w:pPr>
        <w:pStyle w:val="Heading2"/>
        <w:numPr>
          <w:ilvl w:val="0"/>
          <w:numId w:val="27"/>
        </w:numPr>
        <w:tabs>
          <w:tab w:pos="447" w:val="left" w:leader="none"/>
        </w:tabs>
        <w:spacing w:line="240" w:lineRule="auto" w:before="61" w:after="0"/>
        <w:ind w:left="447" w:right="0" w:hanging="346"/>
        <w:jc w:val="both"/>
      </w:pPr>
      <w:r>
        <w:rPr/>
        <w:t>METODOLOGÌA</w:t>
      </w:r>
    </w:p>
    <w:p>
      <w:pPr>
        <w:pStyle w:val="BodyText"/>
        <w:rPr>
          <w:b/>
          <w:sz w:val="30"/>
        </w:rPr>
      </w:pPr>
    </w:p>
    <w:p>
      <w:pPr>
        <w:pStyle w:val="BodyText"/>
        <w:spacing w:before="4"/>
        <w:rPr>
          <w:b/>
          <w:sz w:val="43"/>
        </w:rPr>
      </w:pPr>
    </w:p>
    <w:p>
      <w:pPr>
        <w:pStyle w:val="BodyText"/>
        <w:spacing w:line="364" w:lineRule="auto"/>
        <w:ind w:left="101" w:right="105"/>
        <w:jc w:val="both"/>
      </w:pPr>
      <w:r>
        <w:rPr/>
        <w:t>Para el desarrollo de este trabajo de investigación, como primer paso se procedió a una revisión bibliográfica detallada acerca de migración y remesas desde el nivel estatal (Oaxaca) hasta nivel internacional, de igual manera se realizo una investigación acerca de las características económicas y geográficas del estado de Oaxaca y el Municipio de Santo Domingo Tepuxtepec para tener un conocimiento más extenso y  claro.</w:t>
      </w:r>
    </w:p>
    <w:p>
      <w:pPr>
        <w:pStyle w:val="BodyText"/>
        <w:spacing w:before="4"/>
        <w:rPr>
          <w:sz w:val="17"/>
        </w:rPr>
      </w:pPr>
    </w:p>
    <w:p>
      <w:pPr>
        <w:pStyle w:val="BodyText"/>
        <w:spacing w:line="364" w:lineRule="auto"/>
        <w:ind w:left="101" w:right="104"/>
        <w:jc w:val="both"/>
      </w:pPr>
      <w:r>
        <w:rPr/>
        <w:t>Con un amplio conocimiento del Municipio de Santo Domingo Tepuxtepec y sus habitantes se procedió a determinar la manera de obtención de datos de campo, el cual se decidió por medio de la aplicación de encuestas a una porción de los familiares de migrantes, es decir los receptores de</w:t>
      </w:r>
      <w:r>
        <w:rPr>
          <w:spacing w:val="53"/>
        </w:rPr>
        <w:t> </w:t>
      </w:r>
      <w:r>
        <w:rPr/>
        <w:t>remesas.</w:t>
      </w:r>
    </w:p>
    <w:p>
      <w:pPr>
        <w:pStyle w:val="BodyText"/>
        <w:spacing w:before="4"/>
        <w:rPr>
          <w:sz w:val="17"/>
        </w:rPr>
      </w:pPr>
    </w:p>
    <w:p>
      <w:pPr>
        <w:pStyle w:val="BodyText"/>
        <w:spacing w:line="364" w:lineRule="auto"/>
        <w:ind w:left="101" w:right="105"/>
        <w:jc w:val="both"/>
      </w:pPr>
      <w:r>
        <w:rPr/>
        <w:t>El diseño de la encuesta se realizó con el objetivo de que fuera claro y sencillo para el encuestado, ya que es una población indígena hablante de la lengua mixe o ayuuk. La mayoría de las preguntas fueron de opción múltiple y la encuesta fue realizada en el mismo idioma (mixe) para que al encuestado le fuera fácil contestar las preguntas y así obtener información clara.</w:t>
      </w:r>
    </w:p>
    <w:p>
      <w:pPr>
        <w:pStyle w:val="BodyText"/>
        <w:spacing w:before="4"/>
        <w:rPr>
          <w:sz w:val="17"/>
        </w:rPr>
      </w:pPr>
    </w:p>
    <w:p>
      <w:pPr>
        <w:pStyle w:val="BodyText"/>
        <w:spacing w:line="364" w:lineRule="auto"/>
        <w:ind w:left="101" w:right="105"/>
        <w:jc w:val="both"/>
      </w:pPr>
      <w:r>
        <w:rPr/>
        <w:t>De acuerdo con el estudio realizado por Pérez Guel (2006). La población tiene un comportamiento homogéneo y se determino que el muestro aleatorio simple es el apropiado para desarrollar esta</w:t>
      </w:r>
      <w:r>
        <w:rPr>
          <w:spacing w:val="54"/>
        </w:rPr>
        <w:t> </w:t>
      </w:r>
      <w:r>
        <w:rPr/>
        <w:t>investigación.</w:t>
      </w:r>
    </w:p>
    <w:p>
      <w:pPr>
        <w:pStyle w:val="BodyText"/>
        <w:spacing w:line="364" w:lineRule="auto" w:before="197"/>
        <w:ind w:left="101" w:right="103"/>
        <w:jc w:val="both"/>
      </w:pPr>
      <w:r>
        <w:rPr/>
        <w:t>Para determinar la cantidad de personas que han emigrado a Estados Unidos, debido a que no existen datos oficiales o precisos y al incremento de la emigración año con año se optó por preguntar en cada una de las agencias municipales y de la misma manera  se hizo en la cabecera municipal, se determinó alrededor de 480 migrantes y está fue    la cifra que se utilizó en la presente</w:t>
      </w:r>
      <w:r>
        <w:rPr>
          <w:spacing w:val="54"/>
        </w:rPr>
        <w:t> </w:t>
      </w:r>
      <w:r>
        <w:rPr/>
        <w:t>investigación.</w:t>
      </w:r>
    </w:p>
    <w:p>
      <w:pPr>
        <w:pStyle w:val="BodyText"/>
        <w:spacing w:before="6"/>
        <w:rPr>
          <w:sz w:val="17"/>
        </w:rPr>
      </w:pPr>
    </w:p>
    <w:p>
      <w:pPr>
        <w:pStyle w:val="BodyText"/>
        <w:spacing w:line="364" w:lineRule="auto"/>
        <w:ind w:left="101" w:right="104"/>
        <w:jc w:val="both"/>
      </w:pPr>
      <w:r>
        <w:rPr/>
        <w:t>El flujo migratorio en Santo Domingo Tepuxtepec, Mixe,  Oax.,  hacia Estados Unidos,  un estudio realizado por Pérez Guel (2006), en referencia a numero de familiares en estados Unidos que tienen los encuestados arrojó una </w:t>
      </w:r>
      <w:r>
        <w:rPr>
          <w:rFonts w:ascii="Cambria Math" w:hAnsi="Cambria Math"/>
          <w:sz w:val="21"/>
        </w:rPr>
        <w:t>µ = 1.78 ÷ 2 </w:t>
      </w:r>
      <w:r>
        <w:rPr/>
        <w:t>el cual quiere decir que  al  menos  cada  dos migrantes son  de  la misma familia,  y como   el  número   </w:t>
      </w:r>
      <w:r>
        <w:rPr>
          <w:spacing w:val="53"/>
        </w:rPr>
        <w:t> </w:t>
      </w:r>
      <w:r>
        <w:rPr/>
        <w:t>de</w:t>
      </w:r>
    </w:p>
    <w:p>
      <w:pPr>
        <w:spacing w:after="0" w:line="364" w:lineRule="auto"/>
        <w:jc w:val="both"/>
        <w:sectPr>
          <w:pgSz w:w="11900" w:h="16840"/>
          <w:pgMar w:header="0" w:footer="1619" w:top="1600" w:bottom="1860" w:left="1300" w:right="1280"/>
        </w:sectPr>
      </w:pPr>
    </w:p>
    <w:p>
      <w:pPr>
        <w:pStyle w:val="BodyText"/>
        <w:rPr>
          <w:sz w:val="20"/>
        </w:rPr>
      </w:pPr>
    </w:p>
    <w:p>
      <w:pPr>
        <w:pStyle w:val="BodyText"/>
        <w:spacing w:before="8"/>
        <w:rPr>
          <w:sz w:val="18"/>
        </w:rPr>
      </w:pPr>
    </w:p>
    <w:p>
      <w:pPr>
        <w:pStyle w:val="BodyText"/>
        <w:spacing w:before="74"/>
        <w:ind w:left="101" w:right="102"/>
      </w:pPr>
      <w:r>
        <w:rPr/>
        <w:t>migrantes  de  Santo  Domingo  Tepuxtepec  en  Estados  Unidos  son  480     personas,</w:t>
      </w:r>
    </w:p>
    <w:p>
      <w:pPr>
        <w:pStyle w:val="BodyText"/>
        <w:spacing w:line="278" w:lineRule="exact" w:before="115"/>
        <w:ind w:left="101" w:right="102"/>
      </w:pPr>
      <w:r>
        <w:rPr/>
        <w:pict>
          <v:line style="position:absolute;mso-position-horizontal-relative:page;mso-position-vertical-relative:paragraph;z-index:-703000" from="157.199997pt,16.2558pt" to="170.759997pt,16.2558pt" stroked="true" strokeweight=".72pt" strokecolor="#000000">
            <w10:wrap type="none"/>
          </v:line>
        </w:pict>
      </w:r>
      <w:r>
        <w:rPr/>
        <w:t>implica que son </w:t>
      </w:r>
      <w:r>
        <w:rPr>
          <w:rFonts w:ascii="Cambria Math" w:hAnsi="Cambria Math"/>
          <w:position w:val="13"/>
          <w:sz w:val="15"/>
        </w:rPr>
        <w:t>480 </w:t>
      </w:r>
      <w:r>
        <w:rPr>
          <w:rFonts w:ascii="Cambria Math" w:hAnsi="Cambria Math"/>
          <w:sz w:val="21"/>
        </w:rPr>
        <w:t>= 240 </w:t>
      </w:r>
      <w:r>
        <w:rPr/>
        <w:t>el número de familias presentes en Estados Unidos es decir</w:t>
      </w:r>
    </w:p>
    <w:p>
      <w:pPr>
        <w:spacing w:line="133" w:lineRule="exact" w:before="0"/>
        <w:ind w:left="1932" w:right="0" w:firstLine="0"/>
        <w:jc w:val="left"/>
        <w:rPr>
          <w:rFonts w:ascii="Cambria Math"/>
          <w:sz w:val="15"/>
        </w:rPr>
      </w:pPr>
      <w:r>
        <w:rPr>
          <w:rFonts w:ascii="Cambria Math"/>
          <w:w w:val="108"/>
          <w:sz w:val="15"/>
        </w:rPr>
        <w:t>2</w:t>
      </w:r>
    </w:p>
    <w:p>
      <w:pPr>
        <w:spacing w:before="106"/>
        <w:ind w:left="101" w:right="102" w:firstLine="0"/>
        <w:jc w:val="left"/>
        <w:rPr>
          <w:sz w:val="23"/>
        </w:rPr>
      </w:pPr>
      <w:r>
        <w:rPr>
          <w:sz w:val="23"/>
        </w:rPr>
        <w:t>la población en cuestión es </w:t>
      </w:r>
      <w:r>
        <w:rPr>
          <w:rFonts w:ascii="Cambria Math" w:hAnsi="Cambria Math"/>
          <w:sz w:val="21"/>
        </w:rPr>
        <w:t>N  = 240</w:t>
      </w:r>
      <w:r>
        <w:rPr>
          <w:sz w:val="23"/>
        </w:rPr>
        <w:t>. Se determinó una </w:t>
      </w:r>
      <w:r>
        <w:rPr>
          <w:rFonts w:ascii="Cambria Math" w:hAnsi="Cambria Math"/>
          <w:sz w:val="21"/>
        </w:rPr>
        <w:t>B =   0.25</w:t>
      </w:r>
      <w:r>
        <w:rPr>
          <w:sz w:val="23"/>
        </w:rPr>
        <w:t>.</w:t>
      </w:r>
    </w:p>
    <w:p>
      <w:pPr>
        <w:pStyle w:val="BodyText"/>
        <w:spacing w:before="11"/>
        <w:rPr>
          <w:sz w:val="28"/>
        </w:rPr>
      </w:pPr>
    </w:p>
    <w:p>
      <w:pPr>
        <w:pStyle w:val="BodyText"/>
        <w:spacing w:line="367" w:lineRule="auto"/>
        <w:ind w:left="101" w:right="102"/>
      </w:pPr>
      <w:r>
        <w:rPr/>
        <w:t>Para determinar el tamaño de muestra para este tipo de muestreo se tiene la formula siguiente:</w:t>
      </w:r>
    </w:p>
    <w:p>
      <w:pPr>
        <w:spacing w:after="0" w:line="367" w:lineRule="auto"/>
        <w:sectPr>
          <w:pgSz w:w="11900" w:h="16840"/>
          <w:pgMar w:header="0" w:footer="1619" w:top="1600" w:bottom="1860" w:left="1300" w:right="1280"/>
        </w:sectPr>
      </w:pPr>
    </w:p>
    <w:p>
      <w:pPr>
        <w:tabs>
          <w:tab w:pos="688" w:val="left" w:leader="none"/>
        </w:tabs>
        <w:spacing w:line="225" w:lineRule="exact" w:before="217"/>
        <w:ind w:left="0" w:right="76" w:firstLine="0"/>
        <w:jc w:val="right"/>
        <w:rPr>
          <w:rFonts w:ascii="Cambria Math"/>
          <w:sz w:val="15"/>
        </w:rPr>
      </w:pPr>
      <w:r>
        <w:rPr/>
        <w:pict>
          <v:line style="position:absolute;mso-position-horizontal-relative:page;mso-position-vertical-relative:paragraph;z-index:-702976" from="264.119995pt,21.215857pt" to="307.679994pt,21.215857pt" stroked="true" strokeweight=".72pt" strokecolor="#000000">
            <w10:wrap type="none"/>
          </v:line>
        </w:pict>
      </w:r>
      <w:r>
        <w:rPr/>
        <w:pict>
          <v:shape style="position:absolute;margin-left:289.43988pt;margin-top:9.864627pt;width:3.75pt;height:6.35pt;mso-position-horizontal-relative:page;mso-position-vertical-relative:paragraph;z-index:11584" type="#_x0000_t202" filled="false" stroked="false">
            <v:textbox inset="0,0,0,0">
              <w:txbxContent>
                <w:p>
                  <w:pPr>
                    <w:spacing w:line="126" w:lineRule="exact" w:before="0"/>
                    <w:ind w:left="0" w:right="0" w:firstLine="0"/>
                    <w:jc w:val="left"/>
                    <w:rPr>
                      <w:rFonts w:ascii="Cambria Math"/>
                      <w:sz w:val="12"/>
                    </w:rPr>
                  </w:pPr>
                  <w:r>
                    <w:rPr>
                      <w:rFonts w:ascii="Cambria Math"/>
                      <w:w w:val="112"/>
                      <w:sz w:val="12"/>
                    </w:rPr>
                    <w:t>2</w:t>
                  </w:r>
                </w:p>
              </w:txbxContent>
            </v:textbox>
            <w10:wrap type="none"/>
          </v:shape>
        </w:pict>
      </w:r>
      <w:r>
        <w:rPr>
          <w:rFonts w:ascii="Cambria Math"/>
          <w:w w:val="110"/>
          <w:position w:val="-11"/>
          <w:sz w:val="21"/>
        </w:rPr>
        <w:t>n</w:t>
      </w:r>
      <w:r>
        <w:rPr>
          <w:rFonts w:ascii="Cambria Math"/>
          <w:spacing w:val="7"/>
          <w:w w:val="110"/>
          <w:position w:val="-11"/>
          <w:sz w:val="21"/>
        </w:rPr>
        <w:t> </w:t>
      </w:r>
      <w:r>
        <w:rPr>
          <w:rFonts w:ascii="Cambria Math"/>
          <w:w w:val="110"/>
          <w:position w:val="-11"/>
          <w:sz w:val="21"/>
        </w:rPr>
        <w:t>=</w:t>
        <w:tab/>
      </w:r>
      <w:r>
        <w:rPr>
          <w:rFonts w:ascii="Cambria Math"/>
          <w:spacing w:val="-1"/>
          <w:w w:val="110"/>
          <w:sz w:val="15"/>
        </w:rPr>
        <w:t>No</w:t>
      </w:r>
    </w:p>
    <w:p>
      <w:pPr>
        <w:spacing w:line="220" w:lineRule="exact" w:before="222"/>
        <w:ind w:left="376" w:right="0" w:firstLine="0"/>
        <w:jc w:val="left"/>
        <w:rPr>
          <w:rFonts w:ascii="Cambria Math"/>
          <w:sz w:val="15"/>
        </w:rPr>
      </w:pPr>
      <w:r>
        <w:rPr/>
        <w:br w:type="column"/>
      </w:r>
      <w:r>
        <w:rPr>
          <w:i/>
          <w:w w:val="105"/>
          <w:sz w:val="23"/>
        </w:rPr>
        <w:t>; </w:t>
      </w:r>
      <w:r>
        <w:rPr>
          <w:rFonts w:ascii="Cambria Math"/>
          <w:w w:val="105"/>
          <w:sz w:val="21"/>
        </w:rPr>
        <w:t>D = </w:t>
      </w:r>
      <w:r>
        <w:rPr>
          <w:rFonts w:ascii="Cambria Math"/>
          <w:w w:val="105"/>
          <w:position w:val="12"/>
          <w:sz w:val="15"/>
        </w:rPr>
        <w:t>B</w:t>
      </w:r>
    </w:p>
    <w:p>
      <w:pPr>
        <w:spacing w:after="0" w:line="220" w:lineRule="exact"/>
        <w:jc w:val="left"/>
        <w:rPr>
          <w:rFonts w:ascii="Cambria Math"/>
          <w:sz w:val="15"/>
        </w:rPr>
        <w:sectPr>
          <w:type w:val="continuous"/>
          <w:pgSz w:w="11900" w:h="16840"/>
          <w:pgMar w:top="1600" w:bottom="280" w:left="1300" w:right="1280"/>
          <w:cols w:num="2" w:equalWidth="0">
            <w:col w:w="4564" w:space="40"/>
            <w:col w:w="4716"/>
          </w:cols>
        </w:sectPr>
      </w:pPr>
    </w:p>
    <w:p>
      <w:pPr>
        <w:tabs>
          <w:tab w:pos="2046" w:val="right" w:leader="none"/>
        </w:tabs>
        <w:spacing w:line="184" w:lineRule="exact" w:before="0"/>
        <w:ind w:left="345" w:right="0" w:firstLine="0"/>
        <w:jc w:val="center"/>
        <w:rPr>
          <w:rFonts w:ascii="Cambria Math" w:hAnsi="Cambria Math"/>
          <w:sz w:val="15"/>
        </w:rPr>
      </w:pPr>
      <w:r>
        <w:rPr/>
        <w:pict>
          <v:line style="position:absolute;mso-position-horizontal-relative:page;mso-position-vertical-relative:paragraph;z-index:-702952" from="342.23999pt,-.888765pt" to="351.83999pt,-.888765pt" stroked="true" strokeweight=".72pt" strokecolor="#000000">
            <w10:wrap type="none"/>
          </v:line>
        </w:pict>
      </w:r>
      <w:r>
        <w:rPr/>
        <w:pict>
          <v:shape style="position:absolute;margin-left:347.759857pt;margin-top:-12.239995pt;width:3.75pt;height:6.35pt;mso-position-horizontal-relative:page;mso-position-vertical-relative:paragraph;z-index:11608" type="#_x0000_t202" filled="false" stroked="false">
            <v:textbox inset="0,0,0,0">
              <w:txbxContent>
                <w:p>
                  <w:pPr>
                    <w:spacing w:line="126" w:lineRule="exact" w:before="0"/>
                    <w:ind w:left="0" w:right="0" w:firstLine="0"/>
                    <w:jc w:val="left"/>
                    <w:rPr>
                      <w:rFonts w:ascii="Cambria Math"/>
                      <w:sz w:val="12"/>
                    </w:rPr>
                  </w:pPr>
                  <w:r>
                    <w:rPr>
                      <w:rFonts w:ascii="Cambria Math"/>
                      <w:w w:val="112"/>
                      <w:sz w:val="12"/>
                    </w:rPr>
                    <w:t>2</w:t>
                  </w:r>
                </w:p>
              </w:txbxContent>
            </v:textbox>
            <w10:wrap type="none"/>
          </v:shape>
        </w:pict>
      </w:r>
      <w:r>
        <w:rPr>
          <w:rFonts w:ascii="Cambria Math" w:hAnsi="Cambria Math"/>
          <w:w w:val="110"/>
          <w:sz w:val="15"/>
        </w:rPr>
        <w:t>(N–1)D+o</w:t>
      </w:r>
      <w:r>
        <w:rPr>
          <w:rFonts w:ascii="Cambria Math" w:hAnsi="Cambria Math"/>
          <w:w w:val="110"/>
          <w:position w:val="5"/>
          <w:sz w:val="12"/>
        </w:rPr>
        <w:t>2</w:t>
      </w:r>
      <w:r>
        <w:rPr>
          <w:rFonts w:ascii="Times New Roman" w:hAnsi="Times New Roman"/>
          <w:w w:val="110"/>
          <w:sz w:val="15"/>
        </w:rPr>
        <w:tab/>
      </w:r>
      <w:r>
        <w:rPr>
          <w:rFonts w:ascii="Cambria Math" w:hAnsi="Cambria Math"/>
          <w:w w:val="110"/>
          <w:sz w:val="15"/>
        </w:rPr>
        <w:t>4</w:t>
      </w:r>
    </w:p>
    <w:p>
      <w:pPr>
        <w:pStyle w:val="BodyText"/>
        <w:spacing w:before="324"/>
        <w:ind w:left="101" w:right="102"/>
      </w:pPr>
      <w:r>
        <w:rPr/>
        <w:t>Ahora sustituyendo todos los valores en la formula anterior tenemos lo  siguiente:</w:t>
      </w:r>
    </w:p>
    <w:p>
      <w:pPr>
        <w:spacing w:after="0"/>
        <w:sectPr>
          <w:type w:val="continuous"/>
          <w:pgSz w:w="11900" w:h="16840"/>
          <w:pgMar w:top="1600" w:bottom="280" w:left="1300" w:right="1280"/>
        </w:sectPr>
      </w:pPr>
    </w:p>
    <w:p>
      <w:pPr>
        <w:pStyle w:val="BodyText"/>
        <w:spacing w:before="1"/>
        <w:rPr>
          <w:sz w:val="27"/>
        </w:rPr>
      </w:pPr>
    </w:p>
    <w:p>
      <w:pPr>
        <w:spacing w:line="228" w:lineRule="exact" w:before="0"/>
        <w:ind w:left="0" w:right="0" w:firstLine="0"/>
        <w:jc w:val="right"/>
        <w:rPr>
          <w:rFonts w:ascii="Cambria Math"/>
          <w:sz w:val="15"/>
        </w:rPr>
      </w:pPr>
      <w:r>
        <w:rPr>
          <w:rFonts w:ascii="Cambria Math"/>
          <w:sz w:val="21"/>
        </w:rPr>
        <w:t>(0.25)</w:t>
      </w:r>
      <w:r>
        <w:rPr>
          <w:rFonts w:ascii="Cambria Math"/>
          <w:position w:val="8"/>
          <w:sz w:val="15"/>
        </w:rPr>
        <w:t>2</w:t>
      </w:r>
    </w:p>
    <w:p>
      <w:pPr>
        <w:spacing w:line="154" w:lineRule="exact" w:before="0"/>
        <w:ind w:left="0" w:right="727" w:firstLine="0"/>
        <w:jc w:val="right"/>
        <w:rPr>
          <w:rFonts w:ascii="Cambria Math"/>
          <w:sz w:val="21"/>
        </w:rPr>
      </w:pPr>
      <w:r>
        <w:rPr/>
        <w:pict>
          <v:line style="position:absolute;mso-position-horizontal-relative:page;mso-position-vertical-relative:paragraph;z-index:11536" from="268.919983pt,4.841536pt" to="302.759982pt,4.841536pt" stroked="true" strokeweight=".6pt" strokecolor="#000000">
            <w10:wrap type="none"/>
          </v:line>
        </w:pict>
      </w:r>
      <w:r>
        <w:rPr>
          <w:rFonts w:ascii="Cambria Math"/>
          <w:w w:val="105"/>
          <w:sz w:val="21"/>
        </w:rPr>
        <w:t>D =</w:t>
      </w:r>
    </w:p>
    <w:p>
      <w:pPr>
        <w:spacing w:line="195" w:lineRule="exact" w:before="0"/>
        <w:ind w:left="0" w:right="273" w:firstLine="0"/>
        <w:jc w:val="right"/>
        <w:rPr>
          <w:rFonts w:ascii="Cambria Math"/>
          <w:sz w:val="21"/>
        </w:rPr>
      </w:pPr>
      <w:r>
        <w:rPr>
          <w:rFonts w:ascii="Cambria Math"/>
          <w:w w:val="102"/>
          <w:sz w:val="21"/>
        </w:rPr>
        <w:t>4</w:t>
      </w:r>
    </w:p>
    <w:p>
      <w:pPr>
        <w:pStyle w:val="BodyText"/>
        <w:rPr>
          <w:rFonts w:ascii="Cambria Math"/>
          <w:sz w:val="20"/>
        </w:rPr>
      </w:pPr>
      <w:r>
        <w:rPr/>
        <w:br w:type="column"/>
      </w:r>
      <w:r>
        <w:rPr>
          <w:rFonts w:ascii="Cambria Math"/>
          <w:sz w:val="20"/>
        </w:rPr>
      </w:r>
    </w:p>
    <w:p>
      <w:pPr>
        <w:pStyle w:val="BodyText"/>
        <w:spacing w:before="5"/>
        <w:rPr>
          <w:rFonts w:ascii="Cambria Math"/>
          <w:sz w:val="22"/>
        </w:rPr>
      </w:pPr>
    </w:p>
    <w:p>
      <w:pPr>
        <w:spacing w:before="0"/>
        <w:ind w:left="25" w:right="0" w:firstLine="0"/>
        <w:jc w:val="left"/>
        <w:rPr>
          <w:rFonts w:ascii="Cambria Math"/>
          <w:sz w:val="21"/>
        </w:rPr>
      </w:pPr>
      <w:r>
        <w:rPr>
          <w:rFonts w:ascii="Cambria Math"/>
          <w:sz w:val="21"/>
        </w:rPr>
        <w:t>= 0.0156</w:t>
      </w:r>
    </w:p>
    <w:p>
      <w:pPr>
        <w:spacing w:after="0"/>
        <w:jc w:val="left"/>
        <w:rPr>
          <w:rFonts w:ascii="Cambria Math"/>
          <w:sz w:val="21"/>
        </w:rPr>
        <w:sectPr>
          <w:type w:val="continuous"/>
          <w:pgSz w:w="11900" w:h="16840"/>
          <w:pgMar w:top="1600" w:bottom="280" w:left="1300" w:right="1280"/>
          <w:cols w:num="2" w:equalWidth="0">
            <w:col w:w="4748" w:space="40"/>
            <w:col w:w="4532"/>
          </w:cols>
        </w:sectPr>
      </w:pPr>
    </w:p>
    <w:p>
      <w:pPr>
        <w:pStyle w:val="BodyText"/>
        <w:spacing w:before="11"/>
        <w:rPr>
          <w:rFonts w:ascii="Cambria Math"/>
          <w:sz w:val="14"/>
        </w:rPr>
      </w:pPr>
    </w:p>
    <w:p>
      <w:pPr>
        <w:spacing w:line="226" w:lineRule="exact" w:before="83"/>
        <w:ind w:left="345" w:right="1371" w:firstLine="0"/>
        <w:jc w:val="center"/>
        <w:rPr>
          <w:rFonts w:ascii="Cambria Math"/>
          <w:sz w:val="21"/>
        </w:rPr>
      </w:pPr>
      <w:r>
        <w:rPr>
          <w:rFonts w:ascii="Cambria Math"/>
          <w:w w:val="105"/>
          <w:sz w:val="21"/>
        </w:rPr>
        <w:t>(240)(1</w:t>
      </w:r>
      <w:r>
        <w:rPr>
          <w:rFonts w:ascii="Cambria Math"/>
          <w:w w:val="105"/>
          <w:position w:val="8"/>
          <w:sz w:val="15"/>
        </w:rPr>
        <w:t>2</w:t>
      </w:r>
      <w:r>
        <w:rPr>
          <w:rFonts w:ascii="Cambria Math"/>
          <w:w w:val="105"/>
          <w:sz w:val="21"/>
        </w:rPr>
        <w:t>)</w:t>
      </w:r>
    </w:p>
    <w:p>
      <w:pPr>
        <w:spacing w:line="353" w:lineRule="exact" w:before="0"/>
        <w:ind w:left="2640" w:right="102" w:firstLine="0"/>
        <w:jc w:val="left"/>
        <w:rPr>
          <w:rFonts w:ascii="Cambria Math" w:hAnsi="Cambria Math"/>
          <w:sz w:val="21"/>
        </w:rPr>
      </w:pPr>
      <w:r>
        <w:rPr/>
        <w:pict>
          <v:line style="position:absolute;mso-position-horizontal-relative:page;mso-position-vertical-relative:paragraph;z-index:-702904" from="217.319992pt,4.991567pt" to="326.999990pt,4.991567pt" stroked="true" strokeweight=".72pt" strokecolor="#000000">
            <w10:wrap type="none"/>
          </v:line>
        </w:pict>
      </w:r>
      <w:r>
        <w:rPr>
          <w:rFonts w:ascii="Cambria Math" w:hAnsi="Cambria Math"/>
          <w:position w:val="15"/>
          <w:sz w:val="21"/>
        </w:rPr>
        <w:t>n = </w:t>
      </w:r>
      <w:r>
        <w:rPr>
          <w:rFonts w:ascii="Cambria Math" w:hAnsi="Cambria Math"/>
          <w:position w:val="1"/>
          <w:sz w:val="21"/>
        </w:rPr>
        <w:t>(</w:t>
      </w:r>
      <w:r>
        <w:rPr>
          <w:rFonts w:ascii="Cambria Math" w:hAnsi="Cambria Math"/>
          <w:sz w:val="21"/>
        </w:rPr>
        <w:t>240 — 1</w:t>
      </w:r>
      <w:r>
        <w:rPr>
          <w:rFonts w:ascii="Cambria Math" w:hAnsi="Cambria Math"/>
          <w:position w:val="1"/>
          <w:sz w:val="21"/>
        </w:rPr>
        <w:t>)</w:t>
      </w:r>
      <w:r>
        <w:rPr>
          <w:rFonts w:ascii="Cambria Math" w:hAnsi="Cambria Math"/>
          <w:sz w:val="21"/>
        </w:rPr>
        <w:t>(0.0156) + 1</w:t>
      </w:r>
      <w:r>
        <w:rPr>
          <w:rFonts w:ascii="Cambria Math" w:hAnsi="Cambria Math"/>
          <w:position w:val="7"/>
          <w:sz w:val="15"/>
        </w:rPr>
        <w:t>2  </w:t>
      </w:r>
      <w:r>
        <w:rPr>
          <w:rFonts w:ascii="Cambria Math" w:hAnsi="Cambria Math"/>
          <w:position w:val="15"/>
          <w:sz w:val="21"/>
        </w:rPr>
        <w:t>= 50.693 ÷  51</w:t>
      </w:r>
    </w:p>
    <w:p>
      <w:pPr>
        <w:pStyle w:val="BodyText"/>
        <w:spacing w:line="364" w:lineRule="auto" w:before="321"/>
        <w:ind w:left="101" w:right="105"/>
        <w:jc w:val="both"/>
      </w:pPr>
      <w:r>
        <w:rPr/>
        <w:t>De acuerdo con el resultado el tamaño de muestra es 51 familias de migrantes de una manera aleatoria. La aplicación de las encuestas se realizo en el mes de julio de 2009, se realizaron a familiares de migrantes en sus hogares, a abuelas/os, madres, padres, esposas, hermanos/as, hijos/as, es decir familiares directos o dependientes de las remesas.</w:t>
      </w:r>
    </w:p>
    <w:p>
      <w:pPr>
        <w:pStyle w:val="BodyText"/>
        <w:spacing w:before="4"/>
        <w:rPr>
          <w:sz w:val="17"/>
        </w:rPr>
      </w:pPr>
    </w:p>
    <w:p>
      <w:pPr>
        <w:pStyle w:val="BodyText"/>
        <w:spacing w:line="364" w:lineRule="auto"/>
        <w:ind w:left="101" w:right="105"/>
        <w:jc w:val="both"/>
      </w:pPr>
      <w:r>
        <w:rPr/>
        <w:t>Cabe aclarar, que también se encuestaron a personas que han estado trabajando en Estados Unidos, y que por diversas razones se encontraban en el municipio durante el periodo de la aplicación de encuestas,  y así obtener información más clara y precisa   del estudio en</w:t>
      </w:r>
      <w:r>
        <w:rPr>
          <w:spacing w:val="29"/>
        </w:rPr>
        <w:t> </w:t>
      </w:r>
      <w:r>
        <w:rPr/>
        <w:t>cuestión.</w:t>
      </w:r>
    </w:p>
    <w:p>
      <w:pPr>
        <w:pStyle w:val="BodyText"/>
        <w:spacing w:line="364" w:lineRule="auto" w:before="197"/>
        <w:ind w:left="101" w:right="105"/>
        <w:jc w:val="both"/>
      </w:pPr>
      <w:r>
        <w:rPr/>
        <w:t>Después de que el trabajo de campo se completó, se procedió a la codificación de las encuestas para posteriormente capturar y editar los datos que  se  captaron  en  las dichas encuestas. Los datos fueron vaciados y sistematizados en el paquete computacional SPSS el cual se utilizó para la interpretación cuantitativa y cualitativa de  la</w:t>
      </w:r>
      <w:r>
        <w:rPr>
          <w:spacing w:val="14"/>
        </w:rPr>
        <w:t> </w:t>
      </w:r>
      <w:r>
        <w:rPr/>
        <w:t>información.</w:t>
      </w:r>
    </w:p>
    <w:p>
      <w:pPr>
        <w:spacing w:after="0" w:line="364" w:lineRule="auto"/>
        <w:jc w:val="both"/>
        <w:sectPr>
          <w:type w:val="continuous"/>
          <w:pgSz w:w="11900" w:h="16840"/>
          <w:pgMar w:top="1600" w:bottom="280" w:left="1300" w:right="1280"/>
        </w:sectPr>
      </w:pPr>
    </w:p>
    <w:p>
      <w:pPr>
        <w:pStyle w:val="BodyText"/>
        <w:rPr>
          <w:sz w:val="20"/>
        </w:rPr>
      </w:pPr>
    </w:p>
    <w:p>
      <w:pPr>
        <w:pStyle w:val="BodyText"/>
        <w:spacing w:before="2"/>
        <w:rPr>
          <w:sz w:val="19"/>
        </w:rPr>
      </w:pPr>
    </w:p>
    <w:p>
      <w:pPr>
        <w:pStyle w:val="Heading2"/>
        <w:numPr>
          <w:ilvl w:val="0"/>
          <w:numId w:val="27"/>
        </w:numPr>
        <w:tabs>
          <w:tab w:pos="527" w:val="left" w:leader="none"/>
        </w:tabs>
        <w:spacing w:line="240" w:lineRule="auto" w:before="61" w:after="0"/>
        <w:ind w:left="526" w:right="0" w:hanging="425"/>
        <w:jc w:val="both"/>
      </w:pPr>
      <w:r>
        <w:rPr/>
        <w:t>ANÀLISIS Y DISCUSIÓN DE</w:t>
      </w:r>
      <w:r>
        <w:rPr>
          <w:spacing w:val="1"/>
        </w:rPr>
        <w:t> </w:t>
      </w:r>
      <w:r>
        <w:rPr>
          <w:spacing w:val="-5"/>
        </w:rPr>
        <w:t>RESULTADOS</w:t>
      </w:r>
    </w:p>
    <w:p>
      <w:pPr>
        <w:pStyle w:val="BodyText"/>
        <w:rPr>
          <w:b/>
          <w:sz w:val="30"/>
        </w:rPr>
      </w:pPr>
    </w:p>
    <w:p>
      <w:pPr>
        <w:pStyle w:val="BodyText"/>
        <w:spacing w:before="4"/>
        <w:rPr>
          <w:b/>
          <w:sz w:val="43"/>
        </w:rPr>
      </w:pPr>
    </w:p>
    <w:p>
      <w:pPr>
        <w:pStyle w:val="BodyText"/>
        <w:spacing w:line="364" w:lineRule="auto"/>
        <w:ind w:left="101" w:right="103"/>
        <w:jc w:val="both"/>
      </w:pPr>
      <w:r>
        <w:rPr/>
        <w:t>De las 51 encuestas aplicadas, 27 fueron contestadas por hombres mientras que  el resto; 24 encuestas fueron contestadas por mujeres, que corresponden el 53% y 47% respectivamente. En varios casos se apreciaron que estas mujeres eran los jefes de familia porque el esposo había emigrado a Estados Unidos de  Norteamérica.</w:t>
      </w:r>
    </w:p>
    <w:p>
      <w:pPr>
        <w:pStyle w:val="BodyText"/>
        <w:spacing w:before="4"/>
        <w:rPr>
          <w:sz w:val="17"/>
        </w:rPr>
      </w:pPr>
    </w:p>
    <w:p>
      <w:pPr>
        <w:pStyle w:val="BodyText"/>
        <w:spacing w:line="364" w:lineRule="auto"/>
        <w:ind w:left="101" w:right="104"/>
        <w:jc w:val="both"/>
      </w:pPr>
      <w:r>
        <w:rPr/>
        <w:t>La distribución del número de personas en la familia de los migrantes. Se aprecia que    el valor mínimo corresponde el número 1, mientras que la media y mediana se ubicaron en 4 integrantes y el valor máximo es de 7 integrantes. Existen 2 valores extremos que corresponden nueve integrantes en la familia, estos casos corresponden a  familias donde los hijos del migrante viven con sus abuelas, tíos y primos lo que aumenta considerablemente el número de integrantes de la </w:t>
      </w:r>
      <w:r>
        <w:rPr>
          <w:spacing w:val="3"/>
        </w:rPr>
        <w:t> </w:t>
      </w:r>
      <w:r>
        <w:rPr/>
        <w:t>misma.</w:t>
      </w:r>
    </w:p>
    <w:p>
      <w:pPr>
        <w:pStyle w:val="BodyText"/>
        <w:spacing w:line="364" w:lineRule="auto" w:before="197"/>
        <w:ind w:left="101" w:right="106"/>
        <w:jc w:val="both"/>
      </w:pPr>
      <w:r>
        <w:rPr/>
        <w:t>La escolaridad de los receptores de remesas, encontramos que casi la mitad de las mujeres encuestadas no tenían algún nivel de escolaridad, mientras que en los otros niveles se observó mayor número de hombres, mayoría de las personas encuestadas tenían solo el nivel básico de educación mientras que alrededor 20% tienen el nivel medio superior o superior de educación, como se muestra en la figura  1.</w:t>
      </w:r>
    </w:p>
    <w:p>
      <w:pPr>
        <w:spacing w:after="0" w:line="364" w:lineRule="auto"/>
        <w:jc w:val="both"/>
        <w:sectPr>
          <w:pgSz w:w="11900" w:h="16840"/>
          <w:pgMar w:header="0" w:footer="1619" w:top="1600" w:bottom="1860" w:left="1300" w:right="1280"/>
        </w:sectPr>
      </w:pPr>
    </w:p>
    <w:p>
      <w:pPr>
        <w:pStyle w:val="BodyText"/>
        <w:rPr>
          <w:sz w:val="20"/>
        </w:rPr>
      </w:pPr>
    </w:p>
    <w:p>
      <w:pPr>
        <w:pStyle w:val="BodyText"/>
        <w:spacing w:before="6"/>
        <w:rPr>
          <w:sz w:val="18"/>
        </w:rPr>
      </w:pPr>
    </w:p>
    <w:p>
      <w:pPr>
        <w:pStyle w:val="Heading4"/>
        <w:spacing w:before="74"/>
        <w:ind w:left="103" w:right="403"/>
      </w:pPr>
      <w:r>
        <w:rPr/>
        <w:t>Figura 1. Escolaridad de los migrantes de Santo Domingo Tepuxtepec,  Oaxaca</w:t>
      </w:r>
    </w:p>
    <w:p>
      <w:pPr>
        <w:pStyle w:val="BodyText"/>
        <w:spacing w:before="6"/>
        <w:rPr>
          <w:b/>
          <w:sz w:val="20"/>
        </w:rPr>
      </w:pPr>
      <w:r>
        <w:rPr/>
        <w:pict>
          <v:group style="position:absolute;margin-left:71.159996pt;margin-top:13.752284pt;width:457.95pt;height:208.35pt;mso-position-horizontal-relative:page;mso-position-vertical-relative:paragraph;z-index:11632;mso-wrap-distance-left:0;mso-wrap-distance-right:0" coordorigin="1423,275" coordsize="9159,4167">
            <v:shape style="position:absolute;left:1435;top:287;width:2760;height:4142" type="#_x0000_t75" stroked="false">
              <v:imagedata r:id="rId371" o:title=""/>
            </v:shape>
            <v:shape style="position:absolute;left:1423;top:275;width:2768;height:4167" coordorigin="1423,275" coordsize="2768,4167" path="m4190,275l1423,275,1423,4442,4190,4442,4190,4437,1433,4437,1428,4432,1433,4432,1433,285,1428,285,1433,280,4190,280,4190,275xm1433,4432l1428,4432,1433,4437,1433,4432xm4190,4432l1433,4432,1433,4437,4190,4437,4190,4432xm1433,280l1428,285,1433,285,1433,280xm4190,280l1433,280,1433,285,4190,285,4190,280xe" filled="true" fillcolor="#000000" stroked="false">
              <v:path arrowok="t"/>
              <v:fill type="solid"/>
            </v:shape>
            <v:line style="position:absolute" from="4190,302" to="8378,302" stroked="true" strokeweight=".479984pt" strokecolor="#858585"/>
            <v:line style="position:absolute" from="4190,4420" to="8378,4420" stroked="true" strokeweight=".479989pt" strokecolor="#858585"/>
            <v:line style="position:absolute" from="4190,4427" to="8378,4427" stroked="true" strokeweight=".24pt" strokecolor="#858585"/>
            <v:line style="position:absolute" from="4190,4437" to="8378,4437" stroked="true" strokeweight=".48pt" strokecolor="#000000"/>
            <v:line style="position:absolute" from="4190,280" to="8378,280" stroked="true" strokeweight=".48pt" strokecolor="#000000"/>
            <v:shape style="position:absolute;left:4190;top:287;width:6382;height:4142" type="#_x0000_t75" stroked="false">
              <v:imagedata r:id="rId372" o:title=""/>
            </v:shape>
            <v:shape style="position:absolute;left:8374;top:297;width:2203;height:4133" type="#_x0000_t75" stroked="false">
              <v:imagedata r:id="rId373" o:title=""/>
            </v:shape>
            <v:shape style="position:absolute;left:8378;top:275;width:2204;height:4167" coordorigin="8378,275" coordsize="2204,4167" path="m10572,4432l8378,4432,8378,4442,10582,4442,10582,4437,10572,4437,10572,4432xm10572,280l10572,4437,10577,4432,10582,4432,10582,285,10577,285,10572,280xm10582,4432l10577,4432,10572,4437,10582,4437,10582,4432xm10582,275l8378,275,8378,285,10572,285,10572,280,10582,280,10582,275xm10582,280l10572,280,10577,285,10582,285,10582,280xe" filled="true" fillcolor="#000000" stroked="false">
              <v:path arrowok="t"/>
              <v:fill type="solid"/>
            </v:shape>
            <w10:wrap type="topAndBottom"/>
          </v:group>
        </w:pict>
      </w:r>
    </w:p>
    <w:p>
      <w:pPr>
        <w:pStyle w:val="BodyText"/>
        <w:spacing w:before="2"/>
        <w:rPr>
          <w:b/>
          <w:sz w:val="21"/>
        </w:rPr>
      </w:pPr>
    </w:p>
    <w:p>
      <w:pPr>
        <w:spacing w:before="77"/>
        <w:ind w:left="103" w:right="403" w:firstLine="0"/>
        <w:jc w:val="left"/>
        <w:rPr>
          <w:sz w:val="21"/>
        </w:rPr>
      </w:pPr>
      <w:r>
        <w:rPr>
          <w:sz w:val="21"/>
        </w:rPr>
        <w:t>Fuente: Elaboración propia con datos de la  encuesta.</w:t>
      </w:r>
    </w:p>
    <w:p>
      <w:pPr>
        <w:pStyle w:val="BodyText"/>
        <w:spacing w:before="7"/>
        <w:rPr>
          <w:sz w:val="21"/>
        </w:rPr>
      </w:pPr>
    </w:p>
    <w:p>
      <w:pPr>
        <w:pStyle w:val="BodyText"/>
        <w:spacing w:line="364" w:lineRule="auto" w:before="74"/>
        <w:ind w:left="103" w:right="180"/>
        <w:jc w:val="both"/>
      </w:pPr>
      <w:r>
        <w:rPr/>
        <w:t>De acuerdo a la actividad de los receptores de remesas se encontró que el 80% de las familias receptoras de remesas, la actividad principal que desarrollan es la agricultura o amas de casa. Los casos en donde el hombre emigró, las mujeres hacen el trabajo en   el campo y aparte atiende las labores del hogar. Mientras el 6% donde el jefe de familia no tiene alguna actividad, corresponde a hijos que viven con sus abuelos o tíos, y ellos son los que asumen el papel de jefe de familia porque sus padres han decidido migrar.  El 80% de los ingresos de las familias receptoras de remesas no es mayor a  </w:t>
      </w:r>
      <w:r>
        <w:rPr>
          <w:spacing w:val="56"/>
        </w:rPr>
        <w:t> </w:t>
      </w:r>
      <w:r>
        <w:rPr/>
        <w:t>$1,000.00</w:t>
      </w:r>
    </w:p>
    <w:p>
      <w:pPr>
        <w:pStyle w:val="BodyText"/>
        <w:spacing w:before="2"/>
        <w:ind w:left="103"/>
      </w:pPr>
      <w:r>
        <w:rPr/>
        <w:t>mensuales,   esto   es   debido  a   que   practican  la  agricultura   de  subsistencia  o  de</w:t>
      </w:r>
    </w:p>
    <w:p>
      <w:pPr>
        <w:pStyle w:val="BodyText"/>
        <w:spacing w:line="364" w:lineRule="auto" w:before="141"/>
        <w:ind w:left="103" w:right="403"/>
      </w:pPr>
      <w:r>
        <w:rPr/>
        <w:t>autoconsumo. Y con esto se puede afirmar que la pobreza y falta de empleos es el  motor de la migración en este</w:t>
      </w:r>
      <w:r>
        <w:rPr>
          <w:spacing w:val="43"/>
        </w:rPr>
        <w:t> </w:t>
      </w:r>
      <w:r>
        <w:rPr/>
        <w:t>municipio.</w:t>
      </w:r>
    </w:p>
    <w:p>
      <w:pPr>
        <w:pStyle w:val="BodyText"/>
        <w:spacing w:before="10"/>
        <w:rPr>
          <w:sz w:val="10"/>
        </w:rPr>
      </w:pPr>
    </w:p>
    <w:p>
      <w:pPr>
        <w:pStyle w:val="BodyText"/>
        <w:spacing w:line="364" w:lineRule="auto" w:before="74"/>
        <w:ind w:left="103" w:right="183" w:firstLine="64"/>
        <w:jc w:val="both"/>
      </w:pPr>
      <w:r>
        <w:rPr/>
        <w:t>El 30% de los encuestados solo tienen un familiar en USA, mientras que la mediana se ubica en 2 familiares, el 80% tienen 1, 2 ó 3 familiares. Se apreció un valor extremo con un valor de 9 familiares migrantes en Estados Unidos y esta encuesta fue aplicada a   un</w:t>
      </w:r>
    </w:p>
    <w:p>
      <w:pPr>
        <w:pStyle w:val="BodyText"/>
        <w:spacing w:before="2"/>
        <w:ind w:left="103"/>
      </w:pPr>
      <w:r>
        <w:rPr/>
        <w:t>señora  de  78  años  quien  tiene  hijos  y  nietos  trabajando  en  USA  y  también   cabe</w:t>
      </w:r>
    </w:p>
    <w:p>
      <w:pPr>
        <w:pStyle w:val="BodyText"/>
        <w:spacing w:line="364" w:lineRule="auto" w:before="141"/>
        <w:ind w:left="103" w:right="183"/>
        <w:jc w:val="both"/>
      </w:pPr>
      <w:r>
        <w:rPr/>
        <w:t>mencionar que ella vive con 3 nietos, porque los padres de estos últimos decidieron migrar a Estados Unidos. De acuerdo con los datos captados en las encuestas, está claro que  la  pobreza,  es la causa  principal  de la  migración en este  municipio,  ya</w:t>
      </w:r>
      <w:r>
        <w:rPr>
          <w:spacing w:val="-28"/>
        </w:rPr>
        <w:t> </w:t>
      </w:r>
      <w:r>
        <w:rPr/>
        <w:t>que</w:t>
      </w:r>
    </w:p>
    <w:p>
      <w:pPr>
        <w:spacing w:after="0" w:line="364" w:lineRule="auto"/>
        <w:jc w:val="both"/>
        <w:sectPr>
          <w:pgSz w:w="11900" w:h="16840"/>
          <w:pgMar w:header="0" w:footer="1619" w:top="1600" w:bottom="1860" w:left="1300" w:right="1200"/>
        </w:sectPr>
      </w:pPr>
    </w:p>
    <w:p>
      <w:pPr>
        <w:pStyle w:val="BodyText"/>
        <w:rPr>
          <w:sz w:val="20"/>
        </w:rPr>
      </w:pPr>
    </w:p>
    <w:p>
      <w:pPr>
        <w:pStyle w:val="BodyText"/>
        <w:spacing w:before="8"/>
        <w:rPr>
          <w:sz w:val="18"/>
        </w:rPr>
      </w:pPr>
    </w:p>
    <w:p>
      <w:pPr>
        <w:pStyle w:val="BodyText"/>
        <w:spacing w:line="364" w:lineRule="auto" w:before="74"/>
        <w:ind w:left="103" w:right="103"/>
        <w:jc w:val="both"/>
      </w:pPr>
      <w:r>
        <w:rPr/>
        <w:t>solo el 4% de estos han migrado por decisión  personal; mientras que el  96% lo hace  por cuestiones económicas en la busca de nuevas oportunidades de desarrollo y mejor calidad de vida de su</w:t>
      </w:r>
      <w:r>
        <w:rPr>
          <w:spacing w:val="30"/>
        </w:rPr>
        <w:t> </w:t>
      </w:r>
      <w:r>
        <w:rPr/>
        <w:t>familia.</w:t>
      </w:r>
    </w:p>
    <w:p>
      <w:pPr>
        <w:pStyle w:val="BodyText"/>
        <w:spacing w:before="10"/>
        <w:rPr>
          <w:sz w:val="10"/>
        </w:rPr>
      </w:pPr>
    </w:p>
    <w:p>
      <w:pPr>
        <w:pStyle w:val="BodyText"/>
        <w:spacing w:line="364" w:lineRule="auto" w:before="74"/>
        <w:ind w:left="103" w:right="102"/>
      </w:pPr>
      <w:r>
        <w:rPr/>
        <w:t>Ahora, de acuerdo con el año en que las personas migraron, se apreció claramente que durante el periodo 2004-2007 la migración fue superior a comparación de cualquier </w:t>
      </w:r>
      <w:r>
        <w:rPr>
          <w:spacing w:val="60"/>
        </w:rPr>
        <w:t> </w:t>
      </w:r>
      <w:r>
        <w:rPr/>
        <w:t>otro</w:t>
      </w:r>
    </w:p>
    <w:p>
      <w:pPr>
        <w:pStyle w:val="BodyText"/>
        <w:spacing w:before="5"/>
        <w:ind w:left="103"/>
      </w:pPr>
      <w:r>
        <w:rPr/>
        <w:t>año,  durante  este  periodo se  registró  el  72%  de  los  casos  correspondientes  a este</w:t>
      </w:r>
    </w:p>
    <w:p>
      <w:pPr>
        <w:pStyle w:val="BodyText"/>
        <w:spacing w:line="364" w:lineRule="auto" w:before="138"/>
        <w:ind w:left="103" w:right="318"/>
      </w:pPr>
      <w:r>
        <w:rPr/>
        <w:t>estudio. Durante este periodo también se registraron cifras récord en el envío de remesas en México y a nivel mundial, figura</w:t>
      </w:r>
      <w:r>
        <w:rPr>
          <w:spacing w:val="54"/>
        </w:rPr>
        <w:t> </w:t>
      </w:r>
      <w:r>
        <w:rPr/>
        <w:t>2.</w:t>
      </w:r>
    </w:p>
    <w:p>
      <w:pPr>
        <w:pStyle w:val="BodyText"/>
        <w:rPr>
          <w:sz w:val="20"/>
        </w:rPr>
      </w:pPr>
    </w:p>
    <w:p>
      <w:pPr>
        <w:pStyle w:val="BodyText"/>
        <w:rPr>
          <w:sz w:val="20"/>
        </w:rPr>
      </w:pPr>
    </w:p>
    <w:p>
      <w:pPr>
        <w:pStyle w:val="BodyText"/>
        <w:spacing w:before="5"/>
        <w:rPr>
          <w:sz w:val="22"/>
        </w:rPr>
      </w:pPr>
    </w:p>
    <w:p>
      <w:pPr>
        <w:pStyle w:val="Heading4"/>
        <w:spacing w:before="74"/>
        <w:ind w:left="607" w:right="102"/>
      </w:pPr>
      <w:r>
        <w:rPr/>
        <w:pict>
          <v:group style="position:absolute;margin-left:81.959999pt;margin-top:23.961298pt;width:432.4pt;height:150.050pt;mso-position-horizontal-relative:page;mso-position-vertical-relative:paragraph;z-index:-702736" coordorigin="1639,479" coordsize="8648,3001">
            <v:shape style="position:absolute;left:3502;top:688;width:689;height:317" type="#_x0000_t75" stroked="false">
              <v:imagedata r:id="rId374" o:title=""/>
            </v:shape>
            <v:line style="position:absolute" from="3737,1004" to="4193,1004" stroked="true" strokeweight=".12pt" strokecolor="#c1c1c1"/>
            <v:shape style="position:absolute;left:3502;top:1003;width:689;height:314" type="#_x0000_t75" stroked="false">
              <v:imagedata r:id="rId375" o:title=""/>
            </v:shape>
            <v:line style="position:absolute" from="3739,1316" to="4193,1316" stroked="true" strokeweight=".12pt" strokecolor="#e0e0e0"/>
            <v:shape style="position:absolute;left:3502;top:1315;width:689;height:631" type="#_x0000_t75" stroked="false">
              <v:imagedata r:id="rId376" o:title=""/>
            </v:shape>
            <v:shape style="position:absolute;left:3502;top:1943;width:689;height:818" type="#_x0000_t75" stroked="false">
              <v:imagedata r:id="rId377" o:title=""/>
            </v:shape>
            <v:rect style="position:absolute;left:2347;top:3206;width:106;height:106" filled="true" fillcolor="#4f80bc" stroked="false">
              <v:fill type="solid"/>
            </v:rect>
            <v:shape style="position:absolute;left:1639;top:479;width:2552;height:3000" coordorigin="1639,479" coordsize="2552,3000" path="m4190,479l1649,479,1642,482,1639,487,1639,3472,1642,3477,1649,3479,4190,3479,4190,3472,1656,3472,1649,3465,1656,3465,1656,496,1649,496,1656,487,4190,487,4190,479xm1656,3465l1649,3465,1656,3472,1656,3465xm4190,3465l1656,3465,1656,3472,4190,3472,4190,3465xm1656,487l1649,496,1656,496,1656,487xm4190,487l1656,487,1656,496,4190,496,4190,487xe" filled="true" fillcolor="#858585" stroked="false">
              <v:path arrowok="t"/>
              <v:fill type="solid"/>
            </v:shape>
            <v:shape style="position:absolute;left:4190;top:688;width:4188;height:2074" type="#_x0000_t75" stroked="false">
              <v:imagedata r:id="rId378" o:title=""/>
            </v:shape>
            <v:line style="position:absolute" from="4190,488" to="8378,488" stroked="true" strokeweight=".84pt" strokecolor="#858585"/>
            <v:rect style="position:absolute;left:8378;top:487;width:1901;height:2986" filled="true" fillcolor="#ffffff" stroked="false">
              <v:fill type="solid"/>
            </v:rect>
            <v:shape style="position:absolute;left:8378;top:688;width:1373;height:19" type="#_x0000_t75" stroked="false">
              <v:imagedata r:id="rId379" o:title=""/>
            </v:shape>
            <v:shape style="position:absolute;left:8378;top:1003;width:1373;height:17" type="#_x0000_t75" stroked="false">
              <v:imagedata r:id="rId380" o:title=""/>
            </v:shape>
            <v:shape style="position:absolute;left:8378;top:1315;width:1373;height:19" type="#_x0000_t75" stroked="false">
              <v:imagedata r:id="rId381" o:title=""/>
            </v:shape>
            <v:shape style="position:absolute;left:8378;top:1629;width:1373;height:19" type="#_x0000_t75" stroked="false">
              <v:imagedata r:id="rId382" o:title=""/>
            </v:shape>
            <v:shape style="position:absolute;left:8378;top:1847;width:1375;height:914" type="#_x0000_t75" stroked="false">
              <v:imagedata r:id="rId383" o:title=""/>
            </v:shape>
            <v:shape style="position:absolute;left:8378;top:479;width:1908;height:3000" coordorigin="8378,479" coordsize="1908,3000" path="m10270,3465l8378,3465,8378,3479,10279,3479,10284,3477,10286,3472,10270,3472,10270,3465xm10270,487l10270,3472,10279,3465,10286,3465,10286,496,10279,496,10270,487xm10286,3465l10279,3465,10270,3472,10286,3472,10286,3465xm10279,479l8378,479,8378,496,10270,496,10270,487,10286,487,10284,482,10279,479xm10286,487l10270,487,10279,496,10286,496,10286,487xe" filled="true" fillcolor="#858585" stroked="false">
              <v:path arrowok="t"/>
              <v:fill type="solid"/>
            </v:shape>
            <v:shape style="position:absolute;left:3134;top:792;width:197;height:1764" type="#_x0000_t202" filled="false" stroked="false">
              <v:textbox inset="0,0,0,0">
                <w:txbxContent>
                  <w:p>
                    <w:pPr>
                      <w:spacing w:line="196" w:lineRule="exact" w:before="0"/>
                      <w:ind w:left="0" w:right="-16" w:firstLine="0"/>
                      <w:jc w:val="left"/>
                      <w:rPr>
                        <w:rFonts w:ascii="Calibri"/>
                        <w:sz w:val="19"/>
                      </w:rPr>
                    </w:pPr>
                    <w:r>
                      <w:rPr>
                        <w:rFonts w:ascii="Calibri"/>
                        <w:sz w:val="19"/>
                      </w:rPr>
                      <w:t>12</w:t>
                    </w:r>
                  </w:p>
                  <w:p>
                    <w:pPr>
                      <w:spacing w:before="80"/>
                      <w:ind w:left="0" w:right="-16" w:firstLine="0"/>
                      <w:jc w:val="left"/>
                      <w:rPr>
                        <w:rFonts w:ascii="Calibri"/>
                        <w:sz w:val="19"/>
                      </w:rPr>
                    </w:pPr>
                    <w:r>
                      <w:rPr>
                        <w:rFonts w:ascii="Calibri"/>
                        <w:sz w:val="19"/>
                      </w:rPr>
                      <w:t>10</w:t>
                    </w:r>
                  </w:p>
                  <w:p>
                    <w:pPr>
                      <w:spacing w:before="82"/>
                      <w:ind w:left="98" w:right="0" w:firstLine="0"/>
                      <w:jc w:val="left"/>
                      <w:rPr>
                        <w:rFonts w:ascii="Calibri"/>
                        <w:sz w:val="19"/>
                      </w:rPr>
                    </w:pPr>
                    <w:r>
                      <w:rPr>
                        <w:rFonts w:ascii="Calibri"/>
                        <w:w w:val="102"/>
                        <w:sz w:val="19"/>
                      </w:rPr>
                      <w:t>8</w:t>
                    </w:r>
                  </w:p>
                  <w:p>
                    <w:pPr>
                      <w:spacing w:before="82"/>
                      <w:ind w:left="98" w:right="0" w:firstLine="0"/>
                      <w:jc w:val="left"/>
                      <w:rPr>
                        <w:rFonts w:ascii="Calibri"/>
                        <w:sz w:val="19"/>
                      </w:rPr>
                    </w:pPr>
                    <w:r>
                      <w:rPr>
                        <w:rFonts w:ascii="Calibri"/>
                        <w:w w:val="102"/>
                        <w:sz w:val="19"/>
                      </w:rPr>
                      <w:t>6</w:t>
                    </w:r>
                  </w:p>
                  <w:p>
                    <w:pPr>
                      <w:spacing w:before="82"/>
                      <w:ind w:left="98" w:right="0" w:firstLine="0"/>
                      <w:jc w:val="left"/>
                      <w:rPr>
                        <w:rFonts w:ascii="Calibri"/>
                        <w:sz w:val="19"/>
                      </w:rPr>
                    </w:pPr>
                    <w:r>
                      <w:rPr>
                        <w:rFonts w:ascii="Calibri"/>
                        <w:w w:val="102"/>
                        <w:sz w:val="19"/>
                      </w:rPr>
                      <w:t>4</w:t>
                    </w:r>
                  </w:p>
                  <w:p>
                    <w:pPr>
                      <w:spacing w:line="229" w:lineRule="exact" w:before="82"/>
                      <w:ind w:left="98" w:right="0" w:firstLine="0"/>
                      <w:jc w:val="left"/>
                      <w:rPr>
                        <w:rFonts w:ascii="Calibri"/>
                        <w:sz w:val="19"/>
                      </w:rPr>
                    </w:pPr>
                    <w:r>
                      <w:rPr>
                        <w:rFonts w:ascii="Calibri"/>
                        <w:w w:val="102"/>
                        <w:sz w:val="19"/>
                      </w:rPr>
                      <w:t>2</w:t>
                    </w:r>
                  </w:p>
                </w:txbxContent>
              </v:textbox>
              <w10:wrap type="none"/>
            </v:shape>
            <v:shape style="position:absolute;left:4015;top:676;width:3895;height:215" type="#_x0000_t202" filled="false" stroked="false">
              <v:textbox inset="0,0,0,0">
                <w:txbxContent>
                  <w:p>
                    <w:pPr>
                      <w:spacing w:line="215" w:lineRule="exact" w:before="0"/>
                      <w:ind w:left="0" w:right="0" w:firstLine="0"/>
                      <w:jc w:val="left"/>
                      <w:rPr>
                        <w:rFonts w:ascii="Calibri" w:hAnsi="Calibri"/>
                        <w:b/>
                        <w:sz w:val="21"/>
                      </w:rPr>
                    </w:pPr>
                    <w:r>
                      <w:rPr>
                        <w:rFonts w:ascii="Calibri" w:hAnsi="Calibri"/>
                        <w:b/>
                        <w:sz w:val="21"/>
                      </w:rPr>
                      <w:t>Grafica: NUMERO DE MIGRANTES POR  AÑO</w:t>
                    </w:r>
                  </w:p>
                </w:txbxContent>
              </v:textbox>
              <w10:wrap type="none"/>
            </v:shape>
            <v:shape style="position:absolute;left:3737;top:1723;width:500;height:194" type="#_x0000_t202" filled="false" stroked="false">
              <v:textbox inset="0,0,0,0">
                <w:txbxContent>
                  <w:p>
                    <w:pPr>
                      <w:tabs>
                        <w:tab w:pos="499" w:val="left" w:leader="none"/>
                      </w:tabs>
                      <w:spacing w:line="194" w:lineRule="exact" w:before="0"/>
                      <w:ind w:left="0" w:right="0" w:firstLine="0"/>
                      <w:jc w:val="left"/>
                      <w:rPr>
                        <w:rFonts w:ascii="Times New Roman"/>
                        <w:sz w:val="19"/>
                      </w:rPr>
                    </w:pPr>
                    <w:r>
                      <w:rPr>
                        <w:rFonts w:ascii="Times New Roman"/>
                        <w:w w:val="102"/>
                        <w:sz w:val="19"/>
                        <w:u w:val="single" w:color="E0E0E0"/>
                      </w:rPr>
                      <w:t> </w:t>
                    </w:r>
                    <w:r>
                      <w:rPr>
                        <w:rFonts w:ascii="Times New Roman"/>
                        <w:sz w:val="19"/>
                        <w:u w:val="single" w:color="E0E0E0"/>
                      </w:rPr>
                      <w:tab/>
                    </w:r>
                  </w:p>
                </w:txbxContent>
              </v:textbox>
              <w10:wrap type="none"/>
            </v:shape>
            <w10:wrap type="none"/>
          </v:group>
        </w:pict>
      </w:r>
      <w:r>
        <w:rPr/>
        <w:pict>
          <v:shape style="position:absolute;margin-left:99.369308pt;margin-top:34.153587pt;width:23.6pt;height:106.9pt;mso-position-horizontal-relative:page;mso-position-vertical-relative:paragraph;z-index:-702712" type="#_x0000_t202" filled="false" stroked="false">
            <v:textbox inset="0,0,0,0" style="layout-flow:vertical;mso-layout-flow-alt:bottom-to-top">
              <w:txbxContent>
                <w:p>
                  <w:pPr>
                    <w:spacing w:line="216" w:lineRule="exact" w:before="0"/>
                    <w:ind w:left="0" w:right="0" w:firstLine="0"/>
                    <w:jc w:val="center"/>
                    <w:rPr>
                      <w:rFonts w:ascii="Calibri"/>
                      <w:b/>
                      <w:sz w:val="19"/>
                    </w:rPr>
                  </w:pPr>
                  <w:r>
                    <w:rPr>
                      <w:rFonts w:ascii="Calibri"/>
                      <w:b/>
                      <w:spacing w:val="1"/>
                      <w:w w:val="102"/>
                      <w:sz w:val="19"/>
                    </w:rPr>
                    <w:t>Nu</w:t>
                  </w:r>
                  <w:r>
                    <w:rPr>
                      <w:rFonts w:ascii="Calibri"/>
                      <w:b/>
                      <w:w w:val="102"/>
                      <w:sz w:val="19"/>
                    </w:rPr>
                    <w:t>mero</w:t>
                  </w:r>
                  <w:r>
                    <w:rPr>
                      <w:rFonts w:ascii="Calibri"/>
                      <w:b/>
                      <w:spacing w:val="-4"/>
                      <w:sz w:val="19"/>
                    </w:rPr>
                    <w:t> </w:t>
                  </w:r>
                  <w:r>
                    <w:rPr>
                      <w:rFonts w:ascii="Calibri"/>
                      <w:b/>
                      <w:spacing w:val="1"/>
                      <w:w w:val="102"/>
                      <w:sz w:val="19"/>
                    </w:rPr>
                    <w:t>d</w:t>
                  </w:r>
                  <w:r>
                    <w:rPr>
                      <w:rFonts w:ascii="Calibri"/>
                      <w:b/>
                      <w:w w:val="102"/>
                      <w:sz w:val="19"/>
                    </w:rPr>
                    <w:t>e</w:t>
                  </w:r>
                  <w:r>
                    <w:rPr>
                      <w:rFonts w:ascii="Calibri"/>
                      <w:b/>
                      <w:spacing w:val="-2"/>
                      <w:sz w:val="19"/>
                    </w:rPr>
                    <w:t> </w:t>
                  </w:r>
                  <w:r>
                    <w:rPr>
                      <w:rFonts w:ascii="Calibri"/>
                      <w:b/>
                      <w:spacing w:val="3"/>
                      <w:w w:val="102"/>
                      <w:sz w:val="19"/>
                    </w:rPr>
                    <w:t>M</w:t>
                  </w:r>
                  <w:r>
                    <w:rPr>
                      <w:rFonts w:ascii="Calibri"/>
                      <w:b/>
                      <w:spacing w:val="-2"/>
                      <w:w w:val="102"/>
                      <w:sz w:val="19"/>
                    </w:rPr>
                    <w:t>i</w:t>
                  </w:r>
                  <w:r>
                    <w:rPr>
                      <w:rFonts w:ascii="Calibri"/>
                      <w:b/>
                      <w:spacing w:val="-1"/>
                      <w:w w:val="102"/>
                      <w:sz w:val="19"/>
                    </w:rPr>
                    <w:t>g</w:t>
                  </w:r>
                  <w:r>
                    <w:rPr>
                      <w:rFonts w:ascii="Calibri"/>
                      <w:b/>
                      <w:w w:val="102"/>
                      <w:sz w:val="19"/>
                    </w:rPr>
                    <w:t>ra</w:t>
                  </w:r>
                  <w:r>
                    <w:rPr>
                      <w:rFonts w:ascii="Calibri"/>
                      <w:b/>
                      <w:spacing w:val="1"/>
                      <w:w w:val="102"/>
                      <w:sz w:val="19"/>
                    </w:rPr>
                    <w:t>n</w:t>
                  </w:r>
                  <w:r>
                    <w:rPr>
                      <w:rFonts w:ascii="Calibri"/>
                      <w:b/>
                      <w:w w:val="102"/>
                      <w:sz w:val="19"/>
                    </w:rPr>
                    <w:t>tes</w:t>
                  </w:r>
                  <w:r>
                    <w:rPr>
                      <w:rFonts w:ascii="Calibri"/>
                      <w:b/>
                      <w:spacing w:val="2"/>
                      <w:sz w:val="19"/>
                    </w:rPr>
                    <w:t> </w:t>
                  </w:r>
                  <w:r>
                    <w:rPr>
                      <w:rFonts w:ascii="Calibri"/>
                      <w:b/>
                      <w:spacing w:val="-1"/>
                      <w:w w:val="102"/>
                      <w:sz w:val="19"/>
                    </w:rPr>
                    <w:t>p</w:t>
                  </w:r>
                  <w:r>
                    <w:rPr>
                      <w:rFonts w:ascii="Calibri"/>
                      <w:b/>
                      <w:spacing w:val="1"/>
                      <w:w w:val="102"/>
                      <w:sz w:val="19"/>
                    </w:rPr>
                    <w:t>o</w:t>
                  </w:r>
                  <w:r>
                    <w:rPr>
                      <w:rFonts w:ascii="Calibri"/>
                      <w:b/>
                      <w:w w:val="102"/>
                      <w:sz w:val="19"/>
                    </w:rPr>
                    <w:t>r</w:t>
                  </w:r>
                </w:p>
                <w:p>
                  <w:pPr>
                    <w:spacing w:before="5"/>
                    <w:ind w:left="53" w:right="52" w:firstLine="0"/>
                    <w:jc w:val="center"/>
                    <w:rPr>
                      <w:rFonts w:ascii="Calibri" w:hAnsi="Calibri"/>
                      <w:b/>
                      <w:sz w:val="19"/>
                    </w:rPr>
                  </w:pPr>
                  <w:r>
                    <w:rPr>
                      <w:rFonts w:ascii="Calibri" w:hAnsi="Calibri"/>
                      <w:b/>
                      <w:w w:val="102"/>
                      <w:sz w:val="19"/>
                    </w:rPr>
                    <w:t>A</w:t>
                  </w:r>
                  <w:r>
                    <w:rPr>
                      <w:rFonts w:ascii="Calibri" w:hAnsi="Calibri"/>
                      <w:b/>
                      <w:spacing w:val="1"/>
                      <w:w w:val="102"/>
                      <w:sz w:val="19"/>
                    </w:rPr>
                    <w:t>ñ</w:t>
                  </w:r>
                  <w:r>
                    <w:rPr>
                      <w:rFonts w:ascii="Calibri" w:hAnsi="Calibri"/>
                      <w:b/>
                      <w:w w:val="102"/>
                      <w:sz w:val="19"/>
                    </w:rPr>
                    <w:t>o</w:t>
                  </w:r>
                </w:p>
              </w:txbxContent>
            </v:textbox>
            <w10:wrap type="none"/>
          </v:shape>
        </w:pict>
      </w:r>
      <w:r>
        <w:rPr/>
        <w:t>Figura 2. Número de migrantes de Santo Domingo en los años  1999-2009</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5"/>
        </w:rPr>
      </w:pPr>
    </w:p>
    <w:tbl>
      <w:tblPr>
        <w:tblW w:w="0" w:type="auto"/>
        <w:jc w:val="left"/>
        <w:tblInd w:w="970"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1234"/>
        <w:gridCol w:w="670"/>
        <w:gridCol w:w="665"/>
        <w:gridCol w:w="668"/>
        <w:gridCol w:w="666"/>
        <w:gridCol w:w="667"/>
        <w:gridCol w:w="670"/>
        <w:gridCol w:w="665"/>
        <w:gridCol w:w="668"/>
        <w:gridCol w:w="666"/>
      </w:tblGrid>
      <w:tr>
        <w:trPr>
          <w:trHeight w:val="525" w:hRule="exact"/>
        </w:trPr>
        <w:tc>
          <w:tcPr>
            <w:tcW w:w="1234" w:type="dxa"/>
            <w:tcBorders>
              <w:top w:val="nil"/>
              <w:left w:val="nil"/>
              <w:bottom w:val="single" w:sz="6" w:space="0" w:color="858585"/>
            </w:tcBorders>
          </w:tcPr>
          <w:p>
            <w:pPr>
              <w:pStyle w:val="TableParagraph"/>
              <w:spacing w:before="57"/>
              <w:ind w:right="170"/>
              <w:rPr>
                <w:rFonts w:ascii="Calibri"/>
                <w:sz w:val="19"/>
              </w:rPr>
            </w:pPr>
            <w:r>
              <w:rPr>
                <w:rFonts w:ascii="Calibri"/>
                <w:w w:val="102"/>
                <w:sz w:val="19"/>
              </w:rPr>
              <w:t>0</w:t>
            </w:r>
          </w:p>
        </w:tc>
        <w:tc>
          <w:tcPr>
            <w:tcW w:w="670" w:type="dxa"/>
            <w:tcBorders>
              <w:top w:val="nil"/>
              <w:bottom w:val="single" w:sz="6" w:space="0" w:color="858585"/>
            </w:tcBorders>
          </w:tcPr>
          <w:p>
            <w:pPr>
              <w:pStyle w:val="TableParagraph"/>
              <w:spacing w:before="7"/>
              <w:jc w:val="left"/>
              <w:rPr>
                <w:b/>
                <w:sz w:val="25"/>
              </w:rPr>
            </w:pPr>
          </w:p>
          <w:p>
            <w:pPr>
              <w:pStyle w:val="TableParagraph"/>
              <w:spacing w:before="0"/>
              <w:ind w:left="115" w:right="113"/>
              <w:jc w:val="center"/>
              <w:rPr>
                <w:rFonts w:ascii="Calibri"/>
                <w:sz w:val="19"/>
              </w:rPr>
            </w:pPr>
            <w:r>
              <w:rPr>
                <w:rFonts w:ascii="Calibri"/>
                <w:sz w:val="19"/>
              </w:rPr>
              <w:t>1999</w:t>
            </w:r>
          </w:p>
        </w:tc>
        <w:tc>
          <w:tcPr>
            <w:tcW w:w="665" w:type="dxa"/>
            <w:tcBorders>
              <w:top w:val="nil"/>
              <w:bottom w:val="single" w:sz="6" w:space="0" w:color="858585"/>
            </w:tcBorders>
          </w:tcPr>
          <w:p>
            <w:pPr>
              <w:pStyle w:val="TableParagraph"/>
              <w:spacing w:before="7"/>
              <w:jc w:val="left"/>
              <w:rPr>
                <w:b/>
                <w:sz w:val="25"/>
              </w:rPr>
            </w:pPr>
          </w:p>
          <w:p>
            <w:pPr>
              <w:pStyle w:val="TableParagraph"/>
              <w:spacing w:before="0"/>
              <w:ind w:left="112" w:right="112"/>
              <w:jc w:val="center"/>
              <w:rPr>
                <w:rFonts w:ascii="Calibri"/>
                <w:sz w:val="19"/>
              </w:rPr>
            </w:pPr>
            <w:r>
              <w:rPr>
                <w:rFonts w:ascii="Calibri"/>
                <w:sz w:val="19"/>
              </w:rPr>
              <w:t>2000</w:t>
            </w:r>
          </w:p>
        </w:tc>
        <w:tc>
          <w:tcPr>
            <w:tcW w:w="668" w:type="dxa"/>
            <w:tcBorders>
              <w:top w:val="nil"/>
              <w:bottom w:val="single" w:sz="6" w:space="0" w:color="858585"/>
              <w:right w:val="single" w:sz="7" w:space="0" w:color="858585"/>
            </w:tcBorders>
          </w:tcPr>
          <w:p>
            <w:pPr>
              <w:pStyle w:val="TableParagraph"/>
              <w:spacing w:before="7"/>
              <w:jc w:val="left"/>
              <w:rPr>
                <w:b/>
                <w:sz w:val="25"/>
              </w:rPr>
            </w:pPr>
          </w:p>
          <w:p>
            <w:pPr>
              <w:pStyle w:val="TableParagraph"/>
              <w:spacing w:before="0"/>
              <w:ind w:left="114" w:right="112"/>
              <w:jc w:val="center"/>
              <w:rPr>
                <w:rFonts w:ascii="Calibri"/>
                <w:sz w:val="19"/>
              </w:rPr>
            </w:pPr>
            <w:r>
              <w:rPr>
                <w:rFonts w:ascii="Calibri"/>
                <w:sz w:val="19"/>
              </w:rPr>
              <w:t>2003</w:t>
            </w:r>
          </w:p>
        </w:tc>
        <w:tc>
          <w:tcPr>
            <w:tcW w:w="666" w:type="dxa"/>
            <w:tcBorders>
              <w:top w:val="nil"/>
              <w:left w:val="single" w:sz="7" w:space="0" w:color="858585"/>
              <w:bottom w:val="single" w:sz="6" w:space="0" w:color="858585"/>
            </w:tcBorders>
          </w:tcPr>
          <w:p>
            <w:pPr>
              <w:pStyle w:val="TableParagraph"/>
              <w:spacing w:before="7"/>
              <w:jc w:val="left"/>
              <w:rPr>
                <w:b/>
                <w:sz w:val="25"/>
              </w:rPr>
            </w:pPr>
          </w:p>
          <w:p>
            <w:pPr>
              <w:pStyle w:val="TableParagraph"/>
              <w:spacing w:before="0"/>
              <w:ind w:left="112" w:right="112"/>
              <w:jc w:val="center"/>
              <w:rPr>
                <w:rFonts w:ascii="Calibri"/>
                <w:sz w:val="19"/>
              </w:rPr>
            </w:pPr>
            <w:r>
              <w:rPr>
                <w:rFonts w:ascii="Calibri"/>
                <w:sz w:val="19"/>
              </w:rPr>
              <w:t>2004</w:t>
            </w:r>
          </w:p>
        </w:tc>
        <w:tc>
          <w:tcPr>
            <w:tcW w:w="667" w:type="dxa"/>
            <w:tcBorders>
              <w:top w:val="nil"/>
              <w:bottom w:val="single" w:sz="6" w:space="0" w:color="858585"/>
            </w:tcBorders>
          </w:tcPr>
          <w:p>
            <w:pPr>
              <w:pStyle w:val="TableParagraph"/>
              <w:spacing w:before="7"/>
              <w:jc w:val="left"/>
              <w:rPr>
                <w:b/>
                <w:sz w:val="25"/>
              </w:rPr>
            </w:pPr>
          </w:p>
          <w:p>
            <w:pPr>
              <w:pStyle w:val="TableParagraph"/>
              <w:spacing w:before="0"/>
              <w:ind w:left="114" w:right="112"/>
              <w:jc w:val="center"/>
              <w:rPr>
                <w:rFonts w:ascii="Calibri"/>
                <w:sz w:val="19"/>
              </w:rPr>
            </w:pPr>
            <w:r>
              <w:rPr>
                <w:rFonts w:ascii="Calibri"/>
                <w:sz w:val="19"/>
              </w:rPr>
              <w:t>2005</w:t>
            </w:r>
          </w:p>
        </w:tc>
        <w:tc>
          <w:tcPr>
            <w:tcW w:w="670" w:type="dxa"/>
            <w:tcBorders>
              <w:top w:val="nil"/>
              <w:bottom w:val="single" w:sz="6" w:space="0" w:color="858585"/>
            </w:tcBorders>
          </w:tcPr>
          <w:p>
            <w:pPr>
              <w:pStyle w:val="TableParagraph"/>
              <w:spacing w:before="7"/>
              <w:jc w:val="left"/>
              <w:rPr>
                <w:b/>
                <w:sz w:val="25"/>
              </w:rPr>
            </w:pPr>
          </w:p>
          <w:p>
            <w:pPr>
              <w:pStyle w:val="TableParagraph"/>
              <w:spacing w:before="0"/>
              <w:ind w:left="114" w:right="114"/>
              <w:jc w:val="center"/>
              <w:rPr>
                <w:rFonts w:ascii="Calibri"/>
                <w:sz w:val="19"/>
              </w:rPr>
            </w:pPr>
            <w:r>
              <w:rPr>
                <w:rFonts w:ascii="Calibri"/>
                <w:sz w:val="19"/>
              </w:rPr>
              <w:t>2006</w:t>
            </w:r>
          </w:p>
        </w:tc>
        <w:tc>
          <w:tcPr>
            <w:tcW w:w="665" w:type="dxa"/>
            <w:tcBorders>
              <w:top w:val="nil"/>
              <w:bottom w:val="single" w:sz="6" w:space="0" w:color="858585"/>
            </w:tcBorders>
          </w:tcPr>
          <w:p>
            <w:pPr>
              <w:pStyle w:val="TableParagraph"/>
              <w:spacing w:before="7"/>
              <w:jc w:val="left"/>
              <w:rPr>
                <w:b/>
                <w:sz w:val="25"/>
              </w:rPr>
            </w:pPr>
          </w:p>
          <w:p>
            <w:pPr>
              <w:pStyle w:val="TableParagraph"/>
              <w:spacing w:before="0"/>
              <w:ind w:left="112" w:right="112"/>
              <w:jc w:val="center"/>
              <w:rPr>
                <w:rFonts w:ascii="Calibri"/>
                <w:sz w:val="19"/>
              </w:rPr>
            </w:pPr>
            <w:r>
              <w:rPr>
                <w:rFonts w:ascii="Calibri"/>
                <w:sz w:val="19"/>
              </w:rPr>
              <w:t>2007</w:t>
            </w:r>
          </w:p>
        </w:tc>
        <w:tc>
          <w:tcPr>
            <w:tcW w:w="668" w:type="dxa"/>
            <w:tcBorders>
              <w:top w:val="nil"/>
              <w:bottom w:val="single" w:sz="6" w:space="0" w:color="858585"/>
              <w:right w:val="single" w:sz="7" w:space="0" w:color="858585"/>
            </w:tcBorders>
          </w:tcPr>
          <w:p>
            <w:pPr>
              <w:pStyle w:val="TableParagraph"/>
              <w:spacing w:before="7"/>
              <w:jc w:val="left"/>
              <w:rPr>
                <w:b/>
                <w:sz w:val="25"/>
              </w:rPr>
            </w:pPr>
          </w:p>
          <w:p>
            <w:pPr>
              <w:pStyle w:val="TableParagraph"/>
              <w:spacing w:before="0"/>
              <w:ind w:left="114" w:right="112"/>
              <w:jc w:val="center"/>
              <w:rPr>
                <w:rFonts w:ascii="Calibri"/>
                <w:sz w:val="19"/>
              </w:rPr>
            </w:pPr>
            <w:r>
              <w:rPr>
                <w:rFonts w:ascii="Calibri"/>
                <w:sz w:val="19"/>
              </w:rPr>
              <w:t>2008</w:t>
            </w:r>
          </w:p>
        </w:tc>
        <w:tc>
          <w:tcPr>
            <w:tcW w:w="666" w:type="dxa"/>
            <w:tcBorders>
              <w:top w:val="nil"/>
              <w:left w:val="single" w:sz="7" w:space="0" w:color="858585"/>
              <w:bottom w:val="single" w:sz="6" w:space="0" w:color="858585"/>
            </w:tcBorders>
          </w:tcPr>
          <w:p>
            <w:pPr>
              <w:pStyle w:val="TableParagraph"/>
              <w:spacing w:before="7"/>
              <w:jc w:val="left"/>
              <w:rPr>
                <w:b/>
                <w:sz w:val="25"/>
              </w:rPr>
            </w:pPr>
          </w:p>
          <w:p>
            <w:pPr>
              <w:pStyle w:val="TableParagraph"/>
              <w:spacing w:before="0"/>
              <w:ind w:left="112" w:right="112"/>
              <w:jc w:val="center"/>
              <w:rPr>
                <w:rFonts w:ascii="Calibri"/>
                <w:sz w:val="19"/>
              </w:rPr>
            </w:pPr>
            <w:r>
              <w:rPr>
                <w:rFonts w:ascii="Calibri"/>
                <w:sz w:val="19"/>
              </w:rPr>
              <w:t>2009</w:t>
            </w:r>
          </w:p>
        </w:tc>
      </w:tr>
      <w:tr>
        <w:trPr>
          <w:trHeight w:val="329" w:hRule="exact"/>
        </w:trPr>
        <w:tc>
          <w:tcPr>
            <w:tcW w:w="1234" w:type="dxa"/>
            <w:tcBorders>
              <w:top w:val="single" w:sz="6" w:space="0" w:color="858585"/>
              <w:bottom w:val="single" w:sz="4" w:space="0" w:color="858585"/>
            </w:tcBorders>
          </w:tcPr>
          <w:p>
            <w:pPr>
              <w:pStyle w:val="TableParagraph"/>
              <w:spacing w:before="17"/>
              <w:ind w:right="43"/>
              <w:rPr>
                <w:rFonts w:ascii="Calibri"/>
                <w:sz w:val="19"/>
              </w:rPr>
            </w:pPr>
            <w:r>
              <w:rPr>
                <w:rFonts w:ascii="Calibri"/>
                <w:sz w:val="19"/>
              </w:rPr>
              <w:t>MIGRANTES</w:t>
            </w:r>
          </w:p>
        </w:tc>
        <w:tc>
          <w:tcPr>
            <w:tcW w:w="670" w:type="dxa"/>
            <w:tcBorders>
              <w:top w:val="single" w:sz="6" w:space="0" w:color="858585"/>
              <w:bottom w:val="single" w:sz="4" w:space="0" w:color="858585"/>
            </w:tcBorders>
          </w:tcPr>
          <w:p>
            <w:pPr>
              <w:pStyle w:val="TableParagraph"/>
              <w:spacing w:before="34"/>
              <w:jc w:val="center"/>
              <w:rPr>
                <w:rFonts w:ascii="Calibri"/>
                <w:sz w:val="19"/>
              </w:rPr>
            </w:pPr>
            <w:r>
              <w:rPr>
                <w:rFonts w:ascii="Calibri"/>
                <w:w w:val="102"/>
                <w:sz w:val="19"/>
              </w:rPr>
              <w:t>1</w:t>
            </w:r>
          </w:p>
        </w:tc>
        <w:tc>
          <w:tcPr>
            <w:tcW w:w="665" w:type="dxa"/>
            <w:tcBorders>
              <w:top w:val="single" w:sz="6" w:space="0" w:color="858585"/>
            </w:tcBorders>
          </w:tcPr>
          <w:p>
            <w:pPr>
              <w:pStyle w:val="TableParagraph"/>
              <w:spacing w:before="34"/>
              <w:ind w:right="2"/>
              <w:jc w:val="center"/>
              <w:rPr>
                <w:rFonts w:ascii="Calibri"/>
                <w:sz w:val="19"/>
              </w:rPr>
            </w:pPr>
            <w:r>
              <w:rPr>
                <w:rFonts w:ascii="Calibri"/>
                <w:w w:val="102"/>
                <w:sz w:val="19"/>
              </w:rPr>
              <w:t>1</w:t>
            </w:r>
          </w:p>
        </w:tc>
        <w:tc>
          <w:tcPr>
            <w:tcW w:w="668" w:type="dxa"/>
            <w:tcBorders>
              <w:top w:val="single" w:sz="6" w:space="0" w:color="858585"/>
              <w:bottom w:val="thinThickMediumGap" w:sz="10" w:space="0" w:color="858585"/>
              <w:right w:val="single" w:sz="7" w:space="0" w:color="858585"/>
            </w:tcBorders>
          </w:tcPr>
          <w:p>
            <w:pPr>
              <w:pStyle w:val="TableParagraph"/>
              <w:spacing w:before="34"/>
              <w:jc w:val="center"/>
              <w:rPr>
                <w:rFonts w:ascii="Calibri"/>
                <w:sz w:val="19"/>
              </w:rPr>
            </w:pPr>
            <w:r>
              <w:rPr>
                <w:rFonts w:ascii="Calibri"/>
                <w:w w:val="102"/>
                <w:sz w:val="19"/>
              </w:rPr>
              <w:t>5</w:t>
            </w:r>
          </w:p>
        </w:tc>
        <w:tc>
          <w:tcPr>
            <w:tcW w:w="666" w:type="dxa"/>
            <w:tcBorders>
              <w:top w:val="single" w:sz="6" w:space="0" w:color="858585"/>
              <w:left w:val="single" w:sz="7" w:space="0" w:color="858585"/>
              <w:bottom w:val="thinThickMediumGap" w:sz="10" w:space="0" w:color="858585"/>
            </w:tcBorders>
          </w:tcPr>
          <w:p>
            <w:pPr>
              <w:pStyle w:val="TableParagraph"/>
              <w:spacing w:before="34"/>
              <w:ind w:right="2"/>
              <w:jc w:val="center"/>
              <w:rPr>
                <w:rFonts w:ascii="Calibri"/>
                <w:sz w:val="19"/>
              </w:rPr>
            </w:pPr>
            <w:r>
              <w:rPr>
                <w:rFonts w:ascii="Calibri"/>
                <w:w w:val="102"/>
                <w:sz w:val="19"/>
              </w:rPr>
              <w:t>9</w:t>
            </w:r>
          </w:p>
        </w:tc>
        <w:tc>
          <w:tcPr>
            <w:tcW w:w="667" w:type="dxa"/>
            <w:tcBorders>
              <w:top w:val="single" w:sz="6" w:space="0" w:color="858585"/>
              <w:bottom w:val="thinThickMediumGap" w:sz="10" w:space="0" w:color="858585"/>
            </w:tcBorders>
          </w:tcPr>
          <w:p>
            <w:pPr>
              <w:pStyle w:val="TableParagraph"/>
              <w:spacing w:before="34"/>
              <w:jc w:val="center"/>
              <w:rPr>
                <w:rFonts w:ascii="Calibri"/>
                <w:sz w:val="19"/>
              </w:rPr>
            </w:pPr>
            <w:r>
              <w:rPr>
                <w:rFonts w:ascii="Calibri"/>
                <w:w w:val="102"/>
                <w:sz w:val="19"/>
              </w:rPr>
              <w:t>7</w:t>
            </w:r>
          </w:p>
        </w:tc>
        <w:tc>
          <w:tcPr>
            <w:tcW w:w="670" w:type="dxa"/>
            <w:tcBorders>
              <w:top w:val="single" w:sz="6" w:space="0" w:color="858585"/>
              <w:bottom w:val="thinThickMediumGap" w:sz="10" w:space="0" w:color="858585"/>
            </w:tcBorders>
          </w:tcPr>
          <w:p>
            <w:pPr>
              <w:pStyle w:val="TableParagraph"/>
              <w:spacing w:before="34"/>
              <w:ind w:right="2"/>
              <w:jc w:val="center"/>
              <w:rPr>
                <w:rFonts w:ascii="Calibri"/>
                <w:sz w:val="19"/>
              </w:rPr>
            </w:pPr>
            <w:r>
              <w:rPr>
                <w:rFonts w:ascii="Calibri"/>
                <w:w w:val="102"/>
                <w:sz w:val="19"/>
              </w:rPr>
              <w:t>9</w:t>
            </w:r>
          </w:p>
        </w:tc>
        <w:tc>
          <w:tcPr>
            <w:tcW w:w="665" w:type="dxa"/>
            <w:tcBorders>
              <w:top w:val="single" w:sz="6" w:space="0" w:color="858585"/>
              <w:bottom w:val="thinThickMediumGap" w:sz="10" w:space="0" w:color="858585"/>
            </w:tcBorders>
          </w:tcPr>
          <w:p>
            <w:pPr>
              <w:pStyle w:val="TableParagraph"/>
              <w:spacing w:before="34"/>
              <w:ind w:left="112" w:right="112"/>
              <w:jc w:val="center"/>
              <w:rPr>
                <w:rFonts w:ascii="Calibri"/>
                <w:sz w:val="19"/>
              </w:rPr>
            </w:pPr>
            <w:r>
              <w:rPr>
                <w:rFonts w:ascii="Calibri"/>
                <w:sz w:val="19"/>
              </w:rPr>
              <w:t>12</w:t>
            </w:r>
          </w:p>
        </w:tc>
        <w:tc>
          <w:tcPr>
            <w:tcW w:w="668" w:type="dxa"/>
            <w:tcBorders>
              <w:top w:val="single" w:sz="6" w:space="0" w:color="858585"/>
              <w:right w:val="single" w:sz="7" w:space="0" w:color="858585"/>
            </w:tcBorders>
          </w:tcPr>
          <w:p>
            <w:pPr>
              <w:pStyle w:val="TableParagraph"/>
              <w:spacing w:before="34"/>
              <w:jc w:val="center"/>
              <w:rPr>
                <w:rFonts w:ascii="Calibri"/>
                <w:sz w:val="19"/>
              </w:rPr>
            </w:pPr>
            <w:r>
              <w:rPr>
                <w:rFonts w:ascii="Calibri"/>
                <w:w w:val="102"/>
                <w:sz w:val="19"/>
              </w:rPr>
              <w:t>5</w:t>
            </w:r>
          </w:p>
        </w:tc>
        <w:tc>
          <w:tcPr>
            <w:tcW w:w="666" w:type="dxa"/>
            <w:tcBorders>
              <w:top w:val="single" w:sz="6" w:space="0" w:color="858585"/>
              <w:left w:val="single" w:sz="7" w:space="0" w:color="858585"/>
              <w:bottom w:val="single" w:sz="4" w:space="0" w:color="858585"/>
            </w:tcBorders>
          </w:tcPr>
          <w:p>
            <w:pPr>
              <w:pStyle w:val="TableParagraph"/>
              <w:spacing w:before="34"/>
              <w:ind w:right="2"/>
              <w:jc w:val="center"/>
              <w:rPr>
                <w:rFonts w:ascii="Calibri"/>
                <w:sz w:val="19"/>
              </w:rPr>
            </w:pPr>
            <w:r>
              <w:rPr>
                <w:rFonts w:ascii="Calibri"/>
                <w:w w:val="102"/>
                <w:sz w:val="19"/>
              </w:rPr>
              <w:t>2</w:t>
            </w:r>
          </w:p>
        </w:tc>
      </w:tr>
    </w:tbl>
    <w:p>
      <w:pPr>
        <w:pStyle w:val="BodyText"/>
        <w:spacing w:before="4"/>
        <w:rPr>
          <w:b/>
          <w:sz w:val="14"/>
        </w:rPr>
      </w:pPr>
    </w:p>
    <w:p>
      <w:pPr>
        <w:spacing w:before="74"/>
        <w:ind w:left="103" w:right="102" w:firstLine="0"/>
        <w:jc w:val="left"/>
        <w:rPr>
          <w:sz w:val="23"/>
        </w:rPr>
      </w:pPr>
      <w:r>
        <w:rPr>
          <w:sz w:val="21"/>
        </w:rPr>
        <w:t>Fuente: Elaboración propia</w:t>
      </w:r>
      <w:r>
        <w:rPr>
          <w:sz w:val="23"/>
        </w:rPr>
        <w:t>.</w:t>
      </w:r>
    </w:p>
    <w:p>
      <w:pPr>
        <w:pStyle w:val="BodyText"/>
        <w:rPr>
          <w:sz w:val="20"/>
        </w:rPr>
      </w:pPr>
    </w:p>
    <w:p>
      <w:pPr>
        <w:pStyle w:val="BodyText"/>
        <w:rPr>
          <w:sz w:val="20"/>
        </w:rPr>
      </w:pPr>
    </w:p>
    <w:p>
      <w:pPr>
        <w:pStyle w:val="BodyText"/>
        <w:rPr>
          <w:sz w:val="20"/>
        </w:rPr>
      </w:pPr>
    </w:p>
    <w:p>
      <w:pPr>
        <w:pStyle w:val="BodyText"/>
        <w:spacing w:before="8"/>
        <w:rPr>
          <w:sz w:val="20"/>
        </w:rPr>
      </w:pPr>
    </w:p>
    <w:p>
      <w:pPr>
        <w:pStyle w:val="BodyText"/>
        <w:ind w:left="103" w:right="102"/>
      </w:pPr>
      <w:r>
        <w:rPr/>
        <w:t>El 86% de las personas migrantes consiguieron prestado dinero o          fueron ayudados</w:t>
      </w:r>
    </w:p>
    <w:p>
      <w:pPr>
        <w:pStyle w:val="BodyText"/>
        <w:spacing w:line="364" w:lineRule="auto" w:before="141"/>
        <w:ind w:left="103" w:right="103"/>
        <w:jc w:val="both"/>
      </w:pPr>
      <w:r>
        <w:rPr/>
        <w:t>económicamente por otros familiares ya establecidos en algún lugar de Estados Unidos  y así se van construyendo redes sociales en el vecino país del norte. Ya que el costo    de la migración, son cantidades grandes que no se pueden costear con actividades como la agricultura que se practican en este municipio. Los costos de migración van desde $15,000.00 hasta $40,000.00 por persona. En este estudio se encontró que el costo medio es de $23,705.00 y la mediana se ubica en el costo de $25,000.00 por persona.</w:t>
      </w:r>
    </w:p>
    <w:p>
      <w:pPr>
        <w:spacing w:after="0" w:line="364" w:lineRule="auto"/>
        <w:jc w:val="both"/>
        <w:sectPr>
          <w:pgSz w:w="11900" w:h="16840"/>
          <w:pgMar w:header="0" w:footer="1619" w:top="1600" w:bottom="1860" w:left="1300" w:right="1280"/>
        </w:sectPr>
      </w:pPr>
    </w:p>
    <w:p>
      <w:pPr>
        <w:pStyle w:val="BodyText"/>
        <w:rPr>
          <w:sz w:val="20"/>
        </w:rPr>
      </w:pPr>
    </w:p>
    <w:p>
      <w:pPr>
        <w:pStyle w:val="BodyText"/>
        <w:spacing w:before="8"/>
        <w:rPr>
          <w:sz w:val="18"/>
        </w:rPr>
      </w:pPr>
    </w:p>
    <w:p>
      <w:pPr>
        <w:pStyle w:val="BodyText"/>
        <w:spacing w:before="74"/>
        <w:ind w:left="103"/>
      </w:pPr>
      <w:r>
        <w:rPr/>
        <w:t>Las redes sociales, cobran un papel muy importante en la migración de los habitantes</w:t>
      </w:r>
    </w:p>
    <w:p>
      <w:pPr>
        <w:pStyle w:val="BodyText"/>
        <w:spacing w:before="138"/>
        <w:ind w:left="103"/>
      </w:pPr>
      <w:r>
        <w:rPr/>
        <w:t>del  municipio  de  Santo  Domingo  Tepuxtepec,  ya  que  el  71%  de  los  casos  tenían</w:t>
      </w:r>
    </w:p>
    <w:p>
      <w:pPr>
        <w:pStyle w:val="BodyText"/>
        <w:spacing w:line="364" w:lineRule="auto" w:before="138"/>
        <w:ind w:left="103"/>
      </w:pPr>
      <w:r>
        <w:rPr/>
        <w:t>parientes ya establecidos en Estados Unidos durante el proceso de migración y fueron ayudados de alguna manera, ya sea económicamente, hospedaje o conseguir  trabajo.</w:t>
      </w:r>
    </w:p>
    <w:p>
      <w:pPr>
        <w:pStyle w:val="BodyText"/>
        <w:spacing w:before="10"/>
        <w:rPr>
          <w:sz w:val="10"/>
        </w:rPr>
      </w:pPr>
    </w:p>
    <w:p>
      <w:pPr>
        <w:pStyle w:val="BodyText"/>
        <w:spacing w:line="364" w:lineRule="auto" w:before="74"/>
        <w:ind w:left="103" w:right="143"/>
        <w:jc w:val="both"/>
      </w:pPr>
      <w:r>
        <w:rPr/>
        <w:t>Existen ciertos lugares donde las redes sociales han presentado mayor desarrollado.    En la grafica siguiente se resaltan 4 lugares, ya que casi el 70% de los migrantes se concentran en Chicago, Los Ángeles, Nueva Jersey y Milwaukee, figura </w:t>
      </w:r>
      <w:r>
        <w:rPr>
          <w:spacing w:val="17"/>
        </w:rPr>
        <w:t> </w:t>
      </w:r>
      <w:r>
        <w:rPr/>
        <w:t>3.</w:t>
      </w:r>
    </w:p>
    <w:p>
      <w:pPr>
        <w:pStyle w:val="BodyText"/>
        <w:rPr>
          <w:sz w:val="20"/>
        </w:rPr>
      </w:pPr>
    </w:p>
    <w:p>
      <w:pPr>
        <w:pStyle w:val="BodyText"/>
        <w:rPr>
          <w:sz w:val="20"/>
        </w:rPr>
      </w:pPr>
    </w:p>
    <w:p>
      <w:pPr>
        <w:pStyle w:val="BodyText"/>
        <w:spacing w:before="8"/>
        <w:rPr>
          <w:sz w:val="22"/>
        </w:rPr>
      </w:pPr>
    </w:p>
    <w:p>
      <w:pPr>
        <w:pStyle w:val="Heading4"/>
        <w:spacing w:before="73"/>
        <w:ind w:left="1637"/>
      </w:pPr>
      <w:r>
        <w:rPr/>
        <w:pict>
          <v:group style="position:absolute;margin-left:70.680pt;margin-top:22.821278pt;width:456.75pt;height:169.35pt;mso-position-horizontal-relative:page;mso-position-vertical-relative:paragraph;z-index:11920;mso-wrap-distance-left:0;mso-wrap-distance-right:0" coordorigin="1414,456" coordsize="9135,3387">
            <v:shape style="position:absolute;left:2700;top:2317;width:1490;height:146" type="#_x0000_t75" stroked="false">
              <v:imagedata r:id="rId385" o:title=""/>
            </v:shape>
            <v:shape style="position:absolute;left:2419;top:2713;width:1771;height:706" type="#_x0000_t75" stroked="false">
              <v:imagedata r:id="rId386" o:title=""/>
            </v:shape>
            <v:shape style="position:absolute;left:1414;top:457;width:2777;height:3387" coordorigin="1414,457" coordsize="2777,3387" path="m4190,457l1421,457,1414,464,1414,3836,1421,3843,4190,3843,4190,3824,1452,3824,1433,3805,1452,3805,1452,495,1433,495,1452,476,4190,476,4190,457xm1452,3805l1433,3805,1452,3824,1452,3805xm4190,3805l1452,3805,1452,3824,4190,3824,4190,3805xm1452,476l1433,495,1452,495,1452,476xm4190,476l1452,476,1452,495,4190,495,4190,476xe" filled="true" fillcolor="#000000" stroked="false">
              <v:path arrowok="t"/>
              <v:fill type="solid"/>
            </v:shape>
            <v:shape style="position:absolute;left:4190;top:2706;width:190;height:252" type="#_x0000_t75" stroked="false">
              <v:imagedata r:id="rId387" o:title=""/>
            </v:shape>
            <v:shape style="position:absolute;left:4190;top:2706;width:1154;height:677" type="#_x0000_t75" stroked="false">
              <v:imagedata r:id="rId388" o:title=""/>
            </v:shape>
            <v:line style="position:absolute" from="4190,3824" to="8378,3824" stroked="true" strokeweight="1.92pt" strokecolor="#000000"/>
            <v:line style="position:absolute" from="4190,476" to="8378,476" stroked="true" strokeweight="1.92pt" strokecolor="#000000"/>
            <v:shape style="position:absolute;left:4190;top:1914;width:5249;height:550" type="#_x0000_t75" stroked="false">
              <v:imagedata r:id="rId389" o:title=""/>
            </v:shape>
            <v:shape style="position:absolute;left:6874;top:2706;width:336;height:338" type="#_x0000_t75" stroked="false">
              <v:imagedata r:id="rId390" o:title=""/>
            </v:shape>
            <v:shape style="position:absolute;left:7150;top:2694;width:1228;height:835" type="#_x0000_t75" stroked="false">
              <v:imagedata r:id="rId391" o:title=""/>
            </v:shape>
            <v:shape style="position:absolute;left:8378;top:2670;width:358;height:360" type="#_x0000_t75" stroked="false">
              <v:imagedata r:id="rId392" o:title=""/>
            </v:shape>
            <v:shape style="position:absolute;left:8378;top:2691;width:735;height:771" coordorigin="8378,2691" coordsize="735,771" path="m8378,3387l8378,3411,8429,3459,8429,3462,8431,3459,8434,3459,8434,3457,8436,3457,8436,3454,8438,3454,8438,3452,8441,3450,8438,3450,8438,3447,8378,3387xm8378,3366l8378,3380,8470,3418,8474,3418,8474,3416,8477,3416,8477,3414,8479,3414,8479,3409,8474,3397,8460,3397,8378,3366xm8441,3284l8434,3284,8422,3296,8422,3308,8424,3308,8460,3397,8474,3397,8434,3301,8458,3301,8441,3284xm8458,3301l8436,3301,8510,3378,8515,3378,8515,3375,8518,3375,8518,3373,8520,3373,8520,3370,8522,3370,8522,3366,8458,3301xm8474,3248l8467,3248,8467,3250,8465,3250,8465,3253,8462,3253,8462,3258,8460,3258,8546,3344,8549,3344,8549,3342,8551,3342,8551,3339,8554,3339,8554,3337,8556,3337,8556,3332,8474,3248xm8508,3212l8506,3212,8501,3217,8498,3217,8498,3219,8496,3222,8496,3224,8580,3308,8582,3308,8602,3289,8582,3289,8508,3212xm8616,3255l8614,3255,8614,3258,8582,3289,8602,3289,8623,3267,8626,3267,8626,3265,8623,3262,8623,3260,8621,3260,8621,3258,8618,3258,8616,3255xm8558,3162l8554,3162,8554,3164,8551,3164,8551,3166,8549,3169,8546,3169,8546,3174,8549,3176,8652,3234,8657,3234,8659,3231,8662,3231,8662,3229,8664,3229,8664,3226,8666,3226,8666,3224,8669,3224,8669,3217,8667,3214,8652,3214,8558,3162xm8611,3111l8606,3111,8604,3114,8602,3114,8602,3116,8599,3116,8599,3118,8597,3118,8597,3126,8652,3214,8667,3214,8621,3135,8653,3135,8611,3111xm8653,3135l8621,3135,8702,3183,8710,3183,8710,3181,8712,3181,8712,3178,8714,3176,8717,3176,8717,3174,8719,3174,8719,3166,8718,3164,8702,3164,8653,3135xm8662,3061l8654,3061,8654,3063,8652,3063,8652,3066,8650,3066,8650,3073,8702,3164,8718,3164,8662,3063,8662,3061xm8712,3008l8710,3008,8707,3010,8705,3010,8705,3013,8702,3015,8700,3015,8700,3018,8698,3020,8698,3025,8748,3133,8750,3135,8750,3138,8755,3138,8755,3135,8758,3135,8758,3133,8760,3133,8760,3130,8762,3130,8762,3126,8748,3097,8760,3085,8743,3085,8714,3027,8752,3027,8712,3008xm8752,3027l8714,3027,8772,3056,8743,3085,8760,3085,8784,3061,8822,3061,8752,3027xm8825,3061l8784,3061,8813,3075,8818,3075,8818,3073,8820,3073,8820,3070,8822,3070,8822,3068,8825,3068,8825,3066,8827,3063,8825,3063,8825,3061xm8767,2953l8765,2953,8760,2958,8758,2958,8758,2960,8755,2962,8755,2965,8820,3030,8825,3032,8832,3034,8849,3034,8868,3025,8873,3020,8876,3018,8834,3018,8832,3015,8822,3010,8820,3006,8767,2953xm8820,2900l8815,2900,8815,2902,8813,2905,8810,2905,8810,2907,8808,2910,8808,2912,8810,2912,8863,2965,8866,2970,8870,2972,8870,2977,8873,2979,8875,2984,8875,2991,8873,2996,8873,2998,8870,3003,8858,3015,8854,3015,8851,3018,8876,3018,8880,3015,8882,3008,8887,2998,8890,2991,8890,2982,8887,2974,8882,2965,8880,2958,8873,2953,8820,2900xm8930,2960l8928,2960,8928,2962,8930,2962,8930,2960xm8856,2866l8849,2866,8849,2869,8846,2869,8846,2871,8844,2871,8844,2876,8842,2876,8926,2960,8933,2960,8933,2958,8935,2958,8935,2955,8938,2955,8938,2950,8894,2907,8983,2907,8983,2905,8894,2905,8856,2866xm8983,2907l8894,2907,8969,2917,8976,2917,8976,2914,8978,2914,8978,2912,8981,2912,8981,2910,8983,2910,8983,2907xm8899,2823l8894,2823,8892,2826,8890,2826,8890,2828,8887,2828,8887,2833,8885,2833,8885,2835,8894,2905,8983,2905,8981,2902,8978,2902,8906,2893,8899,2828,8899,2823xm8962,2758l8959,2758,8916,2802,8916,2809,8918,2809,8995,2888,8998,2890,9000,2888,9002,2888,9019,2871,9002,2871,8971,2840,8981,2830,8962,2830,8933,2804,8969,2768,8969,2766,8966,2766,8966,2763,8964,2763,8964,2761,8962,2761,8962,2758xm9041,2835l9036,2835,9002,2871,9019,2871,9046,2845,9046,2840,9043,2840,9043,2838,9041,2838,9041,2835xm8993,2799l8962,2830,8981,2830,9000,2811,9000,2806,8998,2806,8998,2804,8995,2804,8995,2802,8993,2802,8993,2799xm9031,2691l9026,2691,8983,2734,8983,2739,9065,2821,9070,2821,9089,2802,9070,2802,9038,2773,9047,2763,9029,2763,9002,2734,9036,2701,9036,2696,9034,2696,9034,2694,9031,2694,9031,2691xm9108,2768l9103,2768,9070,2802,9089,2802,9113,2778,9113,2773,9110,2773,9110,2770,9108,2770,9108,2768xm9060,2732l9058,2732,9058,2734,9029,2763,9047,2763,9067,2742,9067,2737,9065,2737,9065,2734,9062,2734,9060,2732xe" filled="true" fillcolor="#000000" stroked="false">
              <v:path arrowok="t"/>
              <v:fill type="solid"/>
            </v:shape>
            <v:shape style="position:absolute;left:8378;top:457;width:2170;height:3387" coordorigin="8378,457" coordsize="2170,3387" path="m10510,3805l8378,3805,8378,3843,10541,3843,10548,3836,10548,3824,10510,3824,10510,3805xm10510,476l10510,3824,10529,3805,10548,3805,10548,495,10529,495,10510,476xm10548,3805l10529,3805,10510,3824,10548,3824,10548,3805xm10541,457l8378,457,8378,495,10510,495,10510,476,10548,476,10548,464,10541,457xm10548,476l10510,476,10529,495,10548,495,10548,476xe" filled="true" fillcolor="#000000" stroked="false">
              <v:path arrowok="t"/>
              <v:fill type="solid"/>
            </v:shape>
            <v:shape style="position:absolute;left:2743;top:693;width:6473;height:1389" type="#_x0000_t202" filled="false" stroked="false">
              <v:textbox inset="0,0,0,0">
                <w:txbxContent>
                  <w:p>
                    <w:pPr>
                      <w:spacing w:line="357" w:lineRule="exact" w:before="0"/>
                      <w:ind w:left="0" w:right="0" w:firstLine="0"/>
                      <w:jc w:val="center"/>
                      <w:rPr>
                        <w:rFonts w:ascii="Calibri"/>
                        <w:b/>
                        <w:sz w:val="35"/>
                      </w:rPr>
                    </w:pPr>
                    <w:r>
                      <w:rPr>
                        <w:rFonts w:ascii="Calibri"/>
                        <w:b/>
                        <w:sz w:val="35"/>
                      </w:rPr>
                      <w:t>Numero de Migrantes de acuerdo al lugar</w:t>
                    </w:r>
                    <w:r>
                      <w:rPr>
                        <w:rFonts w:ascii="Calibri"/>
                        <w:b/>
                        <w:spacing w:val="-44"/>
                        <w:sz w:val="35"/>
                      </w:rPr>
                      <w:t> </w:t>
                    </w:r>
                    <w:r>
                      <w:rPr>
                        <w:rFonts w:ascii="Calibri"/>
                        <w:b/>
                        <w:sz w:val="35"/>
                      </w:rPr>
                      <w:t>de</w:t>
                    </w:r>
                  </w:p>
                  <w:p>
                    <w:pPr>
                      <w:spacing w:before="0"/>
                      <w:ind w:left="2" w:right="0" w:firstLine="0"/>
                      <w:jc w:val="center"/>
                      <w:rPr>
                        <w:rFonts w:ascii="Calibri"/>
                        <w:b/>
                        <w:sz w:val="35"/>
                      </w:rPr>
                    </w:pPr>
                    <w:r>
                      <w:rPr>
                        <w:rFonts w:ascii="Calibri"/>
                        <w:b/>
                        <w:sz w:val="35"/>
                      </w:rPr>
                      <w:t>residencia en USA</w:t>
                    </w:r>
                  </w:p>
                  <w:p>
                    <w:pPr>
                      <w:spacing w:line="228" w:lineRule="exact" w:before="152"/>
                      <w:ind w:left="0" w:right="201" w:firstLine="0"/>
                      <w:jc w:val="center"/>
                      <w:rPr>
                        <w:rFonts w:ascii="Calibri"/>
                        <w:sz w:val="19"/>
                      </w:rPr>
                    </w:pPr>
                    <w:r>
                      <w:rPr>
                        <w:rFonts w:ascii="Calibri"/>
                        <w:sz w:val="19"/>
                      </w:rPr>
                      <w:t>32</w:t>
                    </w:r>
                  </w:p>
                  <w:p>
                    <w:pPr>
                      <w:spacing w:line="225" w:lineRule="exact" w:before="0"/>
                      <w:ind w:left="1620" w:right="0" w:firstLine="0"/>
                      <w:jc w:val="left"/>
                      <w:rPr>
                        <w:rFonts w:ascii="Calibri"/>
                        <w:sz w:val="19"/>
                      </w:rPr>
                    </w:pPr>
                    <w:r>
                      <w:rPr>
                        <w:rFonts w:ascii="Calibri"/>
                        <w:sz w:val="19"/>
                      </w:rPr>
                      <w:t>17</w:t>
                    </w:r>
                  </w:p>
                </w:txbxContent>
              </v:textbox>
              <w10:wrap type="none"/>
            </v:shape>
            <v:shape style="position:absolute;left:6252;top:1799;width:197;height:194" type="#_x0000_t202" filled="false" stroked="false">
              <v:textbox inset="0,0,0,0">
                <w:txbxContent>
                  <w:p>
                    <w:pPr>
                      <w:spacing w:line="194" w:lineRule="exact" w:before="0"/>
                      <w:ind w:left="0" w:right="-16" w:firstLine="0"/>
                      <w:jc w:val="left"/>
                      <w:rPr>
                        <w:rFonts w:ascii="Calibri"/>
                        <w:sz w:val="19"/>
                      </w:rPr>
                    </w:pPr>
                    <w:r>
                      <w:rPr>
                        <w:rFonts w:ascii="Calibri"/>
                        <w:sz w:val="19"/>
                      </w:rPr>
                      <w:t>23</w:t>
                    </w:r>
                  </w:p>
                </w:txbxContent>
              </v:textbox>
              <w10:wrap type="none"/>
            </v:shape>
            <v:shape style="position:absolute;left:9082;top:1888;width:195;height:194" type="#_x0000_t202" filled="false" stroked="false">
              <v:textbox inset="0,0,0,0">
                <w:txbxContent>
                  <w:p>
                    <w:pPr>
                      <w:spacing w:line="194" w:lineRule="exact" w:before="0"/>
                      <w:ind w:left="0" w:right="-18" w:firstLine="0"/>
                      <w:jc w:val="left"/>
                      <w:rPr>
                        <w:rFonts w:ascii="Calibri"/>
                        <w:sz w:val="19"/>
                      </w:rPr>
                    </w:pPr>
                    <w:r>
                      <w:rPr>
                        <w:rFonts w:ascii="Calibri"/>
                        <w:sz w:val="19"/>
                      </w:rPr>
                      <w:t>17</w:t>
                    </w:r>
                  </w:p>
                </w:txbxContent>
              </v:textbox>
              <w10:wrap type="none"/>
            </v:shape>
            <v:shape style="position:absolute;left:2796;top:2068;width:3588;height:269" type="#_x0000_t202" filled="false" stroked="false">
              <v:textbox inset="0,0,0,0">
                <w:txbxContent>
                  <w:p>
                    <w:pPr>
                      <w:spacing w:line="268" w:lineRule="exact" w:before="0"/>
                      <w:ind w:left="0" w:right="0" w:firstLine="0"/>
                      <w:jc w:val="left"/>
                      <w:rPr>
                        <w:rFonts w:ascii="Calibri"/>
                        <w:sz w:val="19"/>
                      </w:rPr>
                    </w:pPr>
                    <w:r>
                      <w:rPr>
                        <w:rFonts w:ascii="Calibri"/>
                        <w:spacing w:val="-12"/>
                        <w:sz w:val="19"/>
                      </w:rPr>
                      <w:t>2%</w:t>
                    </w:r>
                    <w:r>
                      <w:rPr>
                        <w:rFonts w:ascii="Calibri"/>
                        <w:spacing w:val="-12"/>
                        <w:position w:val="5"/>
                        <w:sz w:val="19"/>
                      </w:rPr>
                      <w:t>3     </w:t>
                    </w:r>
                    <w:r>
                      <w:rPr>
                        <w:rFonts w:ascii="Calibri"/>
                        <w:spacing w:val="-13"/>
                        <w:sz w:val="19"/>
                      </w:rPr>
                      <w:t>4%</w:t>
                    </w:r>
                    <w:r>
                      <w:rPr>
                        <w:rFonts w:ascii="Calibri"/>
                        <w:spacing w:val="-13"/>
                        <w:position w:val="7"/>
                        <w:sz w:val="19"/>
                      </w:rPr>
                      <w:t>5      </w:t>
                    </w:r>
                    <w:r>
                      <w:rPr>
                        <w:rFonts w:ascii="Calibri"/>
                        <w:spacing w:val="-12"/>
                        <w:sz w:val="19"/>
                      </w:rPr>
                      <w:t>2%</w:t>
                    </w:r>
                    <w:r>
                      <w:rPr>
                        <w:rFonts w:ascii="Calibri"/>
                        <w:spacing w:val="-12"/>
                        <w:position w:val="5"/>
                        <w:sz w:val="19"/>
                      </w:rPr>
                      <w:t>3    </w:t>
                    </w:r>
                    <w:r>
                      <w:rPr>
                        <w:rFonts w:ascii="Calibri"/>
                        <w:sz w:val="19"/>
                      </w:rPr>
                      <w:t>13%     </w:t>
                    </w:r>
                    <w:r>
                      <w:rPr>
                        <w:rFonts w:ascii="Calibri"/>
                        <w:spacing w:val="-12"/>
                        <w:sz w:val="19"/>
                      </w:rPr>
                      <w:t>4%</w:t>
                    </w:r>
                    <w:r>
                      <w:rPr>
                        <w:rFonts w:ascii="Calibri"/>
                        <w:spacing w:val="-12"/>
                        <w:position w:val="7"/>
                        <w:sz w:val="19"/>
                      </w:rPr>
                      <w:t>5     </w:t>
                    </w:r>
                    <w:r>
                      <w:rPr>
                        <w:rFonts w:ascii="Calibri"/>
                        <w:spacing w:val="-13"/>
                        <w:sz w:val="19"/>
                      </w:rPr>
                      <w:t>4%</w:t>
                    </w:r>
                    <w:r>
                      <w:rPr>
                        <w:rFonts w:ascii="Calibri"/>
                        <w:spacing w:val="-13"/>
                        <w:position w:val="7"/>
                        <w:sz w:val="19"/>
                      </w:rPr>
                      <w:t>5    </w:t>
                    </w:r>
                    <w:r>
                      <w:rPr>
                        <w:rFonts w:ascii="Calibri"/>
                        <w:sz w:val="19"/>
                      </w:rPr>
                      <w:t>25%  18%</w:t>
                    </w:r>
                  </w:p>
                </w:txbxContent>
              </v:textbox>
              <w10:wrap type="none"/>
            </v:shape>
            <v:shape style="position:absolute;left:6569;top:2097;width:2645;height:240" type="#_x0000_t202" filled="false" stroked="false">
              <v:textbox inset="0,0,0,0">
                <w:txbxContent>
                  <w:p>
                    <w:pPr>
                      <w:tabs>
                        <w:tab w:pos="472" w:val="left" w:leader="none"/>
                      </w:tabs>
                      <w:spacing w:line="239" w:lineRule="exact" w:before="0"/>
                      <w:ind w:left="0" w:right="0" w:firstLine="0"/>
                      <w:jc w:val="left"/>
                      <w:rPr>
                        <w:rFonts w:ascii="Calibri"/>
                        <w:sz w:val="19"/>
                      </w:rPr>
                    </w:pPr>
                    <w:r>
                      <w:rPr>
                        <w:rFonts w:ascii="Calibri"/>
                        <w:sz w:val="19"/>
                      </w:rPr>
                      <w:t>6%</w:t>
                      <w:tab/>
                    </w:r>
                    <w:r>
                      <w:rPr>
                        <w:rFonts w:ascii="Calibri"/>
                        <w:spacing w:val="-12"/>
                        <w:sz w:val="19"/>
                      </w:rPr>
                      <w:t>2%</w:t>
                    </w:r>
                    <w:r>
                      <w:rPr>
                        <w:rFonts w:ascii="Calibri"/>
                        <w:spacing w:val="-12"/>
                        <w:position w:val="3"/>
                        <w:sz w:val="19"/>
                      </w:rPr>
                      <w:t>2    </w:t>
                    </w:r>
                    <w:r>
                      <w:rPr>
                        <w:rFonts w:ascii="Calibri"/>
                        <w:spacing w:val="18"/>
                        <w:position w:val="3"/>
                        <w:sz w:val="19"/>
                      </w:rPr>
                      <w:t> </w:t>
                    </w:r>
                    <w:r>
                      <w:rPr>
                        <w:rFonts w:ascii="Calibri"/>
                        <w:spacing w:val="-12"/>
                        <w:sz w:val="19"/>
                      </w:rPr>
                      <w:t>2%</w:t>
                    </w:r>
                    <w:r>
                      <w:rPr>
                        <w:rFonts w:ascii="Calibri"/>
                        <w:spacing w:val="-12"/>
                        <w:position w:val="5"/>
                        <w:sz w:val="19"/>
                      </w:rPr>
                      <w:t>3    </w:t>
                    </w:r>
                    <w:r>
                      <w:rPr>
                        <w:rFonts w:ascii="Calibri"/>
                        <w:spacing w:val="18"/>
                        <w:position w:val="5"/>
                        <w:sz w:val="19"/>
                      </w:rPr>
                      <w:t> </w:t>
                    </w:r>
                    <w:r>
                      <w:rPr>
                        <w:rFonts w:ascii="Calibri"/>
                        <w:spacing w:val="-12"/>
                        <w:sz w:val="19"/>
                      </w:rPr>
                      <w:t>2%</w:t>
                    </w:r>
                    <w:r>
                      <w:rPr>
                        <w:rFonts w:ascii="Calibri"/>
                        <w:spacing w:val="-12"/>
                        <w:position w:val="5"/>
                        <w:sz w:val="19"/>
                      </w:rPr>
                      <w:t>3    </w:t>
                    </w:r>
                    <w:r>
                      <w:rPr>
                        <w:rFonts w:ascii="Calibri"/>
                        <w:spacing w:val="18"/>
                        <w:position w:val="5"/>
                        <w:sz w:val="19"/>
                      </w:rPr>
                      <w:t> </w:t>
                    </w:r>
                    <w:r>
                      <w:rPr>
                        <w:rFonts w:ascii="Calibri"/>
                        <w:spacing w:val="-11"/>
                        <w:sz w:val="19"/>
                      </w:rPr>
                      <w:t>2%</w:t>
                    </w:r>
                    <w:r>
                      <w:rPr>
                        <w:rFonts w:ascii="Calibri"/>
                        <w:spacing w:val="-11"/>
                        <w:position w:val="5"/>
                        <w:sz w:val="19"/>
                      </w:rPr>
                      <w:t>3  </w:t>
                    </w:r>
                    <w:r>
                      <w:rPr>
                        <w:rFonts w:ascii="Calibri"/>
                        <w:position w:val="5"/>
                        <w:sz w:val="19"/>
                      </w:rPr>
                      <w:t> </w:t>
                    </w:r>
                    <w:r>
                      <w:rPr>
                        <w:rFonts w:ascii="Calibri"/>
                        <w:sz w:val="19"/>
                      </w:rPr>
                      <w:t>13%</w:t>
                    </w:r>
                  </w:p>
                </w:txbxContent>
              </v:textbox>
              <w10:wrap type="none"/>
            </v:shape>
            <v:shape style="position:absolute;left:6773;top:2023;width:99;height:194" type="#_x0000_t202" filled="false" stroked="false">
              <v:textbox inset="0,0,0,0">
                <w:txbxContent>
                  <w:p>
                    <w:pPr>
                      <w:spacing w:line="194" w:lineRule="exact" w:before="0"/>
                      <w:ind w:left="0" w:right="0" w:firstLine="0"/>
                      <w:jc w:val="left"/>
                      <w:rPr>
                        <w:rFonts w:ascii="Calibri"/>
                        <w:sz w:val="19"/>
                      </w:rPr>
                    </w:pPr>
                    <w:r>
                      <w:rPr>
                        <w:rFonts w:ascii="Calibri"/>
                        <w:w w:val="102"/>
                        <w:sz w:val="19"/>
                      </w:rPr>
                      <w:t>8</w:t>
                    </w:r>
                  </w:p>
                </w:txbxContent>
              </v:textbox>
              <w10:wrap type="none"/>
            </v:shape>
            <w10:wrap type="topAndBottom"/>
          </v:group>
        </w:pict>
      </w:r>
      <w:r>
        <w:rPr/>
        <w:t>Figura 3. Migrantes por lugar de destino en los  EE.UU.</w:t>
      </w:r>
    </w:p>
    <w:p>
      <w:pPr>
        <w:pStyle w:val="BodyText"/>
        <w:spacing w:before="1"/>
        <w:rPr>
          <w:b/>
          <w:sz w:val="12"/>
        </w:rPr>
      </w:pPr>
    </w:p>
    <w:p>
      <w:pPr>
        <w:spacing w:before="74"/>
        <w:ind w:left="103" w:right="0" w:firstLine="0"/>
        <w:jc w:val="left"/>
        <w:rPr>
          <w:sz w:val="23"/>
        </w:rPr>
      </w:pPr>
      <w:r>
        <w:rPr/>
        <w:drawing>
          <wp:anchor distT="0" distB="0" distL="0" distR="0" allowOverlap="1" layoutInCell="1" locked="0" behindDoc="1" simplePos="0" relativeHeight="267732935">
            <wp:simplePos x="0" y="0"/>
            <wp:positionH relativeFrom="page">
              <wp:posOffset>3518915</wp:posOffset>
            </wp:positionH>
            <wp:positionV relativeFrom="paragraph">
              <wp:posOffset>-802051</wp:posOffset>
            </wp:positionV>
            <wp:extent cx="168202" cy="133350"/>
            <wp:effectExtent l="0" t="0" r="0" b="0"/>
            <wp:wrapNone/>
            <wp:docPr id="3" name="image292.png" descr=""/>
            <wp:cNvGraphicFramePr>
              <a:graphicFrameLocks noChangeAspect="1"/>
            </wp:cNvGraphicFramePr>
            <a:graphic>
              <a:graphicData uri="http://schemas.openxmlformats.org/drawingml/2006/picture">
                <pic:pic>
                  <pic:nvPicPr>
                    <pic:cNvPr id="4" name="image292.png"/>
                    <pic:cNvPicPr/>
                  </pic:nvPicPr>
                  <pic:blipFill>
                    <a:blip r:embed="rId393" cstate="print"/>
                    <a:stretch>
                      <a:fillRect/>
                    </a:stretch>
                  </pic:blipFill>
                  <pic:spPr>
                    <a:xfrm>
                      <a:off x="0" y="0"/>
                      <a:ext cx="168202" cy="133350"/>
                    </a:xfrm>
                    <a:prstGeom prst="rect">
                      <a:avLst/>
                    </a:prstGeom>
                  </pic:spPr>
                </pic:pic>
              </a:graphicData>
            </a:graphic>
          </wp:anchor>
        </w:drawing>
      </w:r>
      <w:r>
        <w:rPr/>
        <w:drawing>
          <wp:anchor distT="0" distB="0" distL="0" distR="0" allowOverlap="1" layoutInCell="1" locked="0" behindDoc="1" simplePos="0" relativeHeight="267732959">
            <wp:simplePos x="0" y="0"/>
            <wp:positionH relativeFrom="page">
              <wp:posOffset>3822191</wp:posOffset>
            </wp:positionH>
            <wp:positionV relativeFrom="paragraph">
              <wp:posOffset>-815767</wp:posOffset>
            </wp:positionV>
            <wp:extent cx="167208" cy="145732"/>
            <wp:effectExtent l="0" t="0" r="0" b="0"/>
            <wp:wrapNone/>
            <wp:docPr id="5" name="image293.png" descr=""/>
            <wp:cNvGraphicFramePr>
              <a:graphicFrameLocks noChangeAspect="1"/>
            </wp:cNvGraphicFramePr>
            <a:graphic>
              <a:graphicData uri="http://schemas.openxmlformats.org/drawingml/2006/picture">
                <pic:pic>
                  <pic:nvPicPr>
                    <pic:cNvPr id="6" name="image293.png"/>
                    <pic:cNvPicPr/>
                  </pic:nvPicPr>
                  <pic:blipFill>
                    <a:blip r:embed="rId394" cstate="print"/>
                    <a:stretch>
                      <a:fillRect/>
                    </a:stretch>
                  </pic:blipFill>
                  <pic:spPr>
                    <a:xfrm>
                      <a:off x="0" y="0"/>
                      <a:ext cx="167208" cy="145732"/>
                    </a:xfrm>
                    <a:prstGeom prst="rect">
                      <a:avLst/>
                    </a:prstGeom>
                  </pic:spPr>
                </pic:pic>
              </a:graphicData>
            </a:graphic>
          </wp:anchor>
        </w:drawing>
      </w:r>
      <w:r>
        <w:rPr/>
        <w:drawing>
          <wp:anchor distT="0" distB="0" distL="0" distR="0" allowOverlap="1" layoutInCell="1" locked="0" behindDoc="1" simplePos="0" relativeHeight="267732983">
            <wp:simplePos x="0" y="0"/>
            <wp:positionH relativeFrom="page">
              <wp:posOffset>4107179</wp:posOffset>
            </wp:positionH>
            <wp:positionV relativeFrom="paragraph">
              <wp:posOffset>-821863</wp:posOffset>
            </wp:positionV>
            <wp:extent cx="181979" cy="166687"/>
            <wp:effectExtent l="0" t="0" r="0" b="0"/>
            <wp:wrapNone/>
            <wp:docPr id="7" name="image294.png" descr=""/>
            <wp:cNvGraphicFramePr>
              <a:graphicFrameLocks noChangeAspect="1"/>
            </wp:cNvGraphicFramePr>
            <a:graphic>
              <a:graphicData uri="http://schemas.openxmlformats.org/drawingml/2006/picture">
                <pic:pic>
                  <pic:nvPicPr>
                    <pic:cNvPr id="8" name="image294.png"/>
                    <pic:cNvPicPr/>
                  </pic:nvPicPr>
                  <pic:blipFill>
                    <a:blip r:embed="rId395" cstate="print"/>
                    <a:stretch>
                      <a:fillRect/>
                    </a:stretch>
                  </pic:blipFill>
                  <pic:spPr>
                    <a:xfrm>
                      <a:off x="0" y="0"/>
                      <a:ext cx="181979" cy="166687"/>
                    </a:xfrm>
                    <a:prstGeom prst="rect">
                      <a:avLst/>
                    </a:prstGeom>
                  </pic:spPr>
                </pic:pic>
              </a:graphicData>
            </a:graphic>
          </wp:anchor>
        </w:drawing>
      </w:r>
      <w:r>
        <w:rPr>
          <w:sz w:val="21"/>
        </w:rPr>
        <w:t>Fuente: Elaboración propia</w:t>
      </w:r>
      <w:r>
        <w:rPr>
          <w:sz w:val="23"/>
        </w:rPr>
        <w:t>.</w:t>
      </w:r>
    </w:p>
    <w:p>
      <w:pPr>
        <w:pStyle w:val="BodyText"/>
        <w:rPr>
          <w:sz w:val="20"/>
        </w:rPr>
      </w:pPr>
    </w:p>
    <w:p>
      <w:pPr>
        <w:pStyle w:val="BodyText"/>
        <w:rPr>
          <w:sz w:val="20"/>
        </w:rPr>
      </w:pPr>
    </w:p>
    <w:p>
      <w:pPr>
        <w:pStyle w:val="BodyText"/>
        <w:rPr>
          <w:sz w:val="20"/>
        </w:rPr>
      </w:pPr>
    </w:p>
    <w:p>
      <w:pPr>
        <w:pStyle w:val="BodyText"/>
        <w:spacing w:before="1"/>
        <w:rPr>
          <w:sz w:val="21"/>
        </w:rPr>
      </w:pPr>
    </w:p>
    <w:p>
      <w:pPr>
        <w:pStyle w:val="BodyText"/>
        <w:spacing w:line="364" w:lineRule="auto"/>
        <w:ind w:left="103"/>
      </w:pPr>
      <w:r>
        <w:rPr/>
        <w:t>La mayoría de los migrantes se dedicaban a la agricultura o las mujeres eran amas de casa antes de migrar, es por eso que la actividad agropecuaria y restaurante ocupan  </w:t>
      </w:r>
      <w:r>
        <w:rPr>
          <w:spacing w:val="53"/>
        </w:rPr>
        <w:t> </w:t>
      </w:r>
      <w:r>
        <w:rPr/>
        <w:t>la</w:t>
      </w:r>
    </w:p>
    <w:p>
      <w:pPr>
        <w:pStyle w:val="BodyText"/>
        <w:spacing w:before="5"/>
        <w:ind w:left="103"/>
      </w:pPr>
      <w:r>
        <w:rPr/>
        <w:t>mitad  de  los  migrantes  de  este  municipio  en  EE.UU.  después  de  esto  le   </w:t>
      </w:r>
      <w:r>
        <w:rPr>
          <w:spacing w:val="61"/>
        </w:rPr>
        <w:t> </w:t>
      </w:r>
      <w:r>
        <w:rPr/>
        <w:t>siguen</w:t>
      </w:r>
    </w:p>
    <w:p>
      <w:pPr>
        <w:pStyle w:val="BodyText"/>
        <w:spacing w:before="138"/>
        <w:ind w:left="103"/>
      </w:pPr>
      <w:r>
        <w:rPr/>
        <w:t>vendedor,  obrero  en  fábrica  y  jardinero  con  12%,  10%  y  8%  respectivamente.   En</w:t>
      </w:r>
    </w:p>
    <w:p>
      <w:pPr>
        <w:pStyle w:val="BodyText"/>
        <w:spacing w:before="138"/>
        <w:ind w:left="103"/>
      </w:pPr>
      <w:r>
        <w:rPr/>
        <w:t>referencia  con  restaurante,  también  se  consideraron  todas  las   actividades     como:</w:t>
      </w:r>
    </w:p>
    <w:p>
      <w:pPr>
        <w:pStyle w:val="BodyText"/>
        <w:spacing w:before="138"/>
        <w:ind w:left="103"/>
      </w:pPr>
      <w:r>
        <w:rPr/>
        <w:t>lavaplatos, mesero/a, cajero/a y cocinera/a. De igual manera en el    sector agropecuario</w:t>
      </w:r>
    </w:p>
    <w:p>
      <w:pPr>
        <w:pStyle w:val="BodyText"/>
        <w:spacing w:before="138"/>
        <w:ind w:left="103"/>
      </w:pPr>
      <w:r>
        <w:rPr/>
        <w:t>se  consideró  toda  actividad  relacionada  con  el  campo,  tales  como:  la  siembra     y</w:t>
      </w:r>
    </w:p>
    <w:p>
      <w:pPr>
        <w:pStyle w:val="BodyText"/>
        <w:spacing w:before="136"/>
        <w:ind w:left="103"/>
      </w:pPr>
      <w:r>
        <w:rPr/>
        <w:t>cosecha de hortalizas o frutales y también se consideró actividades como  granjero.</w:t>
      </w:r>
    </w:p>
    <w:p>
      <w:pPr>
        <w:spacing w:after="0"/>
        <w:sectPr>
          <w:footerReference w:type="default" r:id="rId384"/>
          <w:pgSz w:w="11900" w:h="16840"/>
          <w:pgMar w:footer="1676" w:header="0" w:top="1600" w:bottom="1860" w:left="1300" w:right="1240"/>
          <w:pgNumType w:start="300"/>
        </w:sectPr>
      </w:pPr>
    </w:p>
    <w:p>
      <w:pPr>
        <w:pStyle w:val="BodyText"/>
        <w:rPr>
          <w:sz w:val="20"/>
        </w:rPr>
      </w:pPr>
    </w:p>
    <w:p>
      <w:pPr>
        <w:pStyle w:val="BodyText"/>
        <w:spacing w:before="8"/>
        <w:rPr>
          <w:sz w:val="18"/>
        </w:rPr>
      </w:pPr>
    </w:p>
    <w:p>
      <w:pPr>
        <w:pStyle w:val="BodyText"/>
        <w:spacing w:line="364" w:lineRule="auto" w:before="74"/>
        <w:ind w:left="103" w:right="102" w:firstLine="64"/>
        <w:jc w:val="both"/>
      </w:pPr>
      <w:r>
        <w:rPr/>
        <w:t>El total de los migrantes sólo el 6% no envían remesas a sus familiares mientras que el 94% lo hacen. Los casos donde no envían dinero corresponden a personas que han migrado con su familia completa, por lo que no hay dependientes directos viviendo en</w:t>
      </w:r>
    </w:p>
    <w:p>
      <w:pPr>
        <w:pStyle w:val="BodyText"/>
        <w:spacing w:before="5"/>
        <w:ind w:left="103" w:right="102"/>
      </w:pPr>
      <w:r>
        <w:rPr/>
        <w:t>el  municipio  y  aquellos  jóvenes  solteros  que  no  tienen  algún  compromiso  en      el</w:t>
      </w:r>
    </w:p>
    <w:p>
      <w:pPr>
        <w:pStyle w:val="BodyText"/>
        <w:spacing w:line="364" w:lineRule="auto" w:before="138"/>
        <w:ind w:left="103" w:right="102"/>
      </w:pPr>
      <w:r>
        <w:rPr/>
        <w:t>municipio y se sienten libres de hacer lo que mejor les plazca con el dinero, y muchas veces estos jóvenes terminaron en las cárceles o  deportados.</w:t>
      </w:r>
    </w:p>
    <w:p>
      <w:pPr>
        <w:pStyle w:val="BodyText"/>
        <w:spacing w:before="1"/>
        <w:rPr>
          <w:sz w:val="11"/>
        </w:rPr>
      </w:pPr>
    </w:p>
    <w:p>
      <w:pPr>
        <w:pStyle w:val="BodyText"/>
        <w:spacing w:before="74"/>
        <w:ind w:left="103" w:right="102"/>
      </w:pPr>
      <w:r>
        <w:rPr/>
        <w:t>El  monto  promedio  de  envío  de  remesas  es  $2,782.00,  y  el  monto  máximo  es de</w:t>
      </w:r>
    </w:p>
    <w:p>
      <w:pPr>
        <w:pStyle w:val="BodyText"/>
        <w:spacing w:before="138"/>
        <w:ind w:left="103"/>
      </w:pPr>
      <w:r>
        <w:rPr/>
        <w:t>$15,000.00 mensuales.  Realizando  el  analisis  del  monto  de los  envíos  de  dinero de</w:t>
      </w:r>
    </w:p>
    <w:p>
      <w:pPr>
        <w:pStyle w:val="BodyText"/>
        <w:spacing w:line="364" w:lineRule="auto" w:before="136"/>
        <w:ind w:left="103" w:right="103"/>
        <w:jc w:val="both"/>
      </w:pPr>
      <w:r>
        <w:rPr/>
        <w:t>acuerdo a la actividad del migrante en USA tenemos que los migrantes que trabajan en restaurante, jardinería y renta de moviliarios son los que mayor monto  de  dinero  envían, seguido por chofer, aserradero y agropecuario, figura </w:t>
      </w:r>
      <w:r>
        <w:rPr>
          <w:spacing w:val="6"/>
        </w:rPr>
        <w:t> </w:t>
      </w:r>
      <w:r>
        <w:rPr/>
        <w:t>4.</w:t>
      </w:r>
    </w:p>
    <w:p>
      <w:pPr>
        <w:pStyle w:val="BodyText"/>
        <w:rPr>
          <w:sz w:val="20"/>
        </w:rPr>
      </w:pPr>
    </w:p>
    <w:p>
      <w:pPr>
        <w:pStyle w:val="BodyText"/>
        <w:rPr>
          <w:sz w:val="20"/>
        </w:rPr>
      </w:pPr>
    </w:p>
    <w:p>
      <w:pPr>
        <w:pStyle w:val="BodyText"/>
        <w:spacing w:before="10"/>
        <w:rPr>
          <w:sz w:val="22"/>
        </w:rPr>
      </w:pPr>
    </w:p>
    <w:p>
      <w:pPr>
        <w:pStyle w:val="Heading4"/>
        <w:spacing w:before="74"/>
        <w:ind w:left="1179" w:right="102"/>
      </w:pPr>
      <w:r>
        <w:rPr/>
        <w:pict>
          <v:group style="position:absolute;margin-left:79.439995pt;margin-top:22.761292pt;width:437.65pt;height:235pt;mso-position-horizontal-relative:page;mso-position-vertical-relative:paragraph;z-index:12376;mso-wrap-distance-left:0;mso-wrap-distance-right:0" coordorigin="1589,455" coordsize="8753,4700">
            <v:shape style="position:absolute;left:2914;top:1766;width:1277;height:240" type="#_x0000_t75" stroked="false">
              <v:imagedata r:id="rId396" o:title=""/>
            </v:shape>
            <v:shape style="position:absolute;left:2914;top:2003;width:1277;height:122" type="#_x0000_t75" stroked="false">
              <v:imagedata r:id="rId397" o:title=""/>
            </v:shape>
            <v:shape style="position:absolute;left:2914;top:2123;width:1277;height:122" type="#_x0000_t75" stroked="false">
              <v:imagedata r:id="rId398" o:title=""/>
            </v:shape>
            <v:shape style="position:absolute;left:2914;top:2243;width:1277;height:886" type="#_x0000_t75" stroked="false">
              <v:imagedata r:id="rId399" o:title=""/>
            </v:shape>
            <v:line style="position:absolute" from="2861,3122" to="2923,3122" stroked="true" strokeweight=".72pt" strokecolor="#858585"/>
            <v:line style="position:absolute" from="2861,3002" to="2923,3002" stroked="true" strokeweight=".72pt" strokecolor="#858585"/>
            <v:line style="position:absolute" from="2861,2882" to="2923,2882" stroked="true" strokeweight=".72pt" strokecolor="#858585"/>
            <v:line style="position:absolute" from="2861,2762" to="2923,2762" stroked="true" strokeweight=".72pt" strokecolor="#858585"/>
            <v:line style="position:absolute" from="2861,2644" to="2923,2644" stroked="true" strokeweight=".72pt" strokecolor="#858585"/>
            <v:line style="position:absolute" from="2861,2524" to="2923,2524" stroked="true" strokeweight=".72pt" strokecolor="#858585"/>
            <v:line style="position:absolute" from="2861,2405" to="2923,2405" stroked="true" strokeweight=".84pt" strokecolor="#858585"/>
            <v:line style="position:absolute" from="2861,2287" to="2923,2287" stroked="true" strokeweight=".72pt" strokecolor="#858585"/>
            <v:line style="position:absolute" from="2861,2164" to="2923,2164" stroked="true" strokeweight=".72pt" strokecolor="#858585"/>
            <v:line style="position:absolute" from="2861,2047" to="2923,2047" stroked="true" strokeweight=".72pt" strokecolor="#858585"/>
            <v:line style="position:absolute" from="2861,1927" to="2923,1927" stroked="true" strokeweight=".72pt" strokecolor="#858585"/>
            <v:line style="position:absolute" from="2916,3153" to="2930,3153" stroked="true" strokeweight="3.12pt" strokecolor="#858585"/>
            <v:line style="position:absolute" from="3502,3153" to="3516,3153" stroked="true" strokeweight="3.12pt" strokecolor="#858585"/>
            <v:line style="position:absolute" from="4085,3153" to="4099,3153" stroked="true" strokeweight="3.12pt" strokecolor="#858585"/>
            <v:shape style="position:absolute;left:2299;top:3374;width:1890;height:967" type="#_x0000_t75" stroked="false">
              <v:imagedata r:id="rId400" o:title=""/>
            </v:shape>
            <v:shape style="position:absolute;left:4114;top:4673;width:77;height:157" coordorigin="4114,4673" coordsize="77,157" path="m4162,4706l4157,4706,4114,4747,4114,4754,4189,4829,4189,4805,4169,4785,4178,4775,4159,4775,4130,4749,4166,4715,4166,4711,4164,4711,4164,4708,4162,4708,4162,4706xm4189,4747l4188,4747,4159,4775,4178,4775,4189,4765,4189,4747xm4190,4673l4183,4679,4181,4679,4181,4687,4190,4695,4190,4673xe" filled="true" fillcolor="#000000" stroked="false">
              <v:path arrowok="t"/>
              <v:fill type="solid"/>
            </v:shape>
            <v:shape style="position:absolute;left:1589;top:455;width:2602;height:4700" coordorigin="1589,455" coordsize="2602,4700" path="m4190,455l1596,455,1589,465,1589,5147,1596,5155,4190,5155,4190,5135,1627,5135,1608,5116,1627,5116,1627,496,1608,496,1627,475,4190,475,4190,455xm1627,5116l1608,5116,1627,5135,1627,5116xm4190,5116l1627,5116,1627,5135,4190,5135,4190,5116xm1627,475l1608,496,1627,496,1627,475xm4190,475l1627,475,1627,496,4190,496,4190,475xe" filled="true" fillcolor="#000000" stroked="false">
              <v:path arrowok="t"/>
              <v:fill type="solid"/>
            </v:shape>
            <v:shape style="position:absolute;left:4190;top:1766;width:4188;height:17" type="#_x0000_t75" stroked="false">
              <v:imagedata r:id="rId401" o:title=""/>
            </v:shape>
            <v:shape style="position:absolute;left:4190;top:1886;width:4188;height:17" type="#_x0000_t75" stroked="false">
              <v:imagedata r:id="rId402" o:title=""/>
            </v:shape>
            <v:shape style="position:absolute;left:4190;top:2003;width:4188;height:1126" type="#_x0000_t75" stroked="false">
              <v:imagedata r:id="rId403" o:title=""/>
            </v:shape>
            <v:line style="position:absolute" from="4670,3153" to="4685,3153" stroked="true" strokeweight="3.12pt" strokecolor="#858585"/>
            <v:line style="position:absolute" from="5256,3153" to="5270,3153" stroked="true" strokeweight="3.12pt" strokecolor="#858585"/>
            <v:line style="position:absolute" from="5839,3153" to="5854,3153" stroked="true" strokeweight="3.12pt" strokecolor="#858585"/>
            <v:line style="position:absolute" from="6425,3153" to="6439,3153" stroked="true" strokeweight="3.12pt" strokecolor="#858585"/>
            <v:line style="position:absolute" from="7010,3153" to="7025,3153" stroked="true" strokeweight="3.12pt" strokecolor="#858585"/>
            <v:line style="position:absolute" from="7594,3153" to="7608,3153" stroked="true" strokeweight="3.12pt" strokecolor="#858585"/>
            <v:line style="position:absolute" from="8179,3153" to="8194,3153" stroked="true" strokeweight="3.12pt" strokecolor="#858585"/>
            <v:shape style="position:absolute;left:4190;top:3381;width:238;height:290" type="#_x0000_t75" stroked="false">
              <v:imagedata r:id="rId404" o:title=""/>
            </v:shape>
            <v:shape style="position:absolute;left:4190;top:3338;width:4187;height:1498" type="#_x0000_t75" stroked="false">
              <v:imagedata r:id="rId405" o:title=""/>
            </v:shape>
            <v:line style="position:absolute" from="4190,5135" to="8378,5135" stroked="true" strokeweight="1.92pt" strokecolor="#000000"/>
            <v:line style="position:absolute" from="4190,476" to="8378,476" stroked="true" strokeweight="2.04pt" strokecolor="#000000"/>
            <v:rect style="position:absolute;left:8378;top:475;width:1944;height:4661" filled="true" fillcolor="#ffffff" stroked="false">
              <v:fill type="solid"/>
            </v:rect>
            <v:shape style="position:absolute;left:8378;top:1766;width:1183;height:17" type="#_x0000_t75" stroked="false">
              <v:imagedata r:id="rId406" o:title=""/>
            </v:shape>
            <v:shape style="position:absolute;left:8378;top:1886;width:1183;height:1243" type="#_x0000_t75" stroked="false">
              <v:imagedata r:id="rId407" o:title=""/>
            </v:shape>
            <v:line style="position:absolute" from="8765,3153" to="8779,3153" stroked="true" strokeweight="3.12pt" strokecolor="#858585"/>
            <v:line style="position:absolute" from="9348,3153" to="9362,3153" stroked="true" strokeweight="3.12pt" strokecolor="#858585"/>
            <v:shape style="position:absolute;left:8378;top:3359;width:134;height:182" type="#_x0000_t75" stroked="false">
              <v:imagedata r:id="rId408" o:title=""/>
            </v:shape>
            <v:shape style="position:absolute;left:8390;top:3371;width:713;height:668" coordorigin="8390,3371" coordsize="713,668" path="m8402,3971l8398,3971,8398,3974,8395,3974,8393,3976,8393,3979,8390,3979,8390,3983,8393,3983,8393,3986,8503,4036,8503,4039,8506,4039,8506,4036,8508,4036,8508,4034,8510,4034,8510,4031,8513,4031,8515,4029,8515,4027,8518,4027,8518,4022,8516,4019,8501,4019,8402,3971xm8462,3909l8460,3909,8453,3916,8453,3919,8450,3919,8450,3921,8453,3921,8501,4019,8516,4019,8465,3914,8465,3911,8462,3909xm8527,3849l8520,3849,8479,3890,8479,3892,8477,3895,8479,3897,8479,3899,8558,3976,8558,3979,8566,3979,8566,3976,8583,3959,8563,3959,8532,3928,8542,3919,8525,3919,8496,3892,8530,3859,8532,3859,8532,3856,8530,3856,8530,3851,8527,3851,8527,3849xm8604,3926l8599,3926,8563,3959,8583,3959,8609,3935,8609,3931,8606,3931,8606,3928,8604,3928,8604,3926xm8556,3890l8554,3890,8525,3919,8542,3919,8563,3899,8563,3897,8561,3895,8561,3892,8558,3892,8556,3890xm8570,3813l8556,3813,8556,3815,8554,3815,8549,3823,8546,3823,8546,3830,8628,3911,8633,3911,8633,3909,8635,3909,8638,3907,8638,3904,8640,3904,8640,3899,8587,3849,8585,3844,8580,3842,8578,3837,8573,3835,8570,3832,8568,3827,8614,3827,8570,3813xm8642,3835l8587,3835,8592,3837,8666,3859,8669,3861,8681,3861,8683,3859,8686,3859,8686,3856,8690,3854,8690,3851,8693,3851,8693,3844,8669,3844,8664,3842,8662,3842,8659,3839,8652,3839,8650,3837,8647,3837,8642,3835xm8611,3763l8606,3763,8606,3765,8604,3765,8602,3767,8602,3770,8599,3770,8599,3775,8669,3844,8690,3844,8611,3763xm8635,3832l8580,3832,8582,3835,8640,3835,8635,3832xm8614,3827l8568,3827,8570,3830,8575,3832,8628,3832,8614,3827xm8722,3820l8717,3820,8717,3823,8722,3823,8722,3820xm8707,3693l8693,3693,8671,3700,8664,3705,8657,3715,8638,3734,8635,3734,8635,3741,8714,3820,8724,3820,8739,3803,8722,3803,8654,3736,8664,3724,8671,3717,8676,3715,8683,3712,8688,3710,8737,3710,8734,3707,8729,3703,8722,3698,8707,3693xm8563,3811l8561,3813,8566,3813,8563,3811xm8737,3710l8705,3710,8719,3717,8729,3727,8736,3731,8741,3736,8743,3743,8748,3753,8748,3770,8743,3779,8738,3787,8722,3803,8739,3803,8741,3801,8755,3787,8758,3779,8762,3772,8762,3743,8758,3736,8755,3729,8748,3719,8741,3712,8737,3710xm8806,3736l8801,3736,8801,3739,8803,3739,8806,3736xm8765,3607l8762,3607,8762,3609,8722,3650,8719,3650,8719,3657,8722,3657,8798,3736,8808,3736,8824,3719,8806,3719,8774,3688,8784,3679,8765,3679,8738,3652,8772,3619,8772,3614,8765,3607xm8844,3683l8839,3683,8806,3719,8824,3719,8849,3693,8849,3688,8846,3688,8846,3686,8844,3686,8844,3683xm8798,3650l8794,3650,8765,3679,8784,3679,8803,3659,8803,3655,8798,3650xm8866,3542l8837,3542,8830,3547,8822,3549,8815,3554,8786,3583,8786,3587,8868,3669,8875,3669,8892,3652,8873,3652,8806,3583,8818,3573,8822,3566,8830,3561,8834,3559,8839,3559,8844,3556,8889,3556,8887,3554,8880,3549,8873,3547,8866,3542xm8889,3556l8851,3556,8856,3559,8861,3559,8866,3563,8873,3566,8878,3568,8882,3573,8887,3580,8892,3585,8894,3590,8897,3597,8899,3602,8899,3619,8894,3628,8890,3633,8885,3640,8873,3652,8892,3652,8902,3643,8906,3635,8909,3628,8914,3621,8916,3614,8916,3599,8914,3592,8909,3583,8906,3575,8902,3568,8892,3561,8889,3556xm8950,3448l8928,3448,8921,3451,8916,3455,8909,3458,8894,3472,8890,3479,8885,3494,8885,3515,8887,3523,8892,3530,8894,3537,8921,3563,8928,3566,8935,3571,8942,3573,8964,3573,8969,3571,8976,3568,8983,3563,8988,3559,8954,3559,8950,3556,8945,3556,8940,3554,8935,3549,8928,3547,8914,3532,8911,3527,8906,3523,8902,3513,8902,3508,8899,3501,8899,3496,8906,3482,8911,3477,8916,3470,8926,3465,8976,3465,8969,3458,8962,3455,8954,3451,8950,3448xm8976,3465l8947,3465,8952,3467,8957,3472,8962,3475,8981,3494,8983,3499,8988,3503,8990,3508,8990,3515,8993,3520,8990,3525,8990,3530,8988,3535,8986,3542,8976,3551,8969,3554,8959,3559,8988,3559,8990,3556,9005,3535,9007,3530,9007,3508,9005,3501,9000,3491,8990,3477,8983,3472,8976,3465xm9022,3371l9007,3371,9005,3374,9000,3374,8995,3376,8988,3383,8986,3383,8983,3386,8983,3388,8964,3407,8962,3407,8962,3415,8964,3415,9043,3496,9048,3496,9055,3489,9055,3487,9058,3487,9058,3484,9055,3484,9019,3448,9026,3439,9010,3439,8981,3407,8993,3395,8995,3395,8995,3393,8998,3393,9000,3391,9010,3386,9041,3386,9036,3381,9031,3379,9026,3374,9022,3371xm9101,3436l9060,3436,9089,3451,9094,3451,9094,3448,9096,3448,9098,3446,9098,3443,9101,3443,9101,3441,9103,3441,9103,3439,9101,3436xm9041,3386l9010,3386,9012,3388,9017,3388,9022,3391,9026,3395,9026,3398,9029,3400,9029,3403,9031,3405,9031,3410,9029,3412,9029,3417,9026,3419,9024,3424,9010,3439,9026,3439,9031,3434,9038,3434,9041,3431,9091,3431,9070,3422,9065,3422,9062,3419,9041,3419,9041,3415,9043,3412,9043,3405,9046,3403,9043,3400,9043,3393,9041,3391,9041,3386xm9091,3431l9046,3431,9048,3434,9055,3434,9058,3436,9098,3436,9096,3434,9091,3431xm9053,3417l9043,3417,9041,3419,9055,3419,9053,3417xe" filled="true" fillcolor="#000000" stroked="false">
              <v:path arrowok="t"/>
              <v:fill type="solid"/>
            </v:shape>
            <v:shape style="position:absolute;left:8378;top:455;width:1964;height:4700" coordorigin="8378,455" coordsize="1964,4700" path="m10303,5116l8378,5116,8378,5155,10334,5155,10342,5147,10342,5135,10303,5135,10303,5116xm10303,475l10303,5135,10322,5116,10342,5116,10342,496,10322,496,10303,475xm10342,5116l10322,5116,10303,5135,10342,5135,10342,5116xm10334,455l8378,455,8378,496,10303,496,10303,475,10342,475,10342,465,10334,455xm10342,475l10303,475,10322,496,10342,496,10342,475xe" filled="true" fillcolor="#000000" stroked="false">
              <v:path arrowok="t"/>
              <v:fill type="solid"/>
            </v:shape>
            <v:shape style="position:absolute;left:2878;top:699;width:6335;height:778" type="#_x0000_t202" filled="false" stroked="false">
              <v:textbox inset="0,0,0,0">
                <w:txbxContent>
                  <w:p>
                    <w:pPr>
                      <w:spacing w:line="357" w:lineRule="exact" w:before="0"/>
                      <w:ind w:left="-1" w:right="0" w:firstLine="0"/>
                      <w:jc w:val="center"/>
                      <w:rPr>
                        <w:rFonts w:ascii="Calibri" w:hAnsi="Calibri"/>
                        <w:b/>
                        <w:sz w:val="35"/>
                      </w:rPr>
                    </w:pPr>
                    <w:r>
                      <w:rPr>
                        <w:rFonts w:ascii="Calibri" w:hAnsi="Calibri"/>
                        <w:b/>
                        <w:sz w:val="35"/>
                      </w:rPr>
                      <w:t>Monto de envío de remesas de acuer  o a</w:t>
                    </w:r>
                    <w:r>
                      <w:rPr>
                        <w:rFonts w:ascii="Calibri" w:hAnsi="Calibri"/>
                        <w:b/>
                        <w:spacing w:val="-2"/>
                        <w:sz w:val="35"/>
                      </w:rPr>
                      <w:t> </w:t>
                    </w:r>
                    <w:r>
                      <w:rPr>
                        <w:rFonts w:ascii="Calibri" w:hAnsi="Calibri"/>
                        <w:b/>
                        <w:sz w:val="35"/>
                      </w:rPr>
                      <w:t>la</w:t>
                    </w:r>
                  </w:p>
                  <w:p>
                    <w:pPr>
                      <w:spacing w:line="421" w:lineRule="exact" w:before="0"/>
                      <w:ind w:left="0" w:right="0" w:firstLine="0"/>
                      <w:jc w:val="center"/>
                      <w:rPr>
                        <w:rFonts w:ascii="Calibri"/>
                        <w:b/>
                        <w:sz w:val="35"/>
                      </w:rPr>
                    </w:pPr>
                    <w:r>
                      <w:rPr>
                        <w:rFonts w:ascii="Calibri"/>
                        <w:b/>
                        <w:sz w:val="35"/>
                      </w:rPr>
                      <w:t>actividad en USA</w:t>
                    </w:r>
                  </w:p>
                </w:txbxContent>
              </v:textbox>
              <w10:wrap type="none"/>
            </v:shape>
            <v:shape style="position:absolute;left:2347;top:1848;width:394;height:194" type="#_x0000_t202" filled="false" stroked="false">
              <v:textbox inset="0,0,0,0">
                <w:txbxContent>
                  <w:p>
                    <w:pPr>
                      <w:spacing w:line="194" w:lineRule="exact" w:before="0"/>
                      <w:ind w:left="0" w:right="-12" w:firstLine="0"/>
                      <w:jc w:val="left"/>
                      <w:rPr>
                        <w:rFonts w:ascii="Calibri"/>
                        <w:sz w:val="19"/>
                      </w:rPr>
                    </w:pPr>
                    <w:r>
                      <w:rPr>
                        <w:rFonts w:ascii="Calibri"/>
                        <w:sz w:val="19"/>
                      </w:rPr>
                      <w:t>5000</w:t>
                    </w:r>
                  </w:p>
                </w:txbxContent>
              </v:textbox>
              <w10:wrap type="none"/>
            </v:shape>
            <v:shape style="position:absolute;left:2347;top:1968;width:394;height:194" type="#_x0000_t202" filled="false" stroked="false">
              <v:textbox inset="0,0,0,0">
                <w:txbxContent>
                  <w:p>
                    <w:pPr>
                      <w:spacing w:line="194" w:lineRule="exact" w:before="0"/>
                      <w:ind w:left="0" w:right="-12" w:firstLine="0"/>
                      <w:jc w:val="left"/>
                      <w:rPr>
                        <w:rFonts w:ascii="Calibri"/>
                        <w:sz w:val="19"/>
                      </w:rPr>
                    </w:pPr>
                    <w:r>
                      <w:rPr>
                        <w:rFonts w:ascii="Calibri"/>
                        <w:sz w:val="19"/>
                      </w:rPr>
                      <w:t>4500</w:t>
                    </w:r>
                  </w:p>
                </w:txbxContent>
              </v:textbox>
              <w10:wrap type="none"/>
            </v:shape>
            <v:shape style="position:absolute;left:3120;top:1838;width:1117;height:194" type="#_x0000_t202" filled="false" stroked="false">
              <v:textbox inset="0,0,0,0">
                <w:txbxContent>
                  <w:p>
                    <w:pPr>
                      <w:tabs>
                        <w:tab w:pos="1116" w:val="left" w:leader="none"/>
                      </w:tabs>
                      <w:spacing w:line="194" w:lineRule="exact" w:before="0"/>
                      <w:ind w:left="0" w:right="0" w:firstLine="0"/>
                      <w:jc w:val="left"/>
                      <w:rPr>
                        <w:rFonts w:ascii="Times New Roman"/>
                        <w:sz w:val="19"/>
                      </w:rPr>
                    </w:pPr>
                    <w:r>
                      <w:rPr>
                        <w:rFonts w:ascii="Times New Roman"/>
                        <w:w w:val="102"/>
                        <w:sz w:val="19"/>
                        <w:u w:val="single" w:color="C1C1C1"/>
                      </w:rPr>
                      <w:t> </w:t>
                    </w:r>
                    <w:r>
                      <w:rPr>
                        <w:rFonts w:ascii="Times New Roman"/>
                        <w:sz w:val="19"/>
                        <w:u w:val="single" w:color="C1C1C1"/>
                      </w:rPr>
                      <w:tab/>
                    </w:r>
                  </w:p>
                </w:txbxContent>
              </v:textbox>
              <w10:wrap type="none"/>
            </v:shape>
            <v:shape style="position:absolute;left:2347;top:2086;width:394;height:194" type="#_x0000_t202" filled="false" stroked="false">
              <v:textbox inset="0,0,0,0">
                <w:txbxContent>
                  <w:p>
                    <w:pPr>
                      <w:spacing w:line="194" w:lineRule="exact" w:before="0"/>
                      <w:ind w:left="0" w:right="-12" w:firstLine="0"/>
                      <w:jc w:val="left"/>
                      <w:rPr>
                        <w:rFonts w:ascii="Calibri"/>
                        <w:sz w:val="19"/>
                      </w:rPr>
                    </w:pPr>
                    <w:r>
                      <w:rPr>
                        <w:rFonts w:ascii="Calibri"/>
                        <w:sz w:val="19"/>
                      </w:rPr>
                      <w:t>4000</w:t>
                    </w:r>
                  </w:p>
                </w:txbxContent>
              </v:textbox>
              <w10:wrap type="none"/>
            </v:shape>
            <v:shape style="position:absolute;left:3120;top:1958;width:1117;height:194" type="#_x0000_t202" filled="false" stroked="false">
              <v:textbox inset="0,0,0,0">
                <w:txbxContent>
                  <w:p>
                    <w:pPr>
                      <w:tabs>
                        <w:tab w:pos="1116" w:val="left" w:leader="none"/>
                      </w:tabs>
                      <w:spacing w:line="194" w:lineRule="exact" w:before="0"/>
                      <w:ind w:left="0" w:right="0" w:firstLine="0"/>
                      <w:jc w:val="left"/>
                      <w:rPr>
                        <w:rFonts w:ascii="Times New Roman"/>
                        <w:sz w:val="19"/>
                      </w:rPr>
                    </w:pPr>
                    <w:r>
                      <w:rPr>
                        <w:rFonts w:ascii="Times New Roman"/>
                        <w:w w:val="102"/>
                        <w:sz w:val="19"/>
                        <w:u w:val="single" w:color="C1C1C1"/>
                      </w:rPr>
                      <w:t> </w:t>
                    </w:r>
                    <w:r>
                      <w:rPr>
                        <w:rFonts w:ascii="Times New Roman"/>
                        <w:sz w:val="19"/>
                        <w:u w:val="single" w:color="C1C1C1"/>
                      </w:rPr>
                      <w:tab/>
                    </w:r>
                  </w:p>
                </w:txbxContent>
              </v:textbox>
              <w10:wrap type="none"/>
            </v:shape>
            <v:shape style="position:absolute;left:2347;top:2206;width:394;height:194" type="#_x0000_t202" filled="false" stroked="false">
              <v:textbox inset="0,0,0,0">
                <w:txbxContent>
                  <w:p>
                    <w:pPr>
                      <w:spacing w:line="194" w:lineRule="exact" w:before="0"/>
                      <w:ind w:left="0" w:right="-12" w:firstLine="0"/>
                      <w:jc w:val="left"/>
                      <w:rPr>
                        <w:rFonts w:ascii="Calibri"/>
                        <w:sz w:val="19"/>
                      </w:rPr>
                    </w:pPr>
                    <w:r>
                      <w:rPr>
                        <w:rFonts w:ascii="Calibri"/>
                        <w:sz w:val="19"/>
                      </w:rPr>
                      <w:t>3500</w:t>
                    </w:r>
                  </w:p>
                </w:txbxContent>
              </v:textbox>
              <w10:wrap type="none"/>
            </v:shape>
            <v:shape style="position:absolute;left:3122;top:2075;width:1114;height:194" type="#_x0000_t202" filled="false" stroked="false">
              <v:textbox inset="0,0,0,0">
                <w:txbxContent>
                  <w:p>
                    <w:pPr>
                      <w:tabs>
                        <w:tab w:pos="1113" w:val="left" w:leader="none"/>
                      </w:tabs>
                      <w:spacing w:line="194" w:lineRule="exact" w:before="0"/>
                      <w:ind w:left="0" w:right="0" w:firstLine="0"/>
                      <w:jc w:val="left"/>
                      <w:rPr>
                        <w:rFonts w:ascii="Times New Roman"/>
                        <w:sz w:val="19"/>
                      </w:rPr>
                    </w:pPr>
                    <w:r>
                      <w:rPr>
                        <w:rFonts w:ascii="Times New Roman"/>
                        <w:w w:val="102"/>
                        <w:sz w:val="19"/>
                        <w:u w:val="single" w:color="E0E0E0"/>
                      </w:rPr>
                      <w:t> </w:t>
                    </w:r>
                    <w:r>
                      <w:rPr>
                        <w:rFonts w:ascii="Times New Roman"/>
                        <w:sz w:val="19"/>
                        <w:u w:val="single" w:color="E0E0E0"/>
                      </w:rPr>
                      <w:tab/>
                    </w:r>
                  </w:p>
                </w:txbxContent>
              </v:textbox>
              <w10:wrap type="none"/>
            </v:shape>
            <v:shape style="position:absolute;left:2347;top:2326;width:394;height:194" type="#_x0000_t202" filled="false" stroked="false">
              <v:textbox inset="0,0,0,0">
                <w:txbxContent>
                  <w:p>
                    <w:pPr>
                      <w:spacing w:line="194" w:lineRule="exact" w:before="0"/>
                      <w:ind w:left="0" w:right="-12" w:firstLine="0"/>
                      <w:jc w:val="left"/>
                      <w:rPr>
                        <w:rFonts w:ascii="Calibri"/>
                        <w:sz w:val="19"/>
                      </w:rPr>
                    </w:pPr>
                    <w:r>
                      <w:rPr>
                        <w:rFonts w:ascii="Calibri"/>
                        <w:sz w:val="19"/>
                      </w:rPr>
                      <w:t>3000</w:t>
                    </w:r>
                  </w:p>
                </w:txbxContent>
              </v:textbox>
              <w10:wrap type="none"/>
            </v:shape>
            <v:shape style="position:absolute;left:2347;top:2446;width:394;height:194" type="#_x0000_t202" filled="false" stroked="false">
              <v:textbox inset="0,0,0,0">
                <w:txbxContent>
                  <w:p>
                    <w:pPr>
                      <w:spacing w:line="194" w:lineRule="exact" w:before="0"/>
                      <w:ind w:left="0" w:right="-12" w:firstLine="0"/>
                      <w:jc w:val="left"/>
                      <w:rPr>
                        <w:rFonts w:ascii="Calibri"/>
                        <w:sz w:val="19"/>
                      </w:rPr>
                    </w:pPr>
                    <w:r>
                      <w:rPr>
                        <w:rFonts w:ascii="Calibri"/>
                        <w:sz w:val="19"/>
                      </w:rPr>
                      <w:t>2500</w:t>
                    </w:r>
                  </w:p>
                </w:txbxContent>
              </v:textbox>
              <w10:wrap type="none"/>
            </v:shape>
            <v:shape style="position:absolute;left:2347;top:2564;width:394;height:194" type="#_x0000_t202" filled="false" stroked="false">
              <v:textbox inset="0,0,0,0">
                <w:txbxContent>
                  <w:p>
                    <w:pPr>
                      <w:spacing w:line="194" w:lineRule="exact" w:before="0"/>
                      <w:ind w:left="0" w:right="-12" w:firstLine="0"/>
                      <w:jc w:val="left"/>
                      <w:rPr>
                        <w:rFonts w:ascii="Calibri"/>
                        <w:sz w:val="19"/>
                      </w:rPr>
                    </w:pPr>
                    <w:r>
                      <w:rPr>
                        <w:rFonts w:ascii="Calibri"/>
                        <w:sz w:val="19"/>
                      </w:rPr>
                      <w:t>2000</w:t>
                    </w:r>
                  </w:p>
                </w:txbxContent>
              </v:textbox>
              <w10:wrap type="none"/>
            </v:shape>
            <v:shape style="position:absolute;left:2347;top:2684;width:394;height:194" type="#_x0000_t202" filled="false" stroked="false">
              <v:textbox inset="0,0,0,0">
                <w:txbxContent>
                  <w:p>
                    <w:pPr>
                      <w:spacing w:line="194" w:lineRule="exact" w:before="0"/>
                      <w:ind w:left="0" w:right="-12" w:firstLine="0"/>
                      <w:jc w:val="left"/>
                      <w:rPr>
                        <w:rFonts w:ascii="Calibri"/>
                        <w:sz w:val="19"/>
                      </w:rPr>
                    </w:pPr>
                    <w:r>
                      <w:rPr>
                        <w:rFonts w:ascii="Calibri"/>
                        <w:sz w:val="19"/>
                      </w:rPr>
                      <w:t>1500</w:t>
                    </w:r>
                  </w:p>
                </w:txbxContent>
              </v:textbox>
              <w10:wrap type="none"/>
            </v:shape>
            <v:shape style="position:absolute;left:2347;top:2804;width:394;height:194" type="#_x0000_t202" filled="false" stroked="false">
              <v:textbox inset="0,0,0,0">
                <w:txbxContent>
                  <w:p>
                    <w:pPr>
                      <w:spacing w:line="194" w:lineRule="exact" w:before="0"/>
                      <w:ind w:left="0" w:right="-12" w:firstLine="0"/>
                      <w:jc w:val="left"/>
                      <w:rPr>
                        <w:rFonts w:ascii="Calibri"/>
                        <w:sz w:val="19"/>
                      </w:rPr>
                    </w:pPr>
                    <w:r>
                      <w:rPr>
                        <w:rFonts w:ascii="Calibri"/>
                        <w:sz w:val="19"/>
                      </w:rPr>
                      <w:t>1000</w:t>
                    </w:r>
                  </w:p>
                </w:txbxContent>
              </v:textbox>
              <w10:wrap type="none"/>
            </v:shape>
            <v:shape style="position:absolute;left:2446;top:2924;width:296;height:194" type="#_x0000_t202" filled="false" stroked="false">
              <v:textbox inset="0,0,0,0">
                <w:txbxContent>
                  <w:p>
                    <w:pPr>
                      <w:spacing w:line="194" w:lineRule="exact" w:before="0"/>
                      <w:ind w:left="0" w:right="-13" w:firstLine="0"/>
                      <w:jc w:val="left"/>
                      <w:rPr>
                        <w:rFonts w:ascii="Calibri"/>
                        <w:sz w:val="19"/>
                      </w:rPr>
                    </w:pPr>
                    <w:r>
                      <w:rPr>
                        <w:rFonts w:ascii="Calibri"/>
                        <w:sz w:val="19"/>
                      </w:rPr>
                      <w:t>500</w:t>
                    </w:r>
                  </w:p>
                </w:txbxContent>
              </v:textbox>
              <w10:wrap type="none"/>
            </v:shape>
            <v:shape style="position:absolute;left:2642;top:3041;width:99;height:194" type="#_x0000_t202" filled="false" stroked="false">
              <v:textbox inset="0,0,0,0">
                <w:txbxContent>
                  <w:p>
                    <w:pPr>
                      <w:spacing w:line="194" w:lineRule="exact" w:before="0"/>
                      <w:ind w:left="0" w:right="0" w:firstLine="0"/>
                      <w:jc w:val="left"/>
                      <w:rPr>
                        <w:rFonts w:ascii="Calibri"/>
                        <w:sz w:val="19"/>
                      </w:rPr>
                    </w:pPr>
                    <w:r>
                      <w:rPr>
                        <w:rFonts w:ascii="Calibri"/>
                        <w:w w:val="102"/>
                        <w:sz w:val="19"/>
                      </w:rPr>
                      <w:t>0</w:t>
                    </w:r>
                  </w:p>
                </w:txbxContent>
              </v:textbox>
              <w10:wrap type="none"/>
            </v:shape>
            <w10:wrap type="topAndBottom"/>
          </v:group>
        </w:pict>
      </w:r>
      <w:r>
        <w:rPr/>
        <w:pict>
          <v:shape style="position:absolute;margin-left:412.313721pt;margin-top:23.726292pt;width:103.85pt;height:233.05pt;mso-position-horizontal-relative:page;mso-position-vertical-relative:paragraph;z-index:-702064" type="#_x0000_t202" filled="false" stroked="false">
            <v:textbox inset="0,0,0,0">
              <w:txbxContent>
                <w:p>
                  <w:pPr>
                    <w:spacing w:before="154"/>
                    <w:ind w:left="0" w:right="0" w:firstLine="0"/>
                    <w:jc w:val="left"/>
                    <w:rPr>
                      <w:rFonts w:ascii="Calibri"/>
                      <w:b/>
                      <w:sz w:val="35"/>
                    </w:rPr>
                  </w:pPr>
                  <w:r>
                    <w:rPr>
                      <w:rFonts w:ascii="Calibri"/>
                      <w:b/>
                      <w:w w:val="100"/>
                      <w:sz w:val="35"/>
                    </w:rPr>
                    <w:t>d</w:t>
                  </w:r>
                </w:p>
              </w:txbxContent>
            </v:textbox>
            <w10:wrap type="none"/>
          </v:shape>
        </w:pict>
      </w:r>
      <w:r>
        <w:rPr/>
        <w:t>Figura 4. Envio de remesas por tipo de actividad en los  EE.UU.</w:t>
      </w:r>
    </w:p>
    <w:p>
      <w:pPr>
        <w:pStyle w:val="BodyText"/>
        <w:spacing w:before="2"/>
        <w:rPr>
          <w:b/>
          <w:sz w:val="19"/>
        </w:rPr>
      </w:pPr>
    </w:p>
    <w:p>
      <w:pPr>
        <w:spacing w:before="74"/>
        <w:ind w:left="103" w:right="102" w:firstLine="0"/>
        <w:jc w:val="left"/>
        <w:rPr>
          <w:sz w:val="23"/>
        </w:rPr>
      </w:pPr>
      <w:r>
        <w:rPr>
          <w:sz w:val="21"/>
        </w:rPr>
        <w:t>Fuente: Elaboración propia</w:t>
      </w:r>
      <w:r>
        <w:rPr>
          <w:sz w:val="23"/>
        </w:rPr>
        <w:t>.</w:t>
      </w:r>
    </w:p>
    <w:p>
      <w:pPr>
        <w:pStyle w:val="BodyText"/>
        <w:spacing w:before="11"/>
        <w:rPr>
          <w:sz w:val="28"/>
        </w:rPr>
      </w:pPr>
    </w:p>
    <w:p>
      <w:pPr>
        <w:pStyle w:val="BodyText"/>
        <w:spacing w:line="364" w:lineRule="auto"/>
        <w:ind w:left="103" w:right="104"/>
      </w:pPr>
      <w:r>
        <w:rPr/>
        <w:t>Los hijos de los migrantes son los principales beneficiarios de la remesas familiares ya   el</w:t>
      </w:r>
      <w:r>
        <w:rPr>
          <w:spacing w:val="23"/>
        </w:rPr>
        <w:t> </w:t>
      </w:r>
      <w:r>
        <w:rPr/>
        <w:t>69%</w:t>
      </w:r>
      <w:r>
        <w:rPr>
          <w:spacing w:val="21"/>
        </w:rPr>
        <w:t> </w:t>
      </w:r>
      <w:r>
        <w:rPr/>
        <w:t>de</w:t>
      </w:r>
      <w:r>
        <w:rPr>
          <w:spacing w:val="22"/>
        </w:rPr>
        <w:t> </w:t>
      </w:r>
      <w:r>
        <w:rPr/>
        <w:t>los</w:t>
      </w:r>
      <w:r>
        <w:rPr>
          <w:spacing w:val="21"/>
        </w:rPr>
        <w:t> </w:t>
      </w:r>
      <w:r>
        <w:rPr/>
        <w:t>envíos</w:t>
      </w:r>
      <w:r>
        <w:rPr>
          <w:spacing w:val="25"/>
        </w:rPr>
        <w:t> </w:t>
      </w:r>
      <w:r>
        <w:rPr/>
        <w:t>de</w:t>
      </w:r>
      <w:r>
        <w:rPr>
          <w:spacing w:val="24"/>
        </w:rPr>
        <w:t> </w:t>
      </w:r>
      <w:r>
        <w:rPr/>
        <w:t>dinero</w:t>
      </w:r>
      <w:r>
        <w:rPr>
          <w:spacing w:val="20"/>
        </w:rPr>
        <w:t> </w:t>
      </w:r>
      <w:r>
        <w:rPr/>
        <w:t>son</w:t>
      </w:r>
      <w:r>
        <w:rPr>
          <w:spacing w:val="22"/>
        </w:rPr>
        <w:t> </w:t>
      </w:r>
      <w:r>
        <w:rPr/>
        <w:t>dedicados</w:t>
      </w:r>
      <w:r>
        <w:rPr>
          <w:spacing w:val="23"/>
        </w:rPr>
        <w:t> </w:t>
      </w:r>
      <w:r>
        <w:rPr/>
        <w:t>a</w:t>
      </w:r>
      <w:r>
        <w:rPr>
          <w:spacing w:val="24"/>
        </w:rPr>
        <w:t> </w:t>
      </w:r>
      <w:r>
        <w:rPr/>
        <w:t>ellos,</w:t>
      </w:r>
      <w:r>
        <w:rPr>
          <w:spacing w:val="22"/>
        </w:rPr>
        <w:t> </w:t>
      </w:r>
      <w:r>
        <w:rPr/>
        <w:t>después</w:t>
      </w:r>
      <w:r>
        <w:rPr>
          <w:spacing w:val="21"/>
        </w:rPr>
        <w:t> </w:t>
      </w:r>
      <w:r>
        <w:rPr/>
        <w:t>le</w:t>
      </w:r>
      <w:r>
        <w:rPr>
          <w:spacing w:val="20"/>
        </w:rPr>
        <w:t> </w:t>
      </w:r>
      <w:r>
        <w:rPr/>
        <w:t>siguen</w:t>
      </w:r>
      <w:r>
        <w:rPr>
          <w:spacing w:val="20"/>
        </w:rPr>
        <w:t> </w:t>
      </w:r>
      <w:r>
        <w:rPr/>
        <w:t>los</w:t>
      </w:r>
      <w:r>
        <w:rPr>
          <w:spacing w:val="23"/>
        </w:rPr>
        <w:t> </w:t>
      </w:r>
      <w:r>
        <w:rPr/>
        <w:t>padres</w:t>
      </w:r>
      <w:r>
        <w:rPr>
          <w:spacing w:val="25"/>
        </w:rPr>
        <w:t> </w:t>
      </w:r>
      <w:r>
        <w:rPr/>
        <w:t>y</w:t>
      </w:r>
    </w:p>
    <w:p>
      <w:pPr>
        <w:spacing w:after="0" w:line="364" w:lineRule="auto"/>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hermanos. Los casos donde los beneficiarios son hermanos y padres, corresponde a jóvenes migrantes quienes no tienen algún hijo a quien  mantener.</w:t>
      </w:r>
    </w:p>
    <w:p>
      <w:pPr>
        <w:pStyle w:val="BodyText"/>
        <w:spacing w:before="4"/>
        <w:rPr>
          <w:sz w:val="17"/>
        </w:rPr>
      </w:pPr>
    </w:p>
    <w:p>
      <w:pPr>
        <w:pStyle w:val="BodyText"/>
        <w:spacing w:line="364" w:lineRule="auto"/>
        <w:ind w:left="101" w:right="105"/>
        <w:jc w:val="both"/>
      </w:pPr>
      <w:r>
        <w:rPr/>
        <w:t>El destino principal de las remesas es para cubrir necesidades básicas, principalmente   la alimentación, ya que sólo el 12% corresponde al ahorro, adquisición de bienes materiales y al pago de deuda. Por los tanto el resto que corresponde al 88% tiene que ver de alguna manera con alimentación, vestido, educación y </w:t>
      </w:r>
      <w:r>
        <w:rPr>
          <w:spacing w:val="10"/>
        </w:rPr>
        <w:t> </w:t>
      </w:r>
      <w:r>
        <w:rPr/>
        <w:t>salud.</w:t>
      </w:r>
    </w:p>
    <w:p>
      <w:pPr>
        <w:pStyle w:val="BodyText"/>
        <w:spacing w:before="4"/>
        <w:rPr>
          <w:sz w:val="17"/>
        </w:rPr>
      </w:pPr>
    </w:p>
    <w:p>
      <w:pPr>
        <w:pStyle w:val="BodyText"/>
        <w:spacing w:line="364" w:lineRule="auto"/>
        <w:ind w:left="101" w:right="105"/>
        <w:jc w:val="both"/>
      </w:pPr>
      <w:r>
        <w:rPr/>
        <w:t>En el municipio predominan las casas de madera o de adobe con techos  de lámina,  pero últimamente las construcciones de concreto se han incrementado por lo que identificamos que las construcciones de adobe con techo de lámina y las casas de concreto predominan en la vivienda de los migrantes con 37% y 39% respectivamente,  el resto son casas de madera con techo de lámina y el 6% de los migrantes no tenían casa que correspondieron los jóvenes migrantes quienes vivían con sus padres  antes  de</w:t>
      </w:r>
      <w:r>
        <w:rPr>
          <w:spacing w:val="9"/>
        </w:rPr>
        <w:t> </w:t>
      </w:r>
      <w:r>
        <w:rPr/>
        <w:t>migrar.</w:t>
      </w:r>
    </w:p>
    <w:p>
      <w:pPr>
        <w:pStyle w:val="BodyText"/>
        <w:spacing w:before="4"/>
        <w:rPr>
          <w:sz w:val="17"/>
        </w:rPr>
      </w:pPr>
    </w:p>
    <w:p>
      <w:pPr>
        <w:pStyle w:val="BodyText"/>
        <w:spacing w:line="364" w:lineRule="auto"/>
        <w:ind w:left="101" w:right="105"/>
        <w:jc w:val="both"/>
        <w:rPr>
          <w:i/>
        </w:rPr>
      </w:pPr>
      <w:r>
        <w:rPr/>
        <w:t>En el municipio, el servicio de drenaje no existe, los servicios que se identificaron son electricidad y agua entubada, sanitarios ecológicos o letrinas debido a la ausencia de drenaje por lo que el Por lo que 92% de las viviendas del migrante cuenta al menos con estos tres servicios. Existe el servicio telefónico con algunas personas, las casetas telefónicas, por lo que teléfonos particulares son muy pocos. Los migrantes que poseen casas de concreto son los que tienen pisos de cemento, pero también la mayoría de las viviendas del municipio poseen este tipo de pisos con la ayuda federal a través del programa gubernamental </w:t>
      </w:r>
      <w:r>
        <w:rPr>
          <w:i/>
        </w:rPr>
        <w:t>Piso Firme.</w:t>
      </w:r>
    </w:p>
    <w:p>
      <w:pPr>
        <w:pStyle w:val="BodyText"/>
        <w:spacing w:before="6"/>
        <w:rPr>
          <w:i/>
          <w:sz w:val="17"/>
        </w:rPr>
      </w:pPr>
    </w:p>
    <w:p>
      <w:pPr>
        <w:pStyle w:val="BodyText"/>
        <w:spacing w:line="364" w:lineRule="auto"/>
        <w:ind w:left="101" w:right="105"/>
        <w:jc w:val="both"/>
      </w:pPr>
      <w:r>
        <w:rPr/>
        <w:t>Debido que el municipio es rural, la mayoría de los hogares cocinan con leña debido a   la abundancia de la madera, en los hogares de los migrantes no es la excepción ya que el 71%  usan sólo leña, el 8% usan gas y el 21% usan </w:t>
      </w:r>
      <w:r>
        <w:rPr>
          <w:spacing w:val="8"/>
        </w:rPr>
        <w:t> </w:t>
      </w:r>
      <w:r>
        <w:rPr/>
        <w:t>ambos.</w:t>
      </w:r>
    </w:p>
    <w:p>
      <w:pPr>
        <w:pStyle w:val="BodyText"/>
        <w:spacing w:before="4"/>
        <w:rPr>
          <w:sz w:val="17"/>
        </w:rPr>
      </w:pPr>
    </w:p>
    <w:p>
      <w:pPr>
        <w:pStyle w:val="BodyText"/>
        <w:spacing w:line="364" w:lineRule="auto"/>
        <w:ind w:left="101" w:right="104"/>
        <w:jc w:val="both"/>
      </w:pPr>
      <w:r>
        <w:rPr/>
        <w:t>El 59% de los migrantes han mejorado su vivienda de alguna manera, mientras que el resto no lo ha hecho debido a varias circunstancias como: tiene hijos en la escuela y usan las remesas en eso, son jóvenes que todavía vivían con sus padres al momento   de migrar o son los migrantes</w:t>
      </w:r>
      <w:r>
        <w:rPr>
          <w:spacing w:val="41"/>
        </w:rPr>
        <w:t> </w:t>
      </w:r>
      <w:r>
        <w:rPr/>
        <w:t>recientes.</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De acuerdo a la forma de mejoramiento de vivienda se destacan las casas nuevas con  el 77%, mientras que el 23% restante corresponden a nuevos muebles, piso de  cemento, nuevo terreno y la culminación de una</w:t>
      </w:r>
      <w:r>
        <w:rPr>
          <w:spacing w:val="59"/>
        </w:rPr>
        <w:t> </w:t>
      </w:r>
      <w:r>
        <w:rPr/>
        <w:t>casa.</w:t>
      </w:r>
    </w:p>
    <w:p>
      <w:pPr>
        <w:pStyle w:val="BodyText"/>
        <w:spacing w:before="6"/>
        <w:rPr>
          <w:sz w:val="17"/>
        </w:rPr>
      </w:pPr>
    </w:p>
    <w:p>
      <w:pPr>
        <w:pStyle w:val="BodyText"/>
        <w:spacing w:line="364" w:lineRule="auto"/>
        <w:ind w:left="101" w:right="103"/>
        <w:jc w:val="both"/>
      </w:pPr>
      <w:r>
        <w:rPr/>
        <w:t>En el municipio de Santo Domingo Tepuxtepec, el nivel de analfabetismo  es  alto. Dentro del municipio funcionan escuelas tipo CONAFE y primarias  bilingües,  también se encuentran 3 telesecundarias y un bachillerato integral comunitario que empezó a funcionar recientemente el cual está ubicado en la cabecera municipal.  Respecto al  nivel máximo de algún familiar del migrante: primaria, secundaria  completa  y preparatoria incompleta son las categorías con mayor porcentaje con el 79% conjuntamente. Mientras que  el nivel licenciatura presenta sólo 3 casos ocupando el   6% del</w:t>
      </w:r>
      <w:r>
        <w:rPr>
          <w:spacing w:val="15"/>
        </w:rPr>
        <w:t> </w:t>
      </w:r>
      <w:r>
        <w:rPr/>
        <w:t>total.</w:t>
      </w:r>
    </w:p>
    <w:p>
      <w:pPr>
        <w:pStyle w:val="BodyText"/>
        <w:spacing w:before="6"/>
        <w:rPr>
          <w:sz w:val="17"/>
        </w:rPr>
      </w:pPr>
    </w:p>
    <w:p>
      <w:pPr>
        <w:pStyle w:val="BodyText"/>
        <w:spacing w:line="364" w:lineRule="auto"/>
        <w:ind w:left="101" w:right="104"/>
        <w:jc w:val="both"/>
      </w:pPr>
      <w:r>
        <w:rPr/>
        <w:t>La mayoría de los jóvenes de este municipio sólo terminan la educación básica, debido  a la falta de dinero para continuar estudiando por lo que  tienen  que  trabajar  para ayudar en el sustento familiar, sólo el 27% de las familias consideran que ha mejorado  el acceso a la educación con la ayuda de las remesas enviadas por su  familiar  migrante. El 73% que no ha mejorado la educación familiar es debido a que los hermanos o hijos del migrante están todavía en la educación básica o muy pequeños para asistir a la</w:t>
      </w:r>
      <w:r>
        <w:rPr>
          <w:spacing w:val="24"/>
        </w:rPr>
        <w:t> </w:t>
      </w:r>
      <w:r>
        <w:rPr/>
        <w:t>escuela.</w:t>
      </w:r>
    </w:p>
    <w:p>
      <w:pPr>
        <w:pStyle w:val="BodyText"/>
        <w:spacing w:before="4"/>
        <w:rPr>
          <w:sz w:val="17"/>
        </w:rPr>
      </w:pPr>
    </w:p>
    <w:p>
      <w:pPr>
        <w:pStyle w:val="BodyText"/>
        <w:spacing w:line="364" w:lineRule="auto"/>
        <w:ind w:left="101" w:right="106"/>
        <w:jc w:val="both"/>
      </w:pPr>
      <w:r>
        <w:rPr/>
        <w:t>El 50% de los que consideran que la educación familiar ha mejorado, los hermanos del migrante han terminado el nivel medio superior o superior y de alguna manera algunos gastos fueron solventados por las remesas enviadas por el  pariente. Mientras  que el otro 43% es de aquellos migrantes, quienes sus hijos continúan sus estudios. El 7% es un caso interesante y corresponde a una familia que migró con todos sus hijos y éstos últimos realizan sus estudios en la Unión</w:t>
      </w:r>
      <w:r>
        <w:rPr>
          <w:spacing w:val="57"/>
        </w:rPr>
        <w:t> </w:t>
      </w:r>
      <w:r>
        <w:rPr/>
        <w:t>Americana.</w:t>
      </w:r>
    </w:p>
    <w:p>
      <w:pPr>
        <w:pStyle w:val="BodyText"/>
        <w:spacing w:before="4"/>
        <w:rPr>
          <w:sz w:val="17"/>
        </w:rPr>
      </w:pPr>
    </w:p>
    <w:p>
      <w:pPr>
        <w:pStyle w:val="BodyText"/>
        <w:spacing w:line="364" w:lineRule="auto"/>
        <w:ind w:left="101" w:right="102"/>
        <w:jc w:val="both"/>
      </w:pPr>
      <w:r>
        <w:rPr/>
        <w:t>Los servicios y la infraestructura en este municipio es muy pobre  ya  que  es  considerado de muy alta marginación, la carretera o calles pavimentadas se localiza solamente en la cabecera municipal y en las rancherías solo no existen este tipo de infraestructura. No se identificaron bibliotecas públicas, ni espacios de recreación o esparcimiento como</w:t>
      </w:r>
      <w:r>
        <w:rPr>
          <w:spacing w:val="33"/>
        </w:rPr>
        <w:t> </w:t>
      </w:r>
      <w:r>
        <w:rPr/>
        <w:t>parques.</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3"/>
        <w:jc w:val="both"/>
      </w:pPr>
      <w:r>
        <w:rPr/>
        <w:t>En la cabecera municipal existe una clínica donde se atienden todos los habitantes, aunque en las agencias municipales existen casas de salud, el problema es que no existen suficientes médicos, simplemente se imparten pláticas para beneficiarios del programa oportunidades y para las citas</w:t>
      </w:r>
      <w:r>
        <w:rPr>
          <w:spacing w:val="55"/>
        </w:rPr>
        <w:t> </w:t>
      </w:r>
      <w:r>
        <w:rPr/>
        <w:t>medicas.</w:t>
      </w:r>
    </w:p>
    <w:p>
      <w:pPr>
        <w:pStyle w:val="BodyText"/>
        <w:spacing w:before="4"/>
        <w:rPr>
          <w:sz w:val="17"/>
        </w:rPr>
      </w:pPr>
    </w:p>
    <w:p>
      <w:pPr>
        <w:pStyle w:val="BodyText"/>
        <w:spacing w:line="364" w:lineRule="auto"/>
        <w:ind w:left="101" w:right="104"/>
        <w:jc w:val="both"/>
      </w:pPr>
      <w:r>
        <w:rPr/>
        <w:t>El 43% de las familias de migrantes consideran que han mejorado en el acceso a la salud, mientras que más de la mitad considera que no han mejorado o mencionan que casi no se enferman o se curan con plantas medicinales o curanderos locales. El 90%  de los casos que han mejorado el acceso a la salud mencionaron que se atienden en hospital, estas son atenciones de emergencia principalmente en el hospital  del  municipio de Espíritu Santo Tamazulapan, en la capital Oaxaqueña o en Ayutla. Son atenciones de emergencia, ya que los habitantes no tienen el hábito de un cuidado de salud constante como análisis médicos periódicos o vacunas preventivas. El otro 10% restante, la mitad menciono que usan remesas para comprar medicamentos cuando se necesitan y la otra mitad se atienden en USA y corresponde a la familia que migró con todos sus</w:t>
      </w:r>
      <w:r>
        <w:rPr>
          <w:spacing w:val="13"/>
        </w:rPr>
        <w:t> </w:t>
      </w:r>
      <w:r>
        <w:rPr/>
        <w:t>hijos.</w:t>
      </w:r>
    </w:p>
    <w:p>
      <w:pPr>
        <w:pStyle w:val="BodyText"/>
        <w:spacing w:before="4"/>
        <w:rPr>
          <w:sz w:val="17"/>
        </w:rPr>
      </w:pPr>
    </w:p>
    <w:p>
      <w:pPr>
        <w:pStyle w:val="BodyText"/>
        <w:spacing w:line="364" w:lineRule="auto"/>
        <w:ind w:left="101" w:right="102"/>
        <w:jc w:val="both"/>
      </w:pPr>
      <w:r>
        <w:rPr/>
        <w:t>Cubrir necesidades básicas como la alimentación, vestido  y  educación es  la prioridad de los habitantes de este municipio, en caso de que exista excedente es destinado a la adquisición de bienes materiales y en el último se encuentra la  recreación.</w:t>
      </w:r>
    </w:p>
    <w:p>
      <w:pPr>
        <w:pStyle w:val="BodyText"/>
        <w:spacing w:before="4"/>
        <w:rPr>
          <w:sz w:val="17"/>
        </w:rPr>
      </w:pPr>
    </w:p>
    <w:p>
      <w:pPr>
        <w:pStyle w:val="BodyText"/>
        <w:spacing w:line="364" w:lineRule="auto"/>
        <w:ind w:left="101" w:right="105"/>
        <w:jc w:val="both"/>
      </w:pPr>
      <w:r>
        <w:rPr/>
        <w:t>El 14% mencionó que ha hecho viajes y paseos, y estos se realizan cuando el migrante viene de visita al pueblo y sale con su familia a un lugar cercano, como visitar a otros familiares en otros municipios o ciudades, pero no realizan viajes largos como a playas   o sitios</w:t>
      </w:r>
      <w:r>
        <w:rPr>
          <w:spacing w:val="23"/>
        </w:rPr>
        <w:t> </w:t>
      </w:r>
      <w:r>
        <w:rPr/>
        <w:t>arqueológicos.</w:t>
      </w:r>
    </w:p>
    <w:p>
      <w:pPr>
        <w:pStyle w:val="BodyText"/>
        <w:spacing w:before="4"/>
        <w:rPr>
          <w:sz w:val="17"/>
        </w:rPr>
      </w:pPr>
    </w:p>
    <w:p>
      <w:pPr>
        <w:pStyle w:val="BodyText"/>
        <w:spacing w:line="364" w:lineRule="auto"/>
        <w:ind w:left="101" w:right="105"/>
        <w:jc w:val="both"/>
      </w:pPr>
      <w:r>
        <w:rPr/>
        <w:t>El 73% de los migrantes han adquirido más bienes materiales en los que se destacan: casas, terrenos, carros y electrodomésticos principalmente. El 82% de las familias de   los migrantes consideran que ya tienen una mejor calidad de vida, mientras que el otro 18% dicen que no han mejorado en la calidad de vida de sus familiares, figura </w:t>
      </w:r>
      <w:r>
        <w:rPr>
          <w:spacing w:val="25"/>
        </w:rPr>
        <w:t> </w:t>
      </w:r>
      <w:r>
        <w:rPr/>
        <w:t>5.</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6"/>
        <w:rPr>
          <w:sz w:val="18"/>
        </w:rPr>
      </w:pPr>
    </w:p>
    <w:p>
      <w:pPr>
        <w:pStyle w:val="Heading4"/>
        <w:spacing w:line="364" w:lineRule="auto" w:before="74"/>
        <w:ind w:left="4543" w:right="150" w:hanging="4292"/>
      </w:pPr>
      <w:r>
        <w:rPr/>
        <w:t>Figura 5. Percepción de los migrantes en cuanto al mejoramiento de la calidad de vida</w:t>
      </w:r>
    </w:p>
    <w:p>
      <w:pPr>
        <w:pStyle w:val="BodyText"/>
        <w:spacing w:before="7"/>
        <w:rPr>
          <w:b/>
          <w:sz w:val="10"/>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47"/>
        <w:gridCol w:w="2134"/>
        <w:gridCol w:w="2076"/>
        <w:gridCol w:w="3965"/>
      </w:tblGrid>
      <w:tr>
        <w:trPr>
          <w:trHeight w:val="576" w:hRule="exact"/>
        </w:trPr>
        <w:tc>
          <w:tcPr>
            <w:tcW w:w="9322" w:type="dxa"/>
            <w:gridSpan w:val="4"/>
            <w:shd w:val="clear" w:color="auto" w:fill="D9D9D9"/>
          </w:tcPr>
          <w:p>
            <w:pPr>
              <w:pStyle w:val="TableParagraph"/>
              <w:spacing w:before="0"/>
              <w:ind w:left="100"/>
              <w:jc w:val="left"/>
              <w:rPr>
                <w:b/>
                <w:sz w:val="21"/>
              </w:rPr>
            </w:pPr>
            <w:r>
              <w:rPr>
                <w:b/>
                <w:sz w:val="21"/>
              </w:rPr>
              <w:t>HA MEJORADO LA CALIDAD DE  VIDA</w:t>
            </w:r>
          </w:p>
        </w:tc>
      </w:tr>
      <w:tr>
        <w:trPr>
          <w:trHeight w:val="571" w:hRule="exact"/>
        </w:trPr>
        <w:tc>
          <w:tcPr>
            <w:tcW w:w="1147" w:type="dxa"/>
            <w:shd w:val="clear" w:color="auto" w:fill="D9D9D9"/>
          </w:tcPr>
          <w:p>
            <w:pPr/>
          </w:p>
        </w:tc>
        <w:tc>
          <w:tcPr>
            <w:tcW w:w="2134" w:type="dxa"/>
            <w:shd w:val="clear" w:color="auto" w:fill="D9D9D9"/>
          </w:tcPr>
          <w:p>
            <w:pPr>
              <w:pStyle w:val="TableParagraph"/>
              <w:spacing w:before="0"/>
              <w:ind w:left="100"/>
              <w:jc w:val="left"/>
              <w:rPr>
                <w:b/>
                <w:sz w:val="21"/>
              </w:rPr>
            </w:pPr>
            <w:r>
              <w:rPr>
                <w:b/>
                <w:sz w:val="21"/>
              </w:rPr>
              <w:t>Frecuencia</w:t>
            </w:r>
          </w:p>
        </w:tc>
        <w:tc>
          <w:tcPr>
            <w:tcW w:w="2076" w:type="dxa"/>
            <w:shd w:val="clear" w:color="auto" w:fill="D9D9D9"/>
          </w:tcPr>
          <w:p>
            <w:pPr>
              <w:pStyle w:val="TableParagraph"/>
              <w:spacing w:before="0"/>
              <w:ind w:left="100"/>
              <w:jc w:val="left"/>
              <w:rPr>
                <w:b/>
                <w:sz w:val="21"/>
              </w:rPr>
            </w:pPr>
            <w:r>
              <w:rPr>
                <w:b/>
                <w:sz w:val="21"/>
              </w:rPr>
              <w:t>Porcentaje</w:t>
            </w:r>
          </w:p>
        </w:tc>
        <w:tc>
          <w:tcPr>
            <w:tcW w:w="3965" w:type="dxa"/>
            <w:shd w:val="clear" w:color="auto" w:fill="D9D9D9"/>
          </w:tcPr>
          <w:p>
            <w:pPr>
              <w:pStyle w:val="TableParagraph"/>
              <w:spacing w:before="0"/>
              <w:ind w:left="98"/>
              <w:jc w:val="left"/>
              <w:rPr>
                <w:b/>
                <w:sz w:val="21"/>
              </w:rPr>
            </w:pPr>
            <w:r>
              <w:rPr>
                <w:b/>
                <w:sz w:val="21"/>
              </w:rPr>
              <w:t>Porcentaje acumulado</w:t>
            </w:r>
          </w:p>
        </w:tc>
      </w:tr>
      <w:tr>
        <w:trPr>
          <w:trHeight w:val="576" w:hRule="exact"/>
        </w:trPr>
        <w:tc>
          <w:tcPr>
            <w:tcW w:w="1147" w:type="dxa"/>
            <w:shd w:val="clear" w:color="auto" w:fill="D9D9D9"/>
          </w:tcPr>
          <w:p>
            <w:pPr>
              <w:pStyle w:val="TableParagraph"/>
              <w:spacing w:before="0"/>
              <w:ind w:left="100"/>
              <w:jc w:val="left"/>
              <w:rPr>
                <w:b/>
                <w:sz w:val="21"/>
              </w:rPr>
            </w:pPr>
            <w:r>
              <w:rPr>
                <w:b/>
                <w:sz w:val="21"/>
              </w:rPr>
              <w:t>NO</w:t>
            </w:r>
          </w:p>
        </w:tc>
        <w:tc>
          <w:tcPr>
            <w:tcW w:w="2134" w:type="dxa"/>
          </w:tcPr>
          <w:p>
            <w:pPr>
              <w:pStyle w:val="TableParagraph"/>
              <w:ind w:right="99"/>
              <w:rPr>
                <w:sz w:val="21"/>
              </w:rPr>
            </w:pPr>
            <w:r>
              <w:rPr>
                <w:w w:val="102"/>
                <w:sz w:val="21"/>
              </w:rPr>
              <w:t>9</w:t>
            </w:r>
          </w:p>
        </w:tc>
        <w:tc>
          <w:tcPr>
            <w:tcW w:w="2076" w:type="dxa"/>
          </w:tcPr>
          <w:p>
            <w:pPr>
              <w:pStyle w:val="TableParagraph"/>
              <w:ind w:right="99"/>
              <w:rPr>
                <w:sz w:val="21"/>
              </w:rPr>
            </w:pPr>
            <w:r>
              <w:rPr>
                <w:sz w:val="21"/>
              </w:rPr>
              <w:t>18</w:t>
            </w:r>
          </w:p>
        </w:tc>
        <w:tc>
          <w:tcPr>
            <w:tcW w:w="3965" w:type="dxa"/>
          </w:tcPr>
          <w:p>
            <w:pPr>
              <w:pStyle w:val="TableParagraph"/>
              <w:ind w:right="101"/>
              <w:rPr>
                <w:sz w:val="21"/>
              </w:rPr>
            </w:pPr>
            <w:r>
              <w:rPr>
                <w:sz w:val="21"/>
              </w:rPr>
              <w:t>18</w:t>
            </w:r>
          </w:p>
        </w:tc>
      </w:tr>
      <w:tr>
        <w:trPr>
          <w:trHeight w:val="571" w:hRule="exact"/>
        </w:trPr>
        <w:tc>
          <w:tcPr>
            <w:tcW w:w="1147" w:type="dxa"/>
            <w:shd w:val="clear" w:color="auto" w:fill="D9D9D9"/>
          </w:tcPr>
          <w:p>
            <w:pPr>
              <w:pStyle w:val="TableParagraph"/>
              <w:spacing w:line="239" w:lineRule="exact" w:before="0"/>
              <w:ind w:left="100"/>
              <w:jc w:val="left"/>
              <w:rPr>
                <w:b/>
                <w:sz w:val="21"/>
              </w:rPr>
            </w:pPr>
            <w:r>
              <w:rPr>
                <w:b/>
                <w:sz w:val="21"/>
              </w:rPr>
              <w:t>SI</w:t>
            </w:r>
          </w:p>
        </w:tc>
        <w:tc>
          <w:tcPr>
            <w:tcW w:w="2134" w:type="dxa"/>
          </w:tcPr>
          <w:p>
            <w:pPr>
              <w:pStyle w:val="TableParagraph"/>
              <w:spacing w:before="0"/>
              <w:ind w:right="99"/>
              <w:rPr>
                <w:sz w:val="21"/>
              </w:rPr>
            </w:pPr>
            <w:r>
              <w:rPr>
                <w:sz w:val="21"/>
              </w:rPr>
              <w:t>42</w:t>
            </w:r>
          </w:p>
        </w:tc>
        <w:tc>
          <w:tcPr>
            <w:tcW w:w="2076" w:type="dxa"/>
          </w:tcPr>
          <w:p>
            <w:pPr>
              <w:pStyle w:val="TableParagraph"/>
              <w:spacing w:before="0"/>
              <w:ind w:right="99"/>
              <w:rPr>
                <w:sz w:val="21"/>
              </w:rPr>
            </w:pPr>
            <w:r>
              <w:rPr>
                <w:sz w:val="21"/>
              </w:rPr>
              <w:t>82</w:t>
            </w:r>
          </w:p>
        </w:tc>
        <w:tc>
          <w:tcPr>
            <w:tcW w:w="3965" w:type="dxa"/>
          </w:tcPr>
          <w:p>
            <w:pPr>
              <w:pStyle w:val="TableParagraph"/>
              <w:spacing w:before="0"/>
              <w:ind w:right="101"/>
              <w:rPr>
                <w:sz w:val="21"/>
              </w:rPr>
            </w:pPr>
            <w:r>
              <w:rPr>
                <w:sz w:val="21"/>
              </w:rPr>
              <w:t>100</w:t>
            </w:r>
          </w:p>
        </w:tc>
      </w:tr>
      <w:tr>
        <w:trPr>
          <w:trHeight w:val="576" w:hRule="exact"/>
        </w:trPr>
        <w:tc>
          <w:tcPr>
            <w:tcW w:w="1147" w:type="dxa"/>
            <w:shd w:val="clear" w:color="auto" w:fill="D9D9D9"/>
          </w:tcPr>
          <w:p>
            <w:pPr>
              <w:pStyle w:val="TableParagraph"/>
              <w:ind w:left="100"/>
              <w:jc w:val="left"/>
              <w:rPr>
                <w:b/>
                <w:sz w:val="21"/>
              </w:rPr>
            </w:pPr>
            <w:r>
              <w:rPr>
                <w:b/>
                <w:sz w:val="21"/>
              </w:rPr>
              <w:t>Total</w:t>
            </w:r>
          </w:p>
        </w:tc>
        <w:tc>
          <w:tcPr>
            <w:tcW w:w="2134" w:type="dxa"/>
          </w:tcPr>
          <w:p>
            <w:pPr>
              <w:pStyle w:val="TableParagraph"/>
              <w:spacing w:before="4"/>
              <w:ind w:right="99"/>
              <w:rPr>
                <w:sz w:val="21"/>
              </w:rPr>
            </w:pPr>
            <w:r>
              <w:rPr>
                <w:sz w:val="21"/>
              </w:rPr>
              <w:t>51</w:t>
            </w:r>
          </w:p>
        </w:tc>
        <w:tc>
          <w:tcPr>
            <w:tcW w:w="2076" w:type="dxa"/>
          </w:tcPr>
          <w:p>
            <w:pPr>
              <w:pStyle w:val="TableParagraph"/>
              <w:spacing w:before="4"/>
              <w:ind w:right="99"/>
              <w:rPr>
                <w:sz w:val="21"/>
              </w:rPr>
            </w:pPr>
            <w:r>
              <w:rPr>
                <w:sz w:val="21"/>
              </w:rPr>
              <w:t>100</w:t>
            </w:r>
          </w:p>
        </w:tc>
        <w:tc>
          <w:tcPr>
            <w:tcW w:w="3965" w:type="dxa"/>
          </w:tcPr>
          <w:p>
            <w:pPr/>
          </w:p>
        </w:tc>
      </w:tr>
    </w:tbl>
    <w:p>
      <w:pPr>
        <w:spacing w:before="0"/>
        <w:ind w:left="221" w:right="150" w:firstLine="0"/>
        <w:jc w:val="left"/>
        <w:rPr>
          <w:sz w:val="21"/>
        </w:rPr>
      </w:pPr>
      <w:r>
        <w:rPr>
          <w:sz w:val="21"/>
        </w:rPr>
        <w:t>Fuente: Elaboración propia con datos de la  encuesta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64" w:lineRule="auto"/>
        <w:ind w:left="221" w:right="222"/>
        <w:jc w:val="both"/>
      </w:pPr>
      <w:r>
        <w:rPr/>
        <w:t>La crisis de Estados Unidos afecta directamente a la economía Mexicana debido a la estrecha relación que se tiene con el país norteamericano, ya que la mayoría de las exportaciones se destinan a este país, además de que México exporta mano de obra y es el tercer país a nivel mundial en recibir remesas y principalmente de Estados Unidos de Norteamérica. El 45% de los migrantes  de  este  municipio  experimentaron desempleo y por consecuencia, también la disminución de los envíos de  dinero,  también hay casos donde la familia tuvo que enviar dinero al migrante porque por  mucho tiempo estuvo desempleado. Un migrante mencionó que se incrementó la discriminación de los trabajadores y daban preferencia a quienes dominaban el idioma inglés. El 20% se encontraba en el pueblo durante el periodo de crisis, mientras que el 6% afirma que no sufrió el efecto de la crisis y estos son casos donde el migrante se  auto</w:t>
      </w:r>
      <w:r>
        <w:rPr>
          <w:spacing w:val="10"/>
        </w:rPr>
        <w:t> </w:t>
      </w:r>
      <w:r>
        <w:rPr/>
        <w:t>emplea.</w:t>
      </w:r>
    </w:p>
    <w:p>
      <w:pPr>
        <w:pStyle w:val="BodyText"/>
        <w:spacing w:before="4"/>
        <w:rPr>
          <w:sz w:val="17"/>
        </w:rPr>
      </w:pPr>
    </w:p>
    <w:p>
      <w:pPr>
        <w:pStyle w:val="BodyText"/>
        <w:spacing w:line="364" w:lineRule="auto"/>
        <w:ind w:left="221" w:right="222"/>
        <w:jc w:val="both"/>
      </w:pPr>
      <w:r>
        <w:rPr/>
        <w:t>Los migrantes mantienen una estrecha relación con su comunidad de origen, principalmente porque su familia lo espera a que regrese y a la cosmogonía que han desarrollado. Es por ello que muchos migrantes tratan de ayudar a  los  demás  habitantes o al desarrollo de su comunidad por medio de donaciones beneficiando a todos los habitantes de la</w:t>
      </w:r>
      <w:r>
        <w:rPr>
          <w:spacing w:val="38"/>
        </w:rPr>
        <w:t> </w:t>
      </w:r>
      <w:r>
        <w:rPr/>
        <w:t>comunidad.</w:t>
      </w:r>
    </w:p>
    <w:p>
      <w:pPr>
        <w:spacing w:after="0" w:line="364" w:lineRule="auto"/>
        <w:jc w:val="both"/>
        <w:sectPr>
          <w:pgSz w:w="11900" w:h="16840"/>
          <w:pgMar w:header="0" w:footer="1676" w:top="1600" w:bottom="1860" w:left="1180" w:right="1160"/>
        </w:sectPr>
      </w:pPr>
    </w:p>
    <w:p>
      <w:pPr>
        <w:pStyle w:val="BodyText"/>
        <w:rPr>
          <w:sz w:val="20"/>
        </w:rPr>
      </w:pPr>
    </w:p>
    <w:p>
      <w:pPr>
        <w:pStyle w:val="BodyText"/>
        <w:spacing w:before="8"/>
        <w:rPr>
          <w:sz w:val="18"/>
        </w:rPr>
      </w:pPr>
    </w:p>
    <w:p>
      <w:pPr>
        <w:pStyle w:val="BodyText"/>
        <w:spacing w:line="364" w:lineRule="auto" w:before="74"/>
        <w:ind w:left="101" w:right="105"/>
        <w:jc w:val="both"/>
      </w:pPr>
      <w:r>
        <w:rPr/>
        <w:t>El 51% de los migrantes de alguna manera ha contribuido en el desarrollo de su lugar   de origen. Se destaca las donaciones para construcción de una Iglesia con el 31%, mientras que la donación de dinero tiene la proporción de 27%. En las donaciones de dinero al pueblo, se destacan las donaciones para adquisición de instrumentos  musicales para el desarrollo de la banda municipal y para construcción de una casa   para la comunidad. Respecto a la donación en fiesta patronal corresponde el 27%, son principalmente donaciones de premio para torneos, también los mismos migrantes se ofrecen como voluntarios para fungir como organizadores en la diferentes comisiones   de festejos para el desarrollo de la fiesta</w:t>
      </w:r>
      <w:r>
        <w:rPr>
          <w:spacing w:val="53"/>
        </w:rPr>
        <w:t> </w:t>
      </w:r>
      <w:r>
        <w:rPr/>
        <w:t>patronal.</w:t>
      </w:r>
    </w:p>
    <w:p>
      <w:pPr>
        <w:pStyle w:val="BodyText"/>
        <w:spacing w:before="4"/>
        <w:rPr>
          <w:sz w:val="17"/>
        </w:rPr>
      </w:pPr>
    </w:p>
    <w:p>
      <w:pPr>
        <w:pStyle w:val="BodyText"/>
        <w:spacing w:line="364" w:lineRule="auto"/>
        <w:ind w:left="101" w:right="105"/>
        <w:jc w:val="both"/>
      </w:pPr>
      <w:r>
        <w:rPr/>
        <w:t>Para concluir el trabajo de campo, se incluyo las opiniones personales de los familiares de migrantes quienes experimentan muchos sentimientos en la partida  de  sus  familiares para buscar nuevas oportunidades de desarrollo y mejorar la calidad de vida de su</w:t>
      </w:r>
      <w:r>
        <w:rPr>
          <w:spacing w:val="17"/>
        </w:rPr>
        <w:t> </w:t>
      </w:r>
      <w:r>
        <w:rPr/>
        <w:t>familia.</w:t>
      </w:r>
    </w:p>
    <w:p>
      <w:pPr>
        <w:pStyle w:val="BodyText"/>
        <w:spacing w:before="4"/>
        <w:rPr>
          <w:sz w:val="17"/>
        </w:rPr>
      </w:pPr>
    </w:p>
    <w:p>
      <w:pPr>
        <w:pStyle w:val="BodyText"/>
        <w:spacing w:line="364" w:lineRule="auto"/>
        <w:ind w:left="101" w:right="105"/>
        <w:jc w:val="both"/>
      </w:pPr>
      <w:r>
        <w:rPr/>
        <w:t>Algunos consideran que la migración es buena, porque muchas familias viven en pobreza extrema y como una alternativa de mejorar la calidad de vida es la migración internacional. Se aprecia que la familia es el pilar de toda sociedad porque también se mencionó que existe el abandono de familias porque se van muy lejos y algunos temen que el familiar le ocurra algo malo lejos de su</w:t>
      </w:r>
      <w:r>
        <w:rPr>
          <w:spacing w:val="57"/>
        </w:rPr>
        <w:t> </w:t>
      </w:r>
      <w:r>
        <w:rPr/>
        <w:t>casa.</w:t>
      </w:r>
    </w:p>
    <w:p>
      <w:pPr>
        <w:pStyle w:val="BodyText"/>
        <w:spacing w:before="4"/>
        <w:rPr>
          <w:sz w:val="17"/>
        </w:rPr>
      </w:pPr>
    </w:p>
    <w:p>
      <w:pPr>
        <w:pStyle w:val="BodyText"/>
        <w:spacing w:line="364" w:lineRule="auto"/>
        <w:ind w:left="101" w:right="103"/>
        <w:jc w:val="both"/>
      </w:pPr>
      <w:r>
        <w:rPr/>
        <w:t>Otros mencionaron que el proceso de migración es muy triste difícil, algunos por experiencia propia mencionaron que en el desierto es donde se sufre bastante por la falta de agua y el calor, y existen casos donde el migrante murió en el </w:t>
      </w:r>
      <w:r>
        <w:rPr>
          <w:spacing w:val="24"/>
        </w:rPr>
        <w:t> </w:t>
      </w:r>
      <w:r>
        <w:rPr/>
        <w:t>intento.</w:t>
      </w:r>
    </w:p>
    <w:p>
      <w:pPr>
        <w:pStyle w:val="BodyText"/>
        <w:spacing w:before="4"/>
        <w:rPr>
          <w:sz w:val="17"/>
        </w:rPr>
      </w:pPr>
    </w:p>
    <w:p>
      <w:pPr>
        <w:pStyle w:val="BodyText"/>
        <w:spacing w:line="364" w:lineRule="auto"/>
        <w:ind w:left="101" w:right="105"/>
        <w:jc w:val="both"/>
      </w:pPr>
      <w:r>
        <w:rPr/>
        <w:t>Algunos encuestados mencionaron las familias que son abandonadas, independientemente de que la migración sea buena o mala. Hablan de los casos donde la madre y el padre migran y los hijos son encargados con algún familiar, los padres   van a trabajar y conseguir dinero; pero existen casos de separación, donde la madre o  el padre forma otra pareja y muchas veces no regresan a sus casas, por lo que los    hijos quedan abandonados completamente. También si la mujer queda  en  el  pueblo con sus hijos, hay caso donde el hombre regresa y encuentra a su mujer ya viviendo  con</w:t>
      </w:r>
      <w:r>
        <w:rPr>
          <w:spacing w:val="34"/>
        </w:rPr>
        <w:t> </w:t>
      </w:r>
      <w:r>
        <w:rPr/>
        <w:t>otro</w:t>
      </w:r>
      <w:r>
        <w:rPr>
          <w:spacing w:val="29"/>
        </w:rPr>
        <w:t> </w:t>
      </w:r>
      <w:r>
        <w:rPr/>
        <w:t>hombre,</w:t>
      </w:r>
      <w:r>
        <w:rPr>
          <w:spacing w:val="32"/>
        </w:rPr>
        <w:t> </w:t>
      </w:r>
      <w:r>
        <w:rPr/>
        <w:t>o</w:t>
      </w:r>
      <w:r>
        <w:rPr>
          <w:spacing w:val="34"/>
        </w:rPr>
        <w:t> </w:t>
      </w:r>
      <w:r>
        <w:rPr/>
        <w:t>el</w:t>
      </w:r>
      <w:r>
        <w:rPr>
          <w:spacing w:val="35"/>
        </w:rPr>
        <w:t> </w:t>
      </w:r>
      <w:r>
        <w:rPr/>
        <w:t>hombre</w:t>
      </w:r>
      <w:r>
        <w:rPr>
          <w:spacing w:val="32"/>
        </w:rPr>
        <w:t> </w:t>
      </w:r>
      <w:r>
        <w:rPr/>
        <w:t>migra</w:t>
      </w:r>
      <w:r>
        <w:rPr>
          <w:spacing w:val="36"/>
        </w:rPr>
        <w:t> </w:t>
      </w:r>
      <w:r>
        <w:rPr/>
        <w:t>y</w:t>
      </w:r>
      <w:r>
        <w:rPr>
          <w:spacing w:val="30"/>
        </w:rPr>
        <w:t> </w:t>
      </w:r>
      <w:r>
        <w:rPr/>
        <w:t>ya</w:t>
      </w:r>
      <w:r>
        <w:rPr>
          <w:spacing w:val="34"/>
        </w:rPr>
        <w:t> </w:t>
      </w:r>
      <w:r>
        <w:rPr/>
        <w:t>no</w:t>
      </w:r>
      <w:r>
        <w:rPr>
          <w:spacing w:val="32"/>
        </w:rPr>
        <w:t> </w:t>
      </w:r>
      <w:r>
        <w:rPr/>
        <w:t>regresa</w:t>
      </w:r>
      <w:r>
        <w:rPr>
          <w:spacing w:val="31"/>
        </w:rPr>
        <w:t> </w:t>
      </w:r>
      <w:r>
        <w:rPr/>
        <w:t>porque</w:t>
      </w:r>
      <w:r>
        <w:rPr>
          <w:spacing w:val="29"/>
        </w:rPr>
        <w:t> </w:t>
      </w:r>
      <w:r>
        <w:rPr/>
        <w:t>se</w:t>
      </w:r>
      <w:r>
        <w:rPr>
          <w:spacing w:val="29"/>
        </w:rPr>
        <w:t> </w:t>
      </w:r>
      <w:r>
        <w:rPr/>
        <w:t>junta</w:t>
      </w:r>
      <w:r>
        <w:rPr>
          <w:spacing w:val="29"/>
        </w:rPr>
        <w:t> </w:t>
      </w:r>
      <w:r>
        <w:rPr/>
        <w:t>con</w:t>
      </w:r>
      <w:r>
        <w:rPr>
          <w:spacing w:val="32"/>
        </w:rPr>
        <w:t> </w:t>
      </w:r>
      <w:r>
        <w:rPr/>
        <w:t>otra</w:t>
      </w:r>
      <w:r>
        <w:rPr>
          <w:spacing w:val="34"/>
        </w:rPr>
        <w:t> </w:t>
      </w:r>
      <w:r>
        <w:rPr/>
        <w:t>mujer.</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3"/>
        <w:jc w:val="both"/>
      </w:pPr>
      <w:r>
        <w:rPr/>
        <w:t>Estos casos causan muchos problemas,  principalmente en los  hijos  ya que ellos son  los afectados y estos sucesos causan muchos problemas a los jóvenes del municipio,    se inician en drogas o alcohol ya que les mandan dinero y no tienen a sus padres físicamente.</w:t>
      </w:r>
    </w:p>
    <w:p>
      <w:pPr>
        <w:pStyle w:val="BodyText"/>
        <w:rPr>
          <w:sz w:val="22"/>
        </w:rPr>
      </w:pPr>
    </w:p>
    <w:p>
      <w:pPr>
        <w:pStyle w:val="BodyText"/>
        <w:rPr>
          <w:sz w:val="22"/>
        </w:rPr>
      </w:pPr>
    </w:p>
    <w:p>
      <w:pPr>
        <w:pStyle w:val="BodyText"/>
        <w:spacing w:before="9"/>
        <w:rPr>
          <w:sz w:val="24"/>
        </w:rPr>
      </w:pPr>
    </w:p>
    <w:p>
      <w:pPr>
        <w:pStyle w:val="ListParagraph"/>
        <w:numPr>
          <w:ilvl w:val="0"/>
          <w:numId w:val="27"/>
        </w:numPr>
        <w:tabs>
          <w:tab w:pos="568" w:val="left" w:leader="none"/>
        </w:tabs>
        <w:spacing w:line="240" w:lineRule="auto" w:before="0" w:after="0"/>
        <w:ind w:left="567" w:right="0" w:hanging="466"/>
        <w:jc w:val="both"/>
        <w:rPr>
          <w:b/>
          <w:sz w:val="31"/>
        </w:rPr>
      </w:pPr>
      <w:r>
        <w:rPr>
          <w:b/>
          <w:sz w:val="31"/>
        </w:rPr>
        <w:t>CONCLUSIONES</w:t>
      </w:r>
    </w:p>
    <w:p>
      <w:pPr>
        <w:pStyle w:val="BodyText"/>
        <w:spacing w:before="1"/>
        <w:rPr>
          <w:b/>
          <w:sz w:val="33"/>
        </w:rPr>
      </w:pPr>
    </w:p>
    <w:p>
      <w:pPr>
        <w:pStyle w:val="BodyText"/>
        <w:spacing w:line="364" w:lineRule="auto"/>
        <w:ind w:left="101" w:right="105"/>
        <w:jc w:val="both"/>
      </w:pPr>
      <w:r>
        <w:rPr/>
        <w:t>Santo Domingo Tepuxtepec, al estar ubicada en la sierra norte de Oaxaca, presenta condiciones adversas para el desarrollo de actividades como la agricultura, sumado es éste el poco crecimiento económico municipal, el bajo nivel educativo de los habitantes, los altos índices de marginación propician la migración como una alternativa de desarrollo.</w:t>
      </w:r>
    </w:p>
    <w:p>
      <w:pPr>
        <w:pStyle w:val="BodyText"/>
        <w:spacing w:before="6"/>
        <w:rPr>
          <w:sz w:val="17"/>
        </w:rPr>
      </w:pPr>
    </w:p>
    <w:p>
      <w:pPr>
        <w:pStyle w:val="BodyText"/>
        <w:spacing w:line="364" w:lineRule="auto"/>
        <w:ind w:left="101" w:right="109"/>
        <w:jc w:val="both"/>
      </w:pPr>
      <w:r>
        <w:rPr/>
        <w:t>Las características que presentan las familias receptoras de remesas son  las  siguientes:</w:t>
      </w:r>
    </w:p>
    <w:p>
      <w:pPr>
        <w:pStyle w:val="BodyText"/>
        <w:spacing w:line="364" w:lineRule="auto" w:before="197"/>
        <w:ind w:left="101" w:right="102"/>
        <w:jc w:val="both"/>
      </w:pPr>
      <w:r>
        <w:rPr/>
        <w:t>Son familias indígenas, con 4 integrantes en promedio. Las familias se dedican a la agricultura de subsistencia o de autoconsumo, el cual no es rentable debido a la topografía accidentada y a la infertilidad del suelo. El nivel de educación de las mujeres es muy inferior con respecto a la de los hombres, el cual es un claro reflejo de la cultura machista. El 80% de las familias viven con un ingreso menor o igual a mil pesos mensuales, es por eso que existen muchos jóvenes que sólo terminan la secundaria y después dedicarse a trabajar para ayudar a sus familiares o para cubrir sus propias necesidades como la alimentación y el vestido. Estos datos indican que la pobreza y la marginación son las causas de la migración, además de que los migrantes tienen un  bajo nivel escolaridad que se dedicaban a la agricultura de </w:t>
      </w:r>
      <w:r>
        <w:rPr>
          <w:spacing w:val="18"/>
        </w:rPr>
        <w:t> </w:t>
      </w:r>
      <w:r>
        <w:rPr/>
        <w:t>subsistencia.</w:t>
      </w:r>
    </w:p>
    <w:p>
      <w:pPr>
        <w:pStyle w:val="BodyText"/>
        <w:spacing w:before="4"/>
        <w:rPr>
          <w:sz w:val="17"/>
        </w:rPr>
      </w:pPr>
    </w:p>
    <w:p>
      <w:pPr>
        <w:pStyle w:val="BodyText"/>
        <w:spacing w:line="364" w:lineRule="auto"/>
        <w:ind w:left="101" w:right="103"/>
        <w:jc w:val="both"/>
      </w:pPr>
      <w:r>
        <w:rPr/>
        <w:t>Los principales lugares destino son: Los Ángeles, Nueva Jersey, Milwaukee y Chicago; es decir que la redes sociales se han tenido mayor desarrollo en estas  regiones.</w:t>
      </w:r>
    </w:p>
    <w:p>
      <w:pPr>
        <w:pStyle w:val="BodyText"/>
        <w:spacing w:before="4"/>
        <w:rPr>
          <w:sz w:val="17"/>
        </w:rPr>
      </w:pPr>
    </w:p>
    <w:p>
      <w:pPr>
        <w:pStyle w:val="BodyText"/>
        <w:spacing w:line="364" w:lineRule="auto"/>
        <w:ind w:left="101" w:right="105"/>
        <w:jc w:val="both"/>
      </w:pPr>
      <w:r>
        <w:rPr/>
        <w:t>El destino de las remesas es principalmente a las necesidades básicas como la alimentación,  salud  y  vestido;  mientras  que  el  ahorro  y  la  adquisición  de     bienes</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8"/>
        <w:jc w:val="both"/>
      </w:pPr>
      <w:r>
        <w:rPr/>
        <w:t>materiales se encuentran en segundo término. En la educación no es determinante las remesas, porque menos de una tercera parte son los que destinan parte de los envíos  de dinero a este sector, mientras que en la inversión es  nulo.</w:t>
      </w:r>
    </w:p>
    <w:p>
      <w:pPr>
        <w:pStyle w:val="BodyText"/>
        <w:spacing w:before="6"/>
        <w:rPr>
          <w:sz w:val="17"/>
        </w:rPr>
      </w:pPr>
    </w:p>
    <w:p>
      <w:pPr>
        <w:pStyle w:val="BodyText"/>
        <w:spacing w:line="364" w:lineRule="auto"/>
        <w:ind w:left="101" w:right="105"/>
        <w:jc w:val="both"/>
      </w:pPr>
      <w:r>
        <w:rPr/>
        <w:t>Más del 80% de las familias de migrantes consideran que ha mejorado su calidad de  vida y esto se refleja, en casas de concreto o en los hijos vistiendo ropas de marca, Los carros de origen Estadounidense se ven con frecuencia circular en el </w:t>
      </w:r>
      <w:r>
        <w:rPr>
          <w:spacing w:val="24"/>
        </w:rPr>
        <w:t> </w:t>
      </w:r>
      <w:r>
        <w:rPr/>
        <w:t>municipio.</w:t>
      </w:r>
    </w:p>
    <w:p>
      <w:pPr>
        <w:pStyle w:val="BodyText"/>
        <w:spacing w:before="4"/>
        <w:rPr>
          <w:sz w:val="17"/>
        </w:rPr>
      </w:pPr>
    </w:p>
    <w:p>
      <w:pPr>
        <w:pStyle w:val="BodyText"/>
        <w:spacing w:line="364" w:lineRule="auto"/>
        <w:ind w:left="101" w:right="103"/>
        <w:jc w:val="both"/>
      </w:pPr>
      <w:r>
        <w:rPr/>
        <w:t>Más de la mitad de los migrantes, ayudan a sus comunidades de origen, en los que se destacan, donaciones de dinero para construcción de una iglesia católica en la comunidad de Llano Crucero. Donaciones de dinero para la construcción de una casa  de la comunidad. Donaciones para la adquisición de instrumentos musicales y el pago del maestro de música. También se destacan las donaciones de premio en las fiestas patronales de las diferentes comunidades pertenecientes al municipio, de la misma manera se ofrecen voluntariamente en las comisiones de festejos para la organización de las fiestas ya que muchos de ellos se trasladan a sus  comunidades  de  origen durante estos</w:t>
      </w:r>
      <w:r>
        <w:rPr>
          <w:spacing w:val="25"/>
        </w:rPr>
        <w:t> </w:t>
      </w:r>
      <w:r>
        <w:rPr/>
        <w:t>eventos.</w:t>
      </w:r>
    </w:p>
    <w:p>
      <w:pPr>
        <w:pStyle w:val="BodyText"/>
        <w:rPr>
          <w:sz w:val="22"/>
        </w:rPr>
      </w:pPr>
    </w:p>
    <w:p>
      <w:pPr>
        <w:pStyle w:val="BodyText"/>
        <w:rPr>
          <w:sz w:val="22"/>
        </w:rPr>
      </w:pPr>
    </w:p>
    <w:p>
      <w:pPr>
        <w:pStyle w:val="BodyText"/>
        <w:spacing w:before="6"/>
        <w:rPr>
          <w:sz w:val="31"/>
        </w:rPr>
      </w:pPr>
    </w:p>
    <w:p>
      <w:pPr>
        <w:pStyle w:val="ListParagraph"/>
        <w:numPr>
          <w:ilvl w:val="0"/>
          <w:numId w:val="27"/>
        </w:numPr>
        <w:tabs>
          <w:tab w:pos="481" w:val="left" w:leader="none"/>
        </w:tabs>
        <w:spacing w:line="240" w:lineRule="auto" w:before="0" w:after="0"/>
        <w:ind w:left="480" w:right="0" w:hanging="379"/>
        <w:jc w:val="both"/>
        <w:rPr>
          <w:b/>
          <w:i/>
          <w:sz w:val="31"/>
        </w:rPr>
      </w:pPr>
      <w:r>
        <w:rPr>
          <w:b/>
          <w:i/>
          <w:sz w:val="31"/>
        </w:rPr>
        <w:t>REFERENCIAS </w:t>
      </w:r>
      <w:r>
        <w:rPr>
          <w:b/>
          <w:i/>
          <w:spacing w:val="15"/>
          <w:sz w:val="31"/>
        </w:rPr>
        <w:t> </w:t>
      </w:r>
      <w:r>
        <w:rPr>
          <w:b/>
          <w:i/>
          <w:sz w:val="31"/>
        </w:rPr>
        <w:t>BIBLIOGRÁFICAS</w:t>
      </w:r>
    </w:p>
    <w:p>
      <w:pPr>
        <w:pStyle w:val="BodyText"/>
        <w:rPr>
          <w:b/>
          <w:i/>
          <w:sz w:val="30"/>
        </w:rPr>
      </w:pPr>
    </w:p>
    <w:p>
      <w:pPr>
        <w:pStyle w:val="BodyText"/>
        <w:spacing w:before="2"/>
        <w:rPr>
          <w:b/>
          <w:i/>
          <w:sz w:val="43"/>
        </w:rPr>
      </w:pPr>
    </w:p>
    <w:p>
      <w:pPr>
        <w:spacing w:line="364" w:lineRule="auto" w:before="0"/>
        <w:ind w:left="238" w:right="102" w:firstLine="0"/>
        <w:jc w:val="left"/>
        <w:rPr>
          <w:sz w:val="23"/>
        </w:rPr>
      </w:pPr>
      <w:r>
        <w:rPr>
          <w:sz w:val="23"/>
        </w:rPr>
        <w:t>Adams Jr, R. H. (2008). </w:t>
      </w:r>
      <w:r>
        <w:rPr>
          <w:i/>
          <w:sz w:val="23"/>
        </w:rPr>
        <w:t>The Demographic, Economic and Financial Determinants of </w:t>
      </w:r>
      <w:r>
        <w:rPr>
          <w:i/>
          <w:sz w:val="23"/>
        </w:rPr>
        <w:t>International Remittances in Developing Countries</w:t>
      </w:r>
      <w:r>
        <w:rPr>
          <w:sz w:val="23"/>
        </w:rPr>
        <w:t>. Documento de trabajo num. 4583. Washington, D.C. El banco mundial.  </w:t>
      </w:r>
      <w:hyperlink r:id="rId409">
        <w:r>
          <w:rPr>
            <w:sz w:val="23"/>
          </w:rPr>
          <w:t>http://ideas.repec.org/p/wbk/wbrwps/4583.html</w:t>
        </w:r>
      </w:hyperlink>
    </w:p>
    <w:p>
      <w:pPr>
        <w:pStyle w:val="BodyText"/>
        <w:rPr>
          <w:sz w:val="24"/>
        </w:rPr>
      </w:pPr>
    </w:p>
    <w:p>
      <w:pPr>
        <w:spacing w:line="364" w:lineRule="auto" w:before="0"/>
        <w:ind w:left="238" w:right="102" w:firstLine="0"/>
        <w:jc w:val="left"/>
        <w:rPr>
          <w:sz w:val="23"/>
        </w:rPr>
      </w:pPr>
      <w:r>
        <w:rPr>
          <w:sz w:val="23"/>
        </w:rPr>
        <w:t>Canales, A. (2006). </w:t>
      </w:r>
      <w:r>
        <w:rPr>
          <w:i/>
          <w:sz w:val="23"/>
        </w:rPr>
        <w:t>Remesas y desarrollo en México. Una visión crítica desde la </w:t>
      </w:r>
      <w:r>
        <w:rPr>
          <w:i/>
          <w:sz w:val="23"/>
        </w:rPr>
        <w:t>macroeconomía. </w:t>
      </w:r>
      <w:r>
        <w:rPr>
          <w:sz w:val="23"/>
        </w:rPr>
        <w:t>Papeles de población, octubre-diciembre, número 50, México, D.F. Universidad Autónoma de Estado de</w:t>
      </w:r>
      <w:r>
        <w:rPr>
          <w:spacing w:val="56"/>
          <w:sz w:val="23"/>
        </w:rPr>
        <w:t> </w:t>
      </w:r>
      <w:r>
        <w:rPr>
          <w:sz w:val="23"/>
        </w:rPr>
        <w:t>México,</w:t>
      </w:r>
    </w:p>
    <w:p>
      <w:pPr>
        <w:pStyle w:val="BodyText"/>
        <w:rPr>
          <w:sz w:val="24"/>
        </w:rPr>
      </w:pPr>
    </w:p>
    <w:p>
      <w:pPr>
        <w:spacing w:line="364" w:lineRule="auto" w:before="0"/>
        <w:ind w:left="101" w:right="107" w:firstLine="0"/>
        <w:jc w:val="both"/>
        <w:rPr>
          <w:sz w:val="23"/>
        </w:rPr>
      </w:pPr>
      <w:r>
        <w:rPr>
          <w:sz w:val="23"/>
        </w:rPr>
        <w:t>Gobierno del Estado de Oaxaca. (2009). </w:t>
      </w:r>
      <w:r>
        <w:rPr>
          <w:i/>
          <w:sz w:val="23"/>
        </w:rPr>
        <w:t>Enciclopedia de los municipios de México. </w:t>
      </w:r>
      <w:r>
        <w:rPr>
          <w:i/>
          <w:sz w:val="23"/>
        </w:rPr>
        <w:t>Estado     de     Oaxaca:     Santo     Domingo     Tepuxtepec</w:t>
      </w:r>
      <w:r>
        <w:rPr>
          <w:sz w:val="23"/>
        </w:rPr>
        <w:t>.     Septiembre     14,  2009.</w:t>
      </w:r>
    </w:p>
    <w:p>
      <w:pPr>
        <w:spacing w:after="0" w:line="364" w:lineRule="auto"/>
        <w:jc w:val="both"/>
        <w:rPr>
          <w:sz w:val="23"/>
        </w:rPr>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2"/>
      </w:pPr>
      <w:hyperlink r:id="rId410">
        <w:r>
          <w:rPr/>
          <w:t>http://www.sanmartintexmelucan.gob.mx/work/templates/enciclo/oaxaca/municipios/205</w:t>
        </w:r>
      </w:hyperlink>
      <w:r>
        <w:rPr/>
        <w:t> 17a</w:t>
      </w:r>
    </w:p>
    <w:p>
      <w:pPr>
        <w:pStyle w:val="BodyText"/>
        <w:rPr>
          <w:sz w:val="24"/>
        </w:rPr>
      </w:pPr>
    </w:p>
    <w:p>
      <w:pPr>
        <w:spacing w:line="367" w:lineRule="auto" w:before="0"/>
        <w:ind w:left="238" w:right="102" w:firstLine="0"/>
        <w:jc w:val="left"/>
        <w:rPr>
          <w:sz w:val="23"/>
        </w:rPr>
      </w:pPr>
      <w:r>
        <w:rPr>
          <w:sz w:val="23"/>
        </w:rPr>
        <w:t>Góngora Gómez, J.L. (2007). </w:t>
      </w:r>
      <w:r>
        <w:rPr>
          <w:i/>
          <w:sz w:val="23"/>
        </w:rPr>
        <w:t>Dimensión espacial de las remesas de migrantes </w:t>
      </w:r>
      <w:r>
        <w:rPr>
          <w:i/>
          <w:sz w:val="23"/>
        </w:rPr>
        <w:t>internacionales en México. </w:t>
      </w:r>
      <w:r>
        <w:rPr>
          <w:sz w:val="23"/>
        </w:rPr>
        <w:t>Cuernavaca, Morelos, México. Universidad Autónoma del Estado de Morelos.</w:t>
      </w:r>
    </w:p>
    <w:p>
      <w:pPr>
        <w:pStyle w:val="BodyText"/>
        <w:spacing w:before="6"/>
      </w:pPr>
    </w:p>
    <w:p>
      <w:pPr>
        <w:spacing w:line="364" w:lineRule="auto" w:before="1"/>
        <w:ind w:left="238" w:right="102" w:firstLine="0"/>
        <w:jc w:val="left"/>
        <w:rPr>
          <w:sz w:val="23"/>
        </w:rPr>
      </w:pPr>
      <w:r>
        <w:rPr>
          <w:sz w:val="23"/>
        </w:rPr>
        <w:t>Lestrade Sadurni, R. (2004). </w:t>
      </w:r>
      <w:r>
        <w:rPr>
          <w:i/>
          <w:sz w:val="23"/>
        </w:rPr>
        <w:t>Análisis de la Migración de México a Estados Unidos y la </w:t>
      </w:r>
      <w:r>
        <w:rPr>
          <w:i/>
          <w:sz w:val="23"/>
        </w:rPr>
        <w:t>Importancia de las Remesas para la Economía Mexicana</w:t>
      </w:r>
      <w:r>
        <w:rPr>
          <w:sz w:val="23"/>
        </w:rPr>
        <w:t>. Puebla,  México.</w:t>
      </w:r>
    </w:p>
    <w:p>
      <w:pPr>
        <w:pStyle w:val="BodyText"/>
        <w:spacing w:before="7"/>
        <w:ind w:left="238" w:right="102"/>
      </w:pPr>
      <w:r>
        <w:rPr/>
        <w:t>Universidad de las Américas Puebla.</w:t>
      </w:r>
    </w:p>
    <w:p>
      <w:pPr>
        <w:pStyle w:val="BodyText"/>
        <w:rPr>
          <w:sz w:val="22"/>
        </w:rPr>
      </w:pPr>
    </w:p>
    <w:p>
      <w:pPr>
        <w:spacing w:line="367" w:lineRule="auto" w:before="154"/>
        <w:ind w:left="238" w:right="105" w:firstLine="0"/>
        <w:jc w:val="both"/>
        <w:rPr>
          <w:sz w:val="23"/>
        </w:rPr>
      </w:pPr>
      <w:r>
        <w:rPr>
          <w:sz w:val="23"/>
        </w:rPr>
        <w:t>Pérez Guel, R.O. (2007). </w:t>
      </w:r>
      <w:r>
        <w:rPr>
          <w:i/>
          <w:sz w:val="23"/>
        </w:rPr>
        <w:t>El fenómeno del flujo migratorio en Santo Domingo </w:t>
      </w:r>
      <w:r>
        <w:rPr>
          <w:i/>
          <w:sz w:val="23"/>
        </w:rPr>
        <w:t>Tepuxtepec, Mixe, Oax. hacia los Estados Unidos de América</w:t>
      </w:r>
      <w:r>
        <w:rPr>
          <w:sz w:val="23"/>
        </w:rPr>
        <w:t>. Chapingo, Mex. Universidad Autónoma Chapingo.</w:t>
      </w:r>
    </w:p>
    <w:p>
      <w:pPr>
        <w:pStyle w:val="BodyText"/>
        <w:spacing w:before="9"/>
      </w:pPr>
    </w:p>
    <w:p>
      <w:pPr>
        <w:spacing w:line="364" w:lineRule="auto" w:before="0"/>
        <w:ind w:left="238" w:right="318" w:firstLine="0"/>
        <w:jc w:val="left"/>
        <w:rPr>
          <w:sz w:val="23"/>
        </w:rPr>
      </w:pPr>
      <w:r>
        <w:rPr>
          <w:sz w:val="23"/>
        </w:rPr>
        <w:t>Márquez Covarrubias, H. (2007). </w:t>
      </w:r>
      <w:r>
        <w:rPr>
          <w:i/>
          <w:sz w:val="23"/>
        </w:rPr>
        <w:t>Migración y desarrollo en México: entre la </w:t>
      </w:r>
      <w:r>
        <w:rPr>
          <w:i/>
          <w:sz w:val="23"/>
        </w:rPr>
        <w:t>exportación de fuerza de trabajo y la dependencia de las remesas. </w:t>
      </w:r>
      <w:r>
        <w:rPr>
          <w:sz w:val="23"/>
        </w:rPr>
        <w:t>Región y Sociedad, mayo-agosto, vol. XIX, número 39, Hermosillo, Sonora México. El Colegio de Sonora.</w:t>
      </w:r>
    </w:p>
    <w:p>
      <w:pPr>
        <w:pStyle w:val="BodyText"/>
        <w:spacing w:before="2"/>
        <w:rPr>
          <w:sz w:val="24"/>
        </w:rPr>
      </w:pPr>
    </w:p>
    <w:p>
      <w:pPr>
        <w:pStyle w:val="BodyText"/>
        <w:spacing w:line="364" w:lineRule="auto"/>
        <w:ind w:left="238" w:right="102"/>
      </w:pPr>
      <w:r>
        <w:rPr/>
        <w:t>INEGI. Informacion por Entidad: Oaxaca. Septiembre 9, 2009. </w:t>
      </w:r>
      <w:hyperlink r:id="rId411">
        <w:r>
          <w:rPr/>
          <w:t>http://cuentame.inegi.gob.mx/monografias/informacion/oax/default.aspx?tema=me&amp;e=</w:t>
        </w:r>
      </w:hyperlink>
      <w:r>
        <w:rPr/>
        <w:t> 20</w:t>
      </w:r>
    </w:p>
    <w:p>
      <w:pPr>
        <w:spacing w:after="0" w:line="364" w:lineRule="auto"/>
        <w:sectPr>
          <w:pgSz w:w="11900" w:h="16840"/>
          <w:pgMar w:header="0" w:footer="1676" w:top="1600" w:bottom="1860" w:left="1300" w:right="1280"/>
        </w:sectPr>
      </w:pPr>
    </w:p>
    <w:p>
      <w:pPr>
        <w:pStyle w:val="BodyText"/>
        <w:spacing w:before="4"/>
        <w:rPr>
          <w:rFonts w:ascii="Times New Roman"/>
          <w:sz w:val="17"/>
        </w:rPr>
      </w:pPr>
    </w:p>
    <w:p>
      <w:pPr>
        <w:spacing w:after="0"/>
        <w:rPr>
          <w:rFonts w:ascii="Times New Roman"/>
          <w:sz w:val="17"/>
        </w:rPr>
        <w:sectPr>
          <w:footerReference w:type="default" r:id="rId412"/>
          <w:pgSz w:w="11900" w:h="16840"/>
          <w:pgMar w:footer="1619" w:header="0" w:top="1600" w:bottom="1800" w:left="1680" w:right="1280"/>
          <w:pgNumType w:start="310"/>
        </w:sectPr>
      </w:pPr>
    </w:p>
    <w:p>
      <w:pPr>
        <w:pStyle w:val="BodyText"/>
        <w:rPr>
          <w:rFonts w:ascii="Times New Roman"/>
          <w:sz w:val="20"/>
        </w:rPr>
      </w:pPr>
    </w:p>
    <w:p>
      <w:pPr>
        <w:pStyle w:val="BodyText"/>
        <w:spacing w:before="6"/>
        <w:rPr>
          <w:rFonts w:ascii="Times New Roman"/>
          <w:sz w:val="19"/>
        </w:rPr>
      </w:pPr>
    </w:p>
    <w:p>
      <w:pPr>
        <w:pStyle w:val="Heading1"/>
        <w:numPr>
          <w:ilvl w:val="0"/>
          <w:numId w:val="26"/>
        </w:numPr>
        <w:tabs>
          <w:tab w:pos="680" w:val="left" w:leader="none"/>
        </w:tabs>
        <w:spacing w:line="240" w:lineRule="auto" w:before="55" w:after="0"/>
        <w:ind w:left="108" w:right="468" w:firstLine="180"/>
        <w:jc w:val="left"/>
      </w:pPr>
      <w:r>
        <w:rPr>
          <w:spacing w:val="-3"/>
        </w:rPr>
        <w:t>LAS </w:t>
      </w:r>
      <w:r>
        <w:rPr/>
        <w:t>REMESAS SOBRE EL TIPO DE CAMBIO, LA INFLACIÓN, EL DESEMPLEO, TASA DE INTERÉS, EL SALARIO Y NÚMERO DE MIGRANTES EN</w:t>
      </w:r>
      <w:r>
        <w:rPr>
          <w:spacing w:val="-3"/>
        </w:rPr>
        <w:t> </w:t>
      </w:r>
      <w:r>
        <w:rPr/>
        <w:t>MÉXICO:</w:t>
      </w:r>
    </w:p>
    <w:p>
      <w:pPr>
        <w:spacing w:before="0"/>
        <w:ind w:left="1293" w:right="1655" w:firstLine="0"/>
        <w:jc w:val="center"/>
        <w:rPr>
          <w:b/>
          <w:sz w:val="35"/>
        </w:rPr>
      </w:pPr>
      <w:r>
        <w:rPr>
          <w:b/>
          <w:sz w:val="35"/>
        </w:rPr>
        <w:t>1980-2009</w:t>
      </w:r>
    </w:p>
    <w:p>
      <w:pPr>
        <w:pStyle w:val="BodyText"/>
        <w:rPr>
          <w:b/>
          <w:sz w:val="34"/>
        </w:rPr>
      </w:pPr>
    </w:p>
    <w:p>
      <w:pPr>
        <w:pStyle w:val="BodyText"/>
        <w:spacing w:before="10"/>
        <w:rPr>
          <w:b/>
          <w:sz w:val="34"/>
        </w:rPr>
      </w:pPr>
    </w:p>
    <w:p>
      <w:pPr>
        <w:spacing w:before="0"/>
        <w:ind w:left="1469" w:right="1650" w:firstLine="0"/>
        <w:jc w:val="center"/>
        <w:rPr>
          <w:b/>
          <w:sz w:val="21"/>
        </w:rPr>
      </w:pPr>
      <w:r>
        <w:rPr>
          <w:b/>
          <w:sz w:val="21"/>
        </w:rPr>
        <w:t>Esther Figueroa Hernández</w:t>
      </w:r>
    </w:p>
    <w:p>
      <w:pPr>
        <w:spacing w:before="135"/>
        <w:ind w:left="1469" w:right="1655" w:firstLine="0"/>
        <w:jc w:val="center"/>
        <w:rPr>
          <w:sz w:val="19"/>
        </w:rPr>
      </w:pPr>
      <w:r>
        <w:rPr>
          <w:sz w:val="19"/>
        </w:rPr>
        <w:t>Universidad Autônoma del Estado de México.   </w:t>
      </w:r>
      <w:hyperlink r:id="rId17">
        <w:r>
          <w:rPr>
            <w:sz w:val="19"/>
          </w:rPr>
          <w:t>esfigue_3@yahoo.com.mx</w:t>
        </w:r>
      </w:hyperlink>
    </w:p>
    <w:p>
      <w:pPr>
        <w:pStyle w:val="BodyText"/>
        <w:spacing w:before="9"/>
        <w:rPr>
          <w:sz w:val="19"/>
        </w:rPr>
      </w:pPr>
    </w:p>
    <w:p>
      <w:pPr>
        <w:spacing w:before="1"/>
        <w:ind w:left="1467" w:right="1655" w:firstLine="0"/>
        <w:jc w:val="center"/>
        <w:rPr>
          <w:b/>
          <w:sz w:val="21"/>
        </w:rPr>
      </w:pPr>
      <w:r>
        <w:rPr>
          <w:b/>
          <w:sz w:val="21"/>
        </w:rPr>
        <w:t>Francisco Pérez Soto</w:t>
      </w:r>
    </w:p>
    <w:p>
      <w:pPr>
        <w:spacing w:before="132"/>
        <w:ind w:left="1469" w:right="1653" w:firstLine="0"/>
        <w:jc w:val="center"/>
        <w:rPr>
          <w:sz w:val="19"/>
        </w:rPr>
      </w:pPr>
      <w:r>
        <w:rPr>
          <w:sz w:val="19"/>
        </w:rPr>
        <w:t>Universidad  Autônoma  Chapingo, </w:t>
      </w:r>
      <w:hyperlink r:id="rId19">
        <w:r>
          <w:rPr>
            <w:sz w:val="19"/>
          </w:rPr>
          <w:t>perezsotof@hotmail.com</w:t>
        </w:r>
      </w:hyperlink>
    </w:p>
    <w:p>
      <w:pPr>
        <w:pStyle w:val="BodyText"/>
        <w:rPr>
          <w:sz w:val="20"/>
        </w:rPr>
      </w:pPr>
    </w:p>
    <w:p>
      <w:pPr>
        <w:spacing w:before="0"/>
        <w:ind w:left="1469" w:right="1654" w:firstLine="0"/>
        <w:jc w:val="center"/>
        <w:rPr>
          <w:b/>
          <w:sz w:val="21"/>
        </w:rPr>
      </w:pPr>
      <w:r>
        <w:rPr>
          <w:b/>
          <w:sz w:val="21"/>
        </w:rPr>
        <w:t>Gerónimo Barrios Puente</w:t>
      </w:r>
    </w:p>
    <w:p>
      <w:pPr>
        <w:spacing w:before="132"/>
        <w:ind w:left="1466" w:right="1655" w:firstLine="0"/>
        <w:jc w:val="center"/>
        <w:rPr>
          <w:sz w:val="19"/>
        </w:rPr>
      </w:pPr>
      <w:r>
        <w:rPr>
          <w:sz w:val="19"/>
        </w:rPr>
        <w:t>Universidad  Autônoma  Chapingo, </w:t>
      </w:r>
      <w:hyperlink r:id="rId139">
        <w:r>
          <w:rPr>
            <w:sz w:val="19"/>
          </w:rPr>
          <w:t>gbarrios@yahoo.com.mx</w:t>
        </w:r>
      </w:hyperlink>
    </w:p>
    <w:p>
      <w:pPr>
        <w:pStyle w:val="BodyText"/>
        <w:spacing w:before="7"/>
        <w:rPr>
          <w:sz w:val="19"/>
        </w:rPr>
      </w:pPr>
    </w:p>
    <w:p>
      <w:pPr>
        <w:spacing w:before="0"/>
        <w:ind w:left="1466" w:right="1655" w:firstLine="0"/>
        <w:jc w:val="center"/>
        <w:rPr>
          <w:b/>
          <w:sz w:val="21"/>
        </w:rPr>
      </w:pPr>
      <w:r>
        <w:rPr>
          <w:b/>
          <w:sz w:val="21"/>
        </w:rPr>
        <w:t>Orsohe Ramírez Abarca</w:t>
      </w:r>
    </w:p>
    <w:p>
      <w:pPr>
        <w:spacing w:before="132"/>
        <w:ind w:left="1744" w:right="0" w:firstLine="0"/>
        <w:jc w:val="left"/>
        <w:rPr>
          <w:sz w:val="19"/>
        </w:rPr>
      </w:pPr>
      <w:r>
        <w:rPr>
          <w:sz w:val="19"/>
        </w:rPr>
        <w:t>Universidad Autônoma del Estado de México.   </w:t>
      </w:r>
      <w:hyperlink r:id="rId18">
        <w:r>
          <w:rPr>
            <w:sz w:val="19"/>
          </w:rPr>
          <w:t>orsohe@yahoo.com</w:t>
        </w:r>
      </w:hyperlink>
    </w:p>
    <w:p>
      <w:pPr>
        <w:pStyle w:val="BodyText"/>
        <w:rPr>
          <w:sz w:val="20"/>
        </w:rPr>
      </w:pPr>
    </w:p>
    <w:p>
      <w:pPr>
        <w:spacing w:before="0"/>
        <w:ind w:left="1299" w:right="1655" w:firstLine="0"/>
        <w:jc w:val="center"/>
        <w:rPr>
          <w:b/>
          <w:sz w:val="21"/>
        </w:rPr>
      </w:pPr>
      <w:r>
        <w:rPr>
          <w:b/>
          <w:sz w:val="21"/>
        </w:rPr>
        <w:t>Daniel Sepúlveda Jiménez</w:t>
      </w:r>
    </w:p>
    <w:p>
      <w:pPr>
        <w:spacing w:before="7"/>
        <w:ind w:left="2097" w:right="0" w:firstLine="0"/>
        <w:jc w:val="left"/>
        <w:rPr>
          <w:sz w:val="19"/>
        </w:rPr>
      </w:pPr>
      <w:r>
        <w:rPr>
          <w:sz w:val="19"/>
        </w:rPr>
        <w:t>Universidad  Autónoma  Chapingo, </w:t>
      </w:r>
      <w:hyperlink r:id="rId299">
        <w:r>
          <w:rPr>
            <w:sz w:val="19"/>
          </w:rPr>
          <w:t>sepjim700@yahoo.com.mx</w:t>
        </w:r>
      </w:hyperlink>
    </w:p>
    <w:p>
      <w:pPr>
        <w:pStyle w:val="BodyText"/>
        <w:rPr>
          <w:sz w:val="18"/>
        </w:rPr>
      </w:pPr>
    </w:p>
    <w:p>
      <w:pPr>
        <w:pStyle w:val="BodyText"/>
        <w:rPr>
          <w:sz w:val="18"/>
        </w:rPr>
      </w:pPr>
    </w:p>
    <w:p>
      <w:pPr>
        <w:pStyle w:val="BodyText"/>
        <w:rPr>
          <w:sz w:val="18"/>
        </w:rPr>
      </w:pPr>
    </w:p>
    <w:p>
      <w:pPr>
        <w:pStyle w:val="BodyText"/>
        <w:rPr>
          <w:sz w:val="18"/>
        </w:rPr>
      </w:pPr>
    </w:p>
    <w:p>
      <w:pPr>
        <w:pStyle w:val="Heading2"/>
        <w:numPr>
          <w:ilvl w:val="0"/>
          <w:numId w:val="28"/>
        </w:numPr>
        <w:tabs>
          <w:tab w:pos="461" w:val="left" w:leader="none"/>
        </w:tabs>
        <w:spacing w:line="240" w:lineRule="auto" w:before="161" w:after="0"/>
        <w:ind w:left="460" w:right="0" w:hanging="259"/>
        <w:jc w:val="both"/>
      </w:pPr>
      <w:r>
        <w:rPr/>
        <w:t>INTRODUCCIÓN</w:t>
      </w:r>
    </w:p>
    <w:p>
      <w:pPr>
        <w:pStyle w:val="BodyText"/>
        <w:rPr>
          <w:b/>
          <w:sz w:val="30"/>
        </w:rPr>
      </w:pPr>
    </w:p>
    <w:p>
      <w:pPr>
        <w:pStyle w:val="BodyText"/>
        <w:spacing w:line="364" w:lineRule="auto" w:before="244"/>
        <w:ind w:left="201" w:right="386"/>
        <w:jc w:val="both"/>
      </w:pPr>
      <w:r>
        <w:rPr/>
        <w:t>Para un país como México, cuyo ingreso per cápita fue de alrededor  de  $7948 dólares en 2009, lo que representa 28.3% menos que en 2008, con  tasas  de  inflación</w:t>
      </w:r>
      <w:r>
        <w:rPr>
          <w:spacing w:val="17"/>
        </w:rPr>
        <w:t> </w:t>
      </w:r>
      <w:r>
        <w:rPr/>
        <w:t>de</w:t>
      </w:r>
      <w:r>
        <w:rPr>
          <w:spacing w:val="21"/>
        </w:rPr>
        <w:t> </w:t>
      </w:r>
      <w:r>
        <w:rPr/>
        <w:t>alrededor</w:t>
      </w:r>
      <w:r>
        <w:rPr>
          <w:spacing w:val="22"/>
        </w:rPr>
        <w:t> </w:t>
      </w:r>
      <w:r>
        <w:rPr/>
        <w:t>de</w:t>
      </w:r>
      <w:r>
        <w:rPr>
          <w:spacing w:val="21"/>
        </w:rPr>
        <w:t> </w:t>
      </w:r>
      <w:r>
        <w:rPr/>
        <w:t>5.3%,</w:t>
      </w:r>
      <w:r>
        <w:rPr>
          <w:spacing w:val="23"/>
        </w:rPr>
        <w:t> </w:t>
      </w:r>
      <w:r>
        <w:rPr/>
        <w:t>tasas</w:t>
      </w:r>
      <w:r>
        <w:rPr>
          <w:spacing w:val="22"/>
        </w:rPr>
        <w:t> </w:t>
      </w:r>
      <w:r>
        <w:rPr/>
        <w:t>de</w:t>
      </w:r>
      <w:r>
        <w:rPr>
          <w:spacing w:val="17"/>
        </w:rPr>
        <w:t> </w:t>
      </w:r>
      <w:r>
        <w:rPr/>
        <w:t>interés</w:t>
      </w:r>
      <w:r>
        <w:rPr>
          <w:spacing w:val="24"/>
        </w:rPr>
        <w:t> </w:t>
      </w:r>
      <w:r>
        <w:rPr/>
        <w:t>de</w:t>
      </w:r>
      <w:r>
        <w:rPr>
          <w:spacing w:val="22"/>
        </w:rPr>
        <w:t> </w:t>
      </w:r>
      <w:r>
        <w:rPr/>
        <w:t>6%</w:t>
      </w:r>
      <w:r>
        <w:rPr>
          <w:spacing w:val="22"/>
        </w:rPr>
        <w:t> </w:t>
      </w:r>
      <w:r>
        <w:rPr/>
        <w:t>anual,</w:t>
      </w:r>
      <w:r>
        <w:rPr>
          <w:spacing w:val="25"/>
        </w:rPr>
        <w:t> </w:t>
      </w:r>
      <w:r>
        <w:rPr/>
        <w:t>un</w:t>
      </w:r>
      <w:r>
        <w:rPr>
          <w:spacing w:val="23"/>
        </w:rPr>
        <w:t> </w:t>
      </w:r>
      <w:r>
        <w:rPr/>
        <w:t>tipo</w:t>
      </w:r>
      <w:r>
        <w:rPr>
          <w:spacing w:val="23"/>
        </w:rPr>
        <w:t> </w:t>
      </w:r>
      <w:r>
        <w:rPr/>
        <w:t>de</w:t>
      </w:r>
      <w:r>
        <w:rPr>
          <w:spacing w:val="21"/>
        </w:rPr>
        <w:t> </w:t>
      </w:r>
      <w:r>
        <w:rPr/>
        <w:t>cambio</w:t>
      </w:r>
      <w:r>
        <w:rPr>
          <w:spacing w:val="21"/>
        </w:rPr>
        <w:t> </w:t>
      </w:r>
      <w:r>
        <w:rPr/>
        <w:t>de</w:t>
      </w:r>
    </w:p>
    <w:p>
      <w:pPr>
        <w:pStyle w:val="BodyText"/>
        <w:spacing w:line="364" w:lineRule="auto" w:before="5"/>
        <w:ind w:left="201" w:right="382"/>
        <w:jc w:val="both"/>
      </w:pPr>
      <w:r>
        <w:rPr/>
        <w:t>$13.5 por cada dólar y un salario mínimo de $53 por jornada de trabajo, sería de esperar que la fuerza laboral dedicada a actividades primarias fuera menor al 15% y que, a medida que el ingreso aumente, el peso del desempleo primario en México disminuyera. Esto, aunado a otros eventos que han tenido lugar, como  la  depreciación continua de la moneda a través de la libre flotación del peso, las altas tasas de inflación y de interés comparadas a nivel internacional podrían explicar porqué,  en los  estudios recientes  sobre crecimiento y  desarrollo económico, no  </w:t>
      </w:r>
      <w:r>
        <w:rPr>
          <w:spacing w:val="31"/>
        </w:rPr>
        <w:t> </w:t>
      </w:r>
      <w:r>
        <w:rPr/>
        <w:t>se</w:t>
      </w:r>
    </w:p>
    <w:p>
      <w:pPr>
        <w:spacing w:after="0" w:line="364" w:lineRule="auto"/>
        <w:jc w:val="both"/>
        <w:sectPr>
          <w:pgSz w:w="11900" w:h="16840"/>
          <w:pgMar w:header="0" w:footer="1619" w:top="1600" w:bottom="1800" w:left="1200" w:right="1280"/>
        </w:sectPr>
      </w:pPr>
    </w:p>
    <w:p>
      <w:pPr>
        <w:pStyle w:val="BodyText"/>
        <w:rPr>
          <w:sz w:val="20"/>
        </w:rPr>
      </w:pPr>
    </w:p>
    <w:p>
      <w:pPr>
        <w:pStyle w:val="BodyText"/>
        <w:spacing w:before="8"/>
        <w:rPr>
          <w:sz w:val="18"/>
        </w:rPr>
      </w:pPr>
    </w:p>
    <w:p>
      <w:pPr>
        <w:pStyle w:val="BodyText"/>
        <w:spacing w:line="364" w:lineRule="auto" w:before="74"/>
        <w:ind w:left="101" w:right="1667"/>
        <w:jc w:val="both"/>
      </w:pPr>
      <w:r>
        <w:rPr/>
        <w:t>pueda establecer un vínculo directo entre el desarrollo de los sectores más vulnerables de un país y los movimientos de los macroprecios a nivel </w:t>
      </w:r>
      <w:r>
        <w:rPr>
          <w:spacing w:val="23"/>
        </w:rPr>
        <w:t> </w:t>
      </w:r>
      <w:r>
        <w:rPr/>
        <w:t>general.</w:t>
      </w:r>
    </w:p>
    <w:p>
      <w:pPr>
        <w:pStyle w:val="BodyText"/>
        <w:rPr>
          <w:sz w:val="22"/>
        </w:rPr>
      </w:pPr>
    </w:p>
    <w:p>
      <w:pPr>
        <w:pStyle w:val="Heading4"/>
        <w:spacing w:before="153"/>
        <w:ind w:firstLine="50"/>
        <w:jc w:val="both"/>
      </w:pPr>
      <w:r>
        <w:rPr/>
        <w:pict>
          <v:group style="position:absolute;margin-left:70.680pt;margin-top:27.916235pt;width:440.55pt;height:224.55pt;mso-position-horizontal-relative:page;mso-position-vertical-relative:paragraph;z-index:12496" coordorigin="1414,558" coordsize="8811,4491">
            <v:line style="position:absolute" from="2621,3743" to="9958,3743" stroked="true" strokeweight=".72pt" strokecolor="#858585"/>
            <v:line style="position:absolute" from="2621,3375" to="9958,3375" stroked="true" strokeweight=".6pt" strokecolor="#858585"/>
            <v:shape style="position:absolute;left:2621;top:2634;width:7337;height:370" coordorigin="2621,2634" coordsize="7337,370" path="m2621,3004l9958,3004m2621,2634l9958,2634e" filled="false" stroked="true" strokeweight=".72pt" strokecolor="#858585">
              <v:path arrowok="t"/>
            </v:shape>
            <v:shape style="position:absolute;left:2621;top:1894;width:7337;height:2" coordorigin="2621,1894" coordsize="7337,0" path="m9847,1894l9958,1894m9480,1894l9698,1894m9113,1894l9334,1894m8746,1894l8966,1894m8381,1894l8599,1894m8014,1894l8232,1894m7646,1894l7865,1894m7279,1894l7500,1894m6912,1894l7133,1894m6545,1894l6766,1894m6180,1894l6398,1894m5813,1894l6031,1894m5446,1894l5664,1894m5078,1894l5299,1894m4711,1894l4932,1894m4344,1894l4565,1894m3979,1894l4198,1894m3612,1894l3830,1894m3245,1894l3466,1894m2878,1894l3098,1894m2621,1894l2731,1894e" filled="false" stroked="true" strokeweight=".6pt" strokecolor="#858585">
              <v:path arrowok="t"/>
            </v:shape>
            <v:shape style="position:absolute;left:2731;top:1634;width:1248;height:629" coordorigin="2731,1634" coordsize="1248,629" path="m2878,1763l2731,1763,2731,2262,2878,2262,2878,1763m3245,1763l3098,1763,3098,2262,3245,2262,3245,1763m3612,1744l3466,1744,3466,2262,3612,2262,3612,1744m3979,1634l3830,1634,3830,2262,3979,2262,3979,1634e" filled="true" fillcolor="#bf4f4d" stroked="false">
              <v:path arrowok="t"/>
              <v:fill type="solid"/>
            </v:shape>
            <v:line style="position:absolute" from="2621,1523" to="4565,1523" stroked="true" strokeweight=".72pt" strokecolor="#858585"/>
            <v:rect style="position:absolute;left:4198;top:1578;width:146;height:684" filled="true" fillcolor="#bf4f4d" stroked="false">
              <v:fill type="solid"/>
            </v:rect>
            <v:shape style="position:absolute;left:2621;top:1154;width:7337;height:370" coordorigin="2621,1154" coordsize="7337,370" path="m4711,1523l4932,1523m4711,1154l9958,1154m2621,1154l4565,1154e" filled="false" stroked="true" strokeweight=".72pt" strokecolor="#858585">
              <v:path arrowok="t"/>
            </v:shape>
            <v:rect style="position:absolute;left:4565;top:1115;width:146;height:1147" filled="true" fillcolor="#bf4f4d" stroked="false">
              <v:fill type="solid"/>
            </v:rect>
            <v:line style="position:absolute" from="5078,1523" to="9698,1523" stroked="true" strokeweight=".72pt" strokecolor="#858585"/>
            <v:shape style="position:absolute;left:4932;top:1245;width:4548;height:1018" coordorigin="4932,1245" coordsize="4548,1018" path="m5078,1245l4932,1245,4932,2262,5078,2262,5078,1245m5446,1578l5299,1578,5299,2262,5446,2262,5446,1578m5813,1670l5664,1670,5664,2262,5813,2262,5813,1670m6180,1799l6031,1799,6031,2262,6180,2262,6180,1799m6545,1857l6398,1857,6398,2262,6545,2262,6545,1857m6912,1799l6766,1799,6766,2262,6912,2262,6912,1799m7279,1763l7133,1763,7133,2262,7279,2262,7279,1763m7646,1653l7500,1653,7500,2262,7646,2262,7646,1653m8014,1559l7865,1559,7865,2262,8014,2262,8014,1559m8381,1598l8232,1598,8232,2262,8381,2262,8381,1598m8746,1600l8599,1600,8599,2262,8746,2262,8746,1600m9113,1574l8966,1574,8966,2262,9113,2262,9113,1574m9480,1528l9334,1528,9334,2262,9480,2262,9480,1528e" filled="true" fillcolor="#bf4f4d" stroked="false">
              <v:path arrowok="t"/>
              <v:fill type="solid"/>
            </v:shape>
            <v:line style="position:absolute" from="9847,1523" to="9958,1523" stroked="true" strokeweight=".72pt" strokecolor="#858585"/>
            <v:rect style="position:absolute;left:9698;top:1252;width:149;height:1010" filled="true" fillcolor="#bf4f4d" stroked="false">
              <v:fill type="solid"/>
            </v:rect>
            <v:shape style="position:absolute;left:2561;top:782;width:7397;height:2962" coordorigin="2561,782" coordsize="7397,2962" path="m2621,782l9958,782m2621,782l2621,3743m2561,3743l2621,3743e" filled="false" stroked="true" strokeweight=".72pt" strokecolor="#858585">
              <v:path arrowok="t"/>
            </v:shape>
            <v:line style="position:absolute" from="2561,3375" to="2621,3375" stroked="true" strokeweight=".6pt" strokecolor="#858585"/>
            <v:shape style="position:absolute;left:2561;top:2262;width:60;height:742" coordorigin="2561,2262" coordsize="60,742" path="m2561,3004l2621,3004m2561,2634l2621,2634m2561,2262l2621,2262e" filled="false" stroked="true" strokeweight=".72pt" strokecolor="#858585">
              <v:path arrowok="t"/>
            </v:shape>
            <v:line style="position:absolute" from="2561,1894" to="2621,1894" stroked="true" strokeweight=".6pt" strokecolor="#858585"/>
            <v:shape style="position:absolute;left:2561;top:782;width:7397;height:1481" coordorigin="2561,782" coordsize="7397,1481" path="m2561,1523l2621,1523m2561,1154l2621,1154m2561,782l2621,782m2621,2262l9958,2262e" filled="false" stroked="true" strokeweight=".72pt" strokecolor="#858585">
              <v:path arrowok="t"/>
            </v:shape>
            <v:shape style="position:absolute;left:2981;top:2295;width:6982;height:2" coordorigin="2981,2295" coordsize="6982,0" path="m2981,2295l2995,2295m3348,2295l3362,2295m3715,2295l3730,2295m4080,2295l4094,2295m4447,2295l4462,2295m4814,2295l4829,2295m5182,2295l5196,2295m5549,2295l5563,2295m5916,2295l5928,2295m6281,2295l6295,2295m6648,2295l6662,2295m7015,2295l7030,2295m7382,2295l7397,2295m7750,2295l7764,2295m8117,2295l8129,2295m8482,2295l8496,2295m8849,2295l8863,2295m9216,2295l9230,2295m9583,2295l9598,2295m9950,2295l9962,2295e" filled="false" stroked="true" strokeweight="3.24pt" strokecolor="#858585">
              <v:path arrowok="t"/>
            </v:shape>
            <v:shape style="position:absolute;left:2782;top:986;width:7016;height:2542" coordorigin="2782,986" coordsize="7016,2542" path="m9771,3402l9728,3402,9754,3508,9756,3520,9768,3527,9780,3525,9790,3520,9797,3510,9794,3498,9771,3402xm4304,1497l4262,1497,4620,3410,4620,3419,4630,3426,4649,3426,4658,3419,4661,3410,4662,3402,4661,3402,4304,1497xm9700,3289l4682,3289,4662,3402,9728,3402,9700,3289xm4996,1497l4952,1497,4640,3289,4682,3289,4996,1497xm9388,2024l9700,3289,9743,3289,9432,2027,9391,2027,9388,2024xm6631,1497l6587,1497,6821,2277,6821,2282,6826,2286,6830,2289,6838,2291,6842,2291,6847,2289,6906,2265,6859,2265,6833,2250,6853,2242,6853,2242,6631,1497xm6853,2242l6833,2250,6859,2265,6853,2242xm7562,1988l7200,2102,6853,2242,6859,2265,6906,2265,7214,2140,7579,2027,7589,2022,7591,2018,7609,1994,7558,1994,7562,1988xm9386,2018l9388,2024,9391,2027,9386,2018xm9430,2018l9386,2018,9391,2027,9432,2027,9430,2018xm8913,1497l8845,1497,9026,1643,9388,2024,9386,2018,9430,2018,9427,2008,9427,2006,9425,2001,9422,1998,9055,1612,8913,1497xm7567,1986l7562,1988,7558,1994,7567,1986xm7615,1986l7567,1986,7558,1994,7609,1994,7615,1986xm7939,1497l7930,1499,7925,1506,7562,1988,7567,1986,7615,1986,7948,1546,7932,1540,7958,1533,8038,1533,7949,1499,7939,1497xm3526,1610l3893,1919,3898,1924,3914,1924,3919,1922,3922,1917,3943,1890,3890,1890,3903,1874,3594,1612,3533,1612,3526,1610xm3903,1874l3890,1890,3919,1888,3903,1874xm4270,1422l4262,1425,4255,1432,3903,1874,3919,1888,3890,1890,3943,1890,4261,1493,4253,1449,4295,1449,4294,1442,4291,1434,4286,1427,4277,1425,4270,1422xm8038,1533l7958,1533,7948,1546,8299,1674,8306,1677,8316,1677,8321,1672,8356,1641,8294,1641,8304,1632,8038,1533xm8304,1632l8294,1641,8314,1636,8304,1632xm8518,1497l8455,1497,8304,1632,8314,1636,8294,1641,8356,1641,8518,1497xm3526,1610l3526,1610,3533,1612,3526,1610xm3592,1610l3526,1610,3533,1612,3594,1612,3592,1610xm2803,1300l2791,1305,2786,1314,2782,1326,2786,1338,2798,1343,3163,1499,3526,1610,3526,1610,3592,1610,3552,1576,3550,1574,3547,1574,3545,1571,3180,1461,2813,1305,2803,1300xm6036,1497l5959,1497,6096,1586,6106,1590,6118,1588,6125,1578,6142,1554,6089,1554,6100,1538,6036,1497xm6100,1538l6089,1554,6118,1550,6100,1538xm6182,1497l6129,1497,6100,1538,6118,1550,6089,1554,6142,1554,6182,1497xm7958,1533l7932,1540,7948,1546,7958,1533xm4952,1493l4303,1493,4304,1497,4952,1497,4952,1493xm5953,1493l4997,1493,4996,1497,5959,1497,5953,1493xm6132,1493l6030,1493,6036,1497,6129,1497,6132,1493xm6586,1493l6184,1493,6182,1497,6587,1497,6586,1493xm8460,1493l6630,1493,6631,1497,8455,1497,8460,1493xm8841,1493l8522,1493,8518,1497,8845,1497,8841,1493xm4253,1449l4261,1493,4289,1458,4253,1449xm4295,1449l4253,1449,4289,1458,4261,1493,4303,1493,4295,1449xm5378,986l5369,986,5359,993,4992,1293,4985,1307,4952,1493,4997,1493,5026,1326,5021,1326,5028,1314,5035,1314,5372,1035,5359,1024,5423,1024,5388,993,5378,986xm5423,1024l5386,1024,5372,1035,5726,1346,5726,1348,5729,1348,5953,1493,6030,1493,5754,1314,5753,1314,5423,1024xm6478,1022l6468,1022,6461,1024,6456,1031,6132,1493,6184,1493,6465,1090,6454,1050,6498,1050,6494,1038,6492,1029,6485,1024,6478,1022xm6498,1050l6454,1050,6490,1055,6465,1090,6586,1493,6630,1493,6498,1050xm8678,1307l8669,1307,8659,1314,8460,1493,8522,1493,8674,1358,8662,1348,8688,1346,8726,1346,8688,1314,8678,1307xm8726,1346l8688,1346,8674,1358,8841,1493,8908,1493,8726,1346xm8688,1346l8662,1348,8674,1358,8688,1346xm5028,1314l5021,1326,5027,1321,5028,1314xm5027,1321l5021,1326,5026,1326,5027,1321xm5035,1314l5028,1314,5027,1321,5035,1314xm5750,1312l5753,1314,5754,1314,5750,1312xm6454,1050l6465,1090,6490,1055,6454,1050xm5386,1024l5359,1024,5372,1035,5386,1024xe" filled="true" fillcolor="#497eba" stroked="false">
              <v:path arrowok="t"/>
              <v:fill type="solid"/>
            </v:shape>
            <v:shape style="position:absolute;left:2731;top:1252;width:151;height:146" type="#_x0000_t75" stroked="false">
              <v:imagedata r:id="rId413" o:title=""/>
            </v:shape>
            <v:shape style="position:absolute;left:3098;top:1408;width:149;height:146" type="#_x0000_t75" stroked="false">
              <v:imagedata r:id="rId414" o:title=""/>
            </v:shape>
            <v:shape style="position:absolute;left:3463;top:1518;width:149;height:149" type="#_x0000_t75" stroked="false">
              <v:imagedata r:id="rId415" o:title=""/>
            </v:shape>
            <v:shape style="position:absolute;left:3833;top:1828;width:146;height:146" type="#_x0000_t75" stroked="false">
              <v:imagedata r:id="rId416" o:title=""/>
            </v:shape>
            <v:shape style="position:absolute;left:4200;top:1370;width:149;height:151" type="#_x0000_t75" stroked="false">
              <v:imagedata r:id="rId417" o:title=""/>
            </v:shape>
            <v:shape style="position:absolute;left:4565;top:3328;width:151;height:149" type="#_x0000_t75" stroked="false">
              <v:imagedata r:id="rId418" o:title=""/>
            </v:shape>
            <v:shape style="position:absolute;left:4932;top:1233;width:149;height:149" type="#_x0000_t75" stroked="false">
              <v:imagedata r:id="rId419" o:title=""/>
            </v:shape>
            <v:shape style="position:absolute;left:5297;top:935;width:149;height:149" type="#_x0000_t75" stroked="false">
              <v:imagedata r:id="rId420" o:title=""/>
            </v:shape>
            <v:shape style="position:absolute;left:5666;top:1257;width:146;height:149" type="#_x0000_t75" stroked="false">
              <v:imagedata r:id="rId421" o:title=""/>
            </v:shape>
            <v:shape style="position:absolute;left:6034;top:1492;width:149;height:149" type="#_x0000_t75" stroked="false">
              <v:imagedata r:id="rId422" o:title=""/>
            </v:shape>
            <v:shape style="position:absolute;left:6398;top:969;width:151;height:149" type="#_x0000_t75" stroked="false">
              <v:imagedata r:id="rId423" o:title=""/>
            </v:shape>
            <v:shape style="position:absolute;left:6766;top:2195;width:149;height:146" type="#_x0000_t75" stroked="false">
              <v:imagedata r:id="rId424" o:title=""/>
            </v:shape>
            <v:shape style="position:absolute;left:7133;top:2044;width:146;height:149" type="#_x0000_t75" stroked="false">
              <v:imagedata r:id="rId425" o:title=""/>
            </v:shape>
            <v:shape style="position:absolute;left:7500;top:1931;width:149;height:146" type="#_x0000_t75" stroked="false">
              <v:imagedata r:id="rId426" o:title=""/>
            </v:shape>
            <v:shape style="position:absolute;left:7865;top:1446;width:151;height:146" type="#_x0000_t75" stroked="false">
              <v:imagedata r:id="rId427" o:title=""/>
            </v:shape>
            <v:shape style="position:absolute;left:8232;top:1581;width:151;height:146" type="#_x0000_t75" stroked="false">
              <v:imagedata r:id="rId428" o:title=""/>
            </v:shape>
            <v:shape style="position:absolute;left:8599;top:1257;width:149;height:146" type="#_x0000_t75" stroked="false">
              <v:imagedata r:id="rId429" o:title=""/>
            </v:shape>
            <v:shape style="position:absolute;left:8966;top:1552;width:146;height:151" type="#_x0000_t75" stroked="false">
              <v:imagedata r:id="rId430" o:title=""/>
            </v:shape>
            <v:shape style="position:absolute;left:9334;top:1941;width:149;height:146" type="#_x0000_t75" stroked="false">
              <v:imagedata r:id="rId431" o:title=""/>
            </v:shape>
            <v:shape style="position:absolute;left:9698;top:3429;width:151;height:149" type="#_x0000_t75" stroked="false">
              <v:imagedata r:id="rId432" o:title=""/>
            </v:shape>
            <v:shape style="position:absolute;left:2513;top:3988;width:317;height:331" type="#_x0000_t75" stroked="false">
              <v:imagedata r:id="rId433" o:title=""/>
            </v:shape>
            <v:shape style="position:absolute;left:2880;top:3995;width:329;height:324" type="#_x0000_t75" stroked="false">
              <v:imagedata r:id="rId434" o:title=""/>
            </v:shape>
            <v:shape style="position:absolute;left:3247;top:3993;width:329;height:326" type="#_x0000_t75" stroked="false">
              <v:imagedata r:id="rId435" o:title=""/>
            </v:shape>
            <v:shape style="position:absolute;left:3614;top:3993;width:314;height:326" type="#_x0000_t75" stroked="false">
              <v:imagedata r:id="rId436" o:title=""/>
            </v:shape>
            <v:shape style="position:absolute;left:3982;top:3988;width:319;height:331" type="#_x0000_t75" stroked="false">
              <v:imagedata r:id="rId437" o:title=""/>
            </v:shape>
            <v:shape style="position:absolute;left:4346;top:3986;width:317;height:334" type="#_x0000_t75" stroked="false">
              <v:imagedata r:id="rId438" o:title=""/>
            </v:shape>
            <v:shape style="position:absolute;left:4714;top:3983;width:319;height:336" type="#_x0000_t75" stroked="false">
              <v:imagedata r:id="rId439" o:title=""/>
            </v:shape>
            <v:shape style="position:absolute;left:5081;top:3978;width:298;height:341" type="#_x0000_t75" stroked="false">
              <v:imagedata r:id="rId440" o:title=""/>
            </v:shape>
            <v:shape style="position:absolute;left:5448;top:3988;width:319;height:331" type="#_x0000_t75" stroked="false">
              <v:imagedata r:id="rId441" o:title=""/>
            </v:shape>
            <v:shape style="position:absolute;left:5815;top:3990;width:310;height:329" type="#_x0000_t75" stroked="false">
              <v:imagedata r:id="rId442" o:title=""/>
            </v:shape>
            <v:shape style="position:absolute;left:6173;top:3988;width:324;height:336" type="#_x0000_t75" stroked="false">
              <v:imagedata r:id="rId443" o:title=""/>
            </v:shape>
            <v:shape style="position:absolute;left:6538;top:3993;width:1061;height:331" type="#_x0000_t75" stroked="false">
              <v:imagedata r:id="rId444" o:title=""/>
            </v:shape>
            <v:shape style="position:absolute;left:7639;top:3988;width:329;height:336" type="#_x0000_t75" stroked="false">
              <v:imagedata r:id="rId445" o:title=""/>
            </v:shape>
            <v:shape style="position:absolute;left:8006;top:3986;width:324;height:338" type="#_x0000_t75" stroked="false">
              <v:imagedata r:id="rId446" o:title=""/>
            </v:shape>
            <v:shape style="position:absolute;left:8371;top:3983;width:329;height:341" type="#_x0000_t75" stroked="false">
              <v:imagedata r:id="rId447" o:title=""/>
            </v:shape>
            <v:shape style="position:absolute;left:8738;top:3978;width:307;height:346" type="#_x0000_t75" stroked="false">
              <v:imagedata r:id="rId448" o:title=""/>
            </v:shape>
            <v:shape style="position:absolute;left:9106;top:3988;width:329;height:336" type="#_x0000_t75" stroked="false">
              <v:imagedata r:id="rId449" o:title=""/>
            </v:shape>
            <v:shape style="position:absolute;left:9473;top:3990;width:319;height:334" type="#_x0000_t75" stroked="false">
              <v:imagedata r:id="rId450" o:title=""/>
            </v:shape>
            <v:rect style="position:absolute;left:4769;top:4677;width:372;height:106" filled="true" fillcolor="#bf4f4d" stroked="false">
              <v:fill type="solid"/>
            </v:rect>
            <v:shape style="position:absolute;left:6245;top:4706;width:416;height:44" coordorigin="6245,4706" coordsize="416,44" path="m6650,4706l6254,4706,6245,4715,6245,4739,6254,4749,6650,4749,6660,4739,6660,4715,6650,4706xe" filled="true" fillcolor="#497eba" stroked="false">
              <v:path arrowok="t"/>
              <v:fill type="solid"/>
            </v:shape>
            <v:shape style="position:absolute;left:6386;top:4662;width:132;height:130" type="#_x0000_t75" stroked="false">
              <v:imagedata r:id="rId451" o:title=""/>
            </v:shape>
            <v:shape style="position:absolute;left:1414;top:558;width:8811;height:4491" coordorigin="1414,558" coordsize="8811,4491" path="m10212,558l1426,558,1414,570,1414,5037,1426,5049,10212,5049,10224,5037,10224,5022,1466,5022,1440,4996,1466,4996,1466,614,1440,614,1466,585,10224,585,10224,570,10212,558xm1466,4996l1440,4996,1466,5022,1466,4996xm10171,4996l1466,4996,1466,5022,10171,5022,10171,4996xm10171,585l10171,5022,10198,4996,10224,4996,10224,614,10198,614,10171,585xm10224,4996l10198,4996,10171,5022,10224,5022,10224,4996xm1466,585l1440,614,1466,614,1466,585xm10171,585l1466,585,1466,614,10171,614,10171,585xm10224,585l10171,585,10198,614,10224,614,10224,585xe" filled="true" fillcolor="#000000" stroked="false">
              <v:path arrowok="t"/>
              <v:fill type="solid"/>
            </v:shape>
            <v:shape style="position:absolute;left:2282;top:691;width:159;height:3156" type="#_x0000_t202" filled="false" stroked="false">
              <v:textbox inset="0,0,0,0">
                <w:txbxContent>
                  <w:p>
                    <w:pPr>
                      <w:spacing w:line="196" w:lineRule="exact" w:before="0"/>
                      <w:ind w:left="59" w:right="0" w:firstLine="0"/>
                      <w:jc w:val="left"/>
                      <w:rPr>
                        <w:rFonts w:ascii="Calibri"/>
                        <w:sz w:val="19"/>
                      </w:rPr>
                    </w:pPr>
                    <w:r>
                      <w:rPr>
                        <w:rFonts w:ascii="Calibri"/>
                        <w:w w:val="102"/>
                        <w:sz w:val="19"/>
                      </w:rPr>
                      <w:t>8</w:t>
                    </w:r>
                  </w:p>
                  <w:p>
                    <w:pPr>
                      <w:spacing w:before="137"/>
                      <w:ind w:left="59" w:right="0" w:firstLine="0"/>
                      <w:jc w:val="left"/>
                      <w:rPr>
                        <w:rFonts w:ascii="Calibri"/>
                        <w:sz w:val="19"/>
                      </w:rPr>
                    </w:pPr>
                    <w:r>
                      <w:rPr>
                        <w:rFonts w:ascii="Calibri"/>
                        <w:w w:val="102"/>
                        <w:sz w:val="19"/>
                      </w:rPr>
                      <w:t>6</w:t>
                    </w:r>
                  </w:p>
                  <w:p>
                    <w:pPr>
                      <w:spacing w:before="137"/>
                      <w:ind w:left="59" w:right="0" w:firstLine="0"/>
                      <w:jc w:val="left"/>
                      <w:rPr>
                        <w:rFonts w:ascii="Calibri"/>
                        <w:sz w:val="19"/>
                      </w:rPr>
                    </w:pPr>
                    <w:r>
                      <w:rPr>
                        <w:rFonts w:ascii="Calibri"/>
                        <w:w w:val="102"/>
                        <w:sz w:val="19"/>
                      </w:rPr>
                      <w:t>4</w:t>
                    </w:r>
                  </w:p>
                  <w:p>
                    <w:pPr>
                      <w:spacing w:before="137"/>
                      <w:ind w:left="59" w:right="0" w:firstLine="0"/>
                      <w:jc w:val="left"/>
                      <w:rPr>
                        <w:rFonts w:ascii="Calibri"/>
                        <w:sz w:val="19"/>
                      </w:rPr>
                    </w:pPr>
                    <w:r>
                      <w:rPr>
                        <w:rFonts w:ascii="Calibri"/>
                        <w:w w:val="102"/>
                        <w:sz w:val="19"/>
                      </w:rPr>
                      <w:t>2</w:t>
                    </w:r>
                  </w:p>
                  <w:p>
                    <w:pPr>
                      <w:spacing w:before="140"/>
                      <w:ind w:left="59" w:right="0" w:firstLine="0"/>
                      <w:jc w:val="left"/>
                      <w:rPr>
                        <w:rFonts w:ascii="Calibri"/>
                        <w:sz w:val="19"/>
                      </w:rPr>
                    </w:pPr>
                    <w:r>
                      <w:rPr>
                        <w:rFonts w:ascii="Calibri"/>
                        <w:w w:val="102"/>
                        <w:sz w:val="19"/>
                      </w:rPr>
                      <w:t>0</w:t>
                    </w:r>
                  </w:p>
                  <w:p>
                    <w:pPr>
                      <w:spacing w:before="137"/>
                      <w:ind w:left="0" w:right="-16" w:firstLine="0"/>
                      <w:jc w:val="left"/>
                      <w:rPr>
                        <w:rFonts w:ascii="Calibri"/>
                        <w:sz w:val="19"/>
                      </w:rPr>
                    </w:pPr>
                    <w:r>
                      <w:rPr>
                        <w:rFonts w:ascii="Calibri"/>
                        <w:sz w:val="19"/>
                      </w:rPr>
                      <w:t>-2</w:t>
                    </w:r>
                  </w:p>
                  <w:p>
                    <w:pPr>
                      <w:spacing w:before="137"/>
                      <w:ind w:left="0" w:right="-16" w:firstLine="0"/>
                      <w:jc w:val="left"/>
                      <w:rPr>
                        <w:rFonts w:ascii="Calibri"/>
                        <w:sz w:val="19"/>
                      </w:rPr>
                    </w:pPr>
                    <w:r>
                      <w:rPr>
                        <w:rFonts w:ascii="Calibri"/>
                        <w:sz w:val="19"/>
                      </w:rPr>
                      <w:t>-4</w:t>
                    </w:r>
                  </w:p>
                  <w:p>
                    <w:pPr>
                      <w:spacing w:before="140"/>
                      <w:ind w:left="0" w:right="-16" w:firstLine="0"/>
                      <w:jc w:val="left"/>
                      <w:rPr>
                        <w:rFonts w:ascii="Calibri"/>
                        <w:sz w:val="19"/>
                      </w:rPr>
                    </w:pPr>
                    <w:r>
                      <w:rPr>
                        <w:rFonts w:ascii="Calibri"/>
                        <w:sz w:val="19"/>
                      </w:rPr>
                      <w:t>-6</w:t>
                    </w:r>
                  </w:p>
                  <w:p>
                    <w:pPr>
                      <w:spacing w:line="229" w:lineRule="exact" w:before="137"/>
                      <w:ind w:left="0" w:right="-16" w:firstLine="0"/>
                      <w:jc w:val="left"/>
                      <w:rPr>
                        <w:rFonts w:ascii="Calibri"/>
                        <w:sz w:val="19"/>
                      </w:rPr>
                    </w:pPr>
                    <w:r>
                      <w:rPr>
                        <w:rFonts w:ascii="Calibri"/>
                        <w:sz w:val="19"/>
                      </w:rPr>
                      <w:t>-8</w:t>
                    </w:r>
                  </w:p>
                </w:txbxContent>
              </v:textbox>
              <w10:wrap type="none"/>
            </v:shape>
            <v:shape style="position:absolute;left:5182;top:4637;width:885;height:194" type="#_x0000_t202" filled="false" stroked="false">
              <v:textbox inset="0,0,0,0">
                <w:txbxContent>
                  <w:p>
                    <w:pPr>
                      <w:spacing w:line="194" w:lineRule="exact" w:before="0"/>
                      <w:ind w:left="0" w:right="-6" w:firstLine="0"/>
                      <w:jc w:val="left"/>
                      <w:rPr>
                        <w:rFonts w:ascii="Calibri"/>
                        <w:sz w:val="19"/>
                      </w:rPr>
                    </w:pPr>
                    <w:r>
                      <w:rPr>
                        <w:rFonts w:ascii="Calibri"/>
                        <w:sz w:val="19"/>
                      </w:rPr>
                      <w:t>Desempleo</w:t>
                    </w:r>
                  </w:p>
                </w:txbxContent>
              </v:textbox>
              <w10:wrap type="none"/>
            </v:shape>
            <v:shape style="position:absolute;left:6679;top:4637;width:255;height:194" type="#_x0000_t202" filled="false" stroked="false">
              <v:textbox inset="0,0,0,0">
                <w:txbxContent>
                  <w:p>
                    <w:pPr>
                      <w:spacing w:line="194" w:lineRule="exact" w:before="0"/>
                      <w:ind w:left="0" w:right="-15" w:firstLine="0"/>
                      <w:jc w:val="left"/>
                      <w:rPr>
                        <w:rFonts w:ascii="Calibri"/>
                        <w:sz w:val="19"/>
                      </w:rPr>
                    </w:pPr>
                    <w:r>
                      <w:rPr>
                        <w:rFonts w:ascii="Calibri"/>
                        <w:sz w:val="19"/>
                      </w:rPr>
                      <w:t>PIB</w:t>
                    </w:r>
                  </w:p>
                </w:txbxContent>
              </v:textbox>
              <w10:wrap type="none"/>
            </v:shape>
            <w10:wrap type="none"/>
          </v:group>
        </w:pict>
      </w:r>
      <w:r>
        <w:rPr/>
        <w:pict>
          <v:shape style="position:absolute;margin-left:95.82106pt;margin-top:85.473442pt;width:12.75pt;height:53.65pt;mso-position-horizontal-relative:page;mso-position-vertical-relative:paragraph;z-index:12520" type="#_x0000_t202" filled="false" stroked="false">
            <v:textbox inset="0,0,0,0" style="layout-flow:vertical;mso-layout-flow-alt:bottom-to-top">
              <w:txbxContent>
                <w:p>
                  <w:pPr>
                    <w:spacing w:line="238" w:lineRule="exact" w:before="0"/>
                    <w:ind w:left="20" w:right="-813" w:firstLine="0"/>
                    <w:jc w:val="left"/>
                    <w:rPr>
                      <w:rFonts w:ascii="Calibri"/>
                      <w:sz w:val="21"/>
                    </w:rPr>
                  </w:pPr>
                  <w:r>
                    <w:rPr>
                      <w:rFonts w:ascii="Calibri"/>
                      <w:spacing w:val="-1"/>
                      <w:w w:val="102"/>
                      <w:sz w:val="21"/>
                    </w:rPr>
                    <w:t>p</w:t>
                  </w:r>
                  <w:r>
                    <w:rPr>
                      <w:rFonts w:ascii="Calibri"/>
                      <w:spacing w:val="1"/>
                      <w:w w:val="102"/>
                      <w:sz w:val="21"/>
                    </w:rPr>
                    <w:t>o</w:t>
                  </w:r>
                  <w:r>
                    <w:rPr>
                      <w:rFonts w:ascii="Calibri"/>
                      <w:spacing w:val="-1"/>
                      <w:w w:val="102"/>
                      <w:sz w:val="21"/>
                    </w:rPr>
                    <w:t>r</w:t>
                  </w:r>
                  <w:r>
                    <w:rPr>
                      <w:rFonts w:ascii="Calibri"/>
                      <w:w w:val="102"/>
                      <w:sz w:val="21"/>
                    </w:rPr>
                    <w:t>c</w:t>
                  </w:r>
                  <w:r>
                    <w:rPr>
                      <w:rFonts w:ascii="Calibri"/>
                      <w:spacing w:val="1"/>
                      <w:w w:val="102"/>
                      <w:sz w:val="21"/>
                    </w:rPr>
                    <w:t>e</w:t>
                  </w:r>
                  <w:r>
                    <w:rPr>
                      <w:rFonts w:ascii="Calibri"/>
                      <w:spacing w:val="-3"/>
                      <w:w w:val="102"/>
                      <w:sz w:val="21"/>
                    </w:rPr>
                    <w:t>n</w:t>
                  </w:r>
                  <w:r>
                    <w:rPr>
                      <w:rFonts w:ascii="Calibri"/>
                      <w:spacing w:val="2"/>
                      <w:w w:val="102"/>
                      <w:sz w:val="21"/>
                    </w:rPr>
                    <w:t>t</w:t>
                  </w:r>
                  <w:r>
                    <w:rPr>
                      <w:rFonts w:ascii="Calibri"/>
                      <w:spacing w:val="-3"/>
                      <w:w w:val="102"/>
                      <w:sz w:val="21"/>
                    </w:rPr>
                    <w:t>a</w:t>
                  </w:r>
                  <w:r>
                    <w:rPr>
                      <w:rFonts w:ascii="Calibri"/>
                      <w:spacing w:val="1"/>
                      <w:w w:val="102"/>
                      <w:sz w:val="21"/>
                    </w:rPr>
                    <w:t>je</w:t>
                  </w:r>
                  <w:r>
                    <w:rPr>
                      <w:rFonts w:ascii="Calibri"/>
                      <w:w w:val="102"/>
                      <w:sz w:val="21"/>
                    </w:rPr>
                    <w:t>s</w:t>
                  </w:r>
                </w:p>
              </w:txbxContent>
            </v:textbox>
            <w10:wrap type="none"/>
          </v:shape>
        </w:pict>
      </w:r>
      <w:r>
        <w:rPr/>
        <w:t>Figura 1. Comportamiento del Producto Interno Bruto (PIB) y el desempleo  (%)</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spacing w:line="369" w:lineRule="auto" w:before="192"/>
        <w:ind w:left="101" w:right="1666" w:firstLine="0"/>
        <w:jc w:val="both"/>
        <w:rPr>
          <w:sz w:val="21"/>
        </w:rPr>
      </w:pPr>
      <w:r>
        <w:rPr>
          <w:sz w:val="21"/>
        </w:rPr>
        <w:t>Fuente: Elaborada con datos oficiales de la Comisión Económica para América Latina y el Caribe  (CEPAL)  </w:t>
      </w:r>
      <w:hyperlink r:id="rId452">
        <w:r>
          <w:rPr>
            <w:sz w:val="21"/>
          </w:rPr>
          <w:t>(http://websie.eclac.cl/sisgen/ConsultaIntegrada.asp?IdAplicacion=6).</w:t>
        </w:r>
      </w:hyperlink>
    </w:p>
    <w:p>
      <w:pPr>
        <w:pStyle w:val="BodyText"/>
        <w:rPr>
          <w:sz w:val="20"/>
        </w:rPr>
      </w:pPr>
    </w:p>
    <w:p>
      <w:pPr>
        <w:pStyle w:val="BodyText"/>
        <w:spacing w:line="364" w:lineRule="auto" w:before="139"/>
        <w:ind w:left="101" w:right="1663"/>
        <w:jc w:val="both"/>
      </w:pPr>
      <w:r>
        <w:rPr/>
        <w:t>El componente subyacente disminuyó debido a la menor variación de los precios de los alimentos procesados. A pesar del menor dinamismo de la economía, la tasa de desocupación abierta disminuyó de un 5.4% de la población económicamente activa (PEA) urbana entre enero y octubre del 2004 a un 4.9% en el mismo lapso del 2005, tanto por la recuperación del empleo formal desde el 2004 como por la absorción de mano de obra del sector informal. De acuerdo con la nueva encuesta nacional de ocupación y empleo, la población subempleada representó el 7% de la PEA y el empleo informal abarcó a 11.9 millones de personas (28.2% de la población  ocupada).</w:t>
      </w:r>
    </w:p>
    <w:p>
      <w:pPr>
        <w:pStyle w:val="BodyText"/>
        <w:rPr>
          <w:sz w:val="22"/>
        </w:rPr>
      </w:pPr>
    </w:p>
    <w:p>
      <w:pPr>
        <w:pStyle w:val="BodyText"/>
        <w:spacing w:before="4"/>
        <w:rPr>
          <w:sz w:val="30"/>
        </w:rPr>
      </w:pPr>
    </w:p>
    <w:p>
      <w:pPr>
        <w:pStyle w:val="BodyText"/>
        <w:spacing w:line="364" w:lineRule="auto"/>
        <w:ind w:left="101" w:right="1663"/>
        <w:jc w:val="both"/>
      </w:pPr>
      <w:r>
        <w:rPr/>
        <w:t>El comportamiento del PIB en 2009 sufrió la mayor caída de alrededor de 8%, la cual fue   provocada por la crisis financiera mundial y si se compara  con la crisis de   1995</w:t>
      </w:r>
    </w:p>
    <w:p>
      <w:pPr>
        <w:spacing w:after="0" w:line="364" w:lineRule="auto"/>
        <w:jc w:val="both"/>
        <w:sectPr>
          <w:pgSz w:w="11900" w:h="16840"/>
          <w:pgMar w:header="0" w:footer="1619" w:top="1600" w:bottom="1860" w:left="1300" w:right="0"/>
        </w:sectPr>
      </w:pPr>
    </w:p>
    <w:p>
      <w:pPr>
        <w:pStyle w:val="BodyText"/>
        <w:rPr>
          <w:sz w:val="20"/>
        </w:rPr>
      </w:pPr>
    </w:p>
    <w:p>
      <w:pPr>
        <w:pStyle w:val="BodyText"/>
        <w:spacing w:before="8"/>
        <w:rPr>
          <w:sz w:val="18"/>
        </w:rPr>
      </w:pPr>
    </w:p>
    <w:p>
      <w:pPr>
        <w:pStyle w:val="BodyText"/>
        <w:spacing w:line="364" w:lineRule="auto" w:before="74"/>
        <w:ind w:left="101" w:right="385"/>
        <w:jc w:val="both"/>
      </w:pPr>
      <w:r>
        <w:rPr/>
        <w:t>de más o menos del 6%, está ha provocado mayores consecuencias  en  la  economía. En lo que respecta al desempleo, como se puede observar desde 1990 a 2009 éste ha experimentado cambios cíclicos entre 2 y 6% en el periodo de 1990- 2009 (Figura</w:t>
      </w:r>
      <w:r>
        <w:rPr>
          <w:spacing w:val="17"/>
        </w:rPr>
        <w:t> </w:t>
      </w:r>
      <w:r>
        <w:rPr/>
        <w:t>1).</w:t>
      </w:r>
    </w:p>
    <w:p>
      <w:pPr>
        <w:pStyle w:val="BodyText"/>
        <w:rPr>
          <w:sz w:val="22"/>
        </w:rPr>
      </w:pPr>
    </w:p>
    <w:p>
      <w:pPr>
        <w:pStyle w:val="Heading4"/>
        <w:spacing w:before="153"/>
        <w:jc w:val="both"/>
      </w:pPr>
      <w:r>
        <w:rPr/>
        <w:pict>
          <v:group style="position:absolute;margin-left:70.680pt;margin-top:26.956228pt;width:444.85pt;height:225.5pt;mso-position-horizontal-relative:page;mso-position-vertical-relative:paragraph;z-index:-701368" coordorigin="1414,539" coordsize="8897,4510">
            <v:shape style="position:absolute;left:2270;top:3110;width:7808;height:2" coordorigin="2270,3110" coordsize="7808,0" path="m4534,3110l10078,3110m4274,3110l4433,3110m4013,3110l4169,3110m3754,3110l3910,3110m3494,3110l3648,3110m3233,3110l3389,3110m2974,3110l3130,3110m2270,3110l2868,3110e" filled="false" stroked="true" strokeweight=".72pt" strokecolor="#858585">
              <v:path arrowok="t"/>
            </v:shape>
            <v:rect style="position:absolute;left:2868;top:2934;width:106;height:1344" filled="true" fillcolor="#16365e" stroked="false">
              <v:fill type="solid"/>
            </v:rect>
            <v:shape style="position:absolute;left:2270;top:1943;width:1899;height:2" coordorigin="2270,1943" coordsize="1899,0" path="m3233,1943l4169,1943m2270,1943l3130,1943e" filled="false" stroked="true" strokeweight=".72pt" strokecolor="#858585">
              <v:path arrowok="t"/>
            </v:shape>
            <v:shape style="position:absolute;left:3130;top:1845;width:884;height:2434" coordorigin="3130,1845" coordsize="884,2434" path="m3233,1845l3130,1845,3130,4278,3233,4278,3233,1845m3494,2733l3389,2733,3389,4278,3494,4278,3494,2733m3754,2930l3648,2930,3648,4278,3754,4278,3754,2930m4013,2306l3910,2306,3910,4278,4013,4278,4013,2306e" filled="true" fillcolor="#16365e" stroked="false">
              <v:path arrowok="t"/>
              <v:fill type="solid"/>
            </v:shape>
            <v:line style="position:absolute" from="4274,1943" to="4433,1943" stroked="true" strokeweight=".72pt" strokecolor="#858585"/>
            <v:rect style="position:absolute;left:4169;top:1266;width:106;height:3012" filled="true" fillcolor="#16365e" stroked="false">
              <v:fill type="solid"/>
            </v:rect>
            <v:line style="position:absolute" from="4534,1943" to="10078,1943" stroked="true" strokeweight=".72pt" strokecolor="#858585"/>
            <v:shape style="position:absolute;left:4433;top:1346;width:4527;height:2933" coordorigin="4433,1346" coordsize="4527,2933" path="m4534,1346l4433,1346,4433,4278,4534,4278,4534,1346m4793,3803l4692,3803,4692,4278,4793,4278,4793,3803m5054,3657l4951,3657,4951,4278,5054,4278,5054,3657m5314,3743l5213,3743,5213,4278,5314,4278,5314,3743m5575,3914l5472,3914,5472,4278,5575,4278,5575,3914m5837,4050l5731,4050,5731,4278,5837,4278,5837,4050m6096,4115l5993,4115,5993,4278,6096,4278,6096,4115m6358,3465l6252,3465,6252,4278,6358,4278,6358,3465m6617,3453l6514,3453,6514,4278,6617,4278,6617,3453m6878,3791l6773,3791,6773,4278,6878,4278,6878,3791m7138,3906l7032,3906,7032,4278,7138,4278,7138,3906m7397,3890l7294,3890,7294,4278,7397,4278,7397,3890m7658,4058l7553,4058,7553,4278,7658,4278,7658,4058m7918,4130l7814,4130,7814,4278,7918,4278,7918,4130m8179,4158l8074,4158,8074,4278,8179,4278,8179,4158m8438,4170l8333,4170,8333,4278,8438,4278,8438,4170m8698,4168l8594,4168,8594,4278,8698,4278,8698,4168m8959,4185l8854,4185,8854,4278,8959,4278,8959,4185e" filled="true" fillcolor="#16365e" stroked="false">
              <v:path arrowok="t"/>
              <v:fill type="solid"/>
            </v:shape>
            <v:line style="position:absolute" from="9113,4235" to="9218,4235" stroked="true" strokeweight="4.32pt" strokecolor="#16365e"/>
            <v:shape style="position:absolute;left:9374;top:4154;width:624;height:125" coordorigin="9374,4154" coordsize="624,125" path="m9478,4185l9374,4185,9374,4278,9478,4278,9478,4185m9739,4156l9634,4156,9634,4278,9739,4278,9739,4156m9998,4154l9895,4154,9895,4278,9998,4278,9998,4154e" filled="true" fillcolor="#16365e" stroked="false">
              <v:path arrowok="t"/>
              <v:fill type="solid"/>
            </v:shape>
            <v:shape style="position:absolute;left:2210;top:774;width:7868;height:3552" coordorigin="2210,774" coordsize="7868,3552" path="m2270,774l10078,774m2270,774l2270,3458m2270,3652l2270,4326m2210,4278l2270,4278m2210,3110l2270,3110m2210,1943l2270,1943m2210,774l2270,774e" filled="false" stroked="true" strokeweight=".72pt" strokecolor="#858585">
              <v:path arrowok="t"/>
            </v:shape>
            <v:shape style="position:absolute;left:2347;top:3626;width:365;height:653" coordorigin="2347,3626" coordsize="365,653" path="m2453,3664l2347,3664,2347,4278,2453,4278,2453,3664m2712,3626l2609,3626,2609,4278,2712,4278,2712,3626e" filled="true" fillcolor="#16365e" stroked="false">
              <v:path arrowok="t"/>
              <v:fill type="solid"/>
            </v:shape>
            <v:line style="position:absolute" from="2270,4278" to="10078,4278" stroked="true" strokeweight=".72pt" strokecolor="#858585"/>
            <v:shape style="position:absolute;left:2522;top:4302;width:7563;height:2" coordorigin="2522,4302" coordsize="7563,0" path="m2522,4302l2537,4302m2784,4302l2798,4302m3043,4302l3058,4302m3305,4302l3319,4302m3564,4302l3578,4302m3823,4302l3838,4302m4085,4302l4099,4302m4344,4302l4358,4302m4606,4302l4618,4302m4867,4302l4879,4302m5126,4302l5138,4302m5388,4302l5400,4302m5647,4302l5662,4302m5906,4302l5921,4302m6168,4302l6182,4302m6427,4302l6442,4302m6689,4302l6703,4302m6948,4302l6962,4302m7207,4302l7222,4302m7469,4302l7483,4302m7728,4302l7742,4302m7990,4302l8004,4302m8249,4302l8263,4302m8508,4302l8522,4302m8770,4302l8784,4302m9029,4302l9043,4302m9288,4302l9302,4302m9550,4302l9564,4302m9809,4302l9823,4302m10070,4302l10085,4302e" filled="false" stroked="true" strokeweight="2.4pt" strokecolor="#858585">
              <v:path arrowok="t"/>
            </v:shape>
            <v:shape style="position:absolute;left:2230;top:2483;width:6557;height:1630" coordorigin="2230,2483" coordsize="6557,1630" path="m2573,3458l2230,3458,2230,3652,2573,3652,2573,3458m3614,2483l3269,2483,3269,2675,3614,2675,3614,2483m3874,2680l3530,2680,3530,2872,3874,2872,3874,2680m5695,3664l5436,3664,5436,3494,5155,3494,5155,3436,4810,3436,4810,3626,4570,3626,4570,3820,4915,3820,4915,3630,5090,3630,5090,3686,5352,3686,5352,3856,5695,3856,5695,3664m6182,3866l5904,3866,5904,4058,6182,4058,6182,3866m6996,3542l6653,3542,6653,3734,6996,3734,6996,3542m7745,3806l7466,3806,7466,3998,7745,3998,7745,3806m8786,3918l8506,3918,8506,3921,8266,3921,8266,3911,7987,3911,7987,4103,8246,4103,8246,4113,8525,4113,8525,4110,8786,4110,8786,3918e" filled="true" fillcolor="#ddd9c3" stroked="false">
              <v:path arrowok="t"/>
              <v:fill type="solid"/>
            </v:shape>
            <v:shape style="position:absolute;left:2150;top:4473;width:7817;height:314" type="#_x0000_t75" stroked="false">
              <v:imagedata r:id="rId453" o:title=""/>
            </v:shape>
            <v:shape style="position:absolute;left:1414;top:539;width:8897;height:4510" coordorigin="1414,539" coordsize="8897,4510" path="m10303,539l1421,539,1414,546,1414,5039,1421,5049,10303,5049,10310,5039,10310,5027,1452,5027,1433,5008,1452,5008,1452,578,1433,578,1452,558,10310,558,10310,546,10303,539xm1452,5008l1433,5008,1452,5027,1452,5008xm10272,5008l1452,5008,1452,5027,10272,5027,10272,5008xm10272,558l10272,5027,10291,5008,10310,5008,10310,578,10291,578,10272,558xm10310,5008l10291,5008,10272,5027,10310,5027,10310,5008xm1452,558l1433,578,1452,578,1452,558xm10272,558l1452,558,1452,578,10272,578,10272,558xm10310,558l10272,558,10291,578,10310,578,10310,558xe" filled="true" fillcolor="#000000" stroked="false">
              <v:path arrowok="t"/>
              <v:fill type="solid"/>
            </v:shape>
            <v:shape style="position:absolute;left:1646;top:682;width:442;height:194" type="#_x0000_t202" filled="false" stroked="false">
              <v:textbox inset="0,0,0,0">
                <w:txbxContent>
                  <w:p>
                    <w:pPr>
                      <w:spacing w:line="194" w:lineRule="exact" w:before="0"/>
                      <w:ind w:left="0" w:right="-12" w:firstLine="0"/>
                      <w:jc w:val="left"/>
                      <w:rPr>
                        <w:rFonts w:ascii="Calibri"/>
                        <w:sz w:val="19"/>
                      </w:rPr>
                    </w:pPr>
                    <w:r>
                      <w:rPr>
                        <w:rFonts w:ascii="Calibri"/>
                        <w:sz w:val="19"/>
                      </w:rPr>
                      <w:t>150.0</w:t>
                    </w:r>
                  </w:p>
                </w:txbxContent>
              </v:textbox>
              <w10:wrap type="none"/>
            </v:shape>
            <v:shape style="position:absolute;left:3977;top:1088;width:408;height:117" type="#_x0000_t202" filled="false" stroked="false">
              <v:textbox inset="0,0,0,0">
                <w:txbxContent>
                  <w:p>
                    <w:pPr>
                      <w:spacing w:line="117" w:lineRule="exact" w:before="0"/>
                      <w:ind w:left="0" w:right="0" w:firstLine="0"/>
                      <w:jc w:val="left"/>
                      <w:rPr>
                        <w:sz w:val="11"/>
                      </w:rPr>
                    </w:pPr>
                    <w:r>
                      <w:rPr>
                        <w:w w:val="106"/>
                        <w:sz w:val="11"/>
                        <w:shd w:fill="DDD9C3" w:color="auto" w:val="clear"/>
                      </w:rPr>
                      <w:t> </w:t>
                    </w:r>
                    <w:r>
                      <w:rPr>
                        <w:sz w:val="11"/>
                        <w:shd w:fill="DDD9C3" w:color="auto" w:val="clear"/>
                      </w:rPr>
                      <w:t> </w:t>
                    </w:r>
                    <w:r>
                      <w:rPr>
                        <w:w w:val="105"/>
                        <w:sz w:val="11"/>
                        <w:shd w:fill="DDD9C3" w:color="auto" w:val="clear"/>
                      </w:rPr>
                      <w:t>128.9</w:t>
                    </w:r>
                    <w:r>
                      <w:rPr>
                        <w:sz w:val="11"/>
                        <w:shd w:fill="DDD9C3" w:color="auto" w:val="clear"/>
                      </w:rPr>
                      <w:t> </w:t>
                    </w:r>
                  </w:p>
                </w:txbxContent>
              </v:textbox>
              <w10:wrap type="none"/>
            </v:shape>
            <v:shape style="position:absolute;left:4442;top:1229;width:411;height:117" type="#_x0000_t202" filled="false" stroked="false">
              <v:textbox inset="0,0,0,0">
                <w:txbxContent>
                  <w:p>
                    <w:pPr>
                      <w:spacing w:line="117" w:lineRule="exact" w:before="0"/>
                      <w:ind w:left="0" w:right="0" w:firstLine="0"/>
                      <w:jc w:val="left"/>
                      <w:rPr>
                        <w:sz w:val="11"/>
                      </w:rPr>
                    </w:pPr>
                    <w:r>
                      <w:rPr>
                        <w:w w:val="106"/>
                        <w:sz w:val="11"/>
                        <w:shd w:fill="DDD9C3" w:color="auto" w:val="clear"/>
                      </w:rPr>
                      <w:t> </w:t>
                    </w:r>
                    <w:r>
                      <w:rPr>
                        <w:sz w:val="11"/>
                        <w:shd w:fill="DDD9C3" w:color="auto" w:val="clear"/>
                      </w:rPr>
                      <w:t> </w:t>
                    </w:r>
                    <w:r>
                      <w:rPr>
                        <w:w w:val="105"/>
                        <w:sz w:val="11"/>
                        <w:shd w:fill="DDD9C3" w:color="auto" w:val="clear"/>
                      </w:rPr>
                      <w:t>125.4</w:t>
                    </w:r>
                    <w:r>
                      <w:rPr>
                        <w:sz w:val="11"/>
                        <w:shd w:fill="DDD9C3" w:color="auto" w:val="clear"/>
                      </w:rPr>
                      <w:t> </w:t>
                    </w:r>
                  </w:p>
                </w:txbxContent>
              </v:textbox>
              <w10:wrap type="none"/>
            </v:shape>
            <v:shape style="position:absolute;left:2976;top:1637;width:411;height:117" type="#_x0000_t202" filled="false" stroked="false">
              <v:textbox inset="0,0,0,0">
                <w:txbxContent>
                  <w:p>
                    <w:pPr>
                      <w:spacing w:line="117" w:lineRule="exact" w:before="0"/>
                      <w:ind w:left="0" w:right="0" w:firstLine="0"/>
                      <w:jc w:val="left"/>
                      <w:rPr>
                        <w:sz w:val="11"/>
                      </w:rPr>
                    </w:pPr>
                    <w:r>
                      <w:rPr>
                        <w:w w:val="106"/>
                        <w:sz w:val="11"/>
                        <w:shd w:fill="DDD9C3" w:color="auto" w:val="clear"/>
                      </w:rPr>
                      <w:t> </w:t>
                    </w:r>
                    <w:r>
                      <w:rPr>
                        <w:sz w:val="11"/>
                        <w:shd w:fill="DDD9C3" w:color="auto" w:val="clear"/>
                      </w:rPr>
                      <w:t> </w:t>
                    </w:r>
                    <w:r>
                      <w:rPr>
                        <w:w w:val="105"/>
                        <w:sz w:val="11"/>
                        <w:shd w:fill="DDD9C3" w:color="auto" w:val="clear"/>
                      </w:rPr>
                      <w:t>104.1</w:t>
                    </w:r>
                    <w:r>
                      <w:rPr>
                        <w:sz w:val="11"/>
                        <w:shd w:fill="DDD9C3" w:color="auto" w:val="clear"/>
                      </w:rPr>
                      <w:t> </w:t>
                    </w:r>
                  </w:p>
                </w:txbxContent>
              </v:textbox>
              <w10:wrap type="none"/>
            </v:shape>
            <v:shape style="position:absolute;left:1646;top:1851;width:442;height:194" type="#_x0000_t202" filled="false" stroked="false">
              <v:textbox inset="0,0,0,0">
                <w:txbxContent>
                  <w:p>
                    <w:pPr>
                      <w:spacing w:line="194" w:lineRule="exact" w:before="0"/>
                      <w:ind w:left="0" w:right="-12" w:firstLine="0"/>
                      <w:jc w:val="left"/>
                      <w:rPr>
                        <w:rFonts w:ascii="Calibri"/>
                        <w:sz w:val="19"/>
                      </w:rPr>
                    </w:pPr>
                    <w:r>
                      <w:rPr>
                        <w:rFonts w:ascii="Calibri"/>
                        <w:sz w:val="19"/>
                      </w:rPr>
                      <w:t>100.0</w:t>
                    </w:r>
                  </w:p>
                </w:txbxContent>
              </v:textbox>
              <w10:wrap type="none"/>
            </v:shape>
            <v:shape style="position:absolute;left:3326;top:2525;width:229;height:117" type="#_x0000_t202" filled="false" stroked="false">
              <v:textbox inset="0,0,0,0">
                <w:txbxContent>
                  <w:p>
                    <w:pPr>
                      <w:spacing w:line="117" w:lineRule="exact" w:before="0"/>
                      <w:ind w:left="0" w:right="-16" w:firstLine="0"/>
                      <w:jc w:val="left"/>
                      <w:rPr>
                        <w:sz w:val="11"/>
                      </w:rPr>
                    </w:pPr>
                    <w:r>
                      <w:rPr>
                        <w:w w:val="105"/>
                        <w:sz w:val="11"/>
                      </w:rPr>
                      <w:t>66.2</w:t>
                    </w:r>
                  </w:p>
                </w:txbxContent>
              </v:textbox>
              <w10:wrap type="none"/>
            </v:shape>
            <v:shape style="position:absolute;left:3586;top:2722;width:229;height:117" type="#_x0000_t202" filled="false" stroked="false">
              <v:textbox inset="0,0,0,0">
                <w:txbxContent>
                  <w:p>
                    <w:pPr>
                      <w:spacing w:line="117" w:lineRule="exact" w:before="0"/>
                      <w:ind w:left="0" w:right="-16" w:firstLine="0"/>
                      <w:jc w:val="left"/>
                      <w:rPr>
                        <w:sz w:val="11"/>
                      </w:rPr>
                    </w:pPr>
                    <w:r>
                      <w:rPr>
                        <w:w w:val="105"/>
                        <w:sz w:val="11"/>
                      </w:rPr>
                      <w:t>57.7</w:t>
                    </w:r>
                  </w:p>
                </w:txbxContent>
              </v:textbox>
              <w10:wrap type="none"/>
            </v:shape>
            <v:shape style="position:absolute;left:1745;top:3019;width:344;height:194" type="#_x0000_t202" filled="false" stroked="false">
              <v:textbox inset="0,0,0,0">
                <w:txbxContent>
                  <w:p>
                    <w:pPr>
                      <w:spacing w:line="194" w:lineRule="exact" w:before="0"/>
                      <w:ind w:left="0" w:right="-13" w:firstLine="0"/>
                      <w:jc w:val="left"/>
                      <w:rPr>
                        <w:rFonts w:ascii="Calibri"/>
                        <w:sz w:val="19"/>
                      </w:rPr>
                    </w:pPr>
                    <w:r>
                      <w:rPr>
                        <w:rFonts w:ascii="Calibri"/>
                        <w:sz w:val="19"/>
                      </w:rPr>
                      <w:t>50.0</w:t>
                    </w:r>
                  </w:p>
                </w:txbxContent>
              </v:textbox>
              <w10:wrap type="none"/>
            </v:shape>
            <v:shape style="position:absolute;left:6391;top:3248;width:346;height:117" type="#_x0000_t202" filled="false" stroked="false">
              <v:textbox inset="0,0,0,0">
                <w:txbxContent>
                  <w:p>
                    <w:pPr>
                      <w:spacing w:line="117" w:lineRule="exact" w:before="0"/>
                      <w:ind w:left="0" w:right="-14" w:firstLine="0"/>
                      <w:jc w:val="left"/>
                      <w:rPr>
                        <w:sz w:val="11"/>
                      </w:rPr>
                    </w:pPr>
                    <w:r>
                      <w:rPr>
                        <w:w w:val="106"/>
                        <w:sz w:val="11"/>
                        <w:shd w:fill="DDD9C3" w:color="auto" w:val="clear"/>
                      </w:rPr>
                      <w:t> </w:t>
                    </w:r>
                    <w:r>
                      <w:rPr>
                        <w:sz w:val="11"/>
                        <w:shd w:fill="DDD9C3" w:color="auto" w:val="clear"/>
                      </w:rPr>
                      <w:t> </w:t>
                    </w:r>
                    <w:r>
                      <w:rPr>
                        <w:w w:val="105"/>
                        <w:sz w:val="11"/>
                        <w:shd w:fill="DDD9C3" w:color="auto" w:val="clear"/>
                      </w:rPr>
                      <w:t>35.3</w:t>
                    </w:r>
                    <w:r>
                      <w:rPr>
                        <w:sz w:val="11"/>
                        <w:shd w:fill="DDD9C3" w:color="auto" w:val="clear"/>
                      </w:rPr>
                      <w:t> </w:t>
                    </w:r>
                  </w:p>
                </w:txbxContent>
              </v:textbox>
              <w10:wrap type="none"/>
            </v:shape>
            <v:shape style="position:absolute;left:2551;top:3375;width:344;height:117" type="#_x0000_t202" filled="false" stroked="false">
              <v:textbox inset="0,0,0,0">
                <w:txbxContent>
                  <w:p>
                    <w:pPr>
                      <w:spacing w:line="117" w:lineRule="exact" w:before="0"/>
                      <w:ind w:left="0" w:right="-13" w:firstLine="0"/>
                      <w:jc w:val="left"/>
                      <w:rPr>
                        <w:sz w:val="11"/>
                      </w:rPr>
                    </w:pPr>
                    <w:r>
                      <w:rPr>
                        <w:w w:val="106"/>
                        <w:sz w:val="11"/>
                        <w:shd w:fill="DDD9C3" w:color="auto" w:val="clear"/>
                      </w:rPr>
                      <w:t> </w:t>
                    </w:r>
                    <w:r>
                      <w:rPr>
                        <w:sz w:val="11"/>
                        <w:shd w:fill="DDD9C3" w:color="auto" w:val="clear"/>
                      </w:rPr>
                      <w:t> </w:t>
                    </w:r>
                    <w:r>
                      <w:rPr>
                        <w:w w:val="105"/>
                        <w:sz w:val="11"/>
                        <w:shd w:fill="DDD9C3" w:color="auto" w:val="clear"/>
                      </w:rPr>
                      <w:t>27.9</w:t>
                    </w:r>
                    <w:r>
                      <w:rPr>
                        <w:sz w:val="11"/>
                        <w:shd w:fill="DDD9C3" w:color="auto" w:val="clear"/>
                      </w:rPr>
                      <w:t> </w:t>
                    </w:r>
                  </w:p>
                </w:txbxContent>
              </v:textbox>
              <w10:wrap type="none"/>
            </v:shape>
            <v:shape style="position:absolute;left:5966;top:3360;width:344;height:117" type="#_x0000_t202" filled="false" stroked="false">
              <v:textbox inset="0,0,0,0">
                <w:txbxContent>
                  <w:p>
                    <w:pPr>
                      <w:spacing w:line="117" w:lineRule="exact" w:before="0"/>
                      <w:ind w:left="0" w:right="-13" w:firstLine="0"/>
                      <w:jc w:val="left"/>
                      <w:rPr>
                        <w:sz w:val="11"/>
                      </w:rPr>
                    </w:pPr>
                    <w:r>
                      <w:rPr>
                        <w:w w:val="106"/>
                        <w:sz w:val="11"/>
                        <w:shd w:fill="DDD9C3" w:color="auto" w:val="clear"/>
                      </w:rPr>
                      <w:t> </w:t>
                    </w:r>
                    <w:r>
                      <w:rPr>
                        <w:sz w:val="11"/>
                        <w:shd w:fill="DDD9C3" w:color="auto" w:val="clear"/>
                      </w:rPr>
                      <w:t> </w:t>
                    </w:r>
                    <w:r>
                      <w:rPr>
                        <w:w w:val="105"/>
                        <w:sz w:val="11"/>
                        <w:shd w:fill="DDD9C3" w:color="auto" w:val="clear"/>
                      </w:rPr>
                      <w:t>34.8</w:t>
                    </w:r>
                    <w:r>
                      <w:rPr>
                        <w:sz w:val="11"/>
                        <w:shd w:fill="DDD9C3" w:color="auto" w:val="clear"/>
                      </w:rPr>
                      <w:t> </w:t>
                    </w:r>
                  </w:p>
                </w:txbxContent>
              </v:textbox>
              <w10:wrap type="none"/>
            </v:shape>
            <v:shape style="position:absolute;left:2285;top:3480;width:3092;height:307" type="#_x0000_t202" filled="false" stroked="false">
              <v:textbox inset="0,0,0,0">
                <w:txbxContent>
                  <w:p>
                    <w:pPr>
                      <w:tabs>
                        <w:tab w:pos="2582" w:val="left" w:leader="none"/>
                      </w:tabs>
                      <w:spacing w:line="178" w:lineRule="exact" w:before="0"/>
                      <w:ind w:left="0" w:right="0" w:firstLine="0"/>
                      <w:jc w:val="left"/>
                      <w:rPr>
                        <w:sz w:val="11"/>
                      </w:rPr>
                    </w:pPr>
                    <w:r>
                      <w:rPr>
                        <w:w w:val="105"/>
                        <w:position w:val="-1"/>
                        <w:sz w:val="11"/>
                      </w:rPr>
                      <w:t>26.2</w:t>
                      <w:tab/>
                    </w:r>
                    <w:r>
                      <w:rPr>
                        <w:w w:val="105"/>
                        <w:sz w:val="11"/>
                      </w:rPr>
                      <w:t>26.5</w:t>
                    </w:r>
                    <w:r>
                      <w:rPr>
                        <w:spacing w:val="23"/>
                        <w:w w:val="105"/>
                        <w:sz w:val="11"/>
                      </w:rPr>
                      <w:t> </w:t>
                    </w:r>
                    <w:r>
                      <w:rPr>
                        <w:w w:val="105"/>
                        <w:position w:val="-5"/>
                        <w:sz w:val="11"/>
                      </w:rPr>
                      <w:t>22.8</w:t>
                    </w:r>
                  </w:p>
                  <w:p>
                    <w:pPr>
                      <w:spacing w:line="125" w:lineRule="exact" w:before="3"/>
                      <w:ind w:left="0" w:right="518" w:firstLine="0"/>
                      <w:jc w:val="right"/>
                      <w:rPr>
                        <w:sz w:val="11"/>
                      </w:rPr>
                    </w:pPr>
                    <w:r>
                      <w:rPr>
                        <w:w w:val="105"/>
                        <w:sz w:val="11"/>
                      </w:rPr>
                      <w:t>20.3</w:t>
                    </w:r>
                  </w:p>
                </w:txbxContent>
              </v:textbox>
              <w10:wrap type="none"/>
            </v:shape>
            <v:shape style="position:absolute;left:5407;top:3706;width:229;height:117" type="#_x0000_t202" filled="false" stroked="false">
              <v:textbox inset="0,0,0,0">
                <w:txbxContent>
                  <w:p>
                    <w:pPr>
                      <w:spacing w:line="117" w:lineRule="exact" w:before="0"/>
                      <w:ind w:left="0" w:right="-16" w:firstLine="0"/>
                      <w:jc w:val="left"/>
                      <w:rPr>
                        <w:sz w:val="11"/>
                      </w:rPr>
                    </w:pPr>
                    <w:r>
                      <w:rPr>
                        <w:w w:val="105"/>
                        <w:sz w:val="11"/>
                      </w:rPr>
                      <w:t>15.6</w:t>
                    </w:r>
                  </w:p>
                </w:txbxContent>
              </v:textbox>
              <w10:wrap type="none"/>
            </v:shape>
            <v:shape style="position:absolute;left:6708;top:3584;width:809;height:232" type="#_x0000_t202" filled="false" stroked="false">
              <v:textbox inset="0,0,0,0">
                <w:txbxContent>
                  <w:p>
                    <w:pPr>
                      <w:spacing w:line="102" w:lineRule="exact" w:before="0"/>
                      <w:ind w:left="0" w:right="0" w:firstLine="0"/>
                      <w:jc w:val="left"/>
                      <w:rPr>
                        <w:sz w:val="11"/>
                      </w:rPr>
                    </w:pPr>
                    <w:r>
                      <w:rPr>
                        <w:w w:val="105"/>
                        <w:sz w:val="11"/>
                      </w:rPr>
                      <w:t>20.8</w:t>
                    </w:r>
                  </w:p>
                  <w:p>
                    <w:pPr>
                      <w:spacing w:line="130" w:lineRule="exact" w:before="0"/>
                      <w:ind w:left="204" w:right="0" w:firstLine="0"/>
                      <w:jc w:val="left"/>
                      <w:rPr>
                        <w:sz w:val="11"/>
                      </w:rPr>
                    </w:pPr>
                    <w:r>
                      <w:rPr>
                        <w:w w:val="106"/>
                        <w:sz w:val="11"/>
                        <w:shd w:fill="DDD9C3" w:color="auto" w:val="clear"/>
                      </w:rPr>
                      <w:t> </w:t>
                    </w:r>
                    <w:r>
                      <w:rPr>
                        <w:sz w:val="11"/>
                        <w:shd w:fill="DDD9C3" w:color="auto" w:val="clear"/>
                      </w:rPr>
                      <w:t> </w:t>
                    </w:r>
                    <w:r>
                      <w:rPr>
                        <w:w w:val="105"/>
                        <w:sz w:val="11"/>
                        <w:shd w:fill="DDD9C3" w:color="auto" w:val="clear"/>
                      </w:rPr>
                      <w:t>15.   </w:t>
                    </w:r>
                    <w:r>
                      <w:rPr>
                        <w:w w:val="105"/>
                        <w:position w:val="2"/>
                        <w:sz w:val="11"/>
                        <w:shd w:fill="DDD9C3" w:color="auto" w:val="clear"/>
                      </w:rPr>
                      <w:t>16.7</w:t>
                    </w:r>
                    <w:r>
                      <w:rPr>
                        <w:position w:val="2"/>
                        <w:sz w:val="11"/>
                        <w:shd w:fill="DDD9C3" w:color="auto" w:val="clear"/>
                      </w:rPr>
                      <w:t> </w:t>
                    </w:r>
                  </w:p>
                </w:txbxContent>
              </v:textbox>
              <w10:wrap type="none"/>
            </v:shape>
            <v:shape style="position:absolute;left:5645;top:3843;width:478;height:182" type="#_x0000_t202" filled="false" stroked="false">
              <v:textbox inset="0,0,0,0">
                <w:txbxContent>
                  <w:p>
                    <w:pPr>
                      <w:spacing w:line="178" w:lineRule="exact" w:before="0"/>
                      <w:ind w:left="0" w:right="-17" w:firstLine="0"/>
                      <w:jc w:val="left"/>
                      <w:rPr>
                        <w:sz w:val="11"/>
                      </w:rPr>
                    </w:pPr>
                    <w:r>
                      <w:rPr>
                        <w:w w:val="106"/>
                        <w:sz w:val="11"/>
                        <w:shd w:fill="DDD9C3" w:color="auto" w:val="clear"/>
                      </w:rPr>
                      <w:t> </w:t>
                    </w:r>
                    <w:r>
                      <w:rPr>
                        <w:spacing w:val="-8"/>
                        <w:sz w:val="11"/>
                        <w:shd w:fill="DDD9C3" w:color="auto" w:val="clear"/>
                      </w:rPr>
                      <w:t> </w:t>
                    </w:r>
                    <w:r>
                      <w:rPr>
                        <w:w w:val="105"/>
                        <w:sz w:val="11"/>
                        <w:shd w:fill="DDD9C3" w:color="auto" w:val="clear"/>
                      </w:rPr>
                      <w:t>9.8  </w:t>
                    </w:r>
                    <w:r>
                      <w:rPr>
                        <w:spacing w:val="2"/>
                        <w:w w:val="105"/>
                        <w:sz w:val="11"/>
                        <w:shd w:fill="DDD9C3" w:color="auto" w:val="clear"/>
                      </w:rPr>
                      <w:t> </w:t>
                    </w:r>
                    <w:r>
                      <w:rPr>
                        <w:w w:val="105"/>
                        <w:position w:val="-5"/>
                        <w:sz w:val="11"/>
                      </w:rPr>
                      <w:t>7.0</w:t>
                    </w:r>
                  </w:p>
                </w:txbxContent>
              </v:textbox>
              <w10:wrap type="none"/>
            </v:shape>
            <v:shape style="position:absolute;left:7522;top:3848;width:685;height:223" type="#_x0000_t202" filled="false" stroked="false">
              <v:textbox inset="0,0,0,0">
                <w:txbxContent>
                  <w:p>
                    <w:pPr>
                      <w:spacing w:line="222" w:lineRule="exact" w:before="0"/>
                      <w:ind w:left="0" w:right="-10" w:firstLine="0"/>
                      <w:jc w:val="left"/>
                      <w:rPr>
                        <w:sz w:val="11"/>
                      </w:rPr>
                    </w:pPr>
                    <w:r>
                      <w:rPr>
                        <w:w w:val="105"/>
                        <w:position w:val="7"/>
                        <w:sz w:val="11"/>
                      </w:rPr>
                      <w:t>9.5   </w:t>
                    </w:r>
                    <w:r>
                      <w:rPr>
                        <w:w w:val="105"/>
                        <w:sz w:val="11"/>
                        <w:shd w:fill="DDD9C3" w:color="auto" w:val="clear"/>
                      </w:rPr>
                      <w:t>6.4   </w:t>
                    </w:r>
                    <w:r>
                      <w:rPr>
                        <w:w w:val="105"/>
                        <w:position w:val="-2"/>
                        <w:sz w:val="11"/>
                      </w:rPr>
                      <w:t>5.0</w:t>
                    </w:r>
                  </w:p>
                </w:txbxContent>
              </v:textbox>
              <w10:wrap type="none"/>
            </v:shape>
            <v:shape style="position:absolute;left:8302;top:3965;width:164;height:117" type="#_x0000_t202" filled="false" stroked="false">
              <v:textbox inset="0,0,0,0">
                <w:txbxContent>
                  <w:p>
                    <w:pPr>
                      <w:spacing w:line="117" w:lineRule="exact" w:before="0"/>
                      <w:ind w:left="0" w:right="-17" w:firstLine="0"/>
                      <w:jc w:val="left"/>
                      <w:rPr>
                        <w:sz w:val="11"/>
                      </w:rPr>
                    </w:pPr>
                    <w:r>
                      <w:rPr>
                        <w:w w:val="105"/>
                        <w:sz w:val="11"/>
                      </w:rPr>
                      <w:t>4.6</w:t>
                    </w:r>
                  </w:p>
                </w:txbxContent>
              </v:textbox>
              <w10:wrap type="none"/>
            </v:shape>
            <v:shape style="position:absolute;left:8563;top:3960;width:984;height:144" type="#_x0000_t202" filled="false" stroked="false">
              <v:textbox inset="0,0,0,0">
                <w:txbxContent>
                  <w:p>
                    <w:pPr>
                      <w:spacing w:line="143" w:lineRule="exact" w:before="0"/>
                      <w:ind w:left="0" w:right="0" w:firstLine="0"/>
                      <w:jc w:val="left"/>
                      <w:rPr>
                        <w:sz w:val="11"/>
                      </w:rPr>
                    </w:pPr>
                    <w:r>
                      <w:rPr>
                        <w:w w:val="105"/>
                        <w:position w:val="3"/>
                        <w:sz w:val="11"/>
                      </w:rPr>
                      <w:t>4.7   </w:t>
                    </w:r>
                    <w:r>
                      <w:rPr>
                        <w:w w:val="105"/>
                        <w:position w:val="1"/>
                        <w:sz w:val="11"/>
                        <w:shd w:fill="DDD9C3" w:color="auto" w:val="clear"/>
                      </w:rPr>
                      <w:t>4.0   </w:t>
                    </w:r>
                    <w:r>
                      <w:rPr>
                        <w:w w:val="105"/>
                        <w:sz w:val="11"/>
                        <w:shd w:fill="DDD9C3" w:color="auto" w:val="clear"/>
                      </w:rPr>
                      <w:t>3.6   </w:t>
                    </w:r>
                    <w:r>
                      <w:rPr>
                        <w:w w:val="105"/>
                        <w:position w:val="1"/>
                        <w:sz w:val="11"/>
                        <w:shd w:fill="DDD9C3" w:color="auto" w:val="clear"/>
                      </w:rPr>
                      <w:t>4.0</w:t>
                    </w:r>
                    <w:r>
                      <w:rPr>
                        <w:position w:val="1"/>
                        <w:sz w:val="11"/>
                        <w:shd w:fill="DDD9C3" w:color="auto" w:val="clear"/>
                      </w:rPr>
                      <w:t> </w:t>
                    </w:r>
                  </w:p>
                </w:txbxContent>
              </v:textbox>
              <w10:wrap type="none"/>
            </v:shape>
            <v:shape style="position:absolute;left:9547;top:3946;width:540;height:122" type="#_x0000_t202" filled="false" stroked="false">
              <v:textbox inset="0,0,0,0">
                <w:txbxContent>
                  <w:p>
                    <w:pPr>
                      <w:spacing w:line="122" w:lineRule="exact" w:before="0"/>
                      <w:ind w:left="0" w:right="-2" w:firstLine="0"/>
                      <w:jc w:val="left"/>
                      <w:rPr>
                        <w:sz w:val="11"/>
                      </w:rPr>
                    </w:pPr>
                    <w:r>
                      <w:rPr>
                        <w:w w:val="106"/>
                        <w:sz w:val="11"/>
                        <w:shd w:fill="DDD9C3" w:color="auto" w:val="clear"/>
                      </w:rPr>
                      <w:t> </w:t>
                    </w:r>
                    <w:r>
                      <w:rPr>
                        <w:sz w:val="11"/>
                        <w:shd w:fill="DDD9C3" w:color="auto" w:val="clear"/>
                      </w:rPr>
                      <w:t> </w:t>
                    </w:r>
                    <w:r>
                      <w:rPr>
                        <w:w w:val="105"/>
                        <w:sz w:val="11"/>
                        <w:shd w:fill="DDD9C3" w:color="auto" w:val="clear"/>
                      </w:rPr>
                      <w:t>5.1   5.3</w:t>
                    </w:r>
                    <w:r>
                      <w:rPr>
                        <w:sz w:val="11"/>
                        <w:shd w:fill="DDD9C3" w:color="auto" w:val="clear"/>
                      </w:rPr>
                      <w:t> </w:t>
                    </w:r>
                  </w:p>
                </w:txbxContent>
              </v:textbox>
              <w10:wrap type="none"/>
            </v:shape>
            <v:shape style="position:absolute;left:1843;top:4186;width:245;height:194" type="#_x0000_t202" filled="false" stroked="false">
              <v:textbox inset="0,0,0,0">
                <w:txbxContent>
                  <w:p>
                    <w:pPr>
                      <w:spacing w:line="194" w:lineRule="exact" w:before="0"/>
                      <w:ind w:left="0" w:right="-16" w:firstLine="0"/>
                      <w:jc w:val="left"/>
                      <w:rPr>
                        <w:rFonts w:ascii="Calibri"/>
                        <w:sz w:val="19"/>
                      </w:rPr>
                    </w:pPr>
                    <w:r>
                      <w:rPr>
                        <w:rFonts w:ascii="Calibri"/>
                        <w:sz w:val="19"/>
                      </w:rPr>
                      <w:t>0.0</w:t>
                    </w:r>
                  </w:p>
                </w:txbxContent>
              </v:textbox>
              <w10:wrap type="none"/>
            </v:shape>
            <v:shape style="position:absolute;left:3790;top:2054;width:346;height:192" type="#_x0000_t202" filled="true" fillcolor="#ddd9c3" stroked="false">
              <v:textbox inset="0,0,0,0">
                <w:txbxContent>
                  <w:p>
                    <w:pPr>
                      <w:spacing w:before="36"/>
                      <w:ind w:left="55" w:right="-14" w:firstLine="0"/>
                      <w:jc w:val="left"/>
                      <w:rPr>
                        <w:sz w:val="11"/>
                      </w:rPr>
                    </w:pPr>
                    <w:r>
                      <w:rPr>
                        <w:w w:val="105"/>
                        <w:sz w:val="11"/>
                      </w:rPr>
                      <w:t>84.5</w:t>
                    </w:r>
                  </w:p>
                </w:txbxContent>
              </v:textbox>
              <v:fill type="solid"/>
              <w10:wrap type="none"/>
            </v:shape>
            <v:shape style="position:absolute;left:2750;top:2685;width:344;height:192" type="#_x0000_t202" filled="true" fillcolor="#ddd9c3" stroked="false">
              <v:textbox inset="0,0,0,0">
                <w:txbxContent>
                  <w:p>
                    <w:pPr>
                      <w:spacing w:before="33"/>
                      <w:ind w:left="55" w:right="-13" w:firstLine="0"/>
                      <w:jc w:val="left"/>
                      <w:rPr>
                        <w:sz w:val="11"/>
                      </w:rPr>
                    </w:pPr>
                    <w:r>
                      <w:rPr>
                        <w:w w:val="105"/>
                        <w:sz w:val="11"/>
                      </w:rPr>
                      <w:t>57.5</w:t>
                    </w:r>
                  </w:p>
                </w:txbxContent>
              </v:textbox>
              <v:fill type="solid"/>
              <w10:wrap type="none"/>
            </v:shape>
            <w10:wrap type="none"/>
          </v:group>
        </w:pict>
      </w:r>
      <w:r>
        <w:rPr/>
        <w:t>Figura        2.        Tasa        de       Inflación       promedio       anual,       1980-2009</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9"/>
        <w:rPr>
          <w:b/>
          <w:sz w:val="26"/>
        </w:rPr>
      </w:pPr>
    </w:p>
    <w:p>
      <w:pPr>
        <w:spacing w:line="369" w:lineRule="auto" w:before="1"/>
        <w:ind w:left="101" w:right="382" w:firstLine="0"/>
        <w:jc w:val="both"/>
        <w:rPr>
          <w:sz w:val="21"/>
        </w:rPr>
      </w:pPr>
      <w:r>
        <w:rPr/>
        <w:pict>
          <v:shape style="position:absolute;margin-left:356.640686pt;margin-top:-69.421654pt;width:19.2pt;height:9.75pt;mso-position-horizontal-relative:page;mso-position-vertical-relative:paragraph;z-index:-701920" type="#_x0000_t202" filled="false" stroked="false">
            <v:textbox inset="0,0,0,0">
              <w:txbxContent>
                <w:p>
                  <w:pPr>
                    <w:spacing w:before="53"/>
                    <w:ind w:left="0" w:right="0" w:firstLine="0"/>
                    <w:jc w:val="left"/>
                    <w:rPr>
                      <w:sz w:val="11"/>
                    </w:rPr>
                  </w:pPr>
                  <w:r>
                    <w:rPr>
                      <w:w w:val="106"/>
                      <w:sz w:val="11"/>
                    </w:rPr>
                    <w:t>9</w:t>
                  </w:r>
                </w:p>
              </w:txbxContent>
            </v:textbox>
            <w10:wrap type="none"/>
          </v:shape>
        </w:pict>
      </w:r>
      <w:r>
        <w:rPr>
          <w:sz w:val="21"/>
        </w:rPr>
        <w:t>Fuente: Elaborado con datos del Centro de Estudios de las Finanzas Públicas de la Cámara de Diputados, obtenidos del Banco de </w:t>
      </w:r>
      <w:r>
        <w:rPr>
          <w:spacing w:val="8"/>
          <w:sz w:val="21"/>
        </w:rPr>
        <w:t> </w:t>
      </w:r>
      <w:r>
        <w:rPr>
          <w:sz w:val="21"/>
        </w:rPr>
        <w:t>México.</w:t>
      </w:r>
    </w:p>
    <w:p>
      <w:pPr>
        <w:pStyle w:val="BodyText"/>
        <w:rPr>
          <w:sz w:val="20"/>
        </w:rPr>
      </w:pPr>
    </w:p>
    <w:p>
      <w:pPr>
        <w:pStyle w:val="BodyText"/>
        <w:rPr>
          <w:sz w:val="20"/>
        </w:rPr>
      </w:pPr>
    </w:p>
    <w:p>
      <w:pPr>
        <w:pStyle w:val="BodyText"/>
        <w:spacing w:before="7"/>
        <w:rPr>
          <w:sz w:val="29"/>
        </w:rPr>
      </w:pPr>
    </w:p>
    <w:p>
      <w:pPr>
        <w:pStyle w:val="BodyText"/>
        <w:spacing w:line="364" w:lineRule="auto"/>
        <w:ind w:left="101" w:right="383"/>
        <w:jc w:val="both"/>
      </w:pPr>
      <w:r>
        <w:rPr/>
        <w:t>Durante la última década México ha instrumentado políticas públicas que han consolidado su estabilidad macroeconómica: en 2007 el PIB creció a una tasa anual de 3.3%, mientras que la tasa de inflación continuó una trayectoria convergente al rango anticipado por el Banco de México y se ubicó en 4%, la más baja entre las economías más importantes de América Latina e inferior a la de Estados Unidos (4.1%) y España (4.2%). Las estimaciones de crecimiento del PIB de México para 2008, se ubican alrededor de 2.8% como consecuencia, principalmente, de un  entorno externo desfavorable. Sin embargo, la implementación oportuna de medidas de política económica contra cíclica permite anticipar un desempeño económico  </w:t>
      </w:r>
      <w:r>
        <w:rPr>
          <w:spacing w:val="7"/>
        </w:rPr>
        <w:t> </w:t>
      </w:r>
      <w:r>
        <w:rPr/>
        <w:t>más</w:t>
      </w:r>
    </w:p>
    <w:p>
      <w:pPr>
        <w:spacing w:after="0" w:line="364" w:lineRule="auto"/>
        <w:jc w:val="both"/>
        <w:sectPr>
          <w:pgSz w:w="11900" w:h="16840"/>
          <w:pgMar w:header="0" w:footer="1619" w:top="1600" w:bottom="1860" w:left="1300" w:right="1280"/>
        </w:sectPr>
      </w:pPr>
    </w:p>
    <w:p>
      <w:pPr>
        <w:pStyle w:val="BodyText"/>
        <w:rPr>
          <w:sz w:val="20"/>
        </w:rPr>
      </w:pPr>
    </w:p>
    <w:p>
      <w:pPr>
        <w:pStyle w:val="BodyText"/>
        <w:spacing w:before="8"/>
        <w:rPr>
          <w:sz w:val="18"/>
        </w:rPr>
      </w:pPr>
    </w:p>
    <w:p>
      <w:pPr>
        <w:pStyle w:val="BodyText"/>
        <w:spacing w:line="364" w:lineRule="auto" w:before="74"/>
        <w:ind w:left="103" w:right="638"/>
      </w:pPr>
      <w:r>
        <w:rPr/>
        <w:t>vigoroso a partir de 2009,  en el cual, la inflación se mantuvo alrededor de 5.3% a  fines de año (Figura</w:t>
      </w:r>
      <w:r>
        <w:rPr>
          <w:spacing w:val="27"/>
        </w:rPr>
        <w:t> </w:t>
      </w:r>
      <w:r>
        <w:rPr/>
        <w:t>2).</w:t>
      </w:r>
    </w:p>
    <w:p>
      <w:pPr>
        <w:pStyle w:val="BodyText"/>
        <w:rPr>
          <w:sz w:val="22"/>
        </w:rPr>
      </w:pPr>
    </w:p>
    <w:p>
      <w:pPr>
        <w:pStyle w:val="BodyText"/>
        <w:rPr>
          <w:sz w:val="22"/>
        </w:rPr>
      </w:pPr>
    </w:p>
    <w:p>
      <w:pPr>
        <w:pStyle w:val="Heading4"/>
        <w:spacing w:before="171"/>
        <w:ind w:left="1265" w:right="102"/>
      </w:pPr>
      <w:r>
        <w:rPr/>
        <w:pict>
          <v:shape style="position:absolute;margin-left:416.879822pt;margin-top:28.816282pt;width:100.7pt;height:225pt;mso-position-horizontal-relative:page;mso-position-vertical-relative:paragraph;z-index:-700912" type="#_x0000_t202" filled="false" stroked="false">
            <v:textbox inset="0,0,0,0">
              <w:txbxContent>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6"/>
                    <w:rPr>
                      <w:sz w:val="18"/>
                    </w:rPr>
                  </w:pPr>
                </w:p>
                <w:p>
                  <w:pPr>
                    <w:spacing w:before="0"/>
                    <w:ind w:left="0" w:right="0" w:firstLine="0"/>
                    <w:jc w:val="left"/>
                    <w:rPr>
                      <w:rFonts w:ascii="Times New Roman"/>
                      <w:sz w:val="15"/>
                    </w:rPr>
                  </w:pPr>
                  <w:r>
                    <w:rPr>
                      <w:rFonts w:ascii="Times New Roman"/>
                      <w:w w:val="104"/>
                      <w:sz w:val="15"/>
                    </w:rPr>
                    <w:t>2</w:t>
                  </w:r>
                </w:p>
              </w:txbxContent>
            </v:textbox>
            <w10:wrap type="none"/>
          </v:shape>
        </w:pict>
      </w:r>
      <w:r>
        <w:rPr/>
        <w:t>Figura 3. Tasa de interés en Cetes a 28 días (%),  1995-2009</w:t>
      </w:r>
    </w:p>
    <w:p>
      <w:pPr>
        <w:pStyle w:val="BodyText"/>
        <w:spacing w:before="9"/>
        <w:rPr>
          <w:b/>
          <w:sz w:val="8"/>
        </w:rPr>
      </w:pPr>
      <w:r>
        <w:rPr/>
        <w:pict>
          <v:group style="position:absolute;margin-left:71.279999pt;margin-top:7.022385pt;width:446.65pt;height:225.4pt;mso-position-horizontal-relative:page;mso-position-vertical-relative:paragraph;z-index:13528;mso-wrap-distance-left:0;mso-wrap-distance-right:0" coordorigin="1426,140" coordsize="8933,4508">
            <v:line style="position:absolute" from="2534,404" to="4193,404" stroked="true" strokeweight=".12pt" strokecolor="#c1c1c1"/>
            <v:shape style="position:absolute;left:2306;top:402;width:1884;height:3655" type="#_x0000_t75" stroked="false">
              <v:imagedata r:id="rId454" o:title=""/>
            </v:shape>
            <v:line style="position:absolute" from="2258,4048" to="2318,4048" stroked="true" strokeweight=".72pt" strokecolor="#858585"/>
            <v:line style="position:absolute" from="2258,3700" to="2318,3700" stroked="true" strokeweight=".72pt" strokecolor="#858585"/>
            <v:line style="position:absolute" from="2258,3354" to="2318,3354" stroked="true" strokeweight=".72pt" strokecolor="#858585"/>
            <v:line style="position:absolute" from="2258,3006" to="2318,3006" stroked="true" strokeweight=".72pt" strokecolor="#858585"/>
            <v:line style="position:absolute" from="2258,2661" to="2318,2661" stroked="true" strokeweight=".72pt" strokecolor="#858585"/>
            <v:line style="position:absolute" from="2258,2313" to="2318,2313" stroked="true" strokeweight=".72pt" strokecolor="#858585"/>
            <v:line style="position:absolute" from="2258,1967" to="2318,1967" stroked="true" strokeweight=".72pt" strokecolor="#858585"/>
            <v:line style="position:absolute" from="2258,1619" to="2318,1619" stroked="true" strokeweight=".72pt" strokecolor="#858585"/>
            <v:line style="position:absolute" from="2258,1274" to="2318,1274" stroked="true" strokeweight=".72pt" strokecolor="#858585"/>
            <v:line style="position:absolute" from="2258,928" to="2318,928" stroked="true" strokeweight=".72pt" strokecolor="#858585"/>
            <v:line style="position:absolute" from="2258,580" to="2318,580" stroked="true" strokeweight=".72pt" strokecolor="#858585"/>
            <v:line style="position:absolute" from="2311,4071" to="2326,4071" stroked="true" strokeweight="2.280pt" strokecolor="#858585"/>
            <v:line style="position:absolute" from="2806,4071" to="2820,4071" stroked="true" strokeweight="2.280pt" strokecolor="#858585"/>
            <v:line style="position:absolute" from="3298,4071" to="3312,4071" stroked="true" strokeweight="2.280pt" strokecolor="#858585"/>
            <v:line style="position:absolute" from="3794,4071" to="3809,4071" stroked="true" strokeweight="2.280pt" strokecolor="#858585"/>
            <v:shape style="position:absolute;left:2388;top:388;width:485;height:341" type="#_x0000_t75" stroked="false">
              <v:imagedata r:id="rId455" o:title=""/>
            </v:shape>
            <v:shape style="position:absolute;left:2882;top:1569;width:487;height:341" type="#_x0000_t75" stroked="false">
              <v:imagedata r:id="rId456" o:title=""/>
            </v:shape>
            <v:shape style="position:absolute;left:3377;top:2030;width:814;height:684" type="#_x0000_t75" stroked="false">
              <v:imagedata r:id="rId457" o:title=""/>
            </v:shape>
            <v:shape style="position:absolute;left:1426;top:141;width:2765;height:4508" coordorigin="1426,141" coordsize="2765,4508" path="m1440,141l1426,141,1426,4641,1428,4646,1433,4648,4190,4648,4190,4641,1440,4641,1433,4634,1440,4634,1440,148,1433,148,1440,141xm1440,4634l1433,4634,1440,4641,1440,4634xm4190,4634l1440,4634,1440,4641,4190,4641,4190,4634xm1440,141l1433,148,1440,148,1440,141xm4190,141l1440,141,1440,148,4190,148,4190,141xe" filled="true" fillcolor="#858585" stroked="false">
              <v:path arrowok="t"/>
              <v:fill type="solid"/>
            </v:shape>
            <v:shape style="position:absolute;left:4190;top:402;width:4188;height:19" type="#_x0000_t75" stroked="false">
              <v:imagedata r:id="rId458" o:title=""/>
            </v:shape>
            <v:shape style="position:absolute;left:4190;top:748;width:4188;height:19" type="#_x0000_t75" stroked="false">
              <v:imagedata r:id="rId459" o:title=""/>
            </v:shape>
            <v:shape style="position:absolute;left:4190;top:1096;width:4188;height:17" type="#_x0000_t75" stroked="false">
              <v:imagedata r:id="rId401" o:title=""/>
            </v:shape>
            <v:shape style="position:absolute;left:4190;top:1442;width:4188;height:22" type="#_x0000_t75" stroked="false">
              <v:imagedata r:id="rId460" o:title=""/>
            </v:shape>
            <v:shape style="position:absolute;left:4190;top:1790;width:4188;height:19" type="#_x0000_t75" stroked="false">
              <v:imagedata r:id="rId461" o:title=""/>
            </v:shape>
            <v:line style="position:absolute" from="4289,4071" to="4303,4071" stroked="true" strokeweight="2.280pt" strokecolor="#858585"/>
            <v:line style="position:absolute" from="4781,4071" to="4795,4071" stroked="true" strokeweight="2.280pt" strokecolor="#858585"/>
            <v:line style="position:absolute" from="5278,4071" to="5292,4071" stroked="true" strokeweight="2.280pt" strokecolor="#858585"/>
            <v:line style="position:absolute" from="5770,4071" to="5784,4071" stroked="true" strokeweight="2.280pt" strokecolor="#858585"/>
            <v:line style="position:absolute" from="6264,4071" to="6281,4071" stroked="true" strokeweight="2.280pt" strokecolor="#858585"/>
            <v:line style="position:absolute" from="6761,4071" to="6775,4071" stroked="true" strokeweight="2.280pt" strokecolor="#858585"/>
            <v:line style="position:absolute" from="7253,4071" to="7267,4071" stroked="true" strokeweight="2.280pt" strokecolor="#858585"/>
            <v:line style="position:absolute" from="7750,4071" to="7764,4071" stroked="true" strokeweight="2.280pt" strokecolor="#858585"/>
            <v:line style="position:absolute" from="8242,4071" to="8256,4071" stroked="true" strokeweight="2.280pt" strokecolor="#858585"/>
            <v:shape style="position:absolute;left:4190;top:2030;width:4188;height:2028" type="#_x0000_t75" stroked="false">
              <v:imagedata r:id="rId462" o:title=""/>
            </v:shape>
            <v:shape style="position:absolute;left:8352;top:3282;width:30;height:281" type="#_x0000_t75" stroked="false">
              <v:imagedata r:id="rId463" o:title=""/>
            </v:shape>
            <v:line style="position:absolute" from="4190,4641" to="8378,4641" stroked="true" strokeweight=".72pt" strokecolor="#858585"/>
            <v:line style="position:absolute" from="4190,144" to="8378,144" stroked="true" strokeweight=".359961pt" strokecolor="#858585"/>
            <v:rect style="position:absolute;left:8378;top:141;width:1973;height:4500" filled="true" fillcolor="#ffffff" stroked="false">
              <v:fill type="solid"/>
            </v:rect>
            <v:shape style="position:absolute;left:8378;top:402;width:1582;height:19" type="#_x0000_t75" stroked="false">
              <v:imagedata r:id="rId464" o:title=""/>
            </v:shape>
            <v:shape style="position:absolute;left:8378;top:748;width:1582;height:19" type="#_x0000_t75" stroked="false">
              <v:imagedata r:id="rId465" o:title=""/>
            </v:shape>
            <v:shape style="position:absolute;left:8378;top:1096;width:1582;height:17" type="#_x0000_t75" stroked="false">
              <v:imagedata r:id="rId466" o:title=""/>
            </v:shape>
            <v:shape style="position:absolute;left:8378;top:1442;width:1582;height:22" type="#_x0000_t75" stroked="false">
              <v:imagedata r:id="rId467" o:title=""/>
            </v:shape>
            <v:shape style="position:absolute;left:8378;top:1790;width:1582;height:19" type="#_x0000_t75" stroked="false">
              <v:imagedata r:id="rId468" o:title=""/>
            </v:shape>
            <v:shape style="position:absolute;left:8378;top:2135;width:1582;height:22" type="#_x0000_t75" stroked="false">
              <v:imagedata r:id="rId469" o:title=""/>
            </v:shape>
            <v:shape style="position:absolute;left:8378;top:2483;width:1582;height:19" type="#_x0000_t75" stroked="false">
              <v:imagedata r:id="rId470" o:title=""/>
            </v:shape>
            <v:shape style="position:absolute;left:8378;top:2829;width:1582;height:22" type="#_x0000_t75" stroked="false">
              <v:imagedata r:id="rId471" o:title=""/>
            </v:shape>
            <v:line style="position:absolute" from="8736,4071" to="8750,4071" stroked="true" strokeweight="2.280pt" strokecolor="#858585"/>
            <v:line style="position:absolute" from="9230,4071" to="9245,4071" stroked="true" strokeweight="2.280pt" strokecolor="#858585"/>
            <v:line style="position:absolute" from="9725,4071" to="9739,4071" stroked="true" strokeweight="2.280pt" strokecolor="#858585"/>
            <v:shape style="position:absolute;left:8378;top:3177;width:1584;height:881" type="#_x0000_t75" stroked="false">
              <v:imagedata r:id="rId472" o:title=""/>
            </v:shape>
            <v:shape style="position:absolute;left:8378;top:141;width:1980;height:4508" coordorigin="8378,141" coordsize="1980,4508" path="m10344,4634l8378,4634,8378,4648,10351,4648,10356,4646,10358,4641,10344,4641,10344,4634xm10344,141l10344,4641,10351,4634,10358,4634,10358,148,10351,148,10344,141xm10358,4634l10351,4634,10344,4641,10358,4641,10358,4634xm10344,141l8378,141,8378,148,10344,148,10344,141xm10358,141l10344,141,10351,148,10358,148,10358,141xe" filled="true" fillcolor="#858585" stroked="false">
              <v:path arrowok="t"/>
              <v:fill type="solid"/>
            </v:shape>
            <v:shape style="position:absolute;left:1800;top:494;width:342;height:3662" type="#_x0000_t202" filled="false" stroked="false">
              <v:textbox inset="0,0,0,0">
                <w:txbxContent>
                  <w:p>
                    <w:pPr>
                      <w:spacing w:line="197" w:lineRule="exact" w:before="0"/>
                      <w:ind w:left="0" w:right="-11" w:firstLine="0"/>
                      <w:jc w:val="left"/>
                      <w:rPr>
                        <w:rFonts w:ascii="Times New Roman"/>
                        <w:sz w:val="19"/>
                      </w:rPr>
                    </w:pPr>
                    <w:r>
                      <w:rPr>
                        <w:rFonts w:ascii="Times New Roman"/>
                        <w:sz w:val="19"/>
                      </w:rPr>
                      <w:t>50.0</w:t>
                    </w:r>
                  </w:p>
                  <w:p>
                    <w:pPr>
                      <w:spacing w:before="129"/>
                      <w:ind w:left="0" w:right="-11" w:firstLine="0"/>
                      <w:jc w:val="left"/>
                      <w:rPr>
                        <w:rFonts w:ascii="Times New Roman"/>
                        <w:sz w:val="19"/>
                      </w:rPr>
                    </w:pPr>
                    <w:r>
                      <w:rPr>
                        <w:rFonts w:ascii="Times New Roman"/>
                        <w:sz w:val="19"/>
                      </w:rPr>
                      <w:t>45.0</w:t>
                    </w:r>
                  </w:p>
                  <w:p>
                    <w:pPr>
                      <w:spacing w:before="127"/>
                      <w:ind w:left="0" w:right="-11" w:firstLine="0"/>
                      <w:jc w:val="left"/>
                      <w:rPr>
                        <w:rFonts w:ascii="Times New Roman"/>
                        <w:sz w:val="19"/>
                      </w:rPr>
                    </w:pPr>
                    <w:r>
                      <w:rPr>
                        <w:rFonts w:ascii="Times New Roman"/>
                        <w:sz w:val="19"/>
                      </w:rPr>
                      <w:t>40.0</w:t>
                    </w:r>
                  </w:p>
                  <w:p>
                    <w:pPr>
                      <w:spacing w:before="129"/>
                      <w:ind w:left="0" w:right="-11" w:firstLine="0"/>
                      <w:jc w:val="left"/>
                      <w:rPr>
                        <w:rFonts w:ascii="Times New Roman"/>
                        <w:sz w:val="19"/>
                      </w:rPr>
                    </w:pPr>
                    <w:r>
                      <w:rPr>
                        <w:rFonts w:ascii="Times New Roman"/>
                        <w:sz w:val="19"/>
                      </w:rPr>
                      <w:t>35.0</w:t>
                    </w:r>
                  </w:p>
                  <w:p>
                    <w:pPr>
                      <w:spacing w:before="127"/>
                      <w:ind w:left="0" w:right="-11" w:firstLine="0"/>
                      <w:jc w:val="left"/>
                      <w:rPr>
                        <w:rFonts w:ascii="Times New Roman"/>
                        <w:sz w:val="19"/>
                      </w:rPr>
                    </w:pPr>
                    <w:r>
                      <w:rPr>
                        <w:rFonts w:ascii="Times New Roman"/>
                        <w:sz w:val="19"/>
                      </w:rPr>
                      <w:t>30.0</w:t>
                    </w:r>
                  </w:p>
                  <w:p>
                    <w:pPr>
                      <w:spacing w:before="129"/>
                      <w:ind w:left="0" w:right="-11" w:firstLine="0"/>
                      <w:jc w:val="left"/>
                      <w:rPr>
                        <w:rFonts w:ascii="Times New Roman"/>
                        <w:sz w:val="19"/>
                      </w:rPr>
                    </w:pPr>
                    <w:r>
                      <w:rPr>
                        <w:rFonts w:ascii="Times New Roman"/>
                        <w:sz w:val="19"/>
                      </w:rPr>
                      <w:t>25.0</w:t>
                    </w:r>
                  </w:p>
                  <w:p>
                    <w:pPr>
                      <w:spacing w:before="127"/>
                      <w:ind w:left="0" w:right="-11" w:firstLine="0"/>
                      <w:jc w:val="left"/>
                      <w:rPr>
                        <w:rFonts w:ascii="Times New Roman"/>
                        <w:sz w:val="19"/>
                      </w:rPr>
                    </w:pPr>
                    <w:r>
                      <w:rPr>
                        <w:rFonts w:ascii="Times New Roman"/>
                        <w:sz w:val="19"/>
                      </w:rPr>
                      <w:t>20.0</w:t>
                    </w:r>
                  </w:p>
                  <w:p>
                    <w:pPr>
                      <w:spacing w:before="129"/>
                      <w:ind w:left="0" w:right="-11" w:firstLine="0"/>
                      <w:jc w:val="left"/>
                      <w:rPr>
                        <w:rFonts w:ascii="Times New Roman"/>
                        <w:sz w:val="19"/>
                      </w:rPr>
                    </w:pPr>
                    <w:r>
                      <w:rPr>
                        <w:rFonts w:ascii="Times New Roman"/>
                        <w:sz w:val="19"/>
                      </w:rPr>
                      <w:t>15.0</w:t>
                    </w:r>
                  </w:p>
                  <w:p>
                    <w:pPr>
                      <w:spacing w:before="127"/>
                      <w:ind w:left="0" w:right="-11" w:firstLine="0"/>
                      <w:jc w:val="left"/>
                      <w:rPr>
                        <w:rFonts w:ascii="Times New Roman"/>
                        <w:sz w:val="19"/>
                      </w:rPr>
                    </w:pPr>
                    <w:r>
                      <w:rPr>
                        <w:rFonts w:ascii="Times New Roman"/>
                        <w:sz w:val="19"/>
                      </w:rPr>
                      <w:t>10.0</w:t>
                    </w:r>
                  </w:p>
                  <w:p>
                    <w:pPr>
                      <w:spacing w:before="129"/>
                      <w:ind w:left="96" w:right="-12" w:firstLine="0"/>
                      <w:jc w:val="left"/>
                      <w:rPr>
                        <w:rFonts w:ascii="Times New Roman"/>
                        <w:sz w:val="19"/>
                      </w:rPr>
                    </w:pPr>
                    <w:r>
                      <w:rPr>
                        <w:rFonts w:ascii="Times New Roman"/>
                        <w:sz w:val="19"/>
                      </w:rPr>
                      <w:t>5.0</w:t>
                    </w:r>
                  </w:p>
                  <w:p>
                    <w:pPr>
                      <w:spacing w:line="215" w:lineRule="exact" w:before="127"/>
                      <w:ind w:left="96" w:right="-12" w:firstLine="0"/>
                      <w:jc w:val="left"/>
                      <w:rPr>
                        <w:rFonts w:ascii="Times New Roman"/>
                        <w:sz w:val="19"/>
                      </w:rPr>
                    </w:pPr>
                    <w:r>
                      <w:rPr>
                        <w:rFonts w:ascii="Times New Roman"/>
                        <w:sz w:val="19"/>
                      </w:rPr>
                      <w:t>0.0</w:t>
                    </w:r>
                  </w:p>
                </w:txbxContent>
              </v:textbox>
              <w10:wrap type="none"/>
            </v:shape>
            <v:shape style="position:absolute;left:2515;top:433;width:229;height:117" type="#_x0000_t202" filled="false" stroked="false">
              <v:textbox inset="0,0,0,0">
                <w:txbxContent>
                  <w:p>
                    <w:pPr>
                      <w:spacing w:line="117" w:lineRule="exact" w:before="0"/>
                      <w:ind w:left="0" w:right="-16" w:firstLine="0"/>
                      <w:jc w:val="left"/>
                      <w:rPr>
                        <w:sz w:val="11"/>
                      </w:rPr>
                    </w:pPr>
                    <w:r>
                      <w:rPr>
                        <w:w w:val="105"/>
                        <w:sz w:val="11"/>
                      </w:rPr>
                      <w:t>48.4</w:t>
                    </w:r>
                  </w:p>
                </w:txbxContent>
              </v:textbox>
              <w10:wrap type="none"/>
            </v:shape>
            <v:shape style="position:absolute;left:3010;top:1613;width:229;height:117" type="#_x0000_t202" filled="false" stroked="false">
              <v:textbox inset="0,0,0,0">
                <w:txbxContent>
                  <w:p>
                    <w:pPr>
                      <w:spacing w:line="117" w:lineRule="exact" w:before="0"/>
                      <w:ind w:left="0" w:right="-16" w:firstLine="0"/>
                      <w:jc w:val="left"/>
                      <w:rPr>
                        <w:sz w:val="11"/>
                      </w:rPr>
                    </w:pPr>
                    <w:r>
                      <w:rPr>
                        <w:w w:val="105"/>
                        <w:sz w:val="11"/>
                      </w:rPr>
                      <w:t>31.4</w:t>
                    </w:r>
                  </w:p>
                </w:txbxContent>
              </v:textbox>
              <w10:wrap type="none"/>
            </v:shape>
            <v:shape style="position:absolute;left:3941;top:1881;width:296;height:311" type="#_x0000_t202" filled="false" stroked="false">
              <v:textbox inset="0,0,0,0">
                <w:txbxContent>
                  <w:p>
                    <w:pPr>
                      <w:tabs>
                        <w:tab w:pos="295" w:val="left" w:leader="none"/>
                      </w:tabs>
                      <w:spacing w:line="191" w:lineRule="exact" w:before="0"/>
                      <w:ind w:left="0" w:right="0" w:firstLine="0"/>
                      <w:jc w:val="left"/>
                      <w:rPr>
                        <w:rFonts w:ascii="Times New Roman"/>
                        <w:sz w:val="19"/>
                      </w:rPr>
                    </w:pPr>
                    <w:r>
                      <w:rPr>
                        <w:rFonts w:ascii="Times New Roman"/>
                        <w:w w:val="102"/>
                        <w:sz w:val="19"/>
                        <w:u w:val="single" w:color="DCD8C2"/>
                      </w:rPr>
                      <w:t> </w:t>
                    </w:r>
                    <w:r>
                      <w:rPr>
                        <w:rFonts w:ascii="Times New Roman"/>
                        <w:sz w:val="19"/>
                        <w:u w:val="single" w:color="DCD8C2"/>
                      </w:rPr>
                      <w:tab/>
                    </w:r>
                  </w:p>
                  <w:p>
                    <w:pPr>
                      <w:spacing w:line="119" w:lineRule="exact" w:before="0"/>
                      <w:ind w:left="57" w:right="-6" w:firstLine="0"/>
                      <w:jc w:val="left"/>
                      <w:rPr>
                        <w:sz w:val="11"/>
                      </w:rPr>
                    </w:pPr>
                    <w:r>
                      <w:rPr>
                        <w:w w:val="105"/>
                        <w:sz w:val="11"/>
                      </w:rPr>
                      <w:t>24.8</w:t>
                    </w:r>
                  </w:p>
                </w:txbxContent>
              </v:textbox>
              <w10:wrap type="none"/>
            </v:shape>
            <v:shape style="position:absolute;left:4493;top:2307;width:229;height:117" type="#_x0000_t202" filled="false" stroked="false">
              <v:textbox inset="0,0,0,0">
                <w:txbxContent>
                  <w:p>
                    <w:pPr>
                      <w:spacing w:line="117" w:lineRule="exact" w:before="0"/>
                      <w:ind w:left="0" w:right="-16" w:firstLine="0"/>
                      <w:jc w:val="left"/>
                      <w:rPr>
                        <w:sz w:val="11"/>
                      </w:rPr>
                    </w:pPr>
                    <w:r>
                      <w:rPr>
                        <w:w w:val="105"/>
                        <w:sz w:val="11"/>
                      </w:rPr>
                      <w:t>21.4</w:t>
                    </w:r>
                  </w:p>
                </w:txbxContent>
              </v:textbox>
              <w10:wrap type="none"/>
            </v:shape>
            <v:shape style="position:absolute;left:3504;top:2417;width:229;height:117" type="#_x0000_t202" filled="false" stroked="false">
              <v:textbox inset="0,0,0,0">
                <w:txbxContent>
                  <w:p>
                    <w:pPr>
                      <w:spacing w:line="117" w:lineRule="exact" w:before="0"/>
                      <w:ind w:left="0" w:right="-16" w:firstLine="0"/>
                      <w:jc w:val="left"/>
                      <w:rPr>
                        <w:sz w:val="11"/>
                      </w:rPr>
                    </w:pPr>
                    <w:r>
                      <w:rPr>
                        <w:w w:val="105"/>
                        <w:sz w:val="11"/>
                      </w:rPr>
                      <w:t>19.8</w:t>
                    </w:r>
                  </w:p>
                </w:txbxContent>
              </v:textbox>
              <w10:wrap type="none"/>
            </v:shape>
            <v:shape style="position:absolute;left:4987;top:2734;width:229;height:117" type="#_x0000_t202" filled="false" stroked="false">
              <v:textbox inset="0,0,0,0">
                <w:txbxContent>
                  <w:p>
                    <w:pPr>
                      <w:spacing w:line="117" w:lineRule="exact" w:before="0"/>
                      <w:ind w:left="0" w:right="-16" w:firstLine="0"/>
                      <w:jc w:val="left"/>
                      <w:rPr>
                        <w:sz w:val="11"/>
                      </w:rPr>
                    </w:pPr>
                    <w:r>
                      <w:rPr>
                        <w:w w:val="105"/>
                        <w:sz w:val="11"/>
                      </w:rPr>
                      <w:t>15.2</w:t>
                    </w:r>
                  </w:p>
                </w:txbxContent>
              </v:textbox>
              <w10:wrap type="none"/>
            </v:shape>
            <v:shape style="position:absolute;left:5482;top:3008;width:229;height:117" type="#_x0000_t202" filled="false" stroked="false">
              <v:textbox inset="0,0,0,0">
                <w:txbxContent>
                  <w:p>
                    <w:pPr>
                      <w:spacing w:line="117" w:lineRule="exact" w:before="0"/>
                      <w:ind w:left="0" w:right="-16" w:firstLine="0"/>
                      <w:jc w:val="left"/>
                      <w:rPr>
                        <w:sz w:val="11"/>
                      </w:rPr>
                    </w:pPr>
                    <w:r>
                      <w:rPr>
                        <w:w w:val="105"/>
                        <w:sz w:val="11"/>
                      </w:rPr>
                      <w:t>11.3</w:t>
                    </w:r>
                  </w:p>
                </w:txbxContent>
              </v:textbox>
              <w10:wrap type="none"/>
            </v:shape>
            <v:shape style="position:absolute;left:7490;top:3152;width:164;height:117" type="#_x0000_t202" filled="false" stroked="false">
              <v:textbox inset="0,0,0,0">
                <w:txbxContent>
                  <w:p>
                    <w:pPr>
                      <w:spacing w:line="117" w:lineRule="exact" w:before="0"/>
                      <w:ind w:left="0" w:right="-17" w:firstLine="0"/>
                      <w:jc w:val="left"/>
                      <w:rPr>
                        <w:sz w:val="11"/>
                      </w:rPr>
                    </w:pPr>
                    <w:r>
                      <w:rPr>
                        <w:w w:val="105"/>
                        <w:sz w:val="11"/>
                      </w:rPr>
                      <w:t>9.2</w:t>
                    </w:r>
                  </w:p>
                </w:txbxContent>
              </v:textbox>
              <w10:wrap type="none"/>
            </v:shape>
            <v:shape style="position:absolute;left:6007;top:3301;width:164;height:117" type="#_x0000_t202" filled="false" stroked="false">
              <v:textbox inset="0,0,0,0">
                <w:txbxContent>
                  <w:p>
                    <w:pPr>
                      <w:spacing w:line="117" w:lineRule="exact" w:before="0"/>
                      <w:ind w:left="0" w:right="-17" w:firstLine="0"/>
                      <w:jc w:val="left"/>
                      <w:rPr>
                        <w:sz w:val="11"/>
                      </w:rPr>
                    </w:pPr>
                    <w:r>
                      <w:rPr>
                        <w:w w:val="105"/>
                        <w:sz w:val="11"/>
                      </w:rPr>
                      <w:t>7.1</w:t>
                    </w:r>
                  </w:p>
                </w:txbxContent>
              </v:textbox>
              <w10:wrap type="none"/>
            </v:shape>
            <v:shape style="position:absolute;left:6502;top:3361;width:164;height:117" type="#_x0000_t202" filled="false" stroked="false">
              <v:textbox inset="0,0,0,0">
                <w:txbxContent>
                  <w:p>
                    <w:pPr>
                      <w:spacing w:line="117" w:lineRule="exact" w:before="0"/>
                      <w:ind w:left="0" w:right="-17" w:firstLine="0"/>
                      <w:jc w:val="left"/>
                      <w:rPr>
                        <w:sz w:val="11"/>
                      </w:rPr>
                    </w:pPr>
                    <w:r>
                      <w:rPr>
                        <w:w w:val="105"/>
                        <w:sz w:val="11"/>
                      </w:rPr>
                      <w:t>6.2</w:t>
                    </w:r>
                  </w:p>
                </w:txbxContent>
              </v:textbox>
              <w10:wrap type="none"/>
            </v:shape>
            <v:shape style="position:absolute;left:6996;top:3317;width:164;height:117" type="#_x0000_t202" filled="false" stroked="false">
              <v:textbox inset="0,0,0,0">
                <w:txbxContent>
                  <w:p>
                    <w:pPr>
                      <w:spacing w:line="117" w:lineRule="exact" w:before="0"/>
                      <w:ind w:left="0" w:right="-17" w:firstLine="0"/>
                      <w:jc w:val="left"/>
                      <w:rPr>
                        <w:sz w:val="11"/>
                      </w:rPr>
                    </w:pPr>
                    <w:r>
                      <w:rPr>
                        <w:w w:val="105"/>
                        <w:sz w:val="11"/>
                      </w:rPr>
                      <w:t>6.8</w:t>
                    </w:r>
                  </w:p>
                </w:txbxContent>
              </v:textbox>
              <w10:wrap type="none"/>
            </v:shape>
            <v:shape style="position:absolute;left:7985;top:3293;width:164;height:117" type="#_x0000_t202" filled="false" stroked="false">
              <v:textbox inset="0,0,0,0">
                <w:txbxContent>
                  <w:p>
                    <w:pPr>
                      <w:spacing w:line="117" w:lineRule="exact" w:before="0"/>
                      <w:ind w:left="0" w:right="-17" w:firstLine="0"/>
                      <w:jc w:val="left"/>
                      <w:rPr>
                        <w:sz w:val="11"/>
                      </w:rPr>
                    </w:pPr>
                    <w:r>
                      <w:rPr>
                        <w:w w:val="105"/>
                        <w:sz w:val="11"/>
                      </w:rPr>
                      <w:t>7.2</w:t>
                    </w:r>
                  </w:p>
                </w:txbxContent>
              </v:textbox>
              <w10:wrap type="none"/>
            </v:shape>
            <v:shape style="position:absolute;left:8479;top:3293;width:164;height:117" type="#_x0000_t202" filled="false" stroked="false">
              <v:textbox inset="0,0,0,0">
                <w:txbxContent>
                  <w:p>
                    <w:pPr>
                      <w:spacing w:line="117" w:lineRule="exact" w:before="0"/>
                      <w:ind w:left="0" w:right="-17" w:firstLine="0"/>
                      <w:jc w:val="left"/>
                      <w:rPr>
                        <w:sz w:val="11"/>
                      </w:rPr>
                    </w:pPr>
                    <w:r>
                      <w:rPr>
                        <w:w w:val="105"/>
                        <w:sz w:val="11"/>
                      </w:rPr>
                      <w:t>7.2</w:t>
                    </w:r>
                  </w:p>
                </w:txbxContent>
              </v:textbox>
              <w10:wrap type="none"/>
            </v:shape>
            <v:shape style="position:absolute;left:8974;top:3257;width:164;height:117" type="#_x0000_t202" filled="false" stroked="false">
              <v:textbox inset="0,0,0,0">
                <w:txbxContent>
                  <w:p>
                    <w:pPr>
                      <w:spacing w:line="117" w:lineRule="exact" w:before="0"/>
                      <w:ind w:left="0" w:right="-17" w:firstLine="0"/>
                      <w:jc w:val="left"/>
                      <w:rPr>
                        <w:sz w:val="11"/>
                      </w:rPr>
                    </w:pPr>
                    <w:r>
                      <w:rPr>
                        <w:w w:val="105"/>
                        <w:sz w:val="11"/>
                      </w:rPr>
                      <w:t>7.7</w:t>
                    </w:r>
                  </w:p>
                </w:txbxContent>
              </v:textbox>
              <w10:wrap type="none"/>
            </v:shape>
            <v:shape style="position:absolute;left:9468;top:3416;width:164;height:117" type="#_x0000_t202" filled="false" stroked="false">
              <v:textbox inset="0,0,0,0">
                <w:txbxContent>
                  <w:p>
                    <w:pPr>
                      <w:spacing w:line="117" w:lineRule="exact" w:before="0"/>
                      <w:ind w:left="0" w:right="-17" w:firstLine="0"/>
                      <w:jc w:val="left"/>
                      <w:rPr>
                        <w:sz w:val="11"/>
                      </w:rPr>
                    </w:pPr>
                    <w:r>
                      <w:rPr>
                        <w:w w:val="105"/>
                        <w:sz w:val="11"/>
                      </w:rPr>
                      <w:t>5.4</w:t>
                    </w:r>
                  </w:p>
                </w:txbxContent>
              </v:textbox>
              <w10:wrap type="none"/>
            </v:shape>
            <v:shape style="position:absolute;left:2407;top:4232;width:7236;height:157" type="#_x0000_t202" filled="false" stroked="false">
              <v:textbox inset="0,0,0,0">
                <w:txbxContent>
                  <w:p>
                    <w:pPr>
                      <w:tabs>
                        <w:tab w:pos="6009" w:val="left" w:leader="none"/>
                      </w:tabs>
                      <w:spacing w:line="157" w:lineRule="exact" w:before="0"/>
                      <w:ind w:left="0" w:right="0" w:firstLine="0"/>
                      <w:jc w:val="left"/>
                      <w:rPr>
                        <w:rFonts w:ascii="Times New Roman"/>
                        <w:sz w:val="15"/>
                      </w:rPr>
                    </w:pPr>
                    <w:r>
                      <w:rPr>
                        <w:rFonts w:ascii="Times New Roman"/>
                        <w:w w:val="105"/>
                        <w:sz w:val="15"/>
                      </w:rPr>
                      <w:t>1995     1996     1997     1998     1999    2000    2001    2002    2003    2004   </w:t>
                    </w:r>
                    <w:r>
                      <w:rPr>
                        <w:rFonts w:ascii="Times New Roman"/>
                        <w:spacing w:val="26"/>
                        <w:w w:val="105"/>
                        <w:sz w:val="15"/>
                      </w:rPr>
                      <w:t> </w:t>
                    </w:r>
                    <w:r>
                      <w:rPr>
                        <w:rFonts w:ascii="Times New Roman"/>
                        <w:w w:val="105"/>
                        <w:sz w:val="15"/>
                      </w:rPr>
                      <w:t>2005   </w:t>
                    </w:r>
                    <w:r>
                      <w:rPr>
                        <w:rFonts w:ascii="Times New Roman"/>
                        <w:spacing w:val="20"/>
                        <w:w w:val="105"/>
                        <w:sz w:val="15"/>
                      </w:rPr>
                      <w:t> </w:t>
                    </w:r>
                    <w:r>
                      <w:rPr>
                        <w:rFonts w:ascii="Times New Roman"/>
                        <w:w w:val="105"/>
                        <w:sz w:val="15"/>
                      </w:rPr>
                      <w:t>2006</w:t>
                      <w:tab/>
                      <w:t>007    2008   </w:t>
                    </w:r>
                    <w:r>
                      <w:rPr>
                        <w:rFonts w:ascii="Times New Roman"/>
                        <w:spacing w:val="36"/>
                        <w:w w:val="105"/>
                        <w:sz w:val="15"/>
                      </w:rPr>
                      <w:t> </w:t>
                    </w:r>
                    <w:r>
                      <w:rPr>
                        <w:rFonts w:ascii="Times New Roman"/>
                        <w:w w:val="105"/>
                        <w:sz w:val="15"/>
                      </w:rPr>
                      <w:t>2009</w:t>
                    </w:r>
                  </w:p>
                </w:txbxContent>
              </v:textbox>
              <w10:wrap type="none"/>
            </v:shape>
            <w10:wrap type="topAndBottom"/>
          </v:group>
        </w:pict>
      </w:r>
    </w:p>
    <w:p>
      <w:pPr>
        <w:spacing w:line="367" w:lineRule="auto" w:before="88"/>
        <w:ind w:left="103" w:right="520" w:firstLine="0"/>
        <w:jc w:val="left"/>
        <w:rPr>
          <w:sz w:val="21"/>
        </w:rPr>
      </w:pPr>
      <w:r>
        <w:rPr>
          <w:sz w:val="21"/>
        </w:rPr>
        <w:t>Fuente: Elaborada con datos del Centro de Estudios de las Finanzas Públicas de la Cámara de Diputados y  del Banco de </w:t>
      </w:r>
      <w:r>
        <w:rPr>
          <w:spacing w:val="1"/>
          <w:sz w:val="21"/>
        </w:rPr>
        <w:t> </w:t>
      </w:r>
      <w:r>
        <w:rPr>
          <w:sz w:val="21"/>
        </w:rPr>
        <w:t>México.</w:t>
      </w:r>
    </w:p>
    <w:p>
      <w:pPr>
        <w:pStyle w:val="BodyText"/>
        <w:spacing w:before="1"/>
        <w:rPr>
          <w:sz w:val="26"/>
        </w:rPr>
      </w:pPr>
    </w:p>
    <w:p>
      <w:pPr>
        <w:pStyle w:val="BodyText"/>
        <w:spacing w:before="74"/>
        <w:ind w:left="168" w:right="102"/>
      </w:pPr>
      <w:r>
        <w:rPr/>
        <w:t>El comportamiento de la tasa de interés disminuyó bruscamente de 48.4%   </w:t>
      </w:r>
      <w:r>
        <w:rPr>
          <w:spacing w:val="62"/>
        </w:rPr>
        <w:t> </w:t>
      </w:r>
      <w:r>
        <w:rPr/>
        <w:t>en 1995</w:t>
      </w:r>
    </w:p>
    <w:p>
      <w:pPr>
        <w:pStyle w:val="BodyText"/>
        <w:spacing w:before="138"/>
        <w:ind w:left="103" w:right="102"/>
      </w:pPr>
      <w:r>
        <w:rPr/>
        <w:t>a 5.4% en 2009 (Figura 3).  El promedio mensual    de los Certificados de la Tesorería</w:t>
      </w:r>
    </w:p>
    <w:p>
      <w:pPr>
        <w:pStyle w:val="BodyText"/>
        <w:spacing w:before="136"/>
        <w:ind w:left="103" w:right="102"/>
      </w:pPr>
      <w:r>
        <w:rPr/>
        <w:t>de la Federación (CETES) a 28 días que publica Banco de México con una tasa de</w:t>
      </w:r>
    </w:p>
    <w:p>
      <w:pPr>
        <w:spacing w:after="0"/>
        <w:sectPr>
          <w:pgSz w:w="11900" w:h="16840"/>
          <w:pgMar w:header="0" w:footer="1619" w:top="1600" w:bottom="1860" w:left="1300" w:right="1280"/>
        </w:sectPr>
      </w:pPr>
    </w:p>
    <w:p>
      <w:pPr>
        <w:pStyle w:val="BodyText"/>
        <w:spacing w:before="141"/>
        <w:ind w:left="103"/>
      </w:pPr>
      <w:r>
        <w:rPr/>
        <w:t>referencia  bancaria  a 28</w:t>
      </w:r>
    </w:p>
    <w:p>
      <w:pPr>
        <w:pStyle w:val="BodyText"/>
        <w:spacing w:before="141"/>
        <w:ind w:left="74"/>
      </w:pPr>
      <w:r>
        <w:rPr/>
        <w:br w:type="column"/>
      </w:r>
      <w:r>
        <w:rPr/>
        <w:t>días  se  mantuvo  sin  cambios  en 4.5%</w:t>
      </w:r>
    </w:p>
    <w:p>
      <w:pPr>
        <w:pStyle w:val="BodyText"/>
        <w:spacing w:before="141"/>
        <w:ind w:left="74"/>
      </w:pPr>
      <w:r>
        <w:rPr/>
        <w:br w:type="column"/>
      </w:r>
      <w:r>
        <w:rPr/>
        <w:t>en  los</w:t>
      </w:r>
      <w:r>
        <w:rPr>
          <w:spacing w:val="54"/>
        </w:rPr>
        <w:t> </w:t>
      </w:r>
      <w:r>
        <w:rPr/>
        <w:t>primeros</w:t>
      </w:r>
    </w:p>
    <w:p>
      <w:pPr>
        <w:spacing w:after="0"/>
        <w:sectPr>
          <w:type w:val="continuous"/>
          <w:pgSz w:w="11900" w:h="16840"/>
          <w:pgMar w:top="1600" w:bottom="280" w:left="1300" w:right="1280"/>
          <w:cols w:num="3" w:equalWidth="0">
            <w:col w:w="2771" w:space="40"/>
            <w:col w:w="4310" w:space="40"/>
            <w:col w:w="2159"/>
          </w:cols>
        </w:sectPr>
      </w:pPr>
    </w:p>
    <w:p>
      <w:pPr>
        <w:pStyle w:val="BodyText"/>
        <w:tabs>
          <w:tab w:pos="1073" w:val="left" w:leader="none"/>
          <w:tab w:pos="1613" w:val="left" w:leader="none"/>
          <w:tab w:pos="2480" w:val="left" w:leader="none"/>
          <w:tab w:pos="3656" w:val="left" w:leader="none"/>
          <w:tab w:pos="4325" w:val="left" w:leader="none"/>
          <w:tab w:pos="4906" w:val="left" w:leader="none"/>
          <w:tab w:pos="5890" w:val="left" w:leader="none"/>
          <w:tab w:pos="6845" w:val="left" w:leader="none"/>
          <w:tab w:pos="8371" w:val="left" w:leader="none"/>
        </w:tabs>
        <w:spacing w:line="367" w:lineRule="auto" w:before="136"/>
        <w:ind w:left="103" w:right="387"/>
      </w:pPr>
      <w:r>
        <w:rPr/>
        <w:t>meses</w:t>
        <w:tab/>
        <w:t>de</w:t>
        <w:tab/>
        <w:t>2010,</w:t>
        <w:tab/>
        <w:t>mientras</w:t>
        <w:tab/>
        <w:t>que</w:t>
        <w:tab/>
        <w:t>los</w:t>
        <w:tab/>
        <w:t>demás</w:t>
        <w:tab/>
        <w:t>plazos</w:t>
        <w:tab/>
        <w:t>presentaron</w:t>
        <w:tab/>
        <w:t>bajas (</w:t>
      </w:r>
      <w:hyperlink r:id="rId473">
        <w:r>
          <w:rPr/>
          <w:t>http://www.aicm.com.mx/Tarifas).</w:t>
        </w:r>
      </w:hyperlink>
    </w:p>
    <w:p>
      <w:pPr>
        <w:spacing w:after="0" w:line="367" w:lineRule="auto"/>
        <w:sectPr>
          <w:type w:val="continuous"/>
          <w:pgSz w:w="11900" w:h="16840"/>
          <w:pgMar w:top="1600" w:bottom="280" w:left="1300" w:right="1280"/>
        </w:sectPr>
      </w:pPr>
    </w:p>
    <w:p>
      <w:pPr>
        <w:pStyle w:val="BodyText"/>
        <w:rPr>
          <w:sz w:val="20"/>
        </w:rPr>
      </w:pPr>
    </w:p>
    <w:p>
      <w:pPr>
        <w:pStyle w:val="BodyText"/>
        <w:spacing w:before="4"/>
        <w:rPr>
          <w:sz w:val="18"/>
        </w:rPr>
      </w:pPr>
    </w:p>
    <w:p>
      <w:pPr>
        <w:pStyle w:val="Heading4"/>
        <w:spacing w:before="73"/>
        <w:ind w:left="876" w:right="1211"/>
      </w:pPr>
      <w:r>
        <w:rPr/>
        <w:pict>
          <v:group style="position:absolute;margin-left:72.720001pt;margin-top:25.096239pt;width:438.75pt;height:185.35pt;mso-position-horizontal-relative:page;mso-position-vertical-relative:paragraph;z-index:13600" coordorigin="1454,502" coordsize="8775,3707">
            <v:shape style="position:absolute;left:2299;top:644;width:1895;height:394" type="#_x0000_t75" stroked="false">
              <v:imagedata r:id="rId474" o:title=""/>
            </v:shape>
            <v:shape style="position:absolute;left:2299;top:1035;width:1895;height:396" type="#_x0000_t75" stroked="false">
              <v:imagedata r:id="rId475" o:title=""/>
            </v:shape>
            <v:shape style="position:absolute;left:2299;top:1429;width:1895;height:394" type="#_x0000_t75" stroked="false">
              <v:imagedata r:id="rId476" o:title=""/>
            </v:shape>
            <v:shape style="position:absolute;left:2302;top:1820;width:1892;height:396" type="#_x0000_t75" stroked="false">
              <v:imagedata r:id="rId477" o:title=""/>
            </v:shape>
            <v:shape style="position:absolute;left:2302;top:2214;width:1892;height:946" type="#_x0000_t75" stroked="false">
              <v:imagedata r:id="rId478" o:title=""/>
            </v:shape>
            <v:line style="position:absolute" from="4188,3158" to="4193,3158" stroked="true" strokeweight=".12pt" strokecolor="#8793a2"/>
            <v:shape style="position:absolute;left:2299;top:3157;width:1891;height:319" type="#_x0000_t75" stroked="false">
              <v:imagedata r:id="rId479" o:title=""/>
            </v:shape>
            <v:shape style="position:absolute;left:2266;top:2682;width:46;height:785" coordorigin="2266,2682" coordsize="46,785" path="m2266,3466l2311,3466m2266,3075l2311,3075m2266,2682l2311,2682e" filled="false" stroked="true" strokeweight=".72pt" strokecolor="#858585">
              <v:path arrowok="t"/>
            </v:shape>
            <v:line style="position:absolute" from="2266,2289" to="2311,2289" stroked="true" strokeweight=".84pt" strokecolor="#858585"/>
            <v:line style="position:absolute" from="2266,1897" to="2311,1897" stroked="true" strokeweight=".72pt" strokecolor="#858585"/>
            <v:line style="position:absolute" from="2266,1504" to="2311,1504" stroked="true" strokeweight=".84pt" strokecolor="#858585"/>
            <v:shape style="position:absolute;left:2266;top:718;width:46;height:394" coordorigin="2266,718" coordsize="46,394" path="m2266,1112l2311,1112m2266,718l2311,718e" filled="false" stroked="true" strokeweight=".72pt" strokecolor="#858585">
              <v:path arrowok="t"/>
            </v:shape>
            <v:shape style="position:absolute;left:2304;top:3490;width:1764;height:2" coordorigin="2304,3490" coordsize="1764,0" path="m2304,3490l2318,3490m2554,3490l2568,3490m2803,3490l2818,3490m3055,3490l3070,3490m3305,3490l3319,3490m3554,3490l3569,3490m3804,3490l3818,3490m4054,3490l4068,3490e" filled="false" stroked="true" strokeweight="2.4pt" strokecolor="#858585">
              <v:path arrowok="t"/>
            </v:shape>
            <v:shape style="position:absolute;left:1454;top:502;width:2736;height:3706" coordorigin="1454,502" coordsize="2736,3706" path="m1469,502l1454,502,1454,4201,1457,4206,1462,4208,4190,4208,4190,4201,1469,4201,1462,4194,1469,4194,1469,510,1462,510,1469,502xm1469,4194l1462,4194,1469,4201,1469,4194xm4190,4194l1469,4194,1469,4201,4190,4201,4190,4194xm1469,502l1462,510,1469,510,1469,502xm4190,502l1469,502,1469,510,4190,510,4190,502xe" filled="true" fillcolor="#858585" stroked="false">
              <v:path arrowok="t"/>
              <v:fill type="solid"/>
            </v:shape>
            <v:shape style="position:absolute;left:1562;top:1477;width:127;height:1162" type="#_x0000_t75" stroked="false">
              <v:imagedata r:id="rId480" o:title=""/>
            </v:shape>
            <v:line style="position:absolute" from="4190,4201" to="8378,4201" stroked="true" strokeweight=".72pt" strokecolor="#858585"/>
            <v:line style="position:absolute" from="4190,506" to="8378,506" stroked="true" strokeweight=".359957pt" strokecolor="#858585"/>
            <v:shape style="position:absolute;left:4190;top:644;width:5712;height:19" type="#_x0000_t75" stroked="false">
              <v:imagedata r:id="rId481" o:title=""/>
            </v:shape>
            <v:shape style="position:absolute;left:4303;top:3490;width:4013;height:2" coordorigin="4303,3490" coordsize="4013,0" path="m4303,3490l4318,3490m4553,3490l4570,3490m4805,3490l4819,3490m5054,3490l5069,3490m5304,3490l5318,3490m5554,3490l5568,3490m5803,3490l5818,3490m6053,3490l6067,3490m6305,3490l6319,3490m6554,3490l6569,3490m6804,3490l6818,3490m7054,3490l7068,3490m7303,3490l7318,3490m7553,3490l7567,3490m7800,3490l7817,3490m8052,3490l8066,3490m8302,3490l8316,3490e" filled="false" stroked="true" strokeweight="2.4pt" strokecolor="#858585">
              <v:path arrowok="t"/>
            </v:shape>
            <v:shape style="position:absolute;left:4190;top:766;width:5714;height:2710" type="#_x0000_t75" stroked="false">
              <v:imagedata r:id="rId482" o:title=""/>
            </v:shape>
            <v:shape style="position:absolute;left:8551;top:3490;width:1265;height:2" coordorigin="8551,3490" coordsize="1265,0" path="m8551,3490l8566,3490m8801,3490l8815,3490m9050,3490l9065,3490m9300,3490l9314,3490m9552,3490l9566,3490m9802,3490l9816,3490e" filled="false" stroked="true" strokeweight="2.4pt" strokecolor="#858585">
              <v:path arrowok="t"/>
            </v:shape>
            <v:shape style="position:absolute;left:8378;top:502;width:1851;height:3706" coordorigin="8378,502" coordsize="1851,3706" path="m10214,4194l8378,4194,8378,4208,10222,4208,10226,4206,10229,4201,10214,4201,10214,4194xm10214,502l10214,4201,10222,4194,10229,4194,10229,510,10222,510,10214,502xm10229,4194l10222,4194,10214,4201,10229,4201,10229,4194xm10214,502l8378,502,8378,510,10214,510,10214,502xm10229,502l10214,502,10222,510,10229,510,10229,502xe" filled="true" fillcolor="#858585" stroked="false">
              <v:path arrowok="t"/>
              <v:fill type="solid"/>
            </v:shape>
            <v:shape style="position:absolute;left:1992;top:650;width:158;height:2903" type="#_x0000_t202" filled="false" stroked="false">
              <v:textbox inset="0,0,0,0">
                <w:txbxContent>
                  <w:p>
                    <w:pPr>
                      <w:spacing w:line="158" w:lineRule="exact" w:before="0"/>
                      <w:ind w:left="0" w:right="-20" w:firstLine="0"/>
                      <w:jc w:val="left"/>
                      <w:rPr>
                        <w:rFonts w:ascii="Times New Roman"/>
                        <w:sz w:val="15"/>
                      </w:rPr>
                    </w:pPr>
                    <w:r>
                      <w:rPr>
                        <w:rFonts w:ascii="Times New Roman"/>
                        <w:w w:val="105"/>
                        <w:sz w:val="15"/>
                      </w:rPr>
                      <w:t>14</w:t>
                    </w:r>
                  </w:p>
                  <w:p>
                    <w:pPr>
                      <w:spacing w:line="240" w:lineRule="auto" w:before="2"/>
                      <w:rPr>
                        <w:sz w:val="19"/>
                      </w:rPr>
                    </w:pPr>
                  </w:p>
                  <w:p>
                    <w:pPr>
                      <w:spacing w:before="0"/>
                      <w:ind w:left="0" w:right="-20" w:firstLine="0"/>
                      <w:jc w:val="left"/>
                      <w:rPr>
                        <w:rFonts w:ascii="Times New Roman"/>
                        <w:sz w:val="15"/>
                      </w:rPr>
                    </w:pPr>
                    <w:r>
                      <w:rPr>
                        <w:rFonts w:ascii="Times New Roman"/>
                        <w:w w:val="105"/>
                        <w:sz w:val="15"/>
                      </w:rPr>
                      <w:t>12</w:t>
                    </w:r>
                  </w:p>
                  <w:p>
                    <w:pPr>
                      <w:spacing w:line="240" w:lineRule="auto" w:before="0"/>
                      <w:rPr>
                        <w:sz w:val="19"/>
                      </w:rPr>
                    </w:pPr>
                  </w:p>
                  <w:p>
                    <w:pPr>
                      <w:spacing w:before="0"/>
                      <w:ind w:left="0" w:right="-20" w:firstLine="0"/>
                      <w:jc w:val="left"/>
                      <w:rPr>
                        <w:rFonts w:ascii="Times New Roman"/>
                        <w:sz w:val="15"/>
                      </w:rPr>
                    </w:pPr>
                    <w:r>
                      <w:rPr>
                        <w:rFonts w:ascii="Times New Roman"/>
                        <w:w w:val="105"/>
                        <w:sz w:val="15"/>
                      </w:rPr>
                      <w:t>10</w:t>
                    </w:r>
                  </w:p>
                  <w:p>
                    <w:pPr>
                      <w:spacing w:line="240" w:lineRule="auto" w:before="0"/>
                      <w:rPr>
                        <w:sz w:val="19"/>
                      </w:rPr>
                    </w:pPr>
                  </w:p>
                  <w:p>
                    <w:pPr>
                      <w:spacing w:before="0"/>
                      <w:ind w:left="79" w:right="0" w:firstLine="0"/>
                      <w:jc w:val="left"/>
                      <w:rPr>
                        <w:rFonts w:ascii="Times New Roman"/>
                        <w:sz w:val="15"/>
                      </w:rPr>
                    </w:pPr>
                    <w:r>
                      <w:rPr>
                        <w:rFonts w:ascii="Times New Roman"/>
                        <w:w w:val="104"/>
                        <w:sz w:val="15"/>
                      </w:rPr>
                      <w:t>8</w:t>
                    </w:r>
                  </w:p>
                  <w:p>
                    <w:pPr>
                      <w:spacing w:line="240" w:lineRule="auto" w:before="2"/>
                      <w:rPr>
                        <w:sz w:val="19"/>
                      </w:rPr>
                    </w:pPr>
                  </w:p>
                  <w:p>
                    <w:pPr>
                      <w:spacing w:before="0"/>
                      <w:ind w:left="79" w:right="0" w:firstLine="0"/>
                      <w:jc w:val="left"/>
                      <w:rPr>
                        <w:rFonts w:ascii="Times New Roman"/>
                        <w:sz w:val="15"/>
                      </w:rPr>
                    </w:pPr>
                    <w:r>
                      <w:rPr>
                        <w:rFonts w:ascii="Times New Roman"/>
                        <w:w w:val="104"/>
                        <w:sz w:val="15"/>
                      </w:rPr>
                      <w:t>6</w:t>
                    </w:r>
                  </w:p>
                  <w:p>
                    <w:pPr>
                      <w:spacing w:line="240" w:lineRule="auto" w:before="0"/>
                      <w:rPr>
                        <w:sz w:val="19"/>
                      </w:rPr>
                    </w:pPr>
                  </w:p>
                  <w:p>
                    <w:pPr>
                      <w:spacing w:before="0"/>
                      <w:ind w:left="79" w:right="0" w:firstLine="0"/>
                      <w:jc w:val="left"/>
                      <w:rPr>
                        <w:rFonts w:ascii="Times New Roman"/>
                        <w:sz w:val="15"/>
                      </w:rPr>
                    </w:pPr>
                    <w:r>
                      <w:rPr>
                        <w:rFonts w:ascii="Times New Roman"/>
                        <w:w w:val="104"/>
                        <w:sz w:val="15"/>
                      </w:rPr>
                      <w:t>4</w:t>
                    </w:r>
                  </w:p>
                  <w:p>
                    <w:pPr>
                      <w:spacing w:line="240" w:lineRule="auto" w:before="2"/>
                      <w:rPr>
                        <w:sz w:val="19"/>
                      </w:rPr>
                    </w:pPr>
                  </w:p>
                  <w:p>
                    <w:pPr>
                      <w:spacing w:before="0"/>
                      <w:ind w:left="79" w:right="0" w:firstLine="0"/>
                      <w:jc w:val="left"/>
                      <w:rPr>
                        <w:rFonts w:ascii="Times New Roman"/>
                        <w:sz w:val="15"/>
                      </w:rPr>
                    </w:pPr>
                    <w:r>
                      <w:rPr>
                        <w:rFonts w:ascii="Times New Roman"/>
                        <w:w w:val="104"/>
                        <w:sz w:val="15"/>
                      </w:rPr>
                      <w:t>2</w:t>
                    </w:r>
                  </w:p>
                  <w:p>
                    <w:pPr>
                      <w:spacing w:line="240" w:lineRule="auto" w:before="0"/>
                      <w:rPr>
                        <w:sz w:val="19"/>
                      </w:rPr>
                    </w:pPr>
                  </w:p>
                  <w:p>
                    <w:pPr>
                      <w:spacing w:line="171" w:lineRule="exact" w:before="0"/>
                      <w:ind w:left="79" w:right="0" w:firstLine="0"/>
                      <w:jc w:val="left"/>
                      <w:rPr>
                        <w:rFonts w:ascii="Times New Roman"/>
                        <w:sz w:val="15"/>
                      </w:rPr>
                    </w:pPr>
                    <w:r>
                      <w:rPr>
                        <w:rFonts w:ascii="Times New Roman"/>
                        <w:w w:val="104"/>
                        <w:sz w:val="15"/>
                      </w:rPr>
                      <w:t>0</w:t>
                    </w:r>
                  </w:p>
                </w:txbxContent>
              </v:textbox>
              <w10:wrap type="none"/>
            </v:shape>
            <w10:wrap type="none"/>
          </v:group>
        </w:pict>
      </w:r>
      <w:r>
        <w:rPr/>
        <w:t>Figura 4. Comportamiento del tipo de cambio ($/Dólar),  1980-2009</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20"/>
        </w:rPr>
      </w:pPr>
    </w:p>
    <w:p>
      <w:pPr>
        <w:spacing w:line="283" w:lineRule="auto" w:before="78"/>
        <w:ind w:left="103" w:right="1211" w:firstLine="0"/>
        <w:jc w:val="left"/>
        <w:rPr>
          <w:sz w:val="19"/>
        </w:rPr>
      </w:pPr>
      <w:r>
        <w:rPr/>
        <w:pict>
          <v:shape style="position:absolute;margin-left:117.383125pt;margin-top:-32.324078pt;width:372.15pt;height:17.8pt;mso-position-horizontal-relative:page;mso-position-vertical-relative:paragraph;z-index:13624" type="#_x0000_t202" filled="false" stroked="false">
            <v:textbox inset="0,0,0,0" style="layout-flow:vertical;mso-layout-flow-alt:bottom-to-top">
              <w:txbxContent>
                <w:p>
                  <w:pPr>
                    <w:spacing w:before="6"/>
                    <w:ind w:left="20" w:right="0" w:firstLine="0"/>
                    <w:jc w:val="left"/>
                    <w:rPr>
                      <w:rFonts w:ascii="Times New Roman"/>
                      <w:sz w:val="15"/>
                    </w:rPr>
                  </w:pPr>
                  <w:r>
                    <w:rPr>
                      <w:rFonts w:ascii="Times New Roman"/>
                      <w:w w:val="104"/>
                      <w:sz w:val="15"/>
                    </w:rPr>
                    <w:t>1980</w:t>
                  </w:r>
                </w:p>
                <w:p>
                  <w:pPr>
                    <w:spacing w:before="77"/>
                    <w:ind w:left="20" w:right="0" w:firstLine="0"/>
                    <w:jc w:val="left"/>
                    <w:rPr>
                      <w:rFonts w:ascii="Times New Roman"/>
                      <w:sz w:val="15"/>
                    </w:rPr>
                  </w:pPr>
                  <w:r>
                    <w:rPr>
                      <w:rFonts w:ascii="Times New Roman"/>
                      <w:w w:val="104"/>
                      <w:sz w:val="15"/>
                    </w:rPr>
                    <w:t>1981</w:t>
                  </w:r>
                </w:p>
                <w:p>
                  <w:pPr>
                    <w:spacing w:before="77"/>
                    <w:ind w:left="20" w:right="0" w:firstLine="0"/>
                    <w:jc w:val="left"/>
                    <w:rPr>
                      <w:rFonts w:ascii="Times New Roman"/>
                      <w:sz w:val="15"/>
                    </w:rPr>
                  </w:pPr>
                  <w:r>
                    <w:rPr>
                      <w:rFonts w:ascii="Times New Roman"/>
                      <w:w w:val="104"/>
                      <w:sz w:val="15"/>
                    </w:rPr>
                    <w:t>1982</w:t>
                  </w:r>
                </w:p>
                <w:p>
                  <w:pPr>
                    <w:spacing w:before="77"/>
                    <w:ind w:left="20" w:right="0" w:firstLine="0"/>
                    <w:jc w:val="left"/>
                    <w:rPr>
                      <w:rFonts w:ascii="Times New Roman"/>
                      <w:sz w:val="15"/>
                    </w:rPr>
                  </w:pPr>
                  <w:r>
                    <w:rPr>
                      <w:rFonts w:ascii="Times New Roman"/>
                      <w:w w:val="104"/>
                      <w:sz w:val="15"/>
                    </w:rPr>
                    <w:t>1983</w:t>
                  </w:r>
                </w:p>
                <w:p>
                  <w:pPr>
                    <w:spacing w:before="77"/>
                    <w:ind w:left="20" w:right="0" w:firstLine="0"/>
                    <w:jc w:val="left"/>
                    <w:rPr>
                      <w:rFonts w:ascii="Times New Roman"/>
                      <w:sz w:val="15"/>
                    </w:rPr>
                  </w:pPr>
                  <w:r>
                    <w:rPr>
                      <w:rFonts w:ascii="Times New Roman"/>
                      <w:w w:val="104"/>
                      <w:sz w:val="15"/>
                    </w:rPr>
                    <w:t>1984</w:t>
                  </w:r>
                </w:p>
                <w:p>
                  <w:pPr>
                    <w:spacing w:before="77"/>
                    <w:ind w:left="20" w:right="0" w:firstLine="0"/>
                    <w:jc w:val="left"/>
                    <w:rPr>
                      <w:rFonts w:ascii="Times New Roman"/>
                      <w:sz w:val="15"/>
                    </w:rPr>
                  </w:pPr>
                  <w:r>
                    <w:rPr>
                      <w:rFonts w:ascii="Times New Roman"/>
                      <w:w w:val="104"/>
                      <w:sz w:val="15"/>
                    </w:rPr>
                    <w:t>1985</w:t>
                  </w:r>
                </w:p>
                <w:p>
                  <w:pPr>
                    <w:spacing w:before="79"/>
                    <w:ind w:left="20" w:right="0" w:firstLine="0"/>
                    <w:jc w:val="left"/>
                    <w:rPr>
                      <w:rFonts w:ascii="Times New Roman"/>
                      <w:sz w:val="15"/>
                    </w:rPr>
                  </w:pPr>
                  <w:r>
                    <w:rPr>
                      <w:rFonts w:ascii="Times New Roman"/>
                      <w:w w:val="104"/>
                      <w:sz w:val="15"/>
                    </w:rPr>
                    <w:t>1986</w:t>
                  </w:r>
                </w:p>
                <w:p>
                  <w:pPr>
                    <w:spacing w:before="77"/>
                    <w:ind w:left="20" w:right="0" w:firstLine="0"/>
                    <w:jc w:val="left"/>
                    <w:rPr>
                      <w:rFonts w:ascii="Times New Roman"/>
                      <w:sz w:val="15"/>
                    </w:rPr>
                  </w:pPr>
                  <w:r>
                    <w:rPr>
                      <w:rFonts w:ascii="Times New Roman"/>
                      <w:w w:val="104"/>
                      <w:sz w:val="15"/>
                    </w:rPr>
                    <w:t>1987</w:t>
                  </w:r>
                </w:p>
                <w:p>
                  <w:pPr>
                    <w:spacing w:before="77"/>
                    <w:ind w:left="20" w:right="0" w:firstLine="0"/>
                    <w:jc w:val="left"/>
                    <w:rPr>
                      <w:rFonts w:ascii="Times New Roman"/>
                      <w:sz w:val="15"/>
                    </w:rPr>
                  </w:pPr>
                  <w:r>
                    <w:rPr>
                      <w:rFonts w:ascii="Times New Roman"/>
                      <w:w w:val="104"/>
                      <w:sz w:val="15"/>
                    </w:rPr>
                    <w:t>1988</w:t>
                  </w:r>
                </w:p>
                <w:p>
                  <w:pPr>
                    <w:spacing w:before="77"/>
                    <w:ind w:left="20" w:right="0" w:firstLine="0"/>
                    <w:jc w:val="left"/>
                    <w:rPr>
                      <w:rFonts w:ascii="Times New Roman"/>
                      <w:sz w:val="15"/>
                    </w:rPr>
                  </w:pPr>
                  <w:r>
                    <w:rPr>
                      <w:rFonts w:ascii="Times New Roman"/>
                      <w:w w:val="104"/>
                      <w:sz w:val="15"/>
                    </w:rPr>
                    <w:t>1989</w:t>
                  </w:r>
                </w:p>
                <w:p>
                  <w:pPr>
                    <w:spacing w:before="77"/>
                    <w:ind w:left="20" w:right="0" w:firstLine="0"/>
                    <w:jc w:val="left"/>
                    <w:rPr>
                      <w:rFonts w:ascii="Times New Roman"/>
                      <w:sz w:val="15"/>
                    </w:rPr>
                  </w:pPr>
                  <w:r>
                    <w:rPr>
                      <w:rFonts w:ascii="Times New Roman"/>
                      <w:w w:val="104"/>
                      <w:sz w:val="15"/>
                    </w:rPr>
                    <w:t>1990</w:t>
                  </w:r>
                </w:p>
                <w:p>
                  <w:pPr>
                    <w:spacing w:before="77"/>
                    <w:ind w:left="20" w:right="0" w:firstLine="0"/>
                    <w:jc w:val="left"/>
                    <w:rPr>
                      <w:rFonts w:ascii="Times New Roman"/>
                      <w:sz w:val="15"/>
                    </w:rPr>
                  </w:pPr>
                  <w:r>
                    <w:rPr>
                      <w:rFonts w:ascii="Times New Roman"/>
                      <w:w w:val="104"/>
                      <w:sz w:val="15"/>
                    </w:rPr>
                    <w:t>1991</w:t>
                  </w:r>
                </w:p>
                <w:p>
                  <w:pPr>
                    <w:spacing w:before="77"/>
                    <w:ind w:left="20" w:right="0" w:firstLine="0"/>
                    <w:jc w:val="left"/>
                    <w:rPr>
                      <w:rFonts w:ascii="Times New Roman"/>
                      <w:sz w:val="15"/>
                    </w:rPr>
                  </w:pPr>
                  <w:r>
                    <w:rPr>
                      <w:rFonts w:ascii="Times New Roman"/>
                      <w:w w:val="104"/>
                      <w:sz w:val="15"/>
                    </w:rPr>
                    <w:t>1992</w:t>
                  </w:r>
                </w:p>
                <w:p>
                  <w:pPr>
                    <w:spacing w:before="77"/>
                    <w:ind w:left="20" w:right="0" w:firstLine="0"/>
                    <w:jc w:val="left"/>
                    <w:rPr>
                      <w:rFonts w:ascii="Times New Roman"/>
                      <w:sz w:val="15"/>
                    </w:rPr>
                  </w:pPr>
                  <w:r>
                    <w:rPr>
                      <w:rFonts w:ascii="Times New Roman"/>
                      <w:w w:val="104"/>
                      <w:sz w:val="15"/>
                    </w:rPr>
                    <w:t>1993</w:t>
                  </w:r>
                </w:p>
                <w:p>
                  <w:pPr>
                    <w:spacing w:before="77"/>
                    <w:ind w:left="20" w:right="0" w:firstLine="0"/>
                    <w:jc w:val="left"/>
                    <w:rPr>
                      <w:rFonts w:ascii="Times New Roman"/>
                      <w:sz w:val="15"/>
                    </w:rPr>
                  </w:pPr>
                  <w:r>
                    <w:rPr>
                      <w:rFonts w:ascii="Times New Roman"/>
                      <w:w w:val="104"/>
                      <w:sz w:val="15"/>
                    </w:rPr>
                    <w:t>1994</w:t>
                  </w:r>
                </w:p>
                <w:p>
                  <w:pPr>
                    <w:spacing w:before="77"/>
                    <w:ind w:left="20" w:right="0" w:firstLine="0"/>
                    <w:jc w:val="left"/>
                    <w:rPr>
                      <w:rFonts w:ascii="Times New Roman"/>
                      <w:sz w:val="15"/>
                    </w:rPr>
                  </w:pPr>
                  <w:r>
                    <w:rPr>
                      <w:rFonts w:ascii="Times New Roman"/>
                      <w:w w:val="104"/>
                      <w:sz w:val="15"/>
                    </w:rPr>
                    <w:t>1995</w:t>
                  </w:r>
                </w:p>
                <w:p>
                  <w:pPr>
                    <w:spacing w:before="79"/>
                    <w:ind w:left="20" w:right="0" w:firstLine="0"/>
                    <w:jc w:val="left"/>
                    <w:rPr>
                      <w:rFonts w:ascii="Times New Roman"/>
                      <w:sz w:val="15"/>
                    </w:rPr>
                  </w:pPr>
                  <w:r>
                    <w:rPr>
                      <w:rFonts w:ascii="Times New Roman"/>
                      <w:w w:val="104"/>
                      <w:sz w:val="15"/>
                    </w:rPr>
                    <w:t>1996</w:t>
                  </w:r>
                </w:p>
                <w:p>
                  <w:pPr>
                    <w:spacing w:before="77"/>
                    <w:ind w:left="20" w:right="0" w:firstLine="0"/>
                    <w:jc w:val="left"/>
                    <w:rPr>
                      <w:rFonts w:ascii="Times New Roman"/>
                      <w:sz w:val="15"/>
                    </w:rPr>
                  </w:pPr>
                  <w:r>
                    <w:rPr>
                      <w:rFonts w:ascii="Times New Roman"/>
                      <w:w w:val="104"/>
                      <w:sz w:val="15"/>
                    </w:rPr>
                    <w:t>1997</w:t>
                  </w:r>
                </w:p>
                <w:p>
                  <w:pPr>
                    <w:spacing w:before="77"/>
                    <w:ind w:left="20" w:right="0" w:firstLine="0"/>
                    <w:jc w:val="left"/>
                    <w:rPr>
                      <w:rFonts w:ascii="Times New Roman"/>
                      <w:sz w:val="15"/>
                    </w:rPr>
                  </w:pPr>
                  <w:r>
                    <w:rPr>
                      <w:rFonts w:ascii="Times New Roman"/>
                      <w:w w:val="104"/>
                      <w:sz w:val="15"/>
                    </w:rPr>
                    <w:t>1998</w:t>
                  </w:r>
                </w:p>
                <w:p>
                  <w:pPr>
                    <w:spacing w:before="77"/>
                    <w:ind w:left="20" w:right="0" w:firstLine="0"/>
                    <w:jc w:val="left"/>
                    <w:rPr>
                      <w:rFonts w:ascii="Times New Roman"/>
                      <w:sz w:val="15"/>
                    </w:rPr>
                  </w:pPr>
                  <w:r>
                    <w:rPr>
                      <w:rFonts w:ascii="Times New Roman"/>
                      <w:w w:val="104"/>
                      <w:sz w:val="15"/>
                    </w:rPr>
                    <w:t>1999</w:t>
                  </w:r>
                </w:p>
                <w:p>
                  <w:pPr>
                    <w:spacing w:before="77"/>
                    <w:ind w:left="20" w:right="0" w:firstLine="0"/>
                    <w:jc w:val="left"/>
                    <w:rPr>
                      <w:rFonts w:ascii="Times New Roman"/>
                      <w:sz w:val="15"/>
                    </w:rPr>
                  </w:pPr>
                  <w:r>
                    <w:rPr>
                      <w:rFonts w:ascii="Times New Roman"/>
                      <w:w w:val="104"/>
                      <w:sz w:val="15"/>
                    </w:rPr>
                    <w:t>2000</w:t>
                  </w:r>
                </w:p>
                <w:p>
                  <w:pPr>
                    <w:spacing w:before="77"/>
                    <w:ind w:left="20" w:right="0" w:firstLine="0"/>
                    <w:jc w:val="left"/>
                    <w:rPr>
                      <w:rFonts w:ascii="Times New Roman"/>
                      <w:sz w:val="15"/>
                    </w:rPr>
                  </w:pPr>
                  <w:r>
                    <w:rPr>
                      <w:rFonts w:ascii="Times New Roman"/>
                      <w:w w:val="104"/>
                      <w:sz w:val="15"/>
                    </w:rPr>
                    <w:t>2001</w:t>
                  </w:r>
                </w:p>
                <w:p>
                  <w:pPr>
                    <w:spacing w:before="77"/>
                    <w:ind w:left="20" w:right="0" w:firstLine="0"/>
                    <w:jc w:val="left"/>
                    <w:rPr>
                      <w:rFonts w:ascii="Times New Roman"/>
                      <w:sz w:val="15"/>
                    </w:rPr>
                  </w:pPr>
                  <w:r>
                    <w:rPr>
                      <w:rFonts w:ascii="Times New Roman"/>
                      <w:w w:val="104"/>
                      <w:sz w:val="15"/>
                    </w:rPr>
                    <w:t>2002</w:t>
                  </w:r>
                </w:p>
                <w:p>
                  <w:pPr>
                    <w:spacing w:before="77"/>
                    <w:ind w:left="20" w:right="0" w:firstLine="0"/>
                    <w:jc w:val="left"/>
                    <w:rPr>
                      <w:rFonts w:ascii="Times New Roman"/>
                      <w:sz w:val="15"/>
                    </w:rPr>
                  </w:pPr>
                  <w:r>
                    <w:rPr>
                      <w:rFonts w:ascii="Times New Roman"/>
                      <w:w w:val="104"/>
                      <w:sz w:val="15"/>
                    </w:rPr>
                    <w:t>2003</w:t>
                  </w:r>
                </w:p>
                <w:p>
                  <w:pPr>
                    <w:spacing w:before="77"/>
                    <w:ind w:left="20" w:right="0" w:firstLine="0"/>
                    <w:jc w:val="left"/>
                    <w:rPr>
                      <w:rFonts w:ascii="Times New Roman"/>
                      <w:sz w:val="15"/>
                    </w:rPr>
                  </w:pPr>
                  <w:r>
                    <w:rPr>
                      <w:rFonts w:ascii="Times New Roman"/>
                      <w:w w:val="104"/>
                      <w:sz w:val="15"/>
                    </w:rPr>
                    <w:t>2004</w:t>
                  </w:r>
                </w:p>
                <w:p>
                  <w:pPr>
                    <w:spacing w:before="77"/>
                    <w:ind w:left="20" w:right="0" w:firstLine="0"/>
                    <w:jc w:val="left"/>
                    <w:rPr>
                      <w:rFonts w:ascii="Times New Roman"/>
                      <w:sz w:val="15"/>
                    </w:rPr>
                  </w:pPr>
                  <w:r>
                    <w:rPr>
                      <w:rFonts w:ascii="Times New Roman"/>
                      <w:w w:val="104"/>
                      <w:sz w:val="15"/>
                    </w:rPr>
                    <w:t>2005</w:t>
                  </w:r>
                </w:p>
                <w:p>
                  <w:pPr>
                    <w:spacing w:before="77"/>
                    <w:ind w:left="20" w:right="0" w:firstLine="0"/>
                    <w:jc w:val="left"/>
                    <w:rPr>
                      <w:rFonts w:ascii="Times New Roman"/>
                      <w:sz w:val="15"/>
                    </w:rPr>
                  </w:pPr>
                  <w:r>
                    <w:rPr>
                      <w:rFonts w:ascii="Times New Roman"/>
                      <w:w w:val="104"/>
                      <w:sz w:val="15"/>
                    </w:rPr>
                    <w:t>2006</w:t>
                  </w:r>
                </w:p>
                <w:p>
                  <w:pPr>
                    <w:spacing w:before="77"/>
                    <w:ind w:left="20" w:right="0" w:firstLine="0"/>
                    <w:jc w:val="left"/>
                    <w:rPr>
                      <w:rFonts w:ascii="Times New Roman"/>
                      <w:sz w:val="15"/>
                    </w:rPr>
                  </w:pPr>
                  <w:r>
                    <w:rPr>
                      <w:rFonts w:ascii="Times New Roman"/>
                      <w:w w:val="104"/>
                      <w:sz w:val="15"/>
                    </w:rPr>
                    <w:t>2007</w:t>
                  </w:r>
                </w:p>
                <w:p>
                  <w:pPr>
                    <w:spacing w:before="79"/>
                    <w:ind w:left="20" w:right="0" w:firstLine="0"/>
                    <w:jc w:val="left"/>
                    <w:rPr>
                      <w:rFonts w:ascii="Times New Roman"/>
                      <w:sz w:val="15"/>
                    </w:rPr>
                  </w:pPr>
                  <w:r>
                    <w:rPr>
                      <w:rFonts w:ascii="Times New Roman"/>
                      <w:w w:val="104"/>
                      <w:sz w:val="15"/>
                    </w:rPr>
                    <w:t>2008</w:t>
                  </w:r>
                </w:p>
                <w:p>
                  <w:pPr>
                    <w:spacing w:before="77"/>
                    <w:ind w:left="20" w:right="0" w:firstLine="0"/>
                    <w:jc w:val="left"/>
                    <w:rPr>
                      <w:rFonts w:ascii="Times New Roman"/>
                      <w:sz w:val="15"/>
                    </w:rPr>
                  </w:pPr>
                  <w:r>
                    <w:rPr>
                      <w:rFonts w:ascii="Times New Roman"/>
                      <w:w w:val="104"/>
                      <w:sz w:val="15"/>
                    </w:rPr>
                    <w:t>2009</w:t>
                  </w:r>
                </w:p>
              </w:txbxContent>
            </v:textbox>
            <w10:wrap type="none"/>
          </v:shape>
        </w:pict>
      </w:r>
      <w:r>
        <w:rPr>
          <w:sz w:val="21"/>
        </w:rPr>
        <w:t>Fuente: Elaborada con datos obtenidos del Centro de Estudios de las Finanzas Públicas de   la Cámara de Diputados, del Banco de </w:t>
      </w:r>
      <w:r>
        <w:rPr>
          <w:spacing w:val="12"/>
          <w:sz w:val="21"/>
        </w:rPr>
        <w:t> </w:t>
      </w:r>
      <w:r>
        <w:rPr>
          <w:sz w:val="21"/>
        </w:rPr>
        <w:t>México</w:t>
      </w:r>
      <w:r>
        <w:rPr>
          <w:sz w:val="19"/>
        </w:rPr>
        <w:t>.</w:t>
      </w:r>
    </w:p>
    <w:p>
      <w:pPr>
        <w:pStyle w:val="BodyText"/>
        <w:rPr>
          <w:sz w:val="20"/>
        </w:rPr>
      </w:pPr>
    </w:p>
    <w:p>
      <w:pPr>
        <w:pStyle w:val="BodyText"/>
        <w:rPr>
          <w:sz w:val="20"/>
        </w:rPr>
      </w:pPr>
    </w:p>
    <w:p>
      <w:pPr>
        <w:pStyle w:val="BodyText"/>
        <w:spacing w:before="3"/>
      </w:pPr>
    </w:p>
    <w:p>
      <w:pPr>
        <w:pStyle w:val="BodyText"/>
        <w:spacing w:before="74"/>
        <w:ind w:left="103"/>
      </w:pPr>
      <w:r>
        <w:rPr/>
        <w:t>La   devaluación   del   peso   frente   al   dólar   tiene   su   causa   en   dos elementos</w:t>
      </w:r>
    </w:p>
    <w:p>
      <w:pPr>
        <w:pStyle w:val="BodyText"/>
        <w:spacing w:before="138"/>
        <w:ind w:left="103"/>
      </w:pPr>
      <w:r>
        <w:rPr/>
        <w:t>estructurales que gravitaron enormemente en el estallamiento de      a crisis del 20 de</w:t>
      </w:r>
    </w:p>
    <w:p>
      <w:pPr>
        <w:pStyle w:val="BodyText"/>
        <w:spacing w:before="138"/>
        <w:ind w:left="103" w:right="1211"/>
      </w:pPr>
      <w:r>
        <w:rPr/>
        <w:t>diciembre de 1994. La primera, tiene que ver con el hecho de que México no ha</w:t>
      </w:r>
    </w:p>
    <w:p>
      <w:pPr>
        <w:spacing w:after="0"/>
        <w:sectPr>
          <w:pgSz w:w="11900" w:h="16840"/>
          <w:pgMar w:header="0" w:footer="1619" w:top="1600" w:bottom="1860" w:left="1300" w:right="600"/>
        </w:sectPr>
      </w:pPr>
    </w:p>
    <w:p>
      <w:pPr>
        <w:pStyle w:val="BodyText"/>
        <w:spacing w:before="136"/>
        <w:ind w:left="103" w:right="-8"/>
      </w:pPr>
      <w:r>
        <w:rPr/>
        <w:t>logrado  superar  su</w:t>
      </w:r>
      <w:r>
        <w:rPr>
          <w:spacing w:val="57"/>
        </w:rPr>
        <w:t> </w:t>
      </w:r>
      <w:r>
        <w:rPr/>
        <w:t>crisis</w:t>
      </w:r>
    </w:p>
    <w:p>
      <w:pPr>
        <w:pStyle w:val="BodyText"/>
        <w:spacing w:before="136"/>
        <w:ind w:left="78"/>
      </w:pPr>
      <w:r>
        <w:rPr/>
        <w:br w:type="column"/>
      </w:r>
      <w:r>
        <w:rPr/>
        <w:t>histórica  que  arrastra  desde  fines de</w:t>
      </w:r>
    </w:p>
    <w:p>
      <w:pPr>
        <w:pStyle w:val="BodyText"/>
        <w:spacing w:before="136"/>
        <w:ind w:left="74"/>
      </w:pPr>
      <w:r>
        <w:rPr/>
        <w:br w:type="column"/>
      </w:r>
      <w:r>
        <w:rPr/>
        <w:t>los  años</w:t>
      </w:r>
      <w:r>
        <w:rPr>
          <w:spacing w:val="61"/>
        </w:rPr>
        <w:t> </w:t>
      </w:r>
      <w:r>
        <w:rPr/>
        <w:t>sesenta</w:t>
      </w:r>
    </w:p>
    <w:p>
      <w:pPr>
        <w:spacing w:after="0"/>
        <w:sectPr>
          <w:type w:val="continuous"/>
          <w:pgSz w:w="11900" w:h="16840"/>
          <w:pgMar w:top="1600" w:bottom="280" w:left="1300" w:right="600"/>
          <w:cols w:num="3" w:equalWidth="0">
            <w:col w:w="2806" w:space="40"/>
            <w:col w:w="4116" w:space="40"/>
            <w:col w:w="2998"/>
          </w:cols>
        </w:sectPr>
      </w:pPr>
    </w:p>
    <w:p>
      <w:pPr>
        <w:pStyle w:val="BodyText"/>
        <w:spacing w:before="141"/>
        <w:ind w:left="103"/>
      </w:pPr>
      <w:r>
        <w:rPr/>
        <w:t>(Rivera,  1986)  y  que  se</w:t>
      </w:r>
    </w:p>
    <w:p>
      <w:pPr>
        <w:pStyle w:val="BodyText"/>
        <w:spacing w:before="141"/>
        <w:ind w:left="89"/>
      </w:pPr>
      <w:r>
        <w:rPr/>
        <w:br w:type="column"/>
      </w:r>
      <w:r>
        <w:rPr/>
        <w:t>expresa  de  manera  inmediata  en  que</w:t>
      </w:r>
    </w:p>
    <w:p>
      <w:pPr>
        <w:pStyle w:val="BodyText"/>
        <w:spacing w:before="141"/>
        <w:ind w:left="89"/>
      </w:pPr>
      <w:r>
        <w:rPr/>
        <w:br w:type="column"/>
      </w:r>
      <w:r>
        <w:rPr/>
        <w:t>los  factores  del</w:t>
      </w:r>
    </w:p>
    <w:p>
      <w:pPr>
        <w:spacing w:after="0"/>
        <w:sectPr>
          <w:type w:val="continuous"/>
          <w:pgSz w:w="11900" w:h="16840"/>
          <w:pgMar w:top="1600" w:bottom="280" w:left="1300" w:right="600"/>
          <w:cols w:num="3" w:equalWidth="0">
            <w:col w:w="2788" w:space="40"/>
            <w:col w:w="4278" w:space="40"/>
            <w:col w:w="2854"/>
          </w:cols>
        </w:sectPr>
      </w:pPr>
    </w:p>
    <w:p>
      <w:pPr>
        <w:pStyle w:val="BodyText"/>
        <w:spacing w:line="364" w:lineRule="auto" w:before="136"/>
        <w:ind w:left="103" w:right="1061"/>
        <w:jc w:val="both"/>
      </w:pPr>
      <w:r>
        <w:rPr/>
        <w:t>crecimiento económico no han logrado consolidarse a pesar del ajuste brutal a que   ha sido sometida la economía mexicana en los últimos 14 años (ajuste que se inició con De la Madrid y fue continuado por Salinas). Esto quiere decir que  para  que México logre un ritmo de crecimiento estable y un control efectivo de las presiones inflacionarias, necesita elevar su productividad laboral a tasas medias anuales arriba del</w:t>
      </w:r>
      <w:r>
        <w:rPr>
          <w:spacing w:val="9"/>
        </w:rPr>
        <w:t> </w:t>
      </w:r>
      <w:r>
        <w:rPr/>
        <w:t>2.5%.</w:t>
      </w:r>
    </w:p>
    <w:p>
      <w:pPr>
        <w:pStyle w:val="BodyText"/>
        <w:rPr>
          <w:sz w:val="22"/>
        </w:rPr>
      </w:pPr>
    </w:p>
    <w:p>
      <w:pPr>
        <w:pStyle w:val="BodyText"/>
        <w:spacing w:line="364" w:lineRule="auto" w:before="155"/>
        <w:ind w:left="103" w:right="1064"/>
        <w:jc w:val="both"/>
      </w:pPr>
      <w:r>
        <w:rPr/>
        <w:t>Pero además, necesita consolidar los factores de la competitividad internacional, que se desprenden de múltiples situaciones del aparato productivo nacional, por ejemplo, de una adecuada integración entre la industria y la agricultura, de la reestructuración de la pequeña y mediana empresa y de la eliminación de las ganancias derivadas</w:t>
      </w:r>
    </w:p>
    <w:p>
      <w:pPr>
        <w:spacing w:after="0" w:line="364" w:lineRule="auto"/>
        <w:jc w:val="both"/>
        <w:sectPr>
          <w:type w:val="continuous"/>
          <w:pgSz w:w="11900" w:h="16840"/>
          <w:pgMar w:top="1600" w:bottom="280" w:left="1300" w:right="600"/>
        </w:sectPr>
      </w:pPr>
    </w:p>
    <w:p>
      <w:pPr>
        <w:pStyle w:val="BodyText"/>
        <w:spacing w:before="5"/>
        <w:ind w:left="103" w:right="-5"/>
      </w:pPr>
      <w:r>
        <w:rPr/>
        <w:t>del  control  monopólico</w:t>
      </w:r>
      <w:r>
        <w:rPr>
          <w:spacing w:val="63"/>
        </w:rPr>
        <w:t> </w:t>
      </w:r>
      <w:r>
        <w:rPr/>
        <w:t>de</w:t>
      </w:r>
    </w:p>
    <w:p>
      <w:pPr>
        <w:pStyle w:val="BodyText"/>
        <w:spacing w:before="5"/>
        <w:ind w:left="79" w:right="-4"/>
      </w:pPr>
      <w:r>
        <w:rPr/>
        <w:br w:type="column"/>
      </w:r>
      <w:r>
        <w:rPr/>
        <w:t>ramas  clave  de  la  economía,</w:t>
      </w:r>
      <w:r>
        <w:rPr>
          <w:spacing w:val="60"/>
        </w:rPr>
        <w:t> </w:t>
      </w:r>
      <w:r>
        <w:rPr/>
        <w:t>como</w:t>
      </w:r>
    </w:p>
    <w:p>
      <w:pPr>
        <w:pStyle w:val="BodyText"/>
        <w:spacing w:before="5"/>
        <w:ind w:left="82"/>
      </w:pPr>
      <w:r>
        <w:rPr/>
        <w:br w:type="column"/>
      </w:r>
      <w:r>
        <w:rPr/>
        <w:t>sería  el  caso</w:t>
      </w:r>
      <w:r>
        <w:rPr>
          <w:spacing w:val="55"/>
        </w:rPr>
        <w:t> </w:t>
      </w:r>
      <w:r>
        <w:rPr/>
        <w:t>del</w:t>
      </w:r>
    </w:p>
    <w:p>
      <w:pPr>
        <w:spacing w:after="0"/>
        <w:sectPr>
          <w:type w:val="continuous"/>
          <w:pgSz w:w="11900" w:h="16840"/>
          <w:pgMar w:top="1600" w:bottom="280" w:left="1300" w:right="600"/>
          <w:cols w:num="3" w:equalWidth="0">
            <w:col w:w="2930" w:space="40"/>
            <w:col w:w="3978" w:space="40"/>
            <w:col w:w="3012"/>
          </w:cols>
        </w:sectPr>
      </w:pPr>
    </w:p>
    <w:p>
      <w:pPr>
        <w:pStyle w:val="BodyText"/>
        <w:rPr>
          <w:sz w:val="20"/>
        </w:rPr>
      </w:pPr>
    </w:p>
    <w:p>
      <w:pPr>
        <w:pStyle w:val="BodyText"/>
        <w:spacing w:before="8"/>
        <w:rPr>
          <w:sz w:val="18"/>
        </w:rPr>
      </w:pPr>
    </w:p>
    <w:p>
      <w:pPr>
        <w:pStyle w:val="BodyText"/>
        <w:spacing w:line="364" w:lineRule="auto" w:before="74"/>
        <w:ind w:left="101" w:right="383"/>
        <w:jc w:val="both"/>
      </w:pPr>
      <w:r>
        <w:rPr/>
        <w:t>ámbito financiero, la telefonía nacional, la industria automotriz, por citar solo algunos casos. Esta carencia de competitividad internacional es la que ha llevado al país a importar más de lo que exporta y que se tradujo en un creciente déficit de la cuenta corriente de la balanza de pagos, que se asoció con otro factor ligado a esta crisis, consistente en la política monetaria antiinflacionaria obsesiva  que  practicó  el gobierno desde 1988 que utilizó el tipo de cambio como ancla para combatir la inflación e igualar ésta con la de los Estados Unidos, al tiempo que tenía como objetivo la atracción de capitales a través de ofrecer rendimientos atractivos en comparación a otros países (Vargas,</w:t>
      </w:r>
      <w:r>
        <w:rPr>
          <w:spacing w:val="46"/>
        </w:rPr>
        <w:t> </w:t>
      </w:r>
      <w:r>
        <w:rPr/>
        <w:t>1994).</w:t>
      </w:r>
    </w:p>
    <w:p>
      <w:pPr>
        <w:pStyle w:val="BodyText"/>
        <w:spacing w:before="9"/>
      </w:pPr>
    </w:p>
    <w:p>
      <w:pPr>
        <w:pStyle w:val="Heading4"/>
        <w:ind w:left="127"/>
        <w:jc w:val="both"/>
      </w:pPr>
      <w:r>
        <w:rPr/>
        <w:t>Figura 5. Comportamiento del salario mínimo real ($/día) base 2002  (1980-2009)</w:t>
      </w:r>
    </w:p>
    <w:p>
      <w:pPr>
        <w:pStyle w:val="BodyText"/>
        <w:rPr>
          <w:b/>
          <w:sz w:val="9"/>
        </w:rPr>
      </w:pPr>
      <w:r>
        <w:rPr/>
        <w:pict>
          <v:group style="position:absolute;margin-left:73.199997pt;margin-top:7.162397pt;width:436.1pt;height:184.95pt;mso-position-horizontal-relative:page;mso-position-vertical-relative:paragraph;z-index:13672;mso-wrap-distance-left:0;mso-wrap-distance-right:0" coordorigin="1464,143" coordsize="8722,3699">
            <v:line style="position:absolute" from="2309,2718" to="9962,2718" stroked="true" strokeweight=".72pt" strokecolor="#858585"/>
            <v:line style="position:absolute" from="2309,2327" to="9962,2327" stroked="true" strokeweight=".72pt" strokecolor="#858585"/>
            <v:line style="position:absolute" from="2309,1935" to="9962,1935" stroked="true" strokeweight=".6pt" strokecolor="#858585"/>
            <v:line style="position:absolute" from="2309,1542" to="9962,1542" stroked="true" strokeweight=".72pt" strokecolor="#858585"/>
            <v:line style="position:absolute" from="2309,1150" to="9962,1150" stroked="true" strokeweight=".6pt" strokecolor="#858585"/>
            <v:line style="position:absolute" from="2309,758" to="9962,758" stroked="true" strokeweight=".72pt" strokecolor="#858585"/>
            <v:shape style="position:absolute;left:2414;top:542;width:7443;height:1827" coordorigin="2414,542" coordsize="7443,1827" path="m9857,2342l7030,2342,7282,2368,7793,2361,8052,2354,8815,2354,9857,2351,9857,2342xm9857,2351l9326,2351,9581,2361,9835,2366,9847,2366,9857,2356,9857,2351xm8815,2354l8052,2354,8558,2358,8815,2354xm6297,1960l6245,1960,6276,1967,6258,1979,6502,2327,6504,2332,6511,2337,6516,2337,6773,2346,7030,2342,9857,2342,9857,2332,9850,2325,7286,2325,7076,2303,6535,2303,6518,2294,6529,2294,6297,1960xm8050,2310l7793,2318,7286,2325,9850,2325,9847,2322,9835,2322,9581,2318,9517,2315,8561,2315,8050,2310xm9326,2308l9072,2308,8561,2315,9517,2315,9326,2308xm6518,2294l6535,2303,6529,2294,6518,2294xm6529,2294l6535,2303,6773,2303,6529,2294xm7030,2298l6773,2303,7076,2303,7030,2298xm6529,2294l6518,2294,6529,2294,6529,2294xm4211,1635l4464,1830,4466,1833,4469,1833,4726,1917,4980,2020,4982,2020,5237,2075,5494,2128,5496,2128,5753,2142,6017,2142,6019,2140,6073,2104,5998,2104,6001,2102,5755,2102,5498,2087,5501,2087,5003,1982,4994,1982,4740,1878,4491,1797,4488,1797,4483,1794,4485,1794,4280,1636,4214,1636,4211,1635xm6262,1924l6252,1931,5998,2104,6010,2102,6076,2102,6258,1979,6245,1960,6297,1960,6281,1936,6274,1926,6262,1924xm6076,2102l6010,2102,5998,2104,6073,2104,6076,2102xm4992,1979l4994,1982,5003,1982,4992,1979xm6245,1960l6258,1979,6276,1967,6245,1960xm4483,1794l4488,1797,4486,1795,4483,1794xm4486,1795l4488,1797,4491,1797,4486,1795xm4485,1794l4483,1794,4486,1795,4485,1794xm4210,1634l4211,1635,4214,1636,4210,1634xm4277,1634l4210,1634,4214,1636,4280,1636,4277,1634xm3707,1403l3958,1538,4211,1635,4210,1634,4277,1634,4234,1600,4231,1598,4229,1598,3977,1502,3797,1403,3710,1403,3707,1403xm3703,1401l3707,1403,3710,1403,3703,1401xm3793,1401l3703,1401,3710,1403,3797,1403,3793,1401xm2978,818l2928,818,3182,1223,3185,1228,3187,1230,3190,1230,3446,1374,3449,1374,3454,1377,3456,1377,3707,1403,3703,1401,3793,1401,3722,1362,3720,1362,3718,1360,3715,1360,3482,1336,3468,1336,3458,1334,3464,1334,3224,1202,3218,1202,3211,1194,3214,1194,2978,818xm3458,1334l3468,1336,3465,1334,3458,1334xm3465,1334l3468,1336,3482,1336,3465,1334xm3464,1334l3458,1334,3465,1334,3464,1334xm3211,1194l3218,1202,3215,1197,3211,1194xm3215,1197l3218,1202,3224,1202,3215,1197xm3214,1194l3211,1194,3215,1197,3214,1194xm2738,580l2676,580,2695,585,2683,587,2930,822,2928,818,2978,818,2964,796,2959,791,2738,580xm2695,542l2688,544,2434,587,2422,590,2414,599,2417,611,2417,623,2429,630,2441,628,2683,587,2676,580,2738,580,2705,549,2700,544,2695,542xm2676,580l2683,587,2695,585,2676,580xe" filled="true" fillcolor="#497eba" stroked="false">
              <v:path arrowok="t"/>
              <v:fill type="solid"/>
            </v:shape>
            <v:line style="position:absolute" from="2309,366" to="9962,366" stroked="true" strokeweight=".72pt" strokecolor="#858585"/>
            <v:line style="position:absolute" from="2309,3110" to="9962,3110" stroked="true" strokeweight=".72pt" strokecolor="#858585"/>
            <v:shape style="position:absolute;left:2201;top:3306;width:7646;height:290" type="#_x0000_t75" stroked="false">
              <v:imagedata r:id="rId483" o:title=""/>
            </v:shape>
            <v:shape style="position:absolute;left:1464;top:143;width:8722;height:3699" coordorigin="1464,143" coordsize="8722,3699" path="m10178,143l1471,143,1466,146,1464,150,1464,3834,1466,3839,1471,3842,10178,3842,10183,3839,10186,3834,1478,3834,1471,3827,1478,3827,1478,158,1471,158,1478,150,10186,150,10183,146,10178,143xm1478,3827l1471,3827,1478,3834,1478,3827xm10171,3827l1478,3827,1478,3834,10171,3834,10171,3827xm10171,150l10171,3834,10178,3827,10186,3827,10186,158,10178,158,10171,150xm10186,3827l10178,3827,10171,3834,10186,3834,10186,3827xm1478,150l1471,158,1478,158,1478,150xm10171,150l1478,150,1478,158,10171,158,10171,150xm10186,150l10171,150,10178,158,10186,158,10186,150xe" filled="true" fillcolor="#858585" stroked="false">
              <v:path arrowok="t"/>
              <v:fill type="solid"/>
            </v:shape>
            <v:shape style="position:absolute;left:1685;top:274;width:442;height:2938" type="#_x0000_t202" filled="false" stroked="false">
              <v:textbox inset="0,0,0,0">
                <w:txbxContent>
                  <w:p>
                    <w:pPr>
                      <w:spacing w:line="196" w:lineRule="exact" w:before="0"/>
                      <w:ind w:left="0" w:right="0" w:firstLine="0"/>
                      <w:jc w:val="center"/>
                      <w:rPr>
                        <w:rFonts w:ascii="Calibri"/>
                        <w:sz w:val="19"/>
                      </w:rPr>
                    </w:pPr>
                    <w:r>
                      <w:rPr>
                        <w:rFonts w:ascii="Calibri"/>
                        <w:sz w:val="19"/>
                      </w:rPr>
                      <w:t>140.0</w:t>
                    </w:r>
                  </w:p>
                  <w:p>
                    <w:pPr>
                      <w:spacing w:before="159"/>
                      <w:ind w:left="0" w:right="0" w:firstLine="0"/>
                      <w:jc w:val="center"/>
                      <w:rPr>
                        <w:rFonts w:ascii="Calibri"/>
                        <w:sz w:val="19"/>
                      </w:rPr>
                    </w:pPr>
                    <w:r>
                      <w:rPr>
                        <w:rFonts w:ascii="Calibri"/>
                        <w:sz w:val="19"/>
                      </w:rPr>
                      <w:t>120.0</w:t>
                    </w:r>
                  </w:p>
                  <w:p>
                    <w:pPr>
                      <w:spacing w:before="161"/>
                      <w:ind w:left="0" w:right="0" w:firstLine="0"/>
                      <w:jc w:val="center"/>
                      <w:rPr>
                        <w:rFonts w:ascii="Calibri"/>
                        <w:sz w:val="19"/>
                      </w:rPr>
                    </w:pPr>
                    <w:r>
                      <w:rPr>
                        <w:rFonts w:ascii="Calibri"/>
                        <w:sz w:val="19"/>
                      </w:rPr>
                      <w:t>100.0</w:t>
                    </w:r>
                  </w:p>
                  <w:p>
                    <w:pPr>
                      <w:spacing w:before="159"/>
                      <w:ind w:left="98" w:right="-13" w:firstLine="0"/>
                      <w:jc w:val="left"/>
                      <w:rPr>
                        <w:rFonts w:ascii="Calibri"/>
                        <w:sz w:val="19"/>
                      </w:rPr>
                    </w:pPr>
                    <w:r>
                      <w:rPr>
                        <w:rFonts w:ascii="Calibri"/>
                        <w:sz w:val="19"/>
                      </w:rPr>
                      <w:t>80.0</w:t>
                    </w:r>
                  </w:p>
                  <w:p>
                    <w:pPr>
                      <w:spacing w:before="159"/>
                      <w:ind w:left="98" w:right="-13" w:firstLine="0"/>
                      <w:jc w:val="left"/>
                      <w:rPr>
                        <w:rFonts w:ascii="Calibri"/>
                        <w:sz w:val="19"/>
                      </w:rPr>
                    </w:pPr>
                    <w:r>
                      <w:rPr>
                        <w:rFonts w:ascii="Calibri"/>
                        <w:sz w:val="19"/>
                      </w:rPr>
                      <w:t>60.0</w:t>
                    </w:r>
                  </w:p>
                  <w:p>
                    <w:pPr>
                      <w:spacing w:before="161"/>
                      <w:ind w:left="98" w:right="-13" w:firstLine="0"/>
                      <w:jc w:val="left"/>
                      <w:rPr>
                        <w:rFonts w:ascii="Calibri"/>
                        <w:sz w:val="19"/>
                      </w:rPr>
                    </w:pPr>
                    <w:r>
                      <w:rPr>
                        <w:rFonts w:ascii="Calibri"/>
                        <w:sz w:val="19"/>
                      </w:rPr>
                      <w:t>40.0</w:t>
                    </w:r>
                  </w:p>
                  <w:p>
                    <w:pPr>
                      <w:spacing w:before="159"/>
                      <w:ind w:left="98" w:right="-13" w:firstLine="0"/>
                      <w:jc w:val="left"/>
                      <w:rPr>
                        <w:rFonts w:ascii="Calibri"/>
                        <w:sz w:val="19"/>
                      </w:rPr>
                    </w:pPr>
                    <w:r>
                      <w:rPr>
                        <w:rFonts w:ascii="Calibri"/>
                        <w:sz w:val="19"/>
                      </w:rPr>
                      <w:t>20.0</w:t>
                    </w:r>
                  </w:p>
                  <w:p>
                    <w:pPr>
                      <w:spacing w:line="229" w:lineRule="exact" w:before="159"/>
                      <w:ind w:left="196" w:right="0" w:firstLine="0"/>
                      <w:jc w:val="center"/>
                      <w:rPr>
                        <w:rFonts w:ascii="Calibri"/>
                        <w:sz w:val="19"/>
                      </w:rPr>
                    </w:pPr>
                    <w:r>
                      <w:rPr>
                        <w:rFonts w:ascii="Calibri"/>
                        <w:sz w:val="19"/>
                      </w:rPr>
                      <w:t>0.0</w:t>
                    </w:r>
                  </w:p>
                </w:txbxContent>
              </v:textbox>
              <w10:wrap type="none"/>
            </v:shape>
            <w10:wrap type="topAndBottom"/>
          </v:group>
        </w:pict>
      </w:r>
    </w:p>
    <w:p>
      <w:pPr>
        <w:spacing w:before="86"/>
        <w:ind w:left="101" w:right="0" w:firstLine="0"/>
        <w:jc w:val="both"/>
        <w:rPr>
          <w:sz w:val="21"/>
        </w:rPr>
      </w:pPr>
      <w:r>
        <w:rPr>
          <w:sz w:val="21"/>
        </w:rPr>
        <w:t>Fuente: Elaborada con datos de Banxico </w:t>
      </w:r>
      <w:r>
        <w:rPr>
          <w:spacing w:val="57"/>
          <w:sz w:val="21"/>
        </w:rPr>
        <w:t> </w:t>
      </w:r>
      <w:hyperlink r:id="rId484">
        <w:r>
          <w:rPr>
            <w:sz w:val="21"/>
          </w:rPr>
          <w:t>(http://www.banxico.org.mx/SieInternet)</w:t>
        </w:r>
      </w:hyperlink>
    </w:p>
    <w:p>
      <w:pPr>
        <w:pStyle w:val="BodyText"/>
        <w:rPr>
          <w:sz w:val="20"/>
        </w:rPr>
      </w:pPr>
    </w:p>
    <w:p>
      <w:pPr>
        <w:pStyle w:val="BodyText"/>
        <w:spacing w:before="9"/>
        <w:rPr>
          <w:sz w:val="29"/>
        </w:rPr>
      </w:pPr>
    </w:p>
    <w:p>
      <w:pPr>
        <w:pStyle w:val="Heading4"/>
        <w:jc w:val="both"/>
      </w:pPr>
      <w:r>
        <w:rPr/>
        <w:t>Migración</w:t>
      </w:r>
    </w:p>
    <w:p>
      <w:pPr>
        <w:pStyle w:val="BodyText"/>
        <w:rPr>
          <w:b/>
          <w:sz w:val="22"/>
        </w:rPr>
      </w:pPr>
    </w:p>
    <w:p>
      <w:pPr>
        <w:pStyle w:val="BodyText"/>
        <w:spacing w:before="1"/>
        <w:rPr>
          <w:b/>
          <w:sz w:val="25"/>
        </w:rPr>
      </w:pPr>
    </w:p>
    <w:p>
      <w:pPr>
        <w:pStyle w:val="BodyText"/>
        <w:spacing w:line="364" w:lineRule="auto"/>
        <w:ind w:left="101" w:right="384"/>
        <w:jc w:val="both"/>
      </w:pPr>
      <w:r>
        <w:rPr/>
        <w:t>La migración internacional, para muchos mexicanos ha sido una  estrategia que  les ha permitido acceder a mejores salarios y construir así mejores condiciones de vida. Según los datos disponibles, para el año 2000, cerca de 8.5 millones de mexicanos viven en los Estados Unidos, principal destino de la migración internacional del país (CONAPO, 2001). La migración tiene diversas causas: el crecimiento poblacional, presión   demográfica  sobre  la  tierra,   deterioro   ecológico,   escasez   de  </w:t>
      </w:r>
      <w:r>
        <w:rPr>
          <w:spacing w:val="35"/>
        </w:rPr>
        <w:t> </w:t>
      </w:r>
      <w:r>
        <w:rPr/>
        <w:t>empleo,</w:t>
      </w:r>
    </w:p>
    <w:p>
      <w:pPr>
        <w:spacing w:after="0" w:line="364" w:lineRule="auto"/>
        <w:jc w:val="both"/>
        <w:sectPr>
          <w:pgSz w:w="11900" w:h="16840"/>
          <w:pgMar w:header="0" w:footer="1619" w:top="1600" w:bottom="1860" w:left="1300" w:right="1280"/>
        </w:sectPr>
      </w:pPr>
    </w:p>
    <w:p>
      <w:pPr>
        <w:pStyle w:val="BodyText"/>
        <w:rPr>
          <w:sz w:val="20"/>
        </w:rPr>
      </w:pPr>
    </w:p>
    <w:p>
      <w:pPr>
        <w:pStyle w:val="BodyText"/>
        <w:spacing w:before="8"/>
        <w:rPr>
          <w:sz w:val="18"/>
        </w:rPr>
      </w:pPr>
    </w:p>
    <w:p>
      <w:pPr>
        <w:pStyle w:val="BodyText"/>
        <w:spacing w:line="364" w:lineRule="auto" w:before="74"/>
        <w:ind w:left="103" w:right="102"/>
      </w:pPr>
      <w:r>
        <w:rPr/>
        <w:t>disminución de ingresos, explotación de fuerza de trabajo, insuficiencia en servicios básicos, falta de crédito para el campo y el</w:t>
      </w:r>
      <w:r>
        <w:rPr>
          <w:spacing w:val="58"/>
        </w:rPr>
        <w:t> </w:t>
      </w:r>
      <w:r>
        <w:rPr/>
        <w:t>caciquismo.</w:t>
      </w:r>
    </w:p>
    <w:p>
      <w:pPr>
        <w:pStyle w:val="BodyText"/>
        <w:spacing w:before="9"/>
        <w:rPr>
          <w:sz w:val="17"/>
        </w:rPr>
      </w:pPr>
    </w:p>
    <w:p>
      <w:pPr>
        <w:pStyle w:val="BodyText"/>
        <w:spacing w:before="74"/>
        <w:ind w:left="103" w:right="102"/>
      </w:pPr>
      <w:r>
        <w:rPr/>
        <w:t>Se ha hablado mucho en las pasadas semanas acerca de la posibilidad de que los</w:t>
      </w:r>
    </w:p>
    <w:p>
      <w:pPr>
        <w:pStyle w:val="BodyText"/>
        <w:spacing w:before="136"/>
        <w:ind w:left="103" w:right="102"/>
      </w:pPr>
      <w:r>
        <w:rPr/>
        <w:t>migrantes  mexicanos  pudieran  estar  retornando  en  forma  casi  masiva  a </w:t>
      </w:r>
      <w:r>
        <w:rPr>
          <w:spacing w:val="51"/>
        </w:rPr>
        <w:t> </w:t>
      </w:r>
      <w:r>
        <w:rPr/>
        <w:t>México</w:t>
      </w:r>
    </w:p>
    <w:p>
      <w:pPr>
        <w:pStyle w:val="BodyText"/>
        <w:spacing w:line="364" w:lineRule="auto" w:before="141"/>
        <w:ind w:left="103" w:right="383"/>
        <w:jc w:val="both"/>
      </w:pPr>
      <w:r>
        <w:rPr/>
        <w:t>como resultado de la profunda crisis que vive Estados Unidos y que ha repercutido   en México, aunque las autoridades nacionales han sido muy reticentes a aceptar la gravedad. Sin embargo, creo que la posibilidad del retorno masivo, por lo menos en forma voluntaria, está bastante alejada de la realidad. En primer lugar, porque  aquellos que ya lograron pasar el drama de la frontera y finalmente se encuentran </w:t>
      </w:r>
      <w:r>
        <w:rPr>
          <w:spacing w:val="43"/>
        </w:rPr>
        <w:t> </w:t>
      </w:r>
      <w:r>
        <w:rPr/>
        <w:t>en</w:t>
      </w:r>
    </w:p>
    <w:p>
      <w:pPr>
        <w:pStyle w:val="BodyText"/>
        <w:spacing w:before="5"/>
        <w:ind w:left="103" w:right="102"/>
      </w:pPr>
      <w:r>
        <w:rPr/>
        <w:t>el otro lado, a pesar de que estén desempleados, saben que en México estarían</w:t>
      </w:r>
    </w:p>
    <w:p>
      <w:pPr>
        <w:pStyle w:val="BodyText"/>
        <w:spacing w:line="364" w:lineRule="auto" w:before="138"/>
        <w:ind w:left="103" w:right="638"/>
      </w:pPr>
      <w:r>
        <w:rPr/>
        <w:t>peor, entre otras cosas porque aquí también tendrían que enfrentar el  desempleo  que está creciendo en forma</w:t>
      </w:r>
      <w:r>
        <w:rPr>
          <w:spacing w:val="43"/>
        </w:rPr>
        <w:t> </w:t>
      </w:r>
      <w:r>
        <w:rPr/>
        <w:t>alarmante.</w:t>
      </w:r>
    </w:p>
    <w:p>
      <w:pPr>
        <w:pStyle w:val="BodyText"/>
        <w:spacing w:before="4"/>
        <w:rPr>
          <w:sz w:val="17"/>
        </w:rPr>
      </w:pPr>
    </w:p>
    <w:p>
      <w:pPr>
        <w:pStyle w:val="Heading4"/>
        <w:spacing w:before="74"/>
        <w:ind w:left="1020" w:right="102"/>
      </w:pPr>
      <w:r>
        <w:rPr/>
        <w:t>Figura 6. Comportamiento del número de migrantes,  1980-2009</w:t>
      </w:r>
    </w:p>
    <w:p>
      <w:pPr>
        <w:pStyle w:val="BodyText"/>
        <w:spacing w:before="3"/>
        <w:rPr>
          <w:b/>
          <w:sz w:val="10"/>
        </w:rPr>
      </w:pPr>
      <w:r>
        <w:rPr/>
        <w:pict>
          <v:group style="position:absolute;margin-left:71.159996pt;margin-top:7.872423pt;width:441.15pt;height:212.1pt;mso-position-horizontal-relative:page;mso-position-vertical-relative:paragraph;z-index:13696;mso-wrap-distance-left:0;mso-wrap-distance-right:0" coordorigin="1423,157" coordsize="8823,4242">
            <v:shape style="position:absolute;left:1435;top:167;width:2760;height:4222" type="#_x0000_t75" stroked="false">
              <v:imagedata r:id="rId485" o:title=""/>
            </v:shape>
            <v:shape style="position:absolute;left:1423;top:158;width:2768;height:4241" coordorigin="1423,158" coordsize="2768,4241" path="m4190,158l1423,158,1423,4398,4190,4398,4190,4394,1433,4394,1428,4389,1433,4389,1433,167,1428,167,1433,162,4190,162,4190,158xm1433,4389l1428,4389,1433,4394,1433,4389xm4190,4389l1433,4389,1433,4394,4190,4394,4190,4389xm1433,162l1428,167,1433,167,1433,162xm4190,162l1433,162,1433,167,4190,167,4190,162xe" filled="true" fillcolor="#000000" stroked="false">
              <v:path arrowok="t"/>
              <v:fill type="solid"/>
            </v:shape>
            <v:line style="position:absolute" from="4190,182" to="8378,182" stroked="true" strokeweight=".47999pt" strokecolor="#858585"/>
            <v:line style="position:absolute" from="4190,4385" to="8378,4385" stroked="true" strokeweight=".36pt" strokecolor="#858585"/>
            <v:line style="position:absolute" from="4190,4394" to="8378,4394" stroked="true" strokeweight=".48pt" strokecolor="#000000"/>
            <v:line style="position:absolute" from="4190,162" to="8378,162" stroked="true" strokeweight=".48pt" strokecolor="#000000"/>
            <v:shape style="position:absolute;left:4190;top:167;width:6046;height:4222" type="#_x0000_t75" stroked="false">
              <v:imagedata r:id="rId486" o:title=""/>
            </v:shape>
            <v:shape style="position:absolute;left:8374;top:177;width:1867;height:4212" type="#_x0000_t75" stroked="false">
              <v:imagedata r:id="rId487" o:title=""/>
            </v:shape>
            <v:shape style="position:absolute;left:8378;top:158;width:1868;height:4241" coordorigin="8378,158" coordsize="1868,4241" path="m10236,4389l8378,4389,8378,4398,10246,4398,10246,4394,10236,4394,10236,4389xm10236,162l10236,4394,10241,4389,10246,4389,10246,167,10241,167,10236,162xm10246,4389l10241,4389,10236,4394,10246,4394,10246,4389xm10246,158l8378,158,8378,167,10236,167,10236,162,10246,162,10246,158xm10246,162l10236,162,10241,167,10246,167,10246,162xe" filled="true" fillcolor="#000000" stroked="false">
              <v:path arrowok="t"/>
              <v:fill type="solid"/>
            </v:shape>
            <w10:wrap type="topAndBottom"/>
          </v:group>
        </w:pict>
      </w:r>
    </w:p>
    <w:p>
      <w:pPr>
        <w:pStyle w:val="BodyText"/>
        <w:spacing w:before="1"/>
        <w:rPr>
          <w:b/>
          <w:sz w:val="29"/>
        </w:rPr>
      </w:pPr>
    </w:p>
    <w:p>
      <w:pPr>
        <w:spacing w:line="283" w:lineRule="auto" w:before="77"/>
        <w:ind w:left="103" w:right="318" w:firstLine="0"/>
        <w:jc w:val="left"/>
        <w:rPr>
          <w:sz w:val="21"/>
        </w:rPr>
      </w:pPr>
      <w:r>
        <w:rPr>
          <w:sz w:val="21"/>
        </w:rPr>
        <w:t>Fuente: Elaborada con datos Banco de México y 1980, 1981 y 2007-2009 se estimó proyectando la tendencia.</w:t>
      </w:r>
    </w:p>
    <w:p>
      <w:pPr>
        <w:pStyle w:val="BodyText"/>
        <w:rPr>
          <w:sz w:val="20"/>
        </w:rPr>
      </w:pPr>
    </w:p>
    <w:p>
      <w:pPr>
        <w:pStyle w:val="BodyText"/>
        <w:rPr>
          <w:sz w:val="20"/>
        </w:rPr>
      </w:pPr>
    </w:p>
    <w:p>
      <w:pPr>
        <w:pStyle w:val="BodyText"/>
        <w:spacing w:before="6"/>
        <w:rPr>
          <w:sz w:val="19"/>
        </w:rPr>
      </w:pPr>
    </w:p>
    <w:p>
      <w:pPr>
        <w:spacing w:after="0"/>
        <w:rPr>
          <w:sz w:val="19"/>
        </w:rPr>
        <w:sectPr>
          <w:pgSz w:w="11900" w:h="16840"/>
          <w:pgMar w:header="0" w:footer="1619" w:top="1600" w:bottom="1860" w:left="1300" w:right="1280"/>
        </w:sectPr>
      </w:pPr>
    </w:p>
    <w:p>
      <w:pPr>
        <w:pStyle w:val="BodyText"/>
        <w:spacing w:before="74"/>
        <w:ind w:left="103"/>
      </w:pPr>
      <w:r>
        <w:rPr/>
        <w:t>En  cambio,  lo  que sí que</w:t>
      </w:r>
    </w:p>
    <w:p>
      <w:pPr>
        <w:pStyle w:val="BodyText"/>
        <w:spacing w:before="74"/>
        <w:ind w:left="62" w:right="-12"/>
      </w:pPr>
      <w:r>
        <w:rPr/>
        <w:br w:type="column"/>
      </w:r>
      <w:r>
        <w:rPr/>
        <w:t>puede  suceder  es  que  quienes tenían</w:t>
      </w:r>
    </w:p>
    <w:p>
      <w:pPr>
        <w:pStyle w:val="BodyText"/>
        <w:spacing w:before="74"/>
        <w:ind w:left="65"/>
      </w:pPr>
      <w:r>
        <w:rPr/>
        <w:br w:type="column"/>
      </w:r>
      <w:r>
        <w:rPr/>
        <w:t>pensado  irse de</w:t>
      </w:r>
    </w:p>
    <w:p>
      <w:pPr>
        <w:spacing w:after="0"/>
        <w:sectPr>
          <w:type w:val="continuous"/>
          <w:pgSz w:w="11900" w:h="16840"/>
          <w:pgMar w:top="1600" w:bottom="280" w:left="1300" w:right="1280"/>
          <w:cols w:num="3" w:equalWidth="0">
            <w:col w:w="2874" w:space="40"/>
            <w:col w:w="4175" w:space="40"/>
            <w:col w:w="2191"/>
          </w:cols>
        </w:sectPr>
      </w:pPr>
    </w:p>
    <w:p>
      <w:pPr>
        <w:pStyle w:val="BodyText"/>
        <w:spacing w:before="136"/>
        <w:ind w:left="103" w:right="102"/>
      </w:pPr>
      <w:r>
        <w:rPr/>
        <w:t>México lo van a pensar dos veces, pues lo que realmente inhibe a los trabajadores   a</w:t>
      </w:r>
    </w:p>
    <w:p>
      <w:pPr>
        <w:spacing w:after="0"/>
        <w:sectPr>
          <w:type w:val="continuous"/>
          <w:pgSz w:w="11900" w:h="16840"/>
          <w:pgMar w:top="1600" w:bottom="280" w:left="1300" w:right="1280"/>
        </w:sectPr>
      </w:pPr>
    </w:p>
    <w:p>
      <w:pPr>
        <w:pStyle w:val="BodyText"/>
        <w:rPr>
          <w:sz w:val="20"/>
        </w:rPr>
      </w:pPr>
    </w:p>
    <w:p>
      <w:pPr>
        <w:pStyle w:val="BodyText"/>
        <w:spacing w:before="8"/>
        <w:rPr>
          <w:sz w:val="18"/>
        </w:rPr>
      </w:pPr>
    </w:p>
    <w:p>
      <w:pPr>
        <w:pStyle w:val="BodyText"/>
        <w:spacing w:line="364" w:lineRule="auto" w:before="74"/>
        <w:ind w:left="101" w:right="385"/>
        <w:jc w:val="both"/>
      </w:pPr>
      <w:r>
        <w:rPr/>
        <w:t>desplazarse es el desempleo en el país de destino. En otras ocasiones pudieron reorientar sus flujos, como sucedió entre 2000 y 2001 con la crisis que vivió Estados Unidos y, como se sabe, se dirigieron a Canadá y hasta España. Pero el problema actual es que se trata de una crisis mundial, por lo que esta posibilidad se hace prácticamente imposible, ya que la primera variable que se ha visto afectada es el empleo. Por tanto, los migrantes no tienen opciones y los 500 o 600 mil trabajadores que migraban cada año tendrán que esperar mejores tiempos y quedarse en suelo mexicano. (</w:t>
      </w:r>
      <w:hyperlink r:id="rId488">
        <w:r>
          <w:rPr/>
          <w:t>http://migracion.jornada.com.mx/migracion/opinion/bfexplosivo-retorno-</w:t>
        </w:r>
      </w:hyperlink>
      <w:r>
        <w:rPr/>
        <w:t> de-migrantes).</w:t>
      </w:r>
    </w:p>
    <w:p>
      <w:pPr>
        <w:pStyle w:val="BodyText"/>
        <w:spacing w:before="4"/>
        <w:rPr>
          <w:sz w:val="17"/>
        </w:rPr>
      </w:pPr>
    </w:p>
    <w:p>
      <w:pPr>
        <w:pStyle w:val="BodyText"/>
        <w:spacing w:line="364" w:lineRule="auto"/>
        <w:ind w:left="101" w:right="383"/>
        <w:jc w:val="both"/>
      </w:pPr>
      <w:r>
        <w:rPr/>
        <w:t>Las consecuencias ya están a la vista. La primera es la disminución en la captación  de remesas que, como ya lo señaló el Banco de México, ha sido de 15% en relación con lo recibido en el mismo mes del año pasado. Lo que supone que las condiciones de las familias que prácticamente viven gracias a esas remesas tendrán graves dificultades, ya que más de 75% las dedican a consumo básico. Por otro lado, los niveles de desempleo se incrementarán aún más porque ahora el gobierno tendrá  que contabilizar a esos potenciales migrantes que tienen que quedarse en el país, circunstancia nueva, pues nunca han sido considerados ni como parte de  la  población económicamente activa del país ni de los planes de desarrollo, de modo que las tasas reales de desempleo anunciadas siempre han sido incompletas </w:t>
      </w:r>
      <w:r>
        <w:rPr>
          <w:sz w:val="21"/>
        </w:rPr>
        <w:t>(</w:t>
      </w:r>
      <w:hyperlink r:id="rId489">
        <w:r>
          <w:rPr/>
          <w:t>http://migracion.jornada.com.mx/migracion/opinion/bfexplosivoretornodemigrantes).</w:t>
        </w:r>
      </w:hyperlink>
    </w:p>
    <w:p>
      <w:pPr>
        <w:spacing w:after="0" w:line="364" w:lineRule="auto"/>
        <w:jc w:val="both"/>
        <w:sectPr>
          <w:pgSz w:w="11900" w:h="16840"/>
          <w:pgMar w:header="0" w:footer="1619" w:top="1600" w:bottom="1860" w:left="1300" w:right="1280"/>
        </w:sectPr>
      </w:pPr>
    </w:p>
    <w:p>
      <w:pPr>
        <w:pStyle w:val="BodyText"/>
        <w:rPr>
          <w:sz w:val="20"/>
        </w:rPr>
      </w:pPr>
    </w:p>
    <w:p>
      <w:pPr>
        <w:pStyle w:val="BodyText"/>
        <w:spacing w:before="6"/>
        <w:rPr>
          <w:sz w:val="18"/>
        </w:rPr>
      </w:pPr>
    </w:p>
    <w:p>
      <w:pPr>
        <w:pStyle w:val="Heading4"/>
        <w:spacing w:before="74"/>
        <w:ind w:left="1570" w:right="102"/>
      </w:pPr>
      <w:r>
        <w:rPr/>
        <w:t>Figura 5. Comportamiento de las remesas,  1980-2009</w:t>
      </w:r>
    </w:p>
    <w:p>
      <w:pPr>
        <w:pStyle w:val="BodyText"/>
        <w:spacing w:before="5"/>
        <w:rPr>
          <w:b/>
          <w:sz w:val="10"/>
        </w:rPr>
      </w:pPr>
      <w:r>
        <w:rPr/>
        <w:pict>
          <v:group style="position:absolute;margin-left:71.159996pt;margin-top:7.992284pt;width:440.4pt;height:238.25pt;mso-position-horizontal-relative:page;mso-position-vertical-relative:paragraph;z-index:13720;mso-wrap-distance-left:0;mso-wrap-distance-right:0" coordorigin="1423,160" coordsize="8808,4765">
            <v:shape style="position:absolute;left:1435;top:172;width:2760;height:4742" type="#_x0000_t75" stroked="false">
              <v:imagedata r:id="rId490" o:title=""/>
            </v:shape>
            <v:shape style="position:absolute;left:1423;top:160;width:2768;height:4764" coordorigin="1423,160" coordsize="2768,4764" path="m4190,160l1423,160,1423,4924,4190,4924,4190,4919,1433,4919,1428,4914,1433,4914,1433,170,1428,170,1433,165,4190,165,4190,160xm1433,4914l1428,4914,1433,4919,1433,4914xm4190,4914l1433,4914,1433,4919,4190,4919,4190,4914xm1433,165l1428,170,1433,170,1433,165xm4190,165l1433,165,1433,170,4190,170,4190,165xe" filled="true" fillcolor="#000000" stroked="false">
              <v:path arrowok="t"/>
              <v:fill type="solid"/>
            </v:shape>
            <v:line style="position:absolute" from="4190,186" to="8378,186" stroked="true" strokeweight=".479984pt" strokecolor="#858585"/>
            <v:line style="position:absolute" from="4190,4910" to="8378,4910" stroked="true" strokeweight=".479989pt" strokecolor="#858585"/>
            <v:line style="position:absolute" from="4190,4919" to="8378,4919" stroked="true" strokeweight=".48pt" strokecolor="#000000"/>
            <v:line style="position:absolute" from="4190,165" to="8378,165" stroked="true" strokeweight=".48pt" strokecolor="#000000"/>
            <v:shape style="position:absolute;left:4190;top:172;width:6031;height:4742" type="#_x0000_t75" stroked="false">
              <v:imagedata r:id="rId491" o:title=""/>
            </v:shape>
            <v:shape style="position:absolute;left:8374;top:182;width:1853;height:4733" type="#_x0000_t75" stroked="false">
              <v:imagedata r:id="rId492" o:title=""/>
            </v:shape>
            <v:shape style="position:absolute;left:8378;top:160;width:1853;height:4764" coordorigin="8378,160" coordsize="1853,4764" path="m10222,4914l8378,4914,8378,4924,10231,4924,10231,4919,10222,4919,10222,4914xm10222,165l10222,4919,10226,4914,10231,4914,10231,170,10226,170,10222,165xm10231,4914l10226,4914,10222,4919,10231,4919,10231,4914xm10231,160l8378,160,8378,170,10222,170,10222,165,10231,165,10231,160xm10231,165l10222,165,10226,170,10231,170,10231,165xe" filled="true" fillcolor="#000000" stroked="false">
              <v:path arrowok="t"/>
              <v:fill type="solid"/>
            </v:shape>
            <w10:wrap type="topAndBottom"/>
          </v:group>
        </w:pict>
      </w:r>
    </w:p>
    <w:p>
      <w:pPr>
        <w:spacing w:before="131"/>
        <w:ind w:left="103" w:right="102" w:firstLine="0"/>
        <w:jc w:val="left"/>
        <w:rPr>
          <w:sz w:val="21"/>
        </w:rPr>
      </w:pPr>
      <w:r>
        <w:rPr>
          <w:sz w:val="21"/>
        </w:rPr>
        <w:t>Fuente: Elaborada con datos de   </w:t>
      </w:r>
      <w:hyperlink r:id="rId360">
        <w:r>
          <w:rPr>
            <w:sz w:val="21"/>
          </w:rPr>
          <w:t>http://www.banxico.org.mx/documents.pdf</w:t>
        </w:r>
      </w:hyperlink>
    </w:p>
    <w:p>
      <w:pPr>
        <w:pStyle w:val="BodyText"/>
        <w:rPr>
          <w:sz w:val="20"/>
        </w:rPr>
      </w:pPr>
    </w:p>
    <w:p>
      <w:pPr>
        <w:pStyle w:val="BodyText"/>
        <w:rPr>
          <w:sz w:val="20"/>
        </w:rPr>
      </w:pPr>
    </w:p>
    <w:p>
      <w:pPr>
        <w:pStyle w:val="BodyText"/>
        <w:spacing w:before="3"/>
        <w:rPr>
          <w:sz w:val="29"/>
        </w:rPr>
      </w:pPr>
    </w:p>
    <w:p>
      <w:pPr>
        <w:pStyle w:val="Heading4"/>
        <w:spacing w:before="73"/>
        <w:ind w:left="103" w:right="102"/>
      </w:pPr>
      <w:r>
        <w:rPr>
          <w:color w:val="323232"/>
        </w:rPr>
        <w:t>¿Están cayendo las remesas hacia América Latina y el  Caribe?</w:t>
      </w:r>
    </w:p>
    <w:p>
      <w:pPr>
        <w:pStyle w:val="BodyText"/>
        <w:spacing w:before="8"/>
        <w:rPr>
          <w:b/>
          <w:sz w:val="17"/>
        </w:rPr>
      </w:pPr>
    </w:p>
    <w:p>
      <w:pPr>
        <w:pStyle w:val="BodyText"/>
        <w:spacing w:line="364" w:lineRule="auto" w:before="74"/>
        <w:ind w:left="103" w:right="386"/>
        <w:jc w:val="both"/>
      </w:pPr>
      <w:r>
        <w:rPr>
          <w:color w:val="323232"/>
        </w:rPr>
        <w:t>Ante la crisis financiera internacional y la reciente recesión económica en Estados Unidos, la discusión y especulación sobre el futuro de las remesas ha surgido como un factor que puede aún afectar más el crecimiento en América Latina y el Caribe. Esta  especulación  ha  estado  en  parte  asociada  con  la  caída  de  las  remesas </w:t>
      </w:r>
      <w:r>
        <w:rPr>
          <w:color w:val="323232"/>
          <w:spacing w:val="9"/>
        </w:rPr>
        <w:t> </w:t>
      </w:r>
      <w:r>
        <w:rPr>
          <w:color w:val="323232"/>
        </w:rPr>
        <w:t>a</w:t>
      </w:r>
    </w:p>
    <w:p>
      <w:pPr>
        <w:pStyle w:val="BodyText"/>
        <w:spacing w:before="2"/>
        <w:ind w:left="103" w:right="102"/>
      </w:pPr>
      <w:r>
        <w:rPr>
          <w:color w:val="323232"/>
        </w:rPr>
        <w:t>México,  resaltando  preguntas  acerca  del  futuro  de  las  remesas.  Sin  embargo, la</w:t>
      </w:r>
    </w:p>
    <w:p>
      <w:pPr>
        <w:pStyle w:val="BodyText"/>
        <w:spacing w:before="141"/>
        <w:ind w:left="103" w:right="102"/>
      </w:pPr>
      <w:r>
        <w:rPr>
          <w:color w:val="323232"/>
        </w:rPr>
        <w:t>caída  de  las  remesas  a  México  responde  a  realidades  exclusivas  de  este  país.</w:t>
      </w:r>
    </w:p>
    <w:p>
      <w:pPr>
        <w:pStyle w:val="BodyText"/>
        <w:spacing w:line="364" w:lineRule="auto" w:before="136"/>
        <w:ind w:left="103" w:right="520"/>
      </w:pPr>
      <w:r>
        <w:rPr>
          <w:color w:val="323232"/>
        </w:rPr>
        <w:t>Frente a esta discusión es importante entender por un lado el impacto de la crisis de la vivienda sobre los inmigrantes, así como también el curso actual de las </w:t>
      </w:r>
      <w:r>
        <w:rPr>
          <w:color w:val="323232"/>
          <w:spacing w:val="30"/>
        </w:rPr>
        <w:t> </w:t>
      </w:r>
      <w:r>
        <w:rPr>
          <w:color w:val="323232"/>
        </w:rPr>
        <w:t>remesas.</w:t>
      </w:r>
    </w:p>
    <w:p>
      <w:pPr>
        <w:pStyle w:val="BodyText"/>
        <w:spacing w:before="9"/>
        <w:rPr>
          <w:sz w:val="17"/>
        </w:rPr>
      </w:pPr>
    </w:p>
    <w:p>
      <w:pPr>
        <w:pStyle w:val="BodyText"/>
        <w:spacing w:before="74"/>
        <w:ind w:left="103" w:right="102"/>
      </w:pPr>
      <w:r>
        <w:rPr>
          <w:color w:val="323232"/>
        </w:rPr>
        <w:t>Una razón por la que es importante distinguir estas dos realidades es que la caída</w:t>
      </w:r>
    </w:p>
    <w:p>
      <w:pPr>
        <w:spacing w:after="0"/>
        <w:sectPr>
          <w:pgSz w:w="11900" w:h="16840"/>
          <w:pgMar w:header="0" w:footer="1619" w:top="1600" w:bottom="1860" w:left="1300" w:right="1280"/>
        </w:sectPr>
      </w:pPr>
    </w:p>
    <w:p>
      <w:pPr>
        <w:pStyle w:val="BodyText"/>
        <w:spacing w:line="367" w:lineRule="auto" w:before="136"/>
        <w:ind w:left="103"/>
      </w:pPr>
      <w:r>
        <w:rPr>
          <w:color w:val="323232"/>
        </w:rPr>
        <w:t>de las transferencias ha pueden  estar  asociadas</w:t>
      </w:r>
    </w:p>
    <w:p>
      <w:pPr>
        <w:pStyle w:val="BodyText"/>
        <w:spacing w:line="367" w:lineRule="auto" w:before="136"/>
        <w:ind w:left="-7" w:right="385" w:firstLine="110"/>
      </w:pPr>
      <w:r>
        <w:rPr/>
        <w:br w:type="column"/>
      </w:r>
      <w:r>
        <w:rPr>
          <w:color w:val="323232"/>
        </w:rPr>
        <w:t>afectado predominantemente a México y  las  razones  con  este  país.  Primero,  la  crisis  financiera  y  la  </w:t>
      </w:r>
      <w:r>
        <w:rPr>
          <w:color w:val="323232"/>
          <w:spacing w:val="51"/>
        </w:rPr>
        <w:t> </w:t>
      </w:r>
      <w:r>
        <w:rPr>
          <w:color w:val="323232"/>
        </w:rPr>
        <w:t>actual</w:t>
      </w:r>
    </w:p>
    <w:p>
      <w:pPr>
        <w:spacing w:after="0" w:line="367" w:lineRule="auto"/>
        <w:sectPr>
          <w:type w:val="continuous"/>
          <w:pgSz w:w="11900" w:h="16840"/>
          <w:pgMar w:top="1600" w:bottom="280" w:left="1300" w:right="1280"/>
          <w:cols w:num="2" w:equalWidth="0">
            <w:col w:w="2827" w:space="40"/>
            <w:col w:w="6453"/>
          </w:cols>
        </w:sectPr>
      </w:pPr>
    </w:p>
    <w:p>
      <w:pPr>
        <w:pStyle w:val="BodyText"/>
        <w:ind w:left="103" w:right="102"/>
      </w:pPr>
      <w:r>
        <w:rPr>
          <w:color w:val="323232"/>
        </w:rPr>
        <w:t>recesión económica han tenido un efecto sobre el empleo y la pérdida de vivienda,</w:t>
      </w:r>
    </w:p>
    <w:p>
      <w:pPr>
        <w:spacing w:after="0"/>
        <w:sectPr>
          <w:type w:val="continuous"/>
          <w:pgSz w:w="11900" w:h="16840"/>
          <w:pgMar w:top="1600" w:bottom="280" w:left="1300" w:right="1280"/>
        </w:sectPr>
      </w:pPr>
    </w:p>
    <w:p>
      <w:pPr>
        <w:pStyle w:val="BodyText"/>
        <w:spacing w:before="138"/>
        <w:ind w:left="103"/>
      </w:pPr>
      <w:r>
        <w:rPr>
          <w:color w:val="323232"/>
        </w:rPr>
        <w:t>pero  las  dimensiones  no</w:t>
      </w:r>
    </w:p>
    <w:p>
      <w:pPr>
        <w:pStyle w:val="BodyText"/>
        <w:spacing w:before="138"/>
        <w:ind w:left="94"/>
      </w:pPr>
      <w:r>
        <w:rPr/>
        <w:br w:type="column"/>
      </w:r>
      <w:r>
        <w:rPr>
          <w:color w:val="323232"/>
        </w:rPr>
        <w:t>son  aún  de  la  envergadura  de   una</w:t>
      </w:r>
    </w:p>
    <w:p>
      <w:pPr>
        <w:pStyle w:val="BodyText"/>
        <w:spacing w:before="138"/>
        <w:ind w:left="96"/>
      </w:pPr>
      <w:r>
        <w:rPr/>
        <w:br w:type="column"/>
      </w:r>
      <w:r>
        <w:rPr>
          <w:color w:val="323232"/>
        </w:rPr>
        <w:t>reducción  de  las</w:t>
      </w:r>
    </w:p>
    <w:p>
      <w:pPr>
        <w:spacing w:after="0"/>
        <w:sectPr>
          <w:type w:val="continuous"/>
          <w:pgSz w:w="11900" w:h="16840"/>
          <w:pgMar w:top="1600" w:bottom="280" w:left="1300" w:right="1280"/>
          <w:cols w:num="3" w:equalWidth="0">
            <w:col w:w="2846" w:space="40"/>
            <w:col w:w="4074" w:space="40"/>
            <w:col w:w="2320"/>
          </w:cols>
        </w:sectPr>
      </w:pPr>
    </w:p>
    <w:p>
      <w:pPr>
        <w:pStyle w:val="BodyText"/>
        <w:rPr>
          <w:sz w:val="20"/>
        </w:rPr>
      </w:pPr>
    </w:p>
    <w:p>
      <w:pPr>
        <w:pStyle w:val="BodyText"/>
        <w:spacing w:before="8"/>
        <w:rPr>
          <w:sz w:val="18"/>
        </w:rPr>
      </w:pPr>
    </w:p>
    <w:p>
      <w:pPr>
        <w:pStyle w:val="BodyText"/>
        <w:spacing w:line="364" w:lineRule="auto" w:before="74"/>
        <w:ind w:left="221" w:right="501"/>
        <w:jc w:val="both"/>
      </w:pPr>
      <w:r>
        <w:rPr>
          <w:color w:val="323232"/>
        </w:rPr>
        <w:t>remesas, aunque sí es negativa en relación con el acceso a la vivienda. En agosto   del 2008 el volumen de dinero enviado cayó en un 12% en relación con el año anterior, reflejando una caída de 500,000 transferencias de remesa familiar. Sin embargo, las remesas a otros países no cayeron. De ahí que es importante indagar por qué sólo México ha sido afectado, especialmente si los inmigrantes Centroamericanos exhiben características similares a los mexicanos tanto en ingreso como ocupación laboral, y sexo. Segundo, las expectativas de una  caída  de  remesas necesitan ponderarse en relación con los ciclos migratorios y de remesas,  los cuales están vinculados con la situación económica de un país, con las políticas migratorias y el tipo de relación familiar transnacional que existe entre el inmigrante y su familia (Cuadro</w:t>
      </w:r>
      <w:r>
        <w:rPr>
          <w:color w:val="323232"/>
          <w:spacing w:val="21"/>
        </w:rPr>
        <w:t> </w:t>
      </w:r>
      <w:r>
        <w:rPr>
          <w:color w:val="323232"/>
        </w:rPr>
        <w:t>1).</w:t>
      </w:r>
    </w:p>
    <w:p>
      <w:pPr>
        <w:pStyle w:val="BodyText"/>
        <w:rPr>
          <w:sz w:val="22"/>
        </w:rPr>
      </w:pPr>
    </w:p>
    <w:p>
      <w:pPr>
        <w:pStyle w:val="BodyText"/>
        <w:rPr>
          <w:sz w:val="22"/>
        </w:rPr>
      </w:pPr>
    </w:p>
    <w:p>
      <w:pPr>
        <w:pStyle w:val="BodyText"/>
        <w:spacing w:before="9"/>
        <w:rPr>
          <w:sz w:val="28"/>
        </w:rPr>
      </w:pPr>
    </w:p>
    <w:p>
      <w:pPr>
        <w:spacing w:line="280" w:lineRule="auto" w:before="0"/>
        <w:ind w:left="4076" w:right="150" w:hanging="3749"/>
        <w:jc w:val="left"/>
        <w:rPr>
          <w:b/>
          <w:sz w:val="21"/>
        </w:rPr>
      </w:pPr>
      <w:r>
        <w:rPr>
          <w:b/>
          <w:color w:val="323232"/>
          <w:sz w:val="21"/>
        </w:rPr>
        <w:t>Cuadro 1. </w:t>
      </w:r>
      <w:r>
        <w:rPr>
          <w:b/>
          <w:sz w:val="21"/>
        </w:rPr>
        <w:t>Crecimiento de remesas y tasa de desempleo de los hispanos en Estados Unidos (%)</w:t>
      </w:r>
    </w:p>
    <w:p>
      <w:pPr>
        <w:pStyle w:val="BodyText"/>
        <w:spacing w:after="1"/>
        <w:rPr>
          <w:b/>
          <w:sz w:val="17"/>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8"/>
        <w:gridCol w:w="878"/>
        <w:gridCol w:w="710"/>
        <w:gridCol w:w="634"/>
        <w:gridCol w:w="713"/>
        <w:gridCol w:w="713"/>
        <w:gridCol w:w="709"/>
        <w:gridCol w:w="709"/>
        <w:gridCol w:w="713"/>
        <w:gridCol w:w="710"/>
        <w:gridCol w:w="710"/>
        <w:gridCol w:w="634"/>
      </w:tblGrid>
      <w:tr>
        <w:trPr>
          <w:trHeight w:val="488" w:hRule="exact"/>
        </w:trPr>
        <w:tc>
          <w:tcPr>
            <w:tcW w:w="1488" w:type="dxa"/>
            <w:tcBorders>
              <w:bottom w:val="single" w:sz="3" w:space="0" w:color="000000"/>
            </w:tcBorders>
          </w:tcPr>
          <w:p>
            <w:pPr/>
          </w:p>
        </w:tc>
        <w:tc>
          <w:tcPr>
            <w:tcW w:w="2935" w:type="dxa"/>
            <w:gridSpan w:val="4"/>
            <w:tcBorders>
              <w:bottom w:val="single" w:sz="3" w:space="0" w:color="000000"/>
            </w:tcBorders>
          </w:tcPr>
          <w:p>
            <w:pPr>
              <w:pStyle w:val="TableParagraph"/>
              <w:spacing w:before="0"/>
              <w:ind w:left="1071" w:right="1347"/>
              <w:jc w:val="center"/>
              <w:rPr>
                <w:b/>
                <w:sz w:val="21"/>
              </w:rPr>
            </w:pPr>
            <w:r>
              <w:rPr>
                <w:b/>
                <w:sz w:val="21"/>
              </w:rPr>
              <w:t>2006</w:t>
            </w:r>
          </w:p>
        </w:tc>
        <w:tc>
          <w:tcPr>
            <w:tcW w:w="2844" w:type="dxa"/>
            <w:gridSpan w:val="4"/>
            <w:tcBorders>
              <w:bottom w:val="single" w:sz="3" w:space="0" w:color="000000"/>
            </w:tcBorders>
          </w:tcPr>
          <w:p>
            <w:pPr>
              <w:pStyle w:val="TableParagraph"/>
              <w:spacing w:before="0"/>
              <w:ind w:left="1025" w:right="1301"/>
              <w:jc w:val="center"/>
              <w:rPr>
                <w:b/>
                <w:sz w:val="21"/>
              </w:rPr>
            </w:pPr>
            <w:r>
              <w:rPr>
                <w:b/>
                <w:sz w:val="21"/>
              </w:rPr>
              <w:t>2007</w:t>
            </w:r>
          </w:p>
        </w:tc>
        <w:tc>
          <w:tcPr>
            <w:tcW w:w="2054" w:type="dxa"/>
            <w:gridSpan w:val="3"/>
            <w:tcBorders>
              <w:bottom w:val="single" w:sz="3" w:space="0" w:color="000000"/>
            </w:tcBorders>
          </w:tcPr>
          <w:p>
            <w:pPr>
              <w:pStyle w:val="TableParagraph"/>
              <w:spacing w:before="0"/>
              <w:ind w:left="643"/>
              <w:jc w:val="left"/>
              <w:rPr>
                <w:b/>
                <w:sz w:val="21"/>
              </w:rPr>
            </w:pPr>
            <w:r>
              <w:rPr>
                <w:b/>
                <w:sz w:val="21"/>
              </w:rPr>
              <w:t>2008</w:t>
            </w:r>
          </w:p>
        </w:tc>
      </w:tr>
      <w:tr>
        <w:trPr>
          <w:trHeight w:val="488" w:hRule="exact"/>
        </w:trPr>
        <w:tc>
          <w:tcPr>
            <w:tcW w:w="1488" w:type="dxa"/>
            <w:tcBorders>
              <w:top w:val="single" w:sz="3" w:space="0" w:color="000000"/>
            </w:tcBorders>
          </w:tcPr>
          <w:p>
            <w:pPr>
              <w:pStyle w:val="TableParagraph"/>
              <w:spacing w:before="0"/>
              <w:ind w:left="160"/>
              <w:jc w:val="left"/>
              <w:rPr>
                <w:b/>
                <w:sz w:val="21"/>
              </w:rPr>
            </w:pPr>
            <w:r>
              <w:rPr>
                <w:b/>
                <w:sz w:val="21"/>
              </w:rPr>
              <w:t>Paìs</w:t>
            </w:r>
          </w:p>
        </w:tc>
        <w:tc>
          <w:tcPr>
            <w:tcW w:w="878" w:type="dxa"/>
            <w:tcBorders>
              <w:top w:val="single" w:sz="3" w:space="0" w:color="000000"/>
            </w:tcBorders>
          </w:tcPr>
          <w:p>
            <w:pPr>
              <w:pStyle w:val="TableParagraph"/>
              <w:spacing w:before="23"/>
              <w:ind w:left="321"/>
              <w:jc w:val="left"/>
              <w:rPr>
                <w:b/>
                <w:sz w:val="19"/>
              </w:rPr>
            </w:pPr>
            <w:r>
              <w:rPr>
                <w:b/>
                <w:sz w:val="19"/>
              </w:rPr>
              <w:t>Q1</w:t>
            </w:r>
          </w:p>
        </w:tc>
        <w:tc>
          <w:tcPr>
            <w:tcW w:w="710" w:type="dxa"/>
            <w:tcBorders>
              <w:top w:val="single" w:sz="3" w:space="0" w:color="000000"/>
            </w:tcBorders>
          </w:tcPr>
          <w:p>
            <w:pPr>
              <w:pStyle w:val="TableParagraph"/>
              <w:spacing w:before="23"/>
              <w:ind w:right="219"/>
              <w:rPr>
                <w:b/>
                <w:sz w:val="19"/>
              </w:rPr>
            </w:pPr>
            <w:r>
              <w:rPr>
                <w:b/>
                <w:sz w:val="19"/>
              </w:rPr>
              <w:t>Q2</w:t>
            </w:r>
          </w:p>
        </w:tc>
        <w:tc>
          <w:tcPr>
            <w:tcW w:w="634" w:type="dxa"/>
            <w:tcBorders>
              <w:top w:val="single" w:sz="3" w:space="0" w:color="000000"/>
            </w:tcBorders>
          </w:tcPr>
          <w:p>
            <w:pPr>
              <w:pStyle w:val="TableParagraph"/>
              <w:spacing w:before="23"/>
              <w:ind w:right="154"/>
              <w:rPr>
                <w:b/>
                <w:sz w:val="19"/>
              </w:rPr>
            </w:pPr>
            <w:r>
              <w:rPr>
                <w:b/>
                <w:sz w:val="19"/>
              </w:rPr>
              <w:t>Q3</w:t>
            </w:r>
          </w:p>
        </w:tc>
        <w:tc>
          <w:tcPr>
            <w:tcW w:w="713" w:type="dxa"/>
            <w:tcBorders>
              <w:top w:val="single" w:sz="3" w:space="0" w:color="000000"/>
            </w:tcBorders>
          </w:tcPr>
          <w:p>
            <w:pPr>
              <w:pStyle w:val="TableParagraph"/>
              <w:spacing w:before="23"/>
              <w:ind w:left="144" w:right="133"/>
              <w:jc w:val="center"/>
              <w:rPr>
                <w:b/>
                <w:sz w:val="19"/>
              </w:rPr>
            </w:pPr>
            <w:r>
              <w:rPr>
                <w:b/>
                <w:sz w:val="19"/>
              </w:rPr>
              <w:t>Q4</w:t>
            </w:r>
          </w:p>
        </w:tc>
        <w:tc>
          <w:tcPr>
            <w:tcW w:w="713" w:type="dxa"/>
            <w:tcBorders>
              <w:top w:val="single" w:sz="3" w:space="0" w:color="000000"/>
            </w:tcBorders>
          </w:tcPr>
          <w:p>
            <w:pPr>
              <w:pStyle w:val="TableParagraph"/>
              <w:spacing w:before="23"/>
              <w:ind w:left="278"/>
              <w:jc w:val="left"/>
              <w:rPr>
                <w:b/>
                <w:sz w:val="19"/>
              </w:rPr>
            </w:pPr>
            <w:r>
              <w:rPr>
                <w:b/>
                <w:sz w:val="19"/>
              </w:rPr>
              <w:t>Q1</w:t>
            </w:r>
          </w:p>
        </w:tc>
        <w:tc>
          <w:tcPr>
            <w:tcW w:w="709" w:type="dxa"/>
            <w:tcBorders>
              <w:top w:val="single" w:sz="3" w:space="0" w:color="000000"/>
              <w:right w:val="single" w:sz="3" w:space="0" w:color="000000"/>
            </w:tcBorders>
          </w:tcPr>
          <w:p>
            <w:pPr>
              <w:pStyle w:val="TableParagraph"/>
              <w:spacing w:before="23"/>
              <w:ind w:left="215"/>
              <w:jc w:val="left"/>
              <w:rPr>
                <w:b/>
                <w:sz w:val="19"/>
              </w:rPr>
            </w:pPr>
            <w:r>
              <w:rPr>
                <w:b/>
                <w:sz w:val="19"/>
              </w:rPr>
              <w:t>Q2</w:t>
            </w:r>
          </w:p>
        </w:tc>
        <w:tc>
          <w:tcPr>
            <w:tcW w:w="709" w:type="dxa"/>
            <w:tcBorders>
              <w:top w:val="single" w:sz="3" w:space="0" w:color="000000"/>
              <w:left w:val="single" w:sz="3" w:space="0" w:color="000000"/>
            </w:tcBorders>
          </w:tcPr>
          <w:p>
            <w:pPr>
              <w:pStyle w:val="TableParagraph"/>
              <w:spacing w:before="23"/>
              <w:ind w:left="184" w:right="132"/>
              <w:jc w:val="center"/>
              <w:rPr>
                <w:b/>
                <w:sz w:val="19"/>
              </w:rPr>
            </w:pPr>
            <w:r>
              <w:rPr>
                <w:b/>
                <w:sz w:val="19"/>
              </w:rPr>
              <w:t>Q3</w:t>
            </w:r>
          </w:p>
        </w:tc>
        <w:tc>
          <w:tcPr>
            <w:tcW w:w="713" w:type="dxa"/>
            <w:tcBorders>
              <w:top w:val="single" w:sz="3" w:space="0" w:color="000000"/>
            </w:tcBorders>
          </w:tcPr>
          <w:p>
            <w:pPr>
              <w:pStyle w:val="TableParagraph"/>
              <w:spacing w:before="23"/>
              <w:ind w:left="230"/>
              <w:jc w:val="left"/>
              <w:rPr>
                <w:b/>
                <w:sz w:val="19"/>
              </w:rPr>
            </w:pPr>
            <w:r>
              <w:rPr>
                <w:b/>
                <w:sz w:val="19"/>
              </w:rPr>
              <w:t>Q4</w:t>
            </w:r>
          </w:p>
        </w:tc>
        <w:tc>
          <w:tcPr>
            <w:tcW w:w="710" w:type="dxa"/>
            <w:tcBorders>
              <w:top w:val="single" w:sz="3" w:space="0" w:color="000000"/>
            </w:tcBorders>
          </w:tcPr>
          <w:p>
            <w:pPr>
              <w:pStyle w:val="TableParagraph"/>
              <w:spacing w:before="23"/>
              <w:ind w:left="220"/>
              <w:jc w:val="left"/>
              <w:rPr>
                <w:b/>
                <w:sz w:val="19"/>
              </w:rPr>
            </w:pPr>
            <w:r>
              <w:rPr>
                <w:b/>
                <w:sz w:val="19"/>
              </w:rPr>
              <w:t>Q1</w:t>
            </w:r>
          </w:p>
        </w:tc>
        <w:tc>
          <w:tcPr>
            <w:tcW w:w="710" w:type="dxa"/>
            <w:tcBorders>
              <w:top w:val="single" w:sz="3" w:space="0" w:color="000000"/>
            </w:tcBorders>
          </w:tcPr>
          <w:p>
            <w:pPr>
              <w:pStyle w:val="TableParagraph"/>
              <w:spacing w:before="23"/>
              <w:ind w:left="132" w:right="132"/>
              <w:jc w:val="center"/>
              <w:rPr>
                <w:b/>
                <w:sz w:val="19"/>
              </w:rPr>
            </w:pPr>
            <w:r>
              <w:rPr>
                <w:b/>
                <w:sz w:val="19"/>
              </w:rPr>
              <w:t>Q2</w:t>
            </w:r>
          </w:p>
        </w:tc>
        <w:tc>
          <w:tcPr>
            <w:tcW w:w="634" w:type="dxa"/>
            <w:tcBorders>
              <w:top w:val="single" w:sz="3" w:space="0" w:color="000000"/>
            </w:tcBorders>
          </w:tcPr>
          <w:p>
            <w:pPr>
              <w:pStyle w:val="TableParagraph"/>
              <w:spacing w:before="23"/>
              <w:ind w:left="226" w:right="98"/>
              <w:jc w:val="center"/>
              <w:rPr>
                <w:b/>
                <w:sz w:val="19"/>
              </w:rPr>
            </w:pPr>
            <w:r>
              <w:rPr>
                <w:b/>
                <w:sz w:val="19"/>
              </w:rPr>
              <w:t>Q3</w:t>
            </w:r>
          </w:p>
        </w:tc>
      </w:tr>
      <w:tr>
        <w:trPr>
          <w:trHeight w:val="461" w:hRule="exact"/>
        </w:trPr>
        <w:tc>
          <w:tcPr>
            <w:tcW w:w="1488" w:type="dxa"/>
          </w:tcPr>
          <w:p>
            <w:pPr>
              <w:pStyle w:val="TableParagraph"/>
              <w:spacing w:before="4"/>
              <w:ind w:left="100"/>
              <w:jc w:val="left"/>
              <w:rPr>
                <w:sz w:val="19"/>
              </w:rPr>
            </w:pPr>
            <w:r>
              <w:rPr>
                <w:sz w:val="19"/>
              </w:rPr>
              <w:t>Mexico</w:t>
            </w:r>
          </w:p>
        </w:tc>
        <w:tc>
          <w:tcPr>
            <w:tcW w:w="878" w:type="dxa"/>
          </w:tcPr>
          <w:p>
            <w:pPr>
              <w:pStyle w:val="TableParagraph"/>
              <w:spacing w:before="58"/>
              <w:ind w:left="143"/>
              <w:jc w:val="left"/>
              <w:rPr>
                <w:sz w:val="15"/>
              </w:rPr>
            </w:pPr>
            <w:r>
              <w:rPr>
                <w:w w:val="105"/>
                <w:sz w:val="15"/>
              </w:rPr>
              <w:t>29.1</w:t>
            </w:r>
          </w:p>
        </w:tc>
        <w:tc>
          <w:tcPr>
            <w:tcW w:w="710" w:type="dxa"/>
          </w:tcPr>
          <w:p>
            <w:pPr>
              <w:pStyle w:val="TableParagraph"/>
              <w:spacing w:before="58"/>
              <w:ind w:left="124"/>
              <w:jc w:val="left"/>
              <w:rPr>
                <w:sz w:val="15"/>
              </w:rPr>
            </w:pPr>
            <w:r>
              <w:rPr>
                <w:w w:val="105"/>
                <w:sz w:val="15"/>
              </w:rPr>
              <w:t>21</w:t>
            </w:r>
          </w:p>
        </w:tc>
        <w:tc>
          <w:tcPr>
            <w:tcW w:w="634" w:type="dxa"/>
          </w:tcPr>
          <w:p>
            <w:pPr>
              <w:pStyle w:val="TableParagraph"/>
              <w:spacing w:before="58"/>
              <w:ind w:right="177"/>
              <w:rPr>
                <w:sz w:val="15"/>
              </w:rPr>
            </w:pPr>
            <w:r>
              <w:rPr>
                <w:sz w:val="15"/>
              </w:rPr>
              <w:t>13</w:t>
            </w:r>
          </w:p>
        </w:tc>
        <w:tc>
          <w:tcPr>
            <w:tcW w:w="713" w:type="dxa"/>
          </w:tcPr>
          <w:p>
            <w:pPr>
              <w:pStyle w:val="TableParagraph"/>
              <w:spacing w:before="58"/>
              <w:ind w:left="210" w:right="123"/>
              <w:jc w:val="center"/>
              <w:rPr>
                <w:sz w:val="15"/>
              </w:rPr>
            </w:pPr>
            <w:r>
              <w:rPr>
                <w:w w:val="105"/>
                <w:sz w:val="15"/>
              </w:rPr>
              <w:t>7.7</w:t>
            </w:r>
          </w:p>
        </w:tc>
        <w:tc>
          <w:tcPr>
            <w:tcW w:w="713" w:type="dxa"/>
          </w:tcPr>
          <w:p>
            <w:pPr>
              <w:pStyle w:val="TableParagraph"/>
              <w:spacing w:before="58"/>
              <w:ind w:left="278"/>
              <w:jc w:val="left"/>
              <w:rPr>
                <w:sz w:val="15"/>
              </w:rPr>
            </w:pPr>
            <w:r>
              <w:rPr>
                <w:w w:val="104"/>
                <w:sz w:val="15"/>
              </w:rPr>
              <w:t>3</w:t>
            </w:r>
          </w:p>
        </w:tc>
        <w:tc>
          <w:tcPr>
            <w:tcW w:w="709" w:type="dxa"/>
            <w:tcBorders>
              <w:right w:val="single" w:sz="3" w:space="0" w:color="000000"/>
            </w:tcBorders>
          </w:tcPr>
          <w:p>
            <w:pPr>
              <w:pStyle w:val="TableParagraph"/>
              <w:spacing w:before="58"/>
              <w:ind w:left="203" w:right="116"/>
              <w:jc w:val="center"/>
              <w:rPr>
                <w:sz w:val="15"/>
              </w:rPr>
            </w:pPr>
            <w:r>
              <w:rPr>
                <w:w w:val="105"/>
                <w:sz w:val="15"/>
              </w:rPr>
              <w:t>-1</w:t>
            </w:r>
          </w:p>
        </w:tc>
        <w:tc>
          <w:tcPr>
            <w:tcW w:w="709" w:type="dxa"/>
            <w:tcBorders>
              <w:left w:val="single" w:sz="3" w:space="0" w:color="000000"/>
            </w:tcBorders>
          </w:tcPr>
          <w:p>
            <w:pPr>
              <w:pStyle w:val="TableParagraph"/>
              <w:spacing w:before="58"/>
              <w:ind w:left="203" w:right="112"/>
              <w:jc w:val="center"/>
              <w:rPr>
                <w:sz w:val="15"/>
              </w:rPr>
            </w:pPr>
            <w:r>
              <w:rPr>
                <w:w w:val="105"/>
                <w:sz w:val="15"/>
              </w:rPr>
              <w:t>2.6</w:t>
            </w:r>
          </w:p>
        </w:tc>
        <w:tc>
          <w:tcPr>
            <w:tcW w:w="713" w:type="dxa"/>
          </w:tcPr>
          <w:p>
            <w:pPr>
              <w:pStyle w:val="TableParagraph"/>
              <w:spacing w:before="58"/>
              <w:ind w:left="261"/>
              <w:jc w:val="left"/>
              <w:rPr>
                <w:sz w:val="15"/>
              </w:rPr>
            </w:pPr>
            <w:r>
              <w:rPr>
                <w:w w:val="105"/>
                <w:sz w:val="15"/>
              </w:rPr>
              <w:t>-0.4</w:t>
            </w:r>
          </w:p>
        </w:tc>
        <w:tc>
          <w:tcPr>
            <w:tcW w:w="710" w:type="dxa"/>
          </w:tcPr>
          <w:p>
            <w:pPr>
              <w:pStyle w:val="TableParagraph"/>
              <w:spacing w:before="58"/>
              <w:ind w:left="261"/>
              <w:jc w:val="left"/>
              <w:rPr>
                <w:sz w:val="15"/>
              </w:rPr>
            </w:pPr>
            <w:r>
              <w:rPr>
                <w:w w:val="105"/>
                <w:sz w:val="15"/>
              </w:rPr>
              <w:t>-3.4</w:t>
            </w:r>
          </w:p>
        </w:tc>
        <w:tc>
          <w:tcPr>
            <w:tcW w:w="710" w:type="dxa"/>
          </w:tcPr>
          <w:p>
            <w:pPr>
              <w:pStyle w:val="TableParagraph"/>
              <w:spacing w:before="58"/>
              <w:ind w:left="203" w:right="109"/>
              <w:jc w:val="center"/>
              <w:rPr>
                <w:sz w:val="15"/>
              </w:rPr>
            </w:pPr>
            <w:r>
              <w:rPr>
                <w:w w:val="105"/>
                <w:sz w:val="15"/>
              </w:rPr>
              <w:t>-1</w:t>
            </w:r>
          </w:p>
        </w:tc>
        <w:tc>
          <w:tcPr>
            <w:tcW w:w="634" w:type="dxa"/>
          </w:tcPr>
          <w:p>
            <w:pPr/>
          </w:p>
        </w:tc>
      </w:tr>
      <w:tr>
        <w:trPr>
          <w:trHeight w:val="461" w:hRule="exact"/>
        </w:trPr>
        <w:tc>
          <w:tcPr>
            <w:tcW w:w="1488" w:type="dxa"/>
          </w:tcPr>
          <w:p>
            <w:pPr>
              <w:pStyle w:val="TableParagraph"/>
              <w:spacing w:before="6"/>
              <w:ind w:left="155"/>
              <w:jc w:val="left"/>
              <w:rPr>
                <w:sz w:val="19"/>
              </w:rPr>
            </w:pPr>
            <w:r>
              <w:rPr>
                <w:sz w:val="19"/>
              </w:rPr>
              <w:t>El Salvador</w:t>
            </w:r>
          </w:p>
        </w:tc>
        <w:tc>
          <w:tcPr>
            <w:tcW w:w="878" w:type="dxa"/>
          </w:tcPr>
          <w:p>
            <w:pPr>
              <w:pStyle w:val="TableParagraph"/>
              <w:spacing w:before="58"/>
              <w:ind w:left="143"/>
              <w:jc w:val="left"/>
              <w:rPr>
                <w:sz w:val="15"/>
              </w:rPr>
            </w:pPr>
            <w:r>
              <w:rPr>
                <w:w w:val="105"/>
                <w:sz w:val="15"/>
              </w:rPr>
              <w:t>24.6</w:t>
            </w:r>
          </w:p>
        </w:tc>
        <w:tc>
          <w:tcPr>
            <w:tcW w:w="710" w:type="dxa"/>
          </w:tcPr>
          <w:p>
            <w:pPr>
              <w:pStyle w:val="TableParagraph"/>
              <w:spacing w:before="58"/>
              <w:ind w:left="124"/>
              <w:jc w:val="left"/>
              <w:rPr>
                <w:sz w:val="15"/>
              </w:rPr>
            </w:pPr>
            <w:r>
              <w:rPr>
                <w:w w:val="105"/>
                <w:sz w:val="15"/>
              </w:rPr>
              <w:t>16</w:t>
            </w:r>
          </w:p>
        </w:tc>
        <w:tc>
          <w:tcPr>
            <w:tcW w:w="634" w:type="dxa"/>
          </w:tcPr>
          <w:p>
            <w:pPr>
              <w:pStyle w:val="TableParagraph"/>
              <w:spacing w:before="58"/>
              <w:ind w:right="177"/>
              <w:rPr>
                <w:sz w:val="15"/>
              </w:rPr>
            </w:pPr>
            <w:r>
              <w:rPr>
                <w:sz w:val="15"/>
              </w:rPr>
              <w:t>12</w:t>
            </w:r>
          </w:p>
        </w:tc>
        <w:tc>
          <w:tcPr>
            <w:tcW w:w="713" w:type="dxa"/>
          </w:tcPr>
          <w:p>
            <w:pPr>
              <w:pStyle w:val="TableParagraph"/>
              <w:spacing w:before="58"/>
              <w:ind w:left="210" w:right="123"/>
              <w:jc w:val="center"/>
              <w:rPr>
                <w:sz w:val="15"/>
              </w:rPr>
            </w:pPr>
            <w:r>
              <w:rPr>
                <w:w w:val="105"/>
                <w:sz w:val="15"/>
              </w:rPr>
              <w:t>9.2</w:t>
            </w:r>
          </w:p>
        </w:tc>
        <w:tc>
          <w:tcPr>
            <w:tcW w:w="713" w:type="dxa"/>
          </w:tcPr>
          <w:p>
            <w:pPr>
              <w:pStyle w:val="TableParagraph"/>
              <w:spacing w:before="58"/>
              <w:ind w:left="285"/>
              <w:jc w:val="left"/>
              <w:rPr>
                <w:sz w:val="15"/>
              </w:rPr>
            </w:pPr>
            <w:r>
              <w:rPr>
                <w:w w:val="105"/>
                <w:sz w:val="15"/>
              </w:rPr>
              <w:t>7.9</w:t>
            </w:r>
          </w:p>
        </w:tc>
        <w:tc>
          <w:tcPr>
            <w:tcW w:w="709" w:type="dxa"/>
            <w:tcBorders>
              <w:right w:val="single" w:sz="3" w:space="0" w:color="000000"/>
            </w:tcBorders>
          </w:tcPr>
          <w:p>
            <w:pPr>
              <w:pStyle w:val="TableParagraph"/>
              <w:spacing w:before="58"/>
              <w:ind w:left="283"/>
              <w:jc w:val="left"/>
              <w:rPr>
                <w:sz w:val="15"/>
              </w:rPr>
            </w:pPr>
            <w:r>
              <w:rPr>
                <w:w w:val="105"/>
                <w:sz w:val="15"/>
              </w:rPr>
              <w:t>7.1</w:t>
            </w:r>
          </w:p>
        </w:tc>
        <w:tc>
          <w:tcPr>
            <w:tcW w:w="709" w:type="dxa"/>
            <w:tcBorders>
              <w:left w:val="single" w:sz="3" w:space="0" w:color="000000"/>
            </w:tcBorders>
          </w:tcPr>
          <w:p>
            <w:pPr>
              <w:pStyle w:val="TableParagraph"/>
              <w:spacing w:before="58"/>
              <w:ind w:left="91"/>
              <w:jc w:val="center"/>
              <w:rPr>
                <w:sz w:val="15"/>
              </w:rPr>
            </w:pPr>
            <w:r>
              <w:rPr>
                <w:w w:val="104"/>
                <w:sz w:val="15"/>
              </w:rPr>
              <w:t>8</w:t>
            </w:r>
          </w:p>
        </w:tc>
        <w:tc>
          <w:tcPr>
            <w:tcW w:w="713" w:type="dxa"/>
          </w:tcPr>
          <w:p>
            <w:pPr>
              <w:pStyle w:val="TableParagraph"/>
              <w:spacing w:before="58"/>
              <w:ind w:left="288"/>
              <w:jc w:val="left"/>
              <w:rPr>
                <w:sz w:val="15"/>
              </w:rPr>
            </w:pPr>
            <w:r>
              <w:rPr>
                <w:w w:val="105"/>
                <w:sz w:val="15"/>
              </w:rPr>
              <w:t>3.1</w:t>
            </w:r>
          </w:p>
        </w:tc>
        <w:tc>
          <w:tcPr>
            <w:tcW w:w="710" w:type="dxa"/>
          </w:tcPr>
          <w:p>
            <w:pPr>
              <w:pStyle w:val="TableParagraph"/>
              <w:spacing w:before="58"/>
              <w:ind w:left="288"/>
              <w:jc w:val="left"/>
              <w:rPr>
                <w:sz w:val="15"/>
              </w:rPr>
            </w:pPr>
            <w:r>
              <w:rPr>
                <w:w w:val="105"/>
                <w:sz w:val="15"/>
              </w:rPr>
              <w:t>6.1</w:t>
            </w:r>
          </w:p>
        </w:tc>
        <w:tc>
          <w:tcPr>
            <w:tcW w:w="710" w:type="dxa"/>
          </w:tcPr>
          <w:p>
            <w:pPr>
              <w:pStyle w:val="TableParagraph"/>
              <w:spacing w:before="58"/>
              <w:ind w:left="203" w:right="114"/>
              <w:jc w:val="center"/>
              <w:rPr>
                <w:sz w:val="15"/>
              </w:rPr>
            </w:pPr>
            <w:r>
              <w:rPr>
                <w:w w:val="105"/>
                <w:sz w:val="15"/>
              </w:rPr>
              <w:t>7.1</w:t>
            </w:r>
          </w:p>
        </w:tc>
        <w:tc>
          <w:tcPr>
            <w:tcW w:w="634" w:type="dxa"/>
          </w:tcPr>
          <w:p>
            <w:pPr>
              <w:pStyle w:val="TableParagraph"/>
              <w:spacing w:before="58"/>
              <w:ind w:left="188" w:right="101"/>
              <w:jc w:val="center"/>
              <w:rPr>
                <w:sz w:val="15"/>
              </w:rPr>
            </w:pPr>
            <w:r>
              <w:rPr>
                <w:w w:val="105"/>
                <w:sz w:val="15"/>
              </w:rPr>
              <w:t>2.7</w:t>
            </w:r>
          </w:p>
        </w:tc>
      </w:tr>
      <w:tr>
        <w:trPr>
          <w:trHeight w:val="463" w:hRule="exact"/>
        </w:trPr>
        <w:tc>
          <w:tcPr>
            <w:tcW w:w="1488" w:type="dxa"/>
          </w:tcPr>
          <w:p>
            <w:pPr>
              <w:pStyle w:val="TableParagraph"/>
              <w:spacing w:before="4"/>
              <w:ind w:left="100"/>
              <w:jc w:val="left"/>
              <w:rPr>
                <w:sz w:val="19"/>
              </w:rPr>
            </w:pPr>
            <w:r>
              <w:rPr>
                <w:sz w:val="19"/>
              </w:rPr>
              <w:t>Guatemala</w:t>
            </w:r>
          </w:p>
        </w:tc>
        <w:tc>
          <w:tcPr>
            <w:tcW w:w="878" w:type="dxa"/>
          </w:tcPr>
          <w:p>
            <w:pPr>
              <w:pStyle w:val="TableParagraph"/>
              <w:spacing w:before="58"/>
              <w:ind w:left="143"/>
              <w:jc w:val="left"/>
              <w:rPr>
                <w:sz w:val="15"/>
              </w:rPr>
            </w:pPr>
            <w:r>
              <w:rPr>
                <w:w w:val="105"/>
                <w:sz w:val="15"/>
              </w:rPr>
              <w:t>20.2</w:t>
            </w:r>
          </w:p>
        </w:tc>
        <w:tc>
          <w:tcPr>
            <w:tcW w:w="710" w:type="dxa"/>
          </w:tcPr>
          <w:p>
            <w:pPr>
              <w:pStyle w:val="TableParagraph"/>
              <w:spacing w:before="58"/>
              <w:ind w:left="124"/>
              <w:jc w:val="left"/>
              <w:rPr>
                <w:sz w:val="15"/>
              </w:rPr>
            </w:pPr>
            <w:r>
              <w:rPr>
                <w:w w:val="105"/>
                <w:sz w:val="15"/>
              </w:rPr>
              <w:t>21</w:t>
            </w:r>
          </w:p>
        </w:tc>
        <w:tc>
          <w:tcPr>
            <w:tcW w:w="634" w:type="dxa"/>
          </w:tcPr>
          <w:p>
            <w:pPr>
              <w:pStyle w:val="TableParagraph"/>
              <w:spacing w:before="58"/>
              <w:ind w:right="177"/>
              <w:rPr>
                <w:sz w:val="15"/>
              </w:rPr>
            </w:pPr>
            <w:r>
              <w:rPr>
                <w:sz w:val="15"/>
              </w:rPr>
              <w:t>27</w:t>
            </w:r>
          </w:p>
        </w:tc>
        <w:tc>
          <w:tcPr>
            <w:tcW w:w="713" w:type="dxa"/>
          </w:tcPr>
          <w:p>
            <w:pPr>
              <w:pStyle w:val="TableParagraph"/>
              <w:spacing w:before="58"/>
              <w:ind w:left="210" w:right="121"/>
              <w:jc w:val="center"/>
              <w:rPr>
                <w:sz w:val="15"/>
              </w:rPr>
            </w:pPr>
            <w:r>
              <w:rPr>
                <w:w w:val="105"/>
                <w:sz w:val="15"/>
              </w:rPr>
              <w:t>14</w:t>
            </w:r>
          </w:p>
        </w:tc>
        <w:tc>
          <w:tcPr>
            <w:tcW w:w="713" w:type="dxa"/>
          </w:tcPr>
          <w:p>
            <w:pPr>
              <w:pStyle w:val="TableParagraph"/>
              <w:spacing w:before="58"/>
              <w:ind w:left="307"/>
              <w:jc w:val="left"/>
              <w:rPr>
                <w:sz w:val="15"/>
              </w:rPr>
            </w:pPr>
            <w:r>
              <w:rPr>
                <w:w w:val="105"/>
                <w:sz w:val="15"/>
              </w:rPr>
              <w:t>11</w:t>
            </w:r>
          </w:p>
        </w:tc>
        <w:tc>
          <w:tcPr>
            <w:tcW w:w="709" w:type="dxa"/>
            <w:tcBorders>
              <w:right w:val="single" w:sz="3" w:space="0" w:color="000000"/>
            </w:tcBorders>
          </w:tcPr>
          <w:p>
            <w:pPr>
              <w:pStyle w:val="TableParagraph"/>
              <w:spacing w:before="58"/>
              <w:ind w:left="304"/>
              <w:jc w:val="left"/>
              <w:rPr>
                <w:sz w:val="15"/>
              </w:rPr>
            </w:pPr>
            <w:r>
              <w:rPr>
                <w:w w:val="105"/>
                <w:sz w:val="15"/>
              </w:rPr>
              <w:t>13</w:t>
            </w:r>
          </w:p>
        </w:tc>
        <w:tc>
          <w:tcPr>
            <w:tcW w:w="709" w:type="dxa"/>
            <w:tcBorders>
              <w:left w:val="single" w:sz="3" w:space="0" w:color="000000"/>
            </w:tcBorders>
          </w:tcPr>
          <w:p>
            <w:pPr>
              <w:pStyle w:val="TableParagraph"/>
              <w:spacing w:before="58"/>
              <w:ind w:left="203" w:right="114"/>
              <w:jc w:val="center"/>
              <w:rPr>
                <w:sz w:val="15"/>
              </w:rPr>
            </w:pPr>
            <w:r>
              <w:rPr>
                <w:w w:val="105"/>
                <w:sz w:val="15"/>
              </w:rPr>
              <w:t>17.3</w:t>
            </w:r>
          </w:p>
        </w:tc>
        <w:tc>
          <w:tcPr>
            <w:tcW w:w="713" w:type="dxa"/>
          </w:tcPr>
          <w:p>
            <w:pPr>
              <w:pStyle w:val="TableParagraph"/>
              <w:spacing w:before="58"/>
              <w:ind w:left="312"/>
              <w:jc w:val="left"/>
              <w:rPr>
                <w:sz w:val="15"/>
              </w:rPr>
            </w:pPr>
            <w:r>
              <w:rPr>
                <w:w w:val="105"/>
                <w:sz w:val="15"/>
              </w:rPr>
              <w:t>15</w:t>
            </w:r>
          </w:p>
        </w:tc>
        <w:tc>
          <w:tcPr>
            <w:tcW w:w="710" w:type="dxa"/>
          </w:tcPr>
          <w:p>
            <w:pPr>
              <w:pStyle w:val="TableParagraph"/>
              <w:spacing w:before="58"/>
              <w:ind w:left="288"/>
              <w:jc w:val="left"/>
              <w:rPr>
                <w:sz w:val="15"/>
              </w:rPr>
            </w:pPr>
            <w:r>
              <w:rPr>
                <w:w w:val="105"/>
                <w:sz w:val="15"/>
              </w:rPr>
              <w:t>9.8</w:t>
            </w:r>
          </w:p>
        </w:tc>
        <w:tc>
          <w:tcPr>
            <w:tcW w:w="710" w:type="dxa"/>
          </w:tcPr>
          <w:p>
            <w:pPr>
              <w:pStyle w:val="TableParagraph"/>
              <w:spacing w:before="58"/>
              <w:ind w:left="203" w:right="114"/>
              <w:jc w:val="center"/>
              <w:rPr>
                <w:sz w:val="15"/>
              </w:rPr>
            </w:pPr>
            <w:r>
              <w:rPr>
                <w:w w:val="105"/>
                <w:sz w:val="15"/>
              </w:rPr>
              <w:t>7.8</w:t>
            </w:r>
          </w:p>
        </w:tc>
        <w:tc>
          <w:tcPr>
            <w:tcW w:w="634" w:type="dxa"/>
          </w:tcPr>
          <w:p>
            <w:pPr>
              <w:pStyle w:val="TableParagraph"/>
              <w:spacing w:before="58"/>
              <w:ind w:left="87"/>
              <w:jc w:val="center"/>
              <w:rPr>
                <w:sz w:val="15"/>
              </w:rPr>
            </w:pPr>
            <w:r>
              <w:rPr>
                <w:w w:val="104"/>
                <w:sz w:val="15"/>
              </w:rPr>
              <w:t>6</w:t>
            </w:r>
          </w:p>
        </w:tc>
      </w:tr>
      <w:tr>
        <w:trPr>
          <w:trHeight w:val="461" w:hRule="exact"/>
        </w:trPr>
        <w:tc>
          <w:tcPr>
            <w:tcW w:w="1488" w:type="dxa"/>
          </w:tcPr>
          <w:p>
            <w:pPr>
              <w:pStyle w:val="TableParagraph"/>
              <w:spacing w:before="4"/>
              <w:ind w:left="100"/>
              <w:jc w:val="left"/>
              <w:rPr>
                <w:sz w:val="19"/>
              </w:rPr>
            </w:pPr>
            <w:r>
              <w:rPr>
                <w:sz w:val="19"/>
              </w:rPr>
              <w:t>Honduras</w:t>
            </w:r>
          </w:p>
        </w:tc>
        <w:tc>
          <w:tcPr>
            <w:tcW w:w="878" w:type="dxa"/>
          </w:tcPr>
          <w:p>
            <w:pPr>
              <w:pStyle w:val="TableParagraph"/>
              <w:spacing w:before="58"/>
              <w:ind w:left="143"/>
              <w:jc w:val="left"/>
              <w:rPr>
                <w:sz w:val="15"/>
              </w:rPr>
            </w:pPr>
            <w:r>
              <w:rPr>
                <w:w w:val="105"/>
                <w:sz w:val="15"/>
              </w:rPr>
              <w:t>39.4</w:t>
            </w:r>
          </w:p>
        </w:tc>
        <w:tc>
          <w:tcPr>
            <w:tcW w:w="710" w:type="dxa"/>
          </w:tcPr>
          <w:p>
            <w:pPr>
              <w:pStyle w:val="TableParagraph"/>
              <w:spacing w:before="58"/>
              <w:ind w:left="124"/>
              <w:jc w:val="left"/>
              <w:rPr>
                <w:sz w:val="15"/>
              </w:rPr>
            </w:pPr>
            <w:r>
              <w:rPr>
                <w:w w:val="105"/>
                <w:sz w:val="15"/>
              </w:rPr>
              <w:t>43</w:t>
            </w:r>
          </w:p>
        </w:tc>
        <w:tc>
          <w:tcPr>
            <w:tcW w:w="634" w:type="dxa"/>
          </w:tcPr>
          <w:p>
            <w:pPr>
              <w:pStyle w:val="TableParagraph"/>
              <w:spacing w:before="58"/>
              <w:ind w:right="177"/>
              <w:rPr>
                <w:sz w:val="15"/>
              </w:rPr>
            </w:pPr>
            <w:r>
              <w:rPr>
                <w:sz w:val="15"/>
              </w:rPr>
              <w:t>28</w:t>
            </w:r>
          </w:p>
        </w:tc>
        <w:tc>
          <w:tcPr>
            <w:tcW w:w="713" w:type="dxa"/>
          </w:tcPr>
          <w:p>
            <w:pPr>
              <w:pStyle w:val="TableParagraph"/>
              <w:spacing w:before="58"/>
              <w:ind w:left="210" w:right="121"/>
              <w:jc w:val="center"/>
              <w:rPr>
                <w:sz w:val="15"/>
              </w:rPr>
            </w:pPr>
            <w:r>
              <w:rPr>
                <w:w w:val="105"/>
                <w:sz w:val="15"/>
              </w:rPr>
              <w:t>22</w:t>
            </w:r>
          </w:p>
        </w:tc>
        <w:tc>
          <w:tcPr>
            <w:tcW w:w="713" w:type="dxa"/>
          </w:tcPr>
          <w:p>
            <w:pPr>
              <w:pStyle w:val="TableParagraph"/>
              <w:spacing w:before="58"/>
              <w:ind w:left="307"/>
              <w:jc w:val="left"/>
              <w:rPr>
                <w:sz w:val="15"/>
              </w:rPr>
            </w:pPr>
            <w:r>
              <w:rPr>
                <w:w w:val="105"/>
                <w:sz w:val="15"/>
              </w:rPr>
              <w:t>12</w:t>
            </w:r>
          </w:p>
        </w:tc>
        <w:tc>
          <w:tcPr>
            <w:tcW w:w="709" w:type="dxa"/>
            <w:tcBorders>
              <w:right w:val="single" w:sz="3" w:space="0" w:color="000000"/>
            </w:tcBorders>
          </w:tcPr>
          <w:p>
            <w:pPr>
              <w:pStyle w:val="TableParagraph"/>
              <w:spacing w:before="58"/>
              <w:ind w:left="283"/>
              <w:jc w:val="left"/>
              <w:rPr>
                <w:sz w:val="15"/>
              </w:rPr>
            </w:pPr>
            <w:r>
              <w:rPr>
                <w:w w:val="105"/>
                <w:sz w:val="15"/>
              </w:rPr>
              <w:t>8.7</w:t>
            </w:r>
          </w:p>
        </w:tc>
        <w:tc>
          <w:tcPr>
            <w:tcW w:w="709" w:type="dxa"/>
            <w:tcBorders>
              <w:left w:val="single" w:sz="3" w:space="0" w:color="000000"/>
            </w:tcBorders>
          </w:tcPr>
          <w:p>
            <w:pPr>
              <w:pStyle w:val="TableParagraph"/>
              <w:spacing w:before="58"/>
              <w:ind w:left="203" w:right="114"/>
              <w:jc w:val="center"/>
              <w:rPr>
                <w:sz w:val="15"/>
              </w:rPr>
            </w:pPr>
            <w:r>
              <w:rPr>
                <w:w w:val="105"/>
                <w:sz w:val="15"/>
              </w:rPr>
              <w:t>12.1</w:t>
            </w:r>
          </w:p>
        </w:tc>
        <w:tc>
          <w:tcPr>
            <w:tcW w:w="713" w:type="dxa"/>
          </w:tcPr>
          <w:p>
            <w:pPr>
              <w:pStyle w:val="TableParagraph"/>
              <w:spacing w:before="58"/>
              <w:ind w:left="288"/>
              <w:jc w:val="left"/>
              <w:rPr>
                <w:sz w:val="15"/>
              </w:rPr>
            </w:pPr>
            <w:r>
              <w:rPr>
                <w:w w:val="105"/>
                <w:sz w:val="15"/>
              </w:rPr>
              <w:t>7.3</w:t>
            </w:r>
          </w:p>
        </w:tc>
        <w:tc>
          <w:tcPr>
            <w:tcW w:w="710" w:type="dxa"/>
          </w:tcPr>
          <w:p>
            <w:pPr>
              <w:pStyle w:val="TableParagraph"/>
              <w:spacing w:before="58"/>
              <w:ind w:left="288"/>
              <w:jc w:val="left"/>
              <w:rPr>
                <w:sz w:val="15"/>
              </w:rPr>
            </w:pPr>
            <w:r>
              <w:rPr>
                <w:w w:val="105"/>
                <w:sz w:val="15"/>
              </w:rPr>
              <w:t>9.9</w:t>
            </w:r>
          </w:p>
        </w:tc>
        <w:tc>
          <w:tcPr>
            <w:tcW w:w="710" w:type="dxa"/>
          </w:tcPr>
          <w:p>
            <w:pPr>
              <w:pStyle w:val="TableParagraph"/>
              <w:spacing w:before="58"/>
              <w:ind w:left="203" w:right="111"/>
              <w:jc w:val="center"/>
              <w:rPr>
                <w:sz w:val="15"/>
              </w:rPr>
            </w:pPr>
            <w:r>
              <w:rPr>
                <w:w w:val="105"/>
                <w:sz w:val="15"/>
              </w:rPr>
              <w:t>12</w:t>
            </w:r>
          </w:p>
        </w:tc>
        <w:tc>
          <w:tcPr>
            <w:tcW w:w="634" w:type="dxa"/>
          </w:tcPr>
          <w:p>
            <w:pPr>
              <w:pStyle w:val="TableParagraph"/>
              <w:spacing w:before="58"/>
              <w:ind w:left="188" w:right="101"/>
              <w:jc w:val="center"/>
              <w:rPr>
                <w:sz w:val="15"/>
              </w:rPr>
            </w:pPr>
            <w:r>
              <w:rPr>
                <w:w w:val="105"/>
                <w:sz w:val="15"/>
              </w:rPr>
              <w:t>4.5</w:t>
            </w:r>
          </w:p>
        </w:tc>
      </w:tr>
      <w:tr>
        <w:trPr>
          <w:trHeight w:val="463" w:hRule="exact"/>
        </w:trPr>
        <w:tc>
          <w:tcPr>
            <w:tcW w:w="1488" w:type="dxa"/>
          </w:tcPr>
          <w:p>
            <w:pPr>
              <w:pStyle w:val="TableParagraph"/>
              <w:spacing w:before="6"/>
              <w:ind w:left="100"/>
              <w:jc w:val="left"/>
              <w:rPr>
                <w:sz w:val="19"/>
              </w:rPr>
            </w:pPr>
            <w:r>
              <w:rPr>
                <w:sz w:val="19"/>
              </w:rPr>
              <w:t>Nicaragua</w:t>
            </w:r>
          </w:p>
        </w:tc>
        <w:tc>
          <w:tcPr>
            <w:tcW w:w="878" w:type="dxa"/>
          </w:tcPr>
          <w:p>
            <w:pPr>
              <w:pStyle w:val="TableParagraph"/>
              <w:spacing w:before="61"/>
              <w:ind w:left="208"/>
              <w:jc w:val="left"/>
              <w:rPr>
                <w:sz w:val="15"/>
              </w:rPr>
            </w:pPr>
            <w:r>
              <w:rPr>
                <w:w w:val="105"/>
                <w:sz w:val="15"/>
              </w:rPr>
              <w:t>13</w:t>
            </w:r>
          </w:p>
        </w:tc>
        <w:tc>
          <w:tcPr>
            <w:tcW w:w="710" w:type="dxa"/>
          </w:tcPr>
          <w:p>
            <w:pPr>
              <w:pStyle w:val="TableParagraph"/>
              <w:spacing w:before="61"/>
              <w:ind w:right="242"/>
              <w:rPr>
                <w:sz w:val="15"/>
              </w:rPr>
            </w:pPr>
            <w:r>
              <w:rPr>
                <w:sz w:val="15"/>
              </w:rPr>
              <w:t>13</w:t>
            </w:r>
          </w:p>
        </w:tc>
        <w:tc>
          <w:tcPr>
            <w:tcW w:w="634" w:type="dxa"/>
          </w:tcPr>
          <w:p>
            <w:pPr>
              <w:pStyle w:val="TableParagraph"/>
              <w:spacing w:before="61"/>
              <w:ind w:right="177"/>
              <w:rPr>
                <w:sz w:val="15"/>
              </w:rPr>
            </w:pPr>
            <w:r>
              <w:rPr>
                <w:sz w:val="15"/>
              </w:rPr>
              <w:t>19</w:t>
            </w:r>
          </w:p>
        </w:tc>
        <w:tc>
          <w:tcPr>
            <w:tcW w:w="713" w:type="dxa"/>
          </w:tcPr>
          <w:p>
            <w:pPr>
              <w:pStyle w:val="TableParagraph"/>
              <w:spacing w:before="61"/>
              <w:ind w:left="210" w:right="123"/>
              <w:jc w:val="center"/>
              <w:rPr>
                <w:sz w:val="15"/>
              </w:rPr>
            </w:pPr>
            <w:r>
              <w:rPr>
                <w:w w:val="105"/>
                <w:sz w:val="15"/>
              </w:rPr>
              <w:t>8.7</w:t>
            </w:r>
          </w:p>
        </w:tc>
        <w:tc>
          <w:tcPr>
            <w:tcW w:w="713" w:type="dxa"/>
          </w:tcPr>
          <w:p>
            <w:pPr>
              <w:pStyle w:val="TableParagraph"/>
              <w:spacing w:before="61"/>
              <w:ind w:left="261"/>
              <w:jc w:val="left"/>
              <w:rPr>
                <w:sz w:val="15"/>
              </w:rPr>
            </w:pPr>
            <w:r>
              <w:rPr>
                <w:w w:val="105"/>
                <w:sz w:val="15"/>
              </w:rPr>
              <w:t>-4.9</w:t>
            </w:r>
          </w:p>
        </w:tc>
        <w:tc>
          <w:tcPr>
            <w:tcW w:w="709" w:type="dxa"/>
            <w:tcBorders>
              <w:right w:val="single" w:sz="3" w:space="0" w:color="000000"/>
            </w:tcBorders>
          </w:tcPr>
          <w:p>
            <w:pPr>
              <w:pStyle w:val="TableParagraph"/>
              <w:spacing w:before="61"/>
              <w:ind w:left="283"/>
              <w:jc w:val="left"/>
              <w:rPr>
                <w:sz w:val="15"/>
              </w:rPr>
            </w:pPr>
            <w:r>
              <w:rPr>
                <w:w w:val="105"/>
                <w:sz w:val="15"/>
              </w:rPr>
              <w:t>7.7</w:t>
            </w:r>
          </w:p>
        </w:tc>
        <w:tc>
          <w:tcPr>
            <w:tcW w:w="709" w:type="dxa"/>
            <w:tcBorders>
              <w:left w:val="single" w:sz="3" w:space="0" w:color="000000"/>
            </w:tcBorders>
          </w:tcPr>
          <w:p>
            <w:pPr>
              <w:pStyle w:val="TableParagraph"/>
              <w:spacing w:before="61"/>
              <w:ind w:left="203" w:right="112"/>
              <w:jc w:val="center"/>
              <w:rPr>
                <w:sz w:val="15"/>
              </w:rPr>
            </w:pPr>
            <w:r>
              <w:rPr>
                <w:w w:val="105"/>
                <w:sz w:val="15"/>
              </w:rPr>
              <w:t>6.4</w:t>
            </w:r>
          </w:p>
        </w:tc>
        <w:tc>
          <w:tcPr>
            <w:tcW w:w="713" w:type="dxa"/>
          </w:tcPr>
          <w:p>
            <w:pPr>
              <w:pStyle w:val="TableParagraph"/>
              <w:spacing w:before="61"/>
              <w:ind w:left="312"/>
              <w:jc w:val="left"/>
              <w:rPr>
                <w:sz w:val="15"/>
              </w:rPr>
            </w:pPr>
            <w:r>
              <w:rPr>
                <w:w w:val="105"/>
                <w:sz w:val="15"/>
              </w:rPr>
              <w:t>15</w:t>
            </w:r>
          </w:p>
        </w:tc>
        <w:tc>
          <w:tcPr>
            <w:tcW w:w="710" w:type="dxa"/>
          </w:tcPr>
          <w:p>
            <w:pPr>
              <w:pStyle w:val="TableParagraph"/>
              <w:spacing w:before="61"/>
              <w:ind w:left="309"/>
              <w:jc w:val="left"/>
              <w:rPr>
                <w:sz w:val="15"/>
              </w:rPr>
            </w:pPr>
            <w:r>
              <w:rPr>
                <w:w w:val="105"/>
                <w:sz w:val="15"/>
              </w:rPr>
              <w:t>23</w:t>
            </w:r>
          </w:p>
        </w:tc>
        <w:tc>
          <w:tcPr>
            <w:tcW w:w="710" w:type="dxa"/>
          </w:tcPr>
          <w:p>
            <w:pPr>
              <w:pStyle w:val="TableParagraph"/>
              <w:spacing w:before="61"/>
              <w:ind w:left="203" w:right="112"/>
              <w:jc w:val="center"/>
              <w:rPr>
                <w:sz w:val="15"/>
              </w:rPr>
            </w:pPr>
            <w:r>
              <w:rPr>
                <w:w w:val="105"/>
                <w:sz w:val="15"/>
              </w:rPr>
              <w:t>14</w:t>
            </w:r>
          </w:p>
        </w:tc>
        <w:tc>
          <w:tcPr>
            <w:tcW w:w="634" w:type="dxa"/>
          </w:tcPr>
          <w:p>
            <w:pPr/>
          </w:p>
        </w:tc>
      </w:tr>
      <w:tr>
        <w:trPr>
          <w:trHeight w:val="461" w:hRule="exact"/>
        </w:trPr>
        <w:tc>
          <w:tcPr>
            <w:tcW w:w="1488" w:type="dxa"/>
          </w:tcPr>
          <w:p>
            <w:pPr>
              <w:pStyle w:val="TableParagraph"/>
              <w:spacing w:before="4"/>
              <w:ind w:left="100"/>
              <w:jc w:val="left"/>
              <w:rPr>
                <w:sz w:val="19"/>
              </w:rPr>
            </w:pPr>
            <w:r>
              <w:rPr>
                <w:sz w:val="19"/>
              </w:rPr>
              <w:t>Colombia</w:t>
            </w:r>
          </w:p>
        </w:tc>
        <w:tc>
          <w:tcPr>
            <w:tcW w:w="878" w:type="dxa"/>
          </w:tcPr>
          <w:p>
            <w:pPr>
              <w:pStyle w:val="TableParagraph"/>
              <w:spacing w:before="56"/>
              <w:ind w:left="143"/>
              <w:jc w:val="left"/>
              <w:rPr>
                <w:sz w:val="15"/>
              </w:rPr>
            </w:pPr>
            <w:r>
              <w:rPr>
                <w:w w:val="105"/>
                <w:sz w:val="15"/>
              </w:rPr>
              <w:t>17.1</w:t>
            </w:r>
          </w:p>
        </w:tc>
        <w:tc>
          <w:tcPr>
            <w:tcW w:w="710" w:type="dxa"/>
          </w:tcPr>
          <w:p>
            <w:pPr>
              <w:pStyle w:val="TableParagraph"/>
              <w:spacing w:before="56"/>
              <w:ind w:left="124"/>
              <w:jc w:val="left"/>
              <w:rPr>
                <w:sz w:val="15"/>
              </w:rPr>
            </w:pPr>
            <w:r>
              <w:rPr>
                <w:w w:val="105"/>
                <w:sz w:val="15"/>
              </w:rPr>
              <w:t>27</w:t>
            </w:r>
          </w:p>
        </w:tc>
        <w:tc>
          <w:tcPr>
            <w:tcW w:w="634" w:type="dxa"/>
          </w:tcPr>
          <w:p>
            <w:pPr>
              <w:pStyle w:val="TableParagraph"/>
              <w:spacing w:before="56"/>
              <w:ind w:right="177"/>
              <w:rPr>
                <w:sz w:val="15"/>
              </w:rPr>
            </w:pPr>
            <w:r>
              <w:rPr>
                <w:sz w:val="15"/>
              </w:rPr>
              <w:t>14</w:t>
            </w:r>
          </w:p>
        </w:tc>
        <w:tc>
          <w:tcPr>
            <w:tcW w:w="713" w:type="dxa"/>
          </w:tcPr>
          <w:p>
            <w:pPr>
              <w:pStyle w:val="TableParagraph"/>
              <w:spacing w:before="56"/>
              <w:ind w:left="210" w:right="121"/>
              <w:jc w:val="center"/>
              <w:rPr>
                <w:sz w:val="15"/>
              </w:rPr>
            </w:pPr>
            <w:r>
              <w:rPr>
                <w:w w:val="105"/>
                <w:sz w:val="15"/>
              </w:rPr>
              <w:t>12</w:t>
            </w:r>
          </w:p>
        </w:tc>
        <w:tc>
          <w:tcPr>
            <w:tcW w:w="713" w:type="dxa"/>
          </w:tcPr>
          <w:p>
            <w:pPr>
              <w:pStyle w:val="TableParagraph"/>
              <w:spacing w:before="56"/>
              <w:ind w:left="307"/>
              <w:jc w:val="left"/>
              <w:rPr>
                <w:sz w:val="15"/>
              </w:rPr>
            </w:pPr>
            <w:r>
              <w:rPr>
                <w:w w:val="105"/>
                <w:sz w:val="15"/>
              </w:rPr>
              <w:t>11</w:t>
            </w:r>
          </w:p>
        </w:tc>
        <w:tc>
          <w:tcPr>
            <w:tcW w:w="709" w:type="dxa"/>
            <w:tcBorders>
              <w:right w:val="single" w:sz="3" w:space="0" w:color="000000"/>
            </w:tcBorders>
          </w:tcPr>
          <w:p>
            <w:pPr>
              <w:pStyle w:val="TableParagraph"/>
              <w:spacing w:before="56"/>
              <w:ind w:left="203" w:right="116"/>
              <w:jc w:val="center"/>
              <w:rPr>
                <w:sz w:val="15"/>
              </w:rPr>
            </w:pPr>
            <w:r>
              <w:rPr>
                <w:w w:val="105"/>
                <w:sz w:val="15"/>
              </w:rPr>
              <w:t>-2</w:t>
            </w:r>
          </w:p>
        </w:tc>
        <w:tc>
          <w:tcPr>
            <w:tcW w:w="709" w:type="dxa"/>
            <w:tcBorders>
              <w:left w:val="single" w:sz="3" w:space="0" w:color="000000"/>
            </w:tcBorders>
          </w:tcPr>
          <w:p>
            <w:pPr>
              <w:pStyle w:val="TableParagraph"/>
              <w:spacing w:before="56"/>
              <w:ind w:left="203" w:right="114"/>
              <w:jc w:val="center"/>
              <w:rPr>
                <w:sz w:val="15"/>
              </w:rPr>
            </w:pPr>
            <w:r>
              <w:rPr>
                <w:w w:val="105"/>
                <w:sz w:val="15"/>
              </w:rPr>
              <w:t>23.2</w:t>
            </w:r>
          </w:p>
        </w:tc>
        <w:tc>
          <w:tcPr>
            <w:tcW w:w="713" w:type="dxa"/>
          </w:tcPr>
          <w:p>
            <w:pPr>
              <w:pStyle w:val="TableParagraph"/>
              <w:spacing w:before="56"/>
              <w:ind w:left="312"/>
              <w:jc w:val="left"/>
              <w:rPr>
                <w:sz w:val="15"/>
              </w:rPr>
            </w:pPr>
            <w:r>
              <w:rPr>
                <w:w w:val="105"/>
                <w:sz w:val="15"/>
              </w:rPr>
              <w:t>29</w:t>
            </w:r>
          </w:p>
        </w:tc>
        <w:tc>
          <w:tcPr>
            <w:tcW w:w="710" w:type="dxa"/>
          </w:tcPr>
          <w:p>
            <w:pPr>
              <w:pStyle w:val="TableParagraph"/>
              <w:spacing w:before="56"/>
              <w:ind w:left="309"/>
              <w:jc w:val="left"/>
              <w:rPr>
                <w:sz w:val="15"/>
              </w:rPr>
            </w:pPr>
            <w:r>
              <w:rPr>
                <w:w w:val="105"/>
                <w:sz w:val="15"/>
              </w:rPr>
              <w:t>20</w:t>
            </w:r>
          </w:p>
        </w:tc>
        <w:tc>
          <w:tcPr>
            <w:tcW w:w="710" w:type="dxa"/>
          </w:tcPr>
          <w:p>
            <w:pPr>
              <w:pStyle w:val="TableParagraph"/>
              <w:spacing w:before="56"/>
              <w:ind w:left="203" w:right="111"/>
              <w:jc w:val="center"/>
              <w:rPr>
                <w:sz w:val="15"/>
              </w:rPr>
            </w:pPr>
            <w:r>
              <w:rPr>
                <w:w w:val="105"/>
                <w:sz w:val="15"/>
              </w:rPr>
              <w:t>19</w:t>
            </w:r>
          </w:p>
        </w:tc>
        <w:tc>
          <w:tcPr>
            <w:tcW w:w="634" w:type="dxa"/>
          </w:tcPr>
          <w:p>
            <w:pPr/>
          </w:p>
        </w:tc>
      </w:tr>
      <w:tr>
        <w:trPr>
          <w:trHeight w:val="463" w:hRule="exact"/>
        </w:trPr>
        <w:tc>
          <w:tcPr>
            <w:tcW w:w="1488" w:type="dxa"/>
          </w:tcPr>
          <w:p>
            <w:pPr>
              <w:pStyle w:val="TableParagraph"/>
              <w:spacing w:before="4"/>
              <w:ind w:left="100"/>
              <w:jc w:val="left"/>
              <w:rPr>
                <w:sz w:val="19"/>
              </w:rPr>
            </w:pPr>
            <w:r>
              <w:rPr>
                <w:sz w:val="19"/>
              </w:rPr>
              <w:t>Ecuador</w:t>
            </w:r>
          </w:p>
        </w:tc>
        <w:tc>
          <w:tcPr>
            <w:tcW w:w="878" w:type="dxa"/>
          </w:tcPr>
          <w:p>
            <w:pPr>
              <w:pStyle w:val="TableParagraph"/>
              <w:spacing w:before="58"/>
              <w:ind w:left="184"/>
              <w:jc w:val="left"/>
              <w:rPr>
                <w:sz w:val="15"/>
              </w:rPr>
            </w:pPr>
            <w:r>
              <w:rPr>
                <w:w w:val="105"/>
                <w:sz w:val="15"/>
              </w:rPr>
              <w:t>9.4</w:t>
            </w:r>
          </w:p>
        </w:tc>
        <w:tc>
          <w:tcPr>
            <w:tcW w:w="710" w:type="dxa"/>
          </w:tcPr>
          <w:p>
            <w:pPr>
              <w:pStyle w:val="TableParagraph"/>
              <w:spacing w:before="58"/>
              <w:ind w:left="124"/>
              <w:jc w:val="left"/>
              <w:rPr>
                <w:sz w:val="15"/>
              </w:rPr>
            </w:pPr>
            <w:r>
              <w:rPr>
                <w:w w:val="105"/>
                <w:sz w:val="15"/>
              </w:rPr>
              <w:t>17</w:t>
            </w:r>
          </w:p>
        </w:tc>
        <w:tc>
          <w:tcPr>
            <w:tcW w:w="634" w:type="dxa"/>
          </w:tcPr>
          <w:p>
            <w:pPr>
              <w:pStyle w:val="TableParagraph"/>
              <w:spacing w:before="58"/>
              <w:ind w:right="177"/>
              <w:rPr>
                <w:sz w:val="15"/>
              </w:rPr>
            </w:pPr>
            <w:r>
              <w:rPr>
                <w:sz w:val="15"/>
              </w:rPr>
              <w:t>23</w:t>
            </w:r>
          </w:p>
        </w:tc>
        <w:tc>
          <w:tcPr>
            <w:tcW w:w="713" w:type="dxa"/>
          </w:tcPr>
          <w:p>
            <w:pPr>
              <w:pStyle w:val="TableParagraph"/>
              <w:spacing w:before="58"/>
              <w:ind w:left="210" w:right="121"/>
              <w:jc w:val="center"/>
              <w:rPr>
                <w:sz w:val="15"/>
              </w:rPr>
            </w:pPr>
            <w:r>
              <w:rPr>
                <w:w w:val="105"/>
                <w:sz w:val="15"/>
              </w:rPr>
              <w:t>27</w:t>
            </w:r>
          </w:p>
        </w:tc>
        <w:tc>
          <w:tcPr>
            <w:tcW w:w="713" w:type="dxa"/>
          </w:tcPr>
          <w:p>
            <w:pPr>
              <w:pStyle w:val="TableParagraph"/>
              <w:spacing w:before="58"/>
              <w:ind w:left="285"/>
              <w:jc w:val="left"/>
              <w:rPr>
                <w:sz w:val="15"/>
              </w:rPr>
            </w:pPr>
            <w:r>
              <w:rPr>
                <w:w w:val="105"/>
                <w:sz w:val="15"/>
              </w:rPr>
              <w:t>3.5</w:t>
            </w:r>
          </w:p>
        </w:tc>
        <w:tc>
          <w:tcPr>
            <w:tcW w:w="709" w:type="dxa"/>
            <w:tcBorders>
              <w:right w:val="single" w:sz="3" w:space="0" w:color="000000"/>
            </w:tcBorders>
          </w:tcPr>
          <w:p>
            <w:pPr>
              <w:pStyle w:val="TableParagraph"/>
              <w:spacing w:before="58"/>
              <w:ind w:left="283"/>
              <w:jc w:val="left"/>
              <w:rPr>
                <w:sz w:val="15"/>
              </w:rPr>
            </w:pPr>
            <w:r>
              <w:rPr>
                <w:w w:val="105"/>
                <w:sz w:val="15"/>
              </w:rPr>
              <w:t>8.5</w:t>
            </w:r>
          </w:p>
        </w:tc>
        <w:tc>
          <w:tcPr>
            <w:tcW w:w="709" w:type="dxa"/>
            <w:tcBorders>
              <w:left w:val="single" w:sz="3" w:space="0" w:color="000000"/>
            </w:tcBorders>
          </w:tcPr>
          <w:p>
            <w:pPr>
              <w:pStyle w:val="TableParagraph"/>
              <w:spacing w:before="58"/>
              <w:ind w:left="203" w:right="112"/>
              <w:jc w:val="center"/>
              <w:rPr>
                <w:sz w:val="15"/>
              </w:rPr>
            </w:pPr>
            <w:r>
              <w:rPr>
                <w:w w:val="105"/>
                <w:sz w:val="15"/>
              </w:rPr>
              <w:t>6.9</w:t>
            </w:r>
          </w:p>
        </w:tc>
        <w:tc>
          <w:tcPr>
            <w:tcW w:w="713" w:type="dxa"/>
          </w:tcPr>
          <w:p>
            <w:pPr>
              <w:pStyle w:val="TableParagraph"/>
              <w:spacing w:before="58"/>
              <w:ind w:left="89"/>
              <w:jc w:val="center"/>
              <w:rPr>
                <w:sz w:val="15"/>
              </w:rPr>
            </w:pPr>
            <w:r>
              <w:rPr>
                <w:w w:val="104"/>
                <w:sz w:val="15"/>
              </w:rPr>
              <w:t>3</w:t>
            </w:r>
          </w:p>
        </w:tc>
        <w:tc>
          <w:tcPr>
            <w:tcW w:w="710" w:type="dxa"/>
          </w:tcPr>
          <w:p>
            <w:pPr>
              <w:pStyle w:val="TableParagraph"/>
              <w:spacing w:before="58"/>
              <w:ind w:left="309"/>
              <w:jc w:val="left"/>
              <w:rPr>
                <w:sz w:val="15"/>
              </w:rPr>
            </w:pPr>
            <w:r>
              <w:rPr>
                <w:w w:val="105"/>
                <w:sz w:val="15"/>
              </w:rPr>
              <w:t>12</w:t>
            </w:r>
          </w:p>
        </w:tc>
        <w:tc>
          <w:tcPr>
            <w:tcW w:w="710" w:type="dxa"/>
          </w:tcPr>
          <w:p>
            <w:pPr>
              <w:pStyle w:val="TableParagraph"/>
              <w:spacing w:before="58"/>
              <w:ind w:left="203" w:right="109"/>
              <w:jc w:val="center"/>
              <w:rPr>
                <w:sz w:val="15"/>
              </w:rPr>
            </w:pPr>
            <w:r>
              <w:rPr>
                <w:w w:val="105"/>
                <w:sz w:val="15"/>
              </w:rPr>
              <w:t>-8</w:t>
            </w:r>
          </w:p>
        </w:tc>
        <w:tc>
          <w:tcPr>
            <w:tcW w:w="634" w:type="dxa"/>
          </w:tcPr>
          <w:p>
            <w:pPr/>
          </w:p>
        </w:tc>
      </w:tr>
      <w:tr>
        <w:trPr>
          <w:trHeight w:val="461" w:hRule="exact"/>
        </w:trPr>
        <w:tc>
          <w:tcPr>
            <w:tcW w:w="1488" w:type="dxa"/>
          </w:tcPr>
          <w:p>
            <w:pPr>
              <w:pStyle w:val="TableParagraph"/>
              <w:spacing w:before="4"/>
              <w:ind w:left="100"/>
              <w:jc w:val="left"/>
              <w:rPr>
                <w:sz w:val="19"/>
              </w:rPr>
            </w:pPr>
            <w:r>
              <w:rPr>
                <w:sz w:val="19"/>
              </w:rPr>
              <w:t>Jamaica</w:t>
            </w:r>
          </w:p>
        </w:tc>
        <w:tc>
          <w:tcPr>
            <w:tcW w:w="878" w:type="dxa"/>
          </w:tcPr>
          <w:p>
            <w:pPr>
              <w:pStyle w:val="TableParagraph"/>
              <w:spacing w:before="58"/>
              <w:ind w:left="184"/>
              <w:jc w:val="left"/>
              <w:rPr>
                <w:sz w:val="15"/>
              </w:rPr>
            </w:pPr>
            <w:r>
              <w:rPr>
                <w:w w:val="105"/>
                <w:sz w:val="15"/>
              </w:rPr>
              <w:t>3.6</w:t>
            </w:r>
          </w:p>
        </w:tc>
        <w:tc>
          <w:tcPr>
            <w:tcW w:w="710" w:type="dxa"/>
          </w:tcPr>
          <w:p>
            <w:pPr>
              <w:pStyle w:val="TableParagraph"/>
              <w:spacing w:before="58"/>
              <w:ind w:left="100"/>
              <w:jc w:val="left"/>
              <w:rPr>
                <w:sz w:val="15"/>
              </w:rPr>
            </w:pPr>
            <w:r>
              <w:rPr>
                <w:w w:val="105"/>
                <w:sz w:val="15"/>
              </w:rPr>
              <w:t>7.6</w:t>
            </w:r>
          </w:p>
        </w:tc>
        <w:tc>
          <w:tcPr>
            <w:tcW w:w="634" w:type="dxa"/>
          </w:tcPr>
          <w:p>
            <w:pPr>
              <w:pStyle w:val="TableParagraph"/>
              <w:spacing w:before="58"/>
              <w:ind w:right="158"/>
              <w:rPr>
                <w:sz w:val="15"/>
              </w:rPr>
            </w:pPr>
            <w:r>
              <w:rPr>
                <w:sz w:val="15"/>
              </w:rPr>
              <w:t>7.4</w:t>
            </w:r>
          </w:p>
        </w:tc>
        <w:tc>
          <w:tcPr>
            <w:tcW w:w="713" w:type="dxa"/>
          </w:tcPr>
          <w:p>
            <w:pPr>
              <w:pStyle w:val="TableParagraph"/>
              <w:spacing w:before="58"/>
              <w:ind w:left="210" w:right="124"/>
              <w:jc w:val="center"/>
              <w:rPr>
                <w:sz w:val="15"/>
              </w:rPr>
            </w:pPr>
            <w:r>
              <w:rPr>
                <w:w w:val="105"/>
                <w:sz w:val="15"/>
              </w:rPr>
              <w:t>9.9</w:t>
            </w:r>
          </w:p>
        </w:tc>
        <w:tc>
          <w:tcPr>
            <w:tcW w:w="713" w:type="dxa"/>
          </w:tcPr>
          <w:p>
            <w:pPr>
              <w:pStyle w:val="TableParagraph"/>
              <w:spacing w:before="58"/>
              <w:ind w:left="285"/>
              <w:jc w:val="left"/>
              <w:rPr>
                <w:sz w:val="15"/>
              </w:rPr>
            </w:pPr>
            <w:r>
              <w:rPr>
                <w:w w:val="105"/>
                <w:sz w:val="15"/>
              </w:rPr>
              <w:t>7.8</w:t>
            </w:r>
          </w:p>
        </w:tc>
        <w:tc>
          <w:tcPr>
            <w:tcW w:w="709" w:type="dxa"/>
            <w:tcBorders>
              <w:right w:val="single" w:sz="3" w:space="0" w:color="000000"/>
            </w:tcBorders>
          </w:tcPr>
          <w:p>
            <w:pPr>
              <w:pStyle w:val="TableParagraph"/>
              <w:spacing w:before="58"/>
              <w:ind w:left="304"/>
              <w:jc w:val="left"/>
              <w:rPr>
                <w:sz w:val="15"/>
              </w:rPr>
            </w:pPr>
            <w:r>
              <w:rPr>
                <w:w w:val="105"/>
                <w:sz w:val="15"/>
              </w:rPr>
              <w:t>10</w:t>
            </w:r>
          </w:p>
        </w:tc>
        <w:tc>
          <w:tcPr>
            <w:tcW w:w="709" w:type="dxa"/>
            <w:tcBorders>
              <w:left w:val="single" w:sz="3" w:space="0" w:color="000000"/>
            </w:tcBorders>
          </w:tcPr>
          <w:p>
            <w:pPr>
              <w:pStyle w:val="TableParagraph"/>
              <w:spacing w:before="58"/>
              <w:ind w:left="203" w:right="114"/>
              <w:jc w:val="center"/>
              <w:rPr>
                <w:sz w:val="15"/>
              </w:rPr>
            </w:pPr>
            <w:r>
              <w:rPr>
                <w:w w:val="105"/>
                <w:sz w:val="15"/>
              </w:rPr>
              <w:t>11.8</w:t>
            </w:r>
          </w:p>
        </w:tc>
        <w:tc>
          <w:tcPr>
            <w:tcW w:w="713" w:type="dxa"/>
          </w:tcPr>
          <w:p>
            <w:pPr>
              <w:pStyle w:val="TableParagraph"/>
              <w:spacing w:before="58"/>
              <w:ind w:left="312"/>
              <w:jc w:val="left"/>
              <w:rPr>
                <w:sz w:val="15"/>
              </w:rPr>
            </w:pPr>
            <w:r>
              <w:rPr>
                <w:w w:val="105"/>
                <w:sz w:val="15"/>
              </w:rPr>
              <w:t>14</w:t>
            </w:r>
          </w:p>
        </w:tc>
        <w:tc>
          <w:tcPr>
            <w:tcW w:w="710" w:type="dxa"/>
          </w:tcPr>
          <w:p>
            <w:pPr>
              <w:pStyle w:val="TableParagraph"/>
              <w:spacing w:before="58"/>
              <w:ind w:left="309"/>
              <w:jc w:val="left"/>
              <w:rPr>
                <w:sz w:val="15"/>
              </w:rPr>
            </w:pPr>
            <w:r>
              <w:rPr>
                <w:w w:val="105"/>
                <w:sz w:val="15"/>
              </w:rPr>
              <w:t>12</w:t>
            </w:r>
          </w:p>
        </w:tc>
        <w:tc>
          <w:tcPr>
            <w:tcW w:w="710" w:type="dxa"/>
          </w:tcPr>
          <w:p>
            <w:pPr>
              <w:pStyle w:val="TableParagraph"/>
              <w:spacing w:before="58"/>
              <w:ind w:left="203" w:right="112"/>
              <w:jc w:val="center"/>
              <w:rPr>
                <w:sz w:val="15"/>
              </w:rPr>
            </w:pPr>
            <w:r>
              <w:rPr>
                <w:w w:val="105"/>
                <w:sz w:val="15"/>
              </w:rPr>
              <w:t>11</w:t>
            </w:r>
          </w:p>
        </w:tc>
        <w:tc>
          <w:tcPr>
            <w:tcW w:w="634" w:type="dxa"/>
          </w:tcPr>
          <w:p>
            <w:pPr/>
          </w:p>
        </w:tc>
      </w:tr>
      <w:tr>
        <w:trPr>
          <w:trHeight w:val="462" w:hRule="exact"/>
        </w:trPr>
        <w:tc>
          <w:tcPr>
            <w:tcW w:w="1488" w:type="dxa"/>
            <w:tcBorders>
              <w:bottom w:val="single" w:sz="3" w:space="0" w:color="000000"/>
            </w:tcBorders>
          </w:tcPr>
          <w:p>
            <w:pPr>
              <w:pStyle w:val="TableParagraph"/>
              <w:spacing w:before="4"/>
              <w:ind w:left="100"/>
              <w:jc w:val="left"/>
              <w:rPr>
                <w:sz w:val="19"/>
              </w:rPr>
            </w:pPr>
            <w:r>
              <w:rPr>
                <w:sz w:val="19"/>
              </w:rPr>
              <w:t>R. Dominicana</w:t>
            </w:r>
          </w:p>
        </w:tc>
        <w:tc>
          <w:tcPr>
            <w:tcW w:w="878" w:type="dxa"/>
            <w:tcBorders>
              <w:bottom w:val="single" w:sz="3" w:space="0" w:color="000000"/>
            </w:tcBorders>
          </w:tcPr>
          <w:p>
            <w:pPr>
              <w:pStyle w:val="TableParagraph"/>
              <w:spacing w:before="58"/>
              <w:ind w:left="143"/>
              <w:jc w:val="left"/>
              <w:rPr>
                <w:sz w:val="15"/>
              </w:rPr>
            </w:pPr>
            <w:r>
              <w:rPr>
                <w:w w:val="105"/>
                <w:sz w:val="15"/>
              </w:rPr>
              <w:t>10.6</w:t>
            </w:r>
          </w:p>
        </w:tc>
        <w:tc>
          <w:tcPr>
            <w:tcW w:w="710" w:type="dxa"/>
            <w:tcBorders>
              <w:bottom w:val="single" w:sz="3" w:space="0" w:color="000000"/>
            </w:tcBorders>
          </w:tcPr>
          <w:p>
            <w:pPr>
              <w:pStyle w:val="TableParagraph"/>
              <w:spacing w:before="58"/>
              <w:ind w:left="124"/>
              <w:jc w:val="left"/>
              <w:rPr>
                <w:sz w:val="15"/>
              </w:rPr>
            </w:pPr>
            <w:r>
              <w:rPr>
                <w:w w:val="105"/>
                <w:sz w:val="15"/>
              </w:rPr>
              <w:t>19</w:t>
            </w:r>
          </w:p>
        </w:tc>
        <w:tc>
          <w:tcPr>
            <w:tcW w:w="634" w:type="dxa"/>
            <w:tcBorders>
              <w:bottom w:val="single" w:sz="3" w:space="0" w:color="000000"/>
            </w:tcBorders>
          </w:tcPr>
          <w:p>
            <w:pPr>
              <w:pStyle w:val="TableParagraph"/>
              <w:spacing w:before="58"/>
              <w:ind w:right="177"/>
              <w:rPr>
                <w:sz w:val="15"/>
              </w:rPr>
            </w:pPr>
            <w:r>
              <w:rPr>
                <w:sz w:val="15"/>
              </w:rPr>
              <w:t>18</w:t>
            </w:r>
          </w:p>
        </w:tc>
        <w:tc>
          <w:tcPr>
            <w:tcW w:w="713" w:type="dxa"/>
            <w:tcBorders>
              <w:bottom w:val="single" w:sz="3" w:space="0" w:color="000000"/>
            </w:tcBorders>
          </w:tcPr>
          <w:p>
            <w:pPr>
              <w:pStyle w:val="TableParagraph"/>
              <w:spacing w:before="58"/>
              <w:ind w:left="210" w:right="123"/>
              <w:jc w:val="center"/>
              <w:rPr>
                <w:sz w:val="15"/>
              </w:rPr>
            </w:pPr>
            <w:r>
              <w:rPr>
                <w:w w:val="105"/>
                <w:sz w:val="15"/>
              </w:rPr>
              <w:t>5.6</w:t>
            </w:r>
          </w:p>
        </w:tc>
        <w:tc>
          <w:tcPr>
            <w:tcW w:w="713" w:type="dxa"/>
            <w:tcBorders>
              <w:bottom w:val="single" w:sz="3" w:space="0" w:color="000000"/>
            </w:tcBorders>
          </w:tcPr>
          <w:p>
            <w:pPr>
              <w:pStyle w:val="TableParagraph"/>
              <w:spacing w:before="58"/>
              <w:ind w:left="307"/>
              <w:jc w:val="left"/>
              <w:rPr>
                <w:sz w:val="15"/>
              </w:rPr>
            </w:pPr>
            <w:r>
              <w:rPr>
                <w:w w:val="105"/>
                <w:sz w:val="15"/>
              </w:rPr>
              <w:t>17</w:t>
            </w:r>
          </w:p>
        </w:tc>
        <w:tc>
          <w:tcPr>
            <w:tcW w:w="709" w:type="dxa"/>
            <w:tcBorders>
              <w:bottom w:val="single" w:sz="3" w:space="0" w:color="000000"/>
              <w:right w:val="single" w:sz="3" w:space="0" w:color="000000"/>
            </w:tcBorders>
          </w:tcPr>
          <w:p>
            <w:pPr>
              <w:pStyle w:val="TableParagraph"/>
              <w:spacing w:before="58"/>
              <w:ind w:left="304"/>
              <w:jc w:val="left"/>
              <w:rPr>
                <w:sz w:val="15"/>
              </w:rPr>
            </w:pPr>
            <w:r>
              <w:rPr>
                <w:w w:val="105"/>
                <w:sz w:val="15"/>
              </w:rPr>
              <w:t>11</w:t>
            </w:r>
          </w:p>
        </w:tc>
        <w:tc>
          <w:tcPr>
            <w:tcW w:w="709" w:type="dxa"/>
            <w:tcBorders>
              <w:left w:val="single" w:sz="3" w:space="0" w:color="000000"/>
              <w:bottom w:val="single" w:sz="3" w:space="0" w:color="000000"/>
            </w:tcBorders>
          </w:tcPr>
          <w:p>
            <w:pPr>
              <w:pStyle w:val="TableParagraph"/>
              <w:spacing w:before="58"/>
              <w:ind w:left="203" w:right="112"/>
              <w:jc w:val="center"/>
              <w:rPr>
                <w:sz w:val="15"/>
              </w:rPr>
            </w:pPr>
            <w:r>
              <w:rPr>
                <w:w w:val="105"/>
                <w:sz w:val="15"/>
              </w:rPr>
              <w:t>7.2</w:t>
            </w:r>
          </w:p>
        </w:tc>
        <w:tc>
          <w:tcPr>
            <w:tcW w:w="713" w:type="dxa"/>
            <w:tcBorders>
              <w:bottom w:val="single" w:sz="3" w:space="0" w:color="000000"/>
            </w:tcBorders>
          </w:tcPr>
          <w:p>
            <w:pPr>
              <w:pStyle w:val="TableParagraph"/>
              <w:spacing w:before="58"/>
              <w:ind w:left="288"/>
              <w:jc w:val="left"/>
              <w:rPr>
                <w:sz w:val="15"/>
              </w:rPr>
            </w:pPr>
            <w:r>
              <w:rPr>
                <w:w w:val="105"/>
                <w:sz w:val="15"/>
              </w:rPr>
              <w:t>8.8</w:t>
            </w:r>
          </w:p>
        </w:tc>
        <w:tc>
          <w:tcPr>
            <w:tcW w:w="710" w:type="dxa"/>
            <w:tcBorders>
              <w:bottom w:val="single" w:sz="3" w:space="0" w:color="000000"/>
            </w:tcBorders>
          </w:tcPr>
          <w:p>
            <w:pPr>
              <w:pStyle w:val="TableParagraph"/>
              <w:spacing w:before="58"/>
              <w:ind w:left="288"/>
              <w:jc w:val="left"/>
              <w:rPr>
                <w:sz w:val="15"/>
              </w:rPr>
            </w:pPr>
            <w:r>
              <w:rPr>
                <w:w w:val="105"/>
                <w:sz w:val="15"/>
              </w:rPr>
              <w:t>7.9</w:t>
            </w:r>
          </w:p>
        </w:tc>
        <w:tc>
          <w:tcPr>
            <w:tcW w:w="710" w:type="dxa"/>
            <w:tcBorders>
              <w:bottom w:val="single" w:sz="3" w:space="0" w:color="000000"/>
            </w:tcBorders>
          </w:tcPr>
          <w:p>
            <w:pPr>
              <w:pStyle w:val="TableParagraph"/>
              <w:spacing w:before="58"/>
              <w:ind w:left="203" w:right="114"/>
              <w:jc w:val="center"/>
              <w:rPr>
                <w:sz w:val="15"/>
              </w:rPr>
            </w:pPr>
            <w:r>
              <w:rPr>
                <w:w w:val="105"/>
                <w:sz w:val="15"/>
              </w:rPr>
              <w:t>5.3</w:t>
            </w:r>
          </w:p>
        </w:tc>
        <w:tc>
          <w:tcPr>
            <w:tcW w:w="634" w:type="dxa"/>
            <w:tcBorders>
              <w:bottom w:val="single" w:sz="3" w:space="0" w:color="000000"/>
            </w:tcBorders>
          </w:tcPr>
          <w:p>
            <w:pPr/>
          </w:p>
        </w:tc>
      </w:tr>
      <w:tr>
        <w:trPr>
          <w:trHeight w:val="772" w:hRule="exact"/>
        </w:trPr>
        <w:tc>
          <w:tcPr>
            <w:tcW w:w="1488" w:type="dxa"/>
            <w:tcBorders>
              <w:top w:val="single" w:sz="3" w:space="0" w:color="000000"/>
            </w:tcBorders>
          </w:tcPr>
          <w:p>
            <w:pPr>
              <w:pStyle w:val="TableParagraph"/>
              <w:spacing w:line="280" w:lineRule="auto"/>
              <w:ind w:left="100"/>
              <w:jc w:val="left"/>
              <w:rPr>
                <w:sz w:val="21"/>
              </w:rPr>
            </w:pPr>
            <w:r>
              <w:rPr>
                <w:sz w:val="21"/>
              </w:rPr>
              <w:t>Desempleo hispano</w:t>
            </w:r>
          </w:p>
        </w:tc>
        <w:tc>
          <w:tcPr>
            <w:tcW w:w="878" w:type="dxa"/>
            <w:tcBorders>
              <w:top w:val="single" w:sz="3" w:space="0" w:color="000000"/>
            </w:tcBorders>
          </w:tcPr>
          <w:p>
            <w:pPr>
              <w:pStyle w:val="TableParagraph"/>
              <w:spacing w:before="0"/>
              <w:jc w:val="left"/>
              <w:rPr>
                <w:b/>
                <w:sz w:val="16"/>
              </w:rPr>
            </w:pPr>
          </w:p>
          <w:p>
            <w:pPr>
              <w:pStyle w:val="TableParagraph"/>
              <w:spacing w:before="0"/>
              <w:jc w:val="left"/>
              <w:rPr>
                <w:b/>
                <w:sz w:val="16"/>
              </w:rPr>
            </w:pPr>
          </w:p>
          <w:p>
            <w:pPr>
              <w:pStyle w:val="TableParagraph"/>
              <w:spacing w:before="0"/>
              <w:ind w:left="143"/>
              <w:jc w:val="left"/>
              <w:rPr>
                <w:sz w:val="15"/>
              </w:rPr>
            </w:pPr>
            <w:r>
              <w:rPr>
                <w:w w:val="105"/>
                <w:sz w:val="15"/>
              </w:rPr>
              <w:t>5.56</w:t>
            </w:r>
          </w:p>
        </w:tc>
        <w:tc>
          <w:tcPr>
            <w:tcW w:w="710" w:type="dxa"/>
            <w:tcBorders>
              <w:top w:val="single" w:sz="3" w:space="0" w:color="000000"/>
            </w:tcBorders>
          </w:tcPr>
          <w:p>
            <w:pPr>
              <w:pStyle w:val="TableParagraph"/>
              <w:spacing w:before="0"/>
              <w:jc w:val="left"/>
              <w:rPr>
                <w:b/>
                <w:sz w:val="16"/>
              </w:rPr>
            </w:pPr>
          </w:p>
          <w:p>
            <w:pPr>
              <w:pStyle w:val="TableParagraph"/>
              <w:spacing w:before="0"/>
              <w:jc w:val="left"/>
              <w:rPr>
                <w:b/>
                <w:sz w:val="16"/>
              </w:rPr>
            </w:pPr>
          </w:p>
          <w:p>
            <w:pPr>
              <w:pStyle w:val="TableParagraph"/>
              <w:spacing w:before="0"/>
              <w:ind w:right="179"/>
              <w:rPr>
                <w:sz w:val="15"/>
              </w:rPr>
            </w:pPr>
            <w:r>
              <w:rPr>
                <w:w w:val="105"/>
                <w:sz w:val="15"/>
              </w:rPr>
              <w:t>5.23</w:t>
            </w:r>
          </w:p>
        </w:tc>
        <w:tc>
          <w:tcPr>
            <w:tcW w:w="634" w:type="dxa"/>
            <w:tcBorders>
              <w:top w:val="single" w:sz="3" w:space="0" w:color="000000"/>
            </w:tcBorders>
          </w:tcPr>
          <w:p>
            <w:pPr>
              <w:pStyle w:val="TableParagraph"/>
              <w:spacing w:before="0"/>
              <w:jc w:val="left"/>
              <w:rPr>
                <w:b/>
                <w:sz w:val="16"/>
              </w:rPr>
            </w:pPr>
          </w:p>
          <w:p>
            <w:pPr>
              <w:pStyle w:val="TableParagraph"/>
              <w:spacing w:before="0"/>
              <w:jc w:val="left"/>
              <w:rPr>
                <w:b/>
                <w:sz w:val="16"/>
              </w:rPr>
            </w:pPr>
          </w:p>
          <w:p>
            <w:pPr>
              <w:pStyle w:val="TableParagraph"/>
              <w:spacing w:before="0"/>
              <w:ind w:right="158"/>
              <w:rPr>
                <w:sz w:val="15"/>
              </w:rPr>
            </w:pPr>
            <w:r>
              <w:rPr>
                <w:sz w:val="15"/>
              </w:rPr>
              <w:t>5.3</w:t>
            </w:r>
          </w:p>
        </w:tc>
        <w:tc>
          <w:tcPr>
            <w:tcW w:w="713" w:type="dxa"/>
            <w:tcBorders>
              <w:top w:val="single" w:sz="3" w:space="0" w:color="000000"/>
            </w:tcBorders>
          </w:tcPr>
          <w:p>
            <w:pPr>
              <w:pStyle w:val="TableParagraph"/>
              <w:spacing w:before="0"/>
              <w:jc w:val="left"/>
              <w:rPr>
                <w:b/>
                <w:sz w:val="16"/>
              </w:rPr>
            </w:pPr>
          </w:p>
          <w:p>
            <w:pPr>
              <w:pStyle w:val="TableParagraph"/>
              <w:spacing w:before="0"/>
              <w:jc w:val="left"/>
              <w:rPr>
                <w:b/>
                <w:sz w:val="16"/>
              </w:rPr>
            </w:pPr>
          </w:p>
          <w:p>
            <w:pPr>
              <w:pStyle w:val="TableParagraph"/>
              <w:spacing w:before="0"/>
              <w:ind w:left="210" w:right="121"/>
              <w:jc w:val="center"/>
              <w:rPr>
                <w:sz w:val="15"/>
              </w:rPr>
            </w:pPr>
            <w:r>
              <w:rPr>
                <w:w w:val="105"/>
                <w:sz w:val="15"/>
              </w:rPr>
              <w:t>4.86</w:t>
            </w:r>
          </w:p>
        </w:tc>
        <w:tc>
          <w:tcPr>
            <w:tcW w:w="713" w:type="dxa"/>
            <w:tcBorders>
              <w:top w:val="single" w:sz="3" w:space="0" w:color="000000"/>
            </w:tcBorders>
          </w:tcPr>
          <w:p>
            <w:pPr>
              <w:pStyle w:val="TableParagraph"/>
              <w:spacing w:before="0"/>
              <w:jc w:val="left"/>
              <w:rPr>
                <w:b/>
                <w:sz w:val="16"/>
              </w:rPr>
            </w:pPr>
          </w:p>
          <w:p>
            <w:pPr>
              <w:pStyle w:val="TableParagraph"/>
              <w:spacing w:before="0"/>
              <w:jc w:val="left"/>
              <w:rPr>
                <w:b/>
                <w:sz w:val="16"/>
              </w:rPr>
            </w:pPr>
          </w:p>
          <w:p>
            <w:pPr>
              <w:pStyle w:val="TableParagraph"/>
              <w:spacing w:before="0"/>
              <w:ind w:left="242"/>
              <w:jc w:val="left"/>
              <w:rPr>
                <w:sz w:val="15"/>
              </w:rPr>
            </w:pPr>
            <w:r>
              <w:rPr>
                <w:w w:val="105"/>
                <w:sz w:val="15"/>
              </w:rPr>
              <w:t>5.36</w:t>
            </w:r>
          </w:p>
        </w:tc>
        <w:tc>
          <w:tcPr>
            <w:tcW w:w="709" w:type="dxa"/>
            <w:tcBorders>
              <w:top w:val="single" w:sz="3" w:space="0" w:color="000000"/>
              <w:right w:val="single" w:sz="3" w:space="0" w:color="000000"/>
            </w:tcBorders>
          </w:tcPr>
          <w:p>
            <w:pPr>
              <w:pStyle w:val="TableParagraph"/>
              <w:spacing w:before="0"/>
              <w:jc w:val="left"/>
              <w:rPr>
                <w:b/>
                <w:sz w:val="16"/>
              </w:rPr>
            </w:pPr>
          </w:p>
          <w:p>
            <w:pPr>
              <w:pStyle w:val="TableParagraph"/>
              <w:spacing w:before="0"/>
              <w:jc w:val="left"/>
              <w:rPr>
                <w:b/>
                <w:sz w:val="16"/>
              </w:rPr>
            </w:pPr>
          </w:p>
          <w:p>
            <w:pPr>
              <w:pStyle w:val="TableParagraph"/>
              <w:spacing w:before="0"/>
              <w:ind w:left="240"/>
              <w:jc w:val="left"/>
              <w:rPr>
                <w:sz w:val="15"/>
              </w:rPr>
            </w:pPr>
            <w:r>
              <w:rPr>
                <w:w w:val="105"/>
                <w:sz w:val="15"/>
              </w:rPr>
              <w:t>5.66</w:t>
            </w:r>
          </w:p>
        </w:tc>
        <w:tc>
          <w:tcPr>
            <w:tcW w:w="709" w:type="dxa"/>
            <w:tcBorders>
              <w:top w:val="single" w:sz="3" w:space="0" w:color="000000"/>
              <w:left w:val="single" w:sz="3" w:space="0" w:color="000000"/>
            </w:tcBorders>
          </w:tcPr>
          <w:p>
            <w:pPr>
              <w:pStyle w:val="TableParagraph"/>
              <w:spacing w:before="0"/>
              <w:jc w:val="left"/>
              <w:rPr>
                <w:b/>
                <w:sz w:val="16"/>
              </w:rPr>
            </w:pPr>
          </w:p>
          <w:p>
            <w:pPr>
              <w:pStyle w:val="TableParagraph"/>
              <w:spacing w:before="0"/>
              <w:jc w:val="left"/>
              <w:rPr>
                <w:b/>
                <w:sz w:val="16"/>
              </w:rPr>
            </w:pPr>
          </w:p>
          <w:p>
            <w:pPr>
              <w:pStyle w:val="TableParagraph"/>
              <w:spacing w:before="0"/>
              <w:ind w:left="203" w:right="112"/>
              <w:jc w:val="center"/>
              <w:rPr>
                <w:sz w:val="15"/>
              </w:rPr>
            </w:pPr>
            <w:r>
              <w:rPr>
                <w:w w:val="105"/>
                <w:sz w:val="15"/>
              </w:rPr>
              <w:t>5.7</w:t>
            </w:r>
          </w:p>
        </w:tc>
        <w:tc>
          <w:tcPr>
            <w:tcW w:w="713" w:type="dxa"/>
            <w:tcBorders>
              <w:top w:val="single" w:sz="3" w:space="0" w:color="000000"/>
            </w:tcBorders>
          </w:tcPr>
          <w:p>
            <w:pPr>
              <w:pStyle w:val="TableParagraph"/>
              <w:spacing w:before="0"/>
              <w:jc w:val="left"/>
              <w:rPr>
                <w:b/>
                <w:sz w:val="16"/>
              </w:rPr>
            </w:pPr>
          </w:p>
          <w:p>
            <w:pPr>
              <w:pStyle w:val="TableParagraph"/>
              <w:spacing w:before="0"/>
              <w:jc w:val="left"/>
              <w:rPr>
                <w:b/>
                <w:sz w:val="16"/>
              </w:rPr>
            </w:pPr>
          </w:p>
          <w:p>
            <w:pPr>
              <w:pStyle w:val="TableParagraph"/>
              <w:spacing w:before="0"/>
              <w:ind w:left="247"/>
              <w:jc w:val="left"/>
              <w:rPr>
                <w:sz w:val="15"/>
              </w:rPr>
            </w:pPr>
            <w:r>
              <w:rPr>
                <w:w w:val="105"/>
                <w:sz w:val="15"/>
              </w:rPr>
              <w:t>5.86</w:t>
            </w:r>
          </w:p>
        </w:tc>
        <w:tc>
          <w:tcPr>
            <w:tcW w:w="710" w:type="dxa"/>
            <w:tcBorders>
              <w:top w:val="single" w:sz="3" w:space="0" w:color="000000"/>
            </w:tcBorders>
          </w:tcPr>
          <w:p>
            <w:pPr>
              <w:pStyle w:val="TableParagraph"/>
              <w:spacing w:before="0"/>
              <w:jc w:val="left"/>
              <w:rPr>
                <w:b/>
                <w:sz w:val="16"/>
              </w:rPr>
            </w:pPr>
          </w:p>
          <w:p>
            <w:pPr>
              <w:pStyle w:val="TableParagraph"/>
              <w:spacing w:before="0"/>
              <w:jc w:val="left"/>
              <w:rPr>
                <w:b/>
                <w:sz w:val="16"/>
              </w:rPr>
            </w:pPr>
          </w:p>
          <w:p>
            <w:pPr>
              <w:pStyle w:val="TableParagraph"/>
              <w:spacing w:before="0"/>
              <w:ind w:left="242"/>
              <w:jc w:val="left"/>
              <w:rPr>
                <w:sz w:val="15"/>
              </w:rPr>
            </w:pPr>
            <w:r>
              <w:rPr>
                <w:w w:val="105"/>
                <w:sz w:val="15"/>
              </w:rPr>
              <w:t>6.46</w:t>
            </w:r>
          </w:p>
        </w:tc>
        <w:tc>
          <w:tcPr>
            <w:tcW w:w="710" w:type="dxa"/>
            <w:tcBorders>
              <w:top w:val="single" w:sz="3" w:space="0" w:color="000000"/>
            </w:tcBorders>
          </w:tcPr>
          <w:p>
            <w:pPr>
              <w:pStyle w:val="TableParagraph"/>
              <w:spacing w:before="0"/>
              <w:jc w:val="left"/>
              <w:rPr>
                <w:b/>
                <w:sz w:val="16"/>
              </w:rPr>
            </w:pPr>
          </w:p>
          <w:p>
            <w:pPr>
              <w:pStyle w:val="TableParagraph"/>
              <w:spacing w:before="0"/>
              <w:jc w:val="left"/>
              <w:rPr>
                <w:b/>
                <w:sz w:val="16"/>
              </w:rPr>
            </w:pPr>
          </w:p>
          <w:p>
            <w:pPr>
              <w:pStyle w:val="TableParagraph"/>
              <w:spacing w:before="0"/>
              <w:ind w:left="203" w:right="116"/>
              <w:jc w:val="center"/>
              <w:rPr>
                <w:sz w:val="15"/>
              </w:rPr>
            </w:pPr>
            <w:r>
              <w:rPr>
                <w:w w:val="105"/>
                <w:sz w:val="15"/>
              </w:rPr>
              <w:t>7.16</w:t>
            </w:r>
          </w:p>
        </w:tc>
        <w:tc>
          <w:tcPr>
            <w:tcW w:w="634" w:type="dxa"/>
            <w:tcBorders>
              <w:top w:val="single" w:sz="3" w:space="0" w:color="000000"/>
            </w:tcBorders>
          </w:tcPr>
          <w:p>
            <w:pPr>
              <w:pStyle w:val="TableParagraph"/>
              <w:spacing w:before="0"/>
              <w:jc w:val="left"/>
              <w:rPr>
                <w:b/>
                <w:sz w:val="16"/>
              </w:rPr>
            </w:pPr>
          </w:p>
          <w:p>
            <w:pPr>
              <w:pStyle w:val="TableParagraph"/>
              <w:spacing w:before="0"/>
              <w:jc w:val="left"/>
              <w:rPr>
                <w:b/>
                <w:sz w:val="16"/>
              </w:rPr>
            </w:pPr>
          </w:p>
          <w:p>
            <w:pPr>
              <w:pStyle w:val="TableParagraph"/>
              <w:spacing w:before="0"/>
              <w:ind w:left="188" w:right="101"/>
              <w:jc w:val="center"/>
              <w:rPr>
                <w:sz w:val="15"/>
              </w:rPr>
            </w:pPr>
            <w:r>
              <w:rPr>
                <w:w w:val="105"/>
                <w:sz w:val="15"/>
              </w:rPr>
              <w:t>8.2</w:t>
            </w:r>
          </w:p>
        </w:tc>
      </w:tr>
    </w:tbl>
    <w:p>
      <w:pPr>
        <w:spacing w:before="0"/>
        <w:ind w:left="221" w:right="150" w:firstLine="0"/>
        <w:jc w:val="left"/>
        <w:rPr>
          <w:sz w:val="21"/>
        </w:rPr>
      </w:pPr>
      <w:r>
        <w:rPr>
          <w:sz w:val="21"/>
        </w:rPr>
        <w:t>Fuente: Elaborado con datos colectados del Banco Central de cada </w:t>
      </w:r>
      <w:r>
        <w:rPr>
          <w:spacing w:val="50"/>
          <w:sz w:val="21"/>
        </w:rPr>
        <w:t> </w:t>
      </w:r>
      <w:r>
        <w:rPr>
          <w:sz w:val="21"/>
        </w:rPr>
        <w:t>país.</w:t>
      </w:r>
    </w:p>
    <w:p>
      <w:pPr>
        <w:spacing w:after="0"/>
        <w:jc w:val="left"/>
        <w:rPr>
          <w:sz w:val="21"/>
        </w:rPr>
        <w:sectPr>
          <w:footerReference w:type="default" r:id="rId493"/>
          <w:pgSz w:w="11900" w:h="16840"/>
          <w:pgMar w:footer="1679" w:header="0" w:top="1600" w:bottom="1860" w:left="1180" w:right="1160"/>
          <w:pgNumType w:start="320"/>
        </w:sectPr>
      </w:pPr>
    </w:p>
    <w:p>
      <w:pPr>
        <w:pStyle w:val="BodyText"/>
        <w:rPr>
          <w:sz w:val="20"/>
        </w:rPr>
      </w:pPr>
    </w:p>
    <w:p>
      <w:pPr>
        <w:pStyle w:val="BodyText"/>
        <w:spacing w:before="8"/>
        <w:rPr>
          <w:sz w:val="18"/>
        </w:rPr>
      </w:pPr>
    </w:p>
    <w:p>
      <w:pPr>
        <w:pStyle w:val="Heading4"/>
        <w:spacing w:before="74"/>
        <w:jc w:val="both"/>
      </w:pPr>
      <w:r>
        <w:rPr>
          <w:color w:val="323232"/>
        </w:rPr>
        <w:t>La caída de remesas en México</w:t>
      </w:r>
    </w:p>
    <w:p>
      <w:pPr>
        <w:pStyle w:val="BodyText"/>
        <w:rPr>
          <w:b/>
          <w:sz w:val="22"/>
        </w:rPr>
      </w:pPr>
    </w:p>
    <w:p>
      <w:pPr>
        <w:pStyle w:val="BodyText"/>
        <w:spacing w:line="364" w:lineRule="auto" w:before="157"/>
        <w:ind w:left="101" w:right="383"/>
        <w:jc w:val="both"/>
      </w:pPr>
      <w:r>
        <w:rPr>
          <w:color w:val="323232"/>
        </w:rPr>
        <w:t>El volumen de transferencias mexicanas ha venido mostrando una caída durante 2008. Las razones por las que estas transferencias  han  caído  están relacionadas con el ritmo económico de Estados Unidos, las altas tasas de deportación que se    han producido desde 2007, la disminución de la migración hacia Estados  Unidos  circa 2004 así como por otras dinámicas, como el incremento en el uso de métodos alternativos de envío, no captados por el Banco de México. En primer lugar el desempleo hispano ha crecido, un 35% de esos desempleados son mexicanos. Aunque no todos dejan de enviar dinero, una porción deja de hacerlo o reducen su frecuencia o número. Un dato importante observado sobre el efecto de la recesión económica se refiere a que 18% de los mexicanos dicen estar ganando menos que  en 2007 y sus ahorros han caído de US$3500 a US$2500. Por otro lado, la caída no está relacionada exclusivamente con el desempleo: los métodos de envío han cambiado en parte debido a que los inmigrantes bancarizados ha crecido de 30% en 2003 a 58% en 2008 y la propensión al uso de métodos como las tarjetas de débito  es mayor entre los bancarizados. De hecho, un 2 a 5% está usando tarjetas de remesas para transferir dinero, y muchas de estas transacciones no son medidas por el Banco de México. Esto indica que la caída de remesas está vinculada a diferentes factores, algunos negativos y otros positivos </w:t>
      </w:r>
      <w:r>
        <w:rPr>
          <w:color w:val="323232"/>
          <w:spacing w:val="25"/>
        </w:rPr>
        <w:t> </w:t>
      </w:r>
      <w:r>
        <w:rPr/>
        <w:t>(</w:t>
      </w:r>
      <w:hyperlink r:id="rId494">
        <w:r>
          <w:rPr/>
          <w:t>http://www.thedialogue.org/page.cfm?).</w:t>
        </w:r>
      </w:hyperlink>
    </w:p>
    <w:p>
      <w:pPr>
        <w:pStyle w:val="BodyText"/>
        <w:rPr>
          <w:sz w:val="22"/>
        </w:rPr>
      </w:pPr>
    </w:p>
    <w:p>
      <w:pPr>
        <w:pStyle w:val="BodyText"/>
        <w:spacing w:before="4"/>
        <w:rPr>
          <w:sz w:val="30"/>
        </w:rPr>
      </w:pPr>
    </w:p>
    <w:p>
      <w:pPr>
        <w:pStyle w:val="BodyText"/>
        <w:spacing w:line="364" w:lineRule="auto"/>
        <w:ind w:left="101" w:right="381"/>
        <w:jc w:val="both"/>
      </w:pPr>
      <w:r>
        <w:rPr/>
        <w:t>Una de las consecuencias que se desprende del fenómeno migratorio son las remesas, éstas han sido objeto de múltiples discusiones.  Sin  embargo  su importancia radica en las implicaciones y efectos que se extienden sobre la  economía. Además de que su  análisis permite una mejor toma de decisiones. De  este modo, se plantea que uno de los beneficios que se derivan del fenómeno migratorio lo constituyen las</w:t>
      </w:r>
      <w:r>
        <w:rPr>
          <w:spacing w:val="41"/>
        </w:rPr>
        <w:t> </w:t>
      </w:r>
      <w:r>
        <w:rPr/>
        <w:t>remesas.</w:t>
      </w:r>
    </w:p>
    <w:p>
      <w:pPr>
        <w:pStyle w:val="BodyText"/>
        <w:rPr>
          <w:sz w:val="22"/>
        </w:rPr>
      </w:pPr>
    </w:p>
    <w:p>
      <w:pPr>
        <w:pStyle w:val="BodyText"/>
        <w:spacing w:line="364" w:lineRule="auto" w:before="155"/>
        <w:ind w:left="101" w:right="383"/>
        <w:jc w:val="both"/>
      </w:pPr>
      <w:r>
        <w:rPr/>
        <w:t>En la actualidad, las remesas ascienden a más de 21  mil  millones  de  dólares anuales a nivel nacional, lo cual representa una inyección de capital fresco para la economía y la satisfacción de necesidades para las familias mexicanas, quienes de</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386"/>
        <w:jc w:val="both"/>
      </w:pPr>
      <w:r>
        <w:rPr/>
        <w:t>otra manera no podrían solventarlas. Las remesas han sido en las últimas décadas  un flujo de divisas de suma importancia para la economía mexicana. En base a lo anterior, en este trabajo se estudió la relación de las remesas  entre las  variables  tasa de interés, tipo de cambio, tasa salarial, inflación, y desempleo sobren el crecimiento y el desarrollo económico en términos de las elasticidades obtenidas del modelo.</w:t>
      </w:r>
    </w:p>
    <w:p>
      <w:pPr>
        <w:pStyle w:val="BodyText"/>
        <w:rPr>
          <w:sz w:val="22"/>
        </w:rPr>
      </w:pPr>
    </w:p>
    <w:p>
      <w:pPr>
        <w:pStyle w:val="BodyText"/>
        <w:spacing w:line="364" w:lineRule="auto" w:before="153"/>
        <w:ind w:left="101" w:right="383" w:firstLine="64"/>
        <w:jc w:val="both"/>
      </w:pPr>
      <w:r>
        <w:rPr/>
        <w:t>El objetivo del trabajo fue analizar los efectos de las remesas sobre el  tipo  de cambio, de la tasa de interés, de la inflación, el desempleo, el salario y el número de migrantes de México, así como determinar las variables más  significativas.</w:t>
      </w:r>
    </w:p>
    <w:p>
      <w:pPr>
        <w:pStyle w:val="BodyText"/>
        <w:rPr>
          <w:sz w:val="22"/>
        </w:rPr>
      </w:pPr>
    </w:p>
    <w:p>
      <w:pPr>
        <w:pStyle w:val="BodyText"/>
        <w:spacing w:line="364" w:lineRule="auto" w:before="155"/>
        <w:ind w:left="101" w:right="383"/>
        <w:jc w:val="both"/>
        <w:rPr>
          <w:sz w:val="21"/>
        </w:rPr>
      </w:pPr>
      <w:r>
        <w:rPr/>
        <w:t>Las hipótesis planteadas fueron: existe una relación directa  entre  las  remesas,  el tipo de cambio, la tasa de interés, la inflación,  el desempleo y número de migrantes,  o sea que al aumentar cualquiera de ellas aumentarían las remesas; y una relación inversa entre las remesas y el salario de México, es decir, al aumentar el salario disminuyen las</w:t>
      </w:r>
      <w:r>
        <w:rPr>
          <w:spacing w:val="28"/>
        </w:rPr>
        <w:t> </w:t>
      </w:r>
      <w:r>
        <w:rPr/>
        <w:t>remesas</w:t>
      </w:r>
      <w:r>
        <w:rPr>
          <w:sz w:val="21"/>
        </w:rPr>
        <w:t>.</w:t>
      </w:r>
    </w:p>
    <w:p>
      <w:pPr>
        <w:pStyle w:val="BodyText"/>
        <w:spacing w:before="10"/>
        <w:rPr>
          <w:sz w:val="31"/>
        </w:rPr>
      </w:pPr>
    </w:p>
    <w:p>
      <w:pPr>
        <w:pStyle w:val="Heading2"/>
        <w:numPr>
          <w:ilvl w:val="0"/>
          <w:numId w:val="28"/>
        </w:numPr>
        <w:tabs>
          <w:tab w:pos="447" w:val="left" w:leader="none"/>
        </w:tabs>
        <w:spacing w:line="240" w:lineRule="auto" w:before="0" w:after="0"/>
        <w:ind w:left="447" w:right="0" w:hanging="346"/>
        <w:jc w:val="both"/>
      </w:pPr>
      <w:r>
        <w:rPr/>
        <w:t>METODOLOGÍA</w:t>
      </w:r>
    </w:p>
    <w:p>
      <w:pPr>
        <w:pStyle w:val="BodyText"/>
        <w:rPr>
          <w:b/>
          <w:sz w:val="30"/>
        </w:rPr>
      </w:pPr>
    </w:p>
    <w:p>
      <w:pPr>
        <w:pStyle w:val="BodyText"/>
        <w:spacing w:line="364" w:lineRule="auto" w:before="211"/>
        <w:ind w:left="101" w:right="384"/>
        <w:jc w:val="both"/>
      </w:pPr>
      <w:r>
        <w:rPr/>
        <w:t>Para el desarrollo del presente trabajo se plantearon las siguientes acciones metodológicas. Para determinar las relaciones de funcionalidad entre las remesas y las variables se planteo un Modelo de regresión Lineal Múltiple de la </w:t>
      </w:r>
      <w:r>
        <w:rPr>
          <w:spacing w:val="25"/>
        </w:rPr>
        <w:t> </w:t>
      </w:r>
      <w:r>
        <w:rPr/>
        <w:t>forma:</w:t>
      </w:r>
    </w:p>
    <w:p>
      <w:pPr>
        <w:pStyle w:val="BodyText"/>
        <w:spacing w:before="5"/>
        <w:rPr>
          <w:sz w:val="29"/>
        </w:rPr>
      </w:pPr>
    </w:p>
    <w:p>
      <w:pPr>
        <w:spacing w:before="53"/>
        <w:ind w:left="1047" w:right="102" w:firstLine="0"/>
        <w:jc w:val="left"/>
        <w:rPr>
          <w:rFonts w:ascii="Times New Roman" w:hAnsi="Times New Roman"/>
          <w:i/>
          <w:sz w:val="13"/>
        </w:rPr>
      </w:pPr>
      <w:r>
        <w:rPr>
          <w:rFonts w:ascii="Times New Roman" w:hAnsi="Times New Roman"/>
          <w:spacing w:val="2"/>
          <w:sz w:val="23"/>
        </w:rPr>
        <w:t>Re</w:t>
      </w:r>
      <w:r>
        <w:rPr>
          <w:rFonts w:ascii="Times New Roman" w:hAnsi="Times New Roman"/>
          <w:i/>
          <w:spacing w:val="2"/>
          <w:position w:val="-5"/>
          <w:sz w:val="13"/>
        </w:rPr>
        <w:t>t </w:t>
      </w:r>
      <w:r>
        <w:rPr>
          <w:sz w:val="23"/>
        </w:rPr>
        <w:t>= </w:t>
      </w:r>
      <w:r>
        <w:rPr>
          <w:rFonts w:ascii="Symbol" w:hAnsi="Symbol"/>
          <w:sz w:val="25"/>
        </w:rPr>
        <w:t></w:t>
      </w:r>
      <w:r>
        <w:rPr>
          <w:rFonts w:ascii="Times New Roman" w:hAnsi="Times New Roman"/>
          <w:sz w:val="25"/>
        </w:rPr>
        <w:t> </w:t>
      </w:r>
      <w:r>
        <w:rPr>
          <w:rFonts w:ascii="Times New Roman" w:hAnsi="Times New Roman"/>
          <w:position w:val="-5"/>
          <w:sz w:val="13"/>
        </w:rPr>
        <w:t>0  </w:t>
      </w:r>
      <w:r>
        <w:rPr>
          <w:rFonts w:ascii="Symbol" w:hAnsi="Symbol"/>
          <w:sz w:val="23"/>
        </w:rPr>
        <w:t></w:t>
      </w:r>
      <w:r>
        <w:rPr>
          <w:rFonts w:ascii="Times New Roman" w:hAnsi="Times New Roman"/>
          <w:sz w:val="23"/>
        </w:rPr>
        <w:t> </w:t>
      </w:r>
      <w:r>
        <w:rPr>
          <w:rFonts w:ascii="Symbol" w:hAnsi="Symbol"/>
          <w:sz w:val="25"/>
        </w:rPr>
        <w:t></w:t>
      </w:r>
      <w:r>
        <w:rPr>
          <w:rFonts w:ascii="Times New Roman" w:hAnsi="Times New Roman"/>
          <w:sz w:val="25"/>
        </w:rPr>
        <w:t> </w:t>
      </w:r>
      <w:r>
        <w:rPr>
          <w:rFonts w:ascii="Times New Roman" w:hAnsi="Times New Roman"/>
          <w:position w:val="-5"/>
          <w:sz w:val="13"/>
        </w:rPr>
        <w:t>1 </w:t>
      </w:r>
      <w:r>
        <w:rPr>
          <w:rFonts w:ascii="Times New Roman" w:hAnsi="Times New Roman"/>
          <w:i/>
          <w:spacing w:val="2"/>
          <w:sz w:val="23"/>
        </w:rPr>
        <w:t>E</w:t>
      </w:r>
      <w:r>
        <w:rPr>
          <w:rFonts w:ascii="Times New Roman" w:hAnsi="Times New Roman"/>
          <w:i/>
          <w:spacing w:val="2"/>
          <w:position w:val="-5"/>
          <w:sz w:val="13"/>
        </w:rPr>
        <w:t>t  </w:t>
      </w:r>
      <w:r>
        <w:rPr>
          <w:rFonts w:ascii="Symbol" w:hAnsi="Symbol"/>
          <w:sz w:val="23"/>
        </w:rPr>
        <w:t></w:t>
      </w:r>
      <w:r>
        <w:rPr>
          <w:rFonts w:ascii="Times New Roman" w:hAnsi="Times New Roman"/>
          <w:sz w:val="23"/>
        </w:rPr>
        <w:t> </w:t>
      </w:r>
      <w:r>
        <w:rPr>
          <w:rFonts w:ascii="Symbol" w:hAnsi="Symbol"/>
          <w:sz w:val="25"/>
        </w:rPr>
        <w:t></w:t>
      </w:r>
      <w:r>
        <w:rPr>
          <w:rFonts w:ascii="Times New Roman" w:hAnsi="Times New Roman"/>
          <w:sz w:val="25"/>
        </w:rPr>
        <w:t> </w:t>
      </w:r>
      <w:r>
        <w:rPr>
          <w:rFonts w:ascii="Times New Roman" w:hAnsi="Times New Roman"/>
          <w:position w:val="-5"/>
          <w:sz w:val="13"/>
        </w:rPr>
        <w:t>2 </w:t>
      </w:r>
      <w:r>
        <w:rPr>
          <w:rFonts w:ascii="Times New Roman" w:hAnsi="Times New Roman"/>
          <w:i/>
          <w:spacing w:val="-8"/>
          <w:sz w:val="23"/>
        </w:rPr>
        <w:t>r</w:t>
      </w:r>
      <w:r>
        <w:rPr>
          <w:rFonts w:ascii="Times New Roman" w:hAnsi="Times New Roman"/>
          <w:i/>
          <w:spacing w:val="-8"/>
          <w:position w:val="-5"/>
          <w:sz w:val="13"/>
        </w:rPr>
        <w:t>t   </w:t>
      </w:r>
      <w:r>
        <w:rPr>
          <w:rFonts w:ascii="Symbol" w:hAnsi="Symbol"/>
          <w:sz w:val="23"/>
        </w:rPr>
        <w:t></w:t>
      </w:r>
      <w:r>
        <w:rPr>
          <w:rFonts w:ascii="Times New Roman" w:hAnsi="Times New Roman"/>
          <w:sz w:val="23"/>
        </w:rPr>
        <w:t> </w:t>
      </w:r>
      <w:r>
        <w:rPr>
          <w:rFonts w:ascii="Symbol" w:hAnsi="Symbol"/>
          <w:sz w:val="25"/>
        </w:rPr>
        <w:t></w:t>
      </w:r>
      <w:r>
        <w:rPr>
          <w:rFonts w:ascii="Times New Roman" w:hAnsi="Times New Roman"/>
          <w:sz w:val="25"/>
        </w:rPr>
        <w:t> </w:t>
      </w:r>
      <w:r>
        <w:rPr>
          <w:rFonts w:ascii="Times New Roman" w:hAnsi="Times New Roman"/>
          <w:spacing w:val="-5"/>
          <w:position w:val="-5"/>
          <w:sz w:val="13"/>
        </w:rPr>
        <w:t>3</w:t>
      </w:r>
      <w:r>
        <w:rPr>
          <w:rFonts w:ascii="Times New Roman" w:hAnsi="Times New Roman"/>
          <w:i/>
          <w:spacing w:val="-5"/>
          <w:sz w:val="23"/>
        </w:rPr>
        <w:t>W</w:t>
      </w:r>
      <w:r>
        <w:rPr>
          <w:rFonts w:ascii="Times New Roman" w:hAnsi="Times New Roman"/>
          <w:i/>
          <w:spacing w:val="-5"/>
          <w:position w:val="-5"/>
          <w:sz w:val="13"/>
        </w:rPr>
        <w:t>t   </w:t>
      </w:r>
      <w:r>
        <w:rPr>
          <w:rFonts w:ascii="Symbol" w:hAnsi="Symbol"/>
          <w:sz w:val="23"/>
        </w:rPr>
        <w:t></w:t>
      </w:r>
      <w:r>
        <w:rPr>
          <w:rFonts w:ascii="Times New Roman" w:hAnsi="Times New Roman"/>
          <w:sz w:val="23"/>
        </w:rPr>
        <w:t> </w:t>
      </w:r>
      <w:r>
        <w:rPr>
          <w:rFonts w:ascii="Symbol" w:hAnsi="Symbol"/>
          <w:sz w:val="25"/>
        </w:rPr>
        <w:t></w:t>
      </w:r>
      <w:r>
        <w:rPr>
          <w:rFonts w:ascii="Times New Roman" w:hAnsi="Times New Roman"/>
          <w:sz w:val="25"/>
        </w:rPr>
        <w:t> </w:t>
      </w:r>
      <w:r>
        <w:rPr>
          <w:rFonts w:ascii="Times New Roman" w:hAnsi="Times New Roman"/>
          <w:position w:val="-5"/>
          <w:sz w:val="13"/>
        </w:rPr>
        <w:t>4</w:t>
      </w:r>
      <w:r>
        <w:rPr>
          <w:rFonts w:ascii="Symbol" w:hAnsi="Symbol"/>
          <w:sz w:val="25"/>
        </w:rPr>
        <w:t></w:t>
      </w:r>
      <w:r>
        <w:rPr>
          <w:rFonts w:ascii="Times New Roman" w:hAnsi="Times New Roman"/>
          <w:sz w:val="25"/>
        </w:rPr>
        <w:t> </w:t>
      </w:r>
      <w:r>
        <w:rPr>
          <w:rFonts w:ascii="Symbol" w:hAnsi="Symbol"/>
          <w:sz w:val="23"/>
        </w:rPr>
        <w:t></w:t>
      </w:r>
      <w:r>
        <w:rPr>
          <w:rFonts w:ascii="Times New Roman" w:hAnsi="Times New Roman"/>
          <w:sz w:val="23"/>
        </w:rPr>
        <w:t> </w:t>
      </w:r>
      <w:r>
        <w:rPr>
          <w:rFonts w:ascii="Symbol" w:hAnsi="Symbol"/>
          <w:sz w:val="25"/>
        </w:rPr>
        <w:t></w:t>
      </w:r>
      <w:r>
        <w:rPr>
          <w:rFonts w:ascii="Times New Roman" w:hAnsi="Times New Roman"/>
          <w:sz w:val="25"/>
        </w:rPr>
        <w:t> </w:t>
      </w:r>
      <w:r>
        <w:rPr>
          <w:rFonts w:ascii="Times New Roman" w:hAnsi="Times New Roman"/>
          <w:position w:val="-5"/>
          <w:sz w:val="13"/>
        </w:rPr>
        <w:t>5 </w:t>
      </w:r>
      <w:r>
        <w:rPr>
          <w:rFonts w:ascii="Times New Roman" w:hAnsi="Times New Roman"/>
          <w:spacing w:val="12"/>
          <w:sz w:val="23"/>
        </w:rPr>
        <w:t>U</w:t>
      </w:r>
      <w:r>
        <w:rPr>
          <w:rFonts w:ascii="Times New Roman" w:hAnsi="Times New Roman"/>
          <w:spacing w:val="12"/>
          <w:position w:val="-5"/>
          <w:sz w:val="13"/>
        </w:rPr>
        <w:t>t </w:t>
      </w:r>
      <w:r>
        <w:rPr>
          <w:rFonts w:ascii="Symbol" w:hAnsi="Symbol"/>
          <w:sz w:val="23"/>
        </w:rPr>
        <w:t></w:t>
      </w:r>
      <w:r>
        <w:rPr>
          <w:rFonts w:ascii="Times New Roman" w:hAnsi="Times New Roman"/>
          <w:sz w:val="23"/>
        </w:rPr>
        <w:t> </w:t>
      </w:r>
      <w:r>
        <w:rPr>
          <w:rFonts w:ascii="Symbol" w:hAnsi="Symbol"/>
          <w:sz w:val="25"/>
        </w:rPr>
        <w:t></w:t>
      </w:r>
      <w:r>
        <w:rPr>
          <w:rFonts w:ascii="Times New Roman" w:hAnsi="Times New Roman"/>
          <w:sz w:val="25"/>
        </w:rPr>
        <w:t> </w:t>
      </w:r>
      <w:r>
        <w:rPr>
          <w:rFonts w:ascii="Times New Roman" w:hAnsi="Times New Roman"/>
          <w:position w:val="-5"/>
          <w:sz w:val="13"/>
        </w:rPr>
        <w:t>6 </w:t>
      </w:r>
      <w:r>
        <w:rPr>
          <w:rFonts w:ascii="Times New Roman" w:hAnsi="Times New Roman"/>
          <w:i/>
          <w:sz w:val="23"/>
        </w:rPr>
        <w:t>NM </w:t>
      </w:r>
      <w:r>
        <w:rPr>
          <w:rFonts w:ascii="Symbol" w:hAnsi="Symbol"/>
          <w:sz w:val="23"/>
        </w:rPr>
        <w:t></w:t>
      </w:r>
      <w:r>
        <w:rPr>
          <w:rFonts w:ascii="Times New Roman" w:hAnsi="Times New Roman"/>
          <w:sz w:val="23"/>
        </w:rPr>
        <w:t> </w:t>
      </w:r>
      <w:r>
        <w:rPr>
          <w:rFonts w:ascii="Symbol" w:hAnsi="Symbol"/>
          <w:sz w:val="25"/>
        </w:rPr>
        <w:t></w:t>
      </w:r>
      <w:r>
        <w:rPr>
          <w:rFonts w:ascii="Times New Roman" w:hAnsi="Times New Roman"/>
          <w:sz w:val="25"/>
        </w:rPr>
        <w:t> </w:t>
      </w:r>
      <w:r>
        <w:rPr>
          <w:rFonts w:ascii="Times New Roman" w:hAnsi="Times New Roman"/>
          <w:i/>
          <w:position w:val="-5"/>
          <w:sz w:val="13"/>
        </w:rPr>
        <w:t>t</w:t>
      </w:r>
    </w:p>
    <w:p>
      <w:pPr>
        <w:pStyle w:val="BodyText"/>
        <w:spacing w:before="164"/>
        <w:ind w:left="1077" w:right="102"/>
      </w:pPr>
      <w:r>
        <w:rPr/>
        <w:t>Donde:</w:t>
      </w:r>
    </w:p>
    <w:p>
      <w:pPr>
        <w:pStyle w:val="BodyText"/>
        <w:spacing w:before="158"/>
        <w:ind w:left="1255" w:right="102"/>
      </w:pPr>
      <w:r>
        <w:rPr>
          <w:rFonts w:ascii="Times New Roman"/>
        </w:rPr>
        <w:t>Re</w:t>
      </w:r>
      <w:r>
        <w:rPr>
          <w:rFonts w:ascii="Times New Roman"/>
          <w:i/>
          <w:position w:val="-5"/>
          <w:sz w:val="13"/>
        </w:rPr>
        <w:t>t  </w:t>
      </w:r>
      <w:r>
        <w:rPr/>
        <w:t>= Remesas familiares en el periodo t</w:t>
      </w:r>
    </w:p>
    <w:p>
      <w:pPr>
        <w:pStyle w:val="BodyText"/>
        <w:spacing w:before="6"/>
        <w:rPr>
          <w:sz w:val="9"/>
        </w:rPr>
      </w:pPr>
    </w:p>
    <w:p>
      <w:pPr>
        <w:pStyle w:val="BodyText"/>
        <w:spacing w:before="74"/>
        <w:ind w:left="1255" w:right="102"/>
      </w:pPr>
      <w:r>
        <w:rPr>
          <w:rFonts w:ascii="Times New Roman" w:hAnsi="Times New Roman"/>
          <w:i/>
        </w:rPr>
        <w:t>r</w:t>
      </w:r>
      <w:r>
        <w:rPr>
          <w:rFonts w:ascii="Times New Roman" w:hAnsi="Times New Roman"/>
          <w:i/>
          <w:position w:val="-5"/>
          <w:sz w:val="13"/>
        </w:rPr>
        <w:t>t      </w:t>
      </w:r>
      <w:r>
        <w:rPr/>
        <w:t>= Tasa de interés en el periodo t</w:t>
      </w:r>
    </w:p>
    <w:p>
      <w:pPr>
        <w:pStyle w:val="BodyText"/>
        <w:spacing w:line="355" w:lineRule="auto" w:before="164"/>
        <w:ind w:left="1152" w:right="3864" w:firstLine="64"/>
      </w:pPr>
      <w:r>
        <w:rPr/>
        <w:t>E</w:t>
      </w:r>
      <w:r>
        <w:rPr>
          <w:position w:val="-2"/>
          <w:sz w:val="15"/>
        </w:rPr>
        <w:t>t </w:t>
      </w:r>
      <w:r>
        <w:rPr/>
        <w:t>= Tasa de cambio real en el periodo t </w:t>
      </w:r>
      <w:r>
        <w:rPr>
          <w:spacing w:val="3"/>
        </w:rPr>
        <w:t>W</w:t>
      </w:r>
      <w:r>
        <w:rPr>
          <w:spacing w:val="3"/>
          <w:position w:val="-2"/>
          <w:sz w:val="15"/>
        </w:rPr>
        <w:t>t </w:t>
      </w:r>
      <w:r>
        <w:rPr/>
        <w:t>= Tasa salarial real en el periodo</w:t>
      </w:r>
      <w:r>
        <w:rPr>
          <w:spacing w:val="55"/>
        </w:rPr>
        <w:t> </w:t>
      </w:r>
      <w:r>
        <w:rPr/>
        <w:t>t</w:t>
      </w:r>
    </w:p>
    <w:p>
      <w:pPr>
        <w:spacing w:after="0" w:line="355" w:lineRule="auto"/>
        <w:sectPr>
          <w:pgSz w:w="11900" w:h="16840"/>
          <w:pgMar w:header="0" w:footer="1679" w:top="1600" w:bottom="1860" w:left="1300" w:right="1280"/>
        </w:sectPr>
      </w:pPr>
    </w:p>
    <w:p>
      <w:pPr>
        <w:spacing w:line="319" w:lineRule="exact" w:before="0"/>
        <w:ind w:left="0" w:right="0" w:firstLine="0"/>
        <w:jc w:val="right"/>
        <w:rPr>
          <w:rFonts w:ascii="Symbol" w:hAnsi="Symbol"/>
          <w:sz w:val="23"/>
        </w:rPr>
      </w:pPr>
      <w:r>
        <w:rPr>
          <w:rFonts w:ascii="Symbol" w:hAnsi="Symbol"/>
          <w:sz w:val="25"/>
        </w:rPr>
        <w:t></w:t>
      </w:r>
      <w:r>
        <w:rPr>
          <w:rFonts w:ascii="Times New Roman" w:hAnsi="Times New Roman"/>
          <w:sz w:val="25"/>
        </w:rPr>
        <w:t> </w:t>
      </w:r>
      <w:r>
        <w:rPr>
          <w:rFonts w:ascii="Times New Roman" w:hAnsi="Times New Roman"/>
          <w:i/>
          <w:position w:val="-5"/>
          <w:sz w:val="13"/>
        </w:rPr>
        <w:t>t </w:t>
      </w:r>
      <w:r>
        <w:rPr>
          <w:rFonts w:ascii="Symbol" w:hAnsi="Symbol"/>
          <w:sz w:val="23"/>
        </w:rPr>
        <w:t></w:t>
      </w:r>
    </w:p>
    <w:p>
      <w:pPr>
        <w:pStyle w:val="BodyText"/>
        <w:spacing w:before="13"/>
        <w:ind w:left="63"/>
      </w:pPr>
      <w:r>
        <w:rPr/>
        <w:br w:type="column"/>
      </w:r>
      <w:r>
        <w:rPr/>
        <w:t>Tasa de Inflación en el periodo t</w:t>
      </w:r>
    </w:p>
    <w:p>
      <w:pPr>
        <w:spacing w:after="0"/>
        <w:sectPr>
          <w:type w:val="continuous"/>
          <w:pgSz w:w="11900" w:h="16840"/>
          <w:pgMar w:top="1600" w:bottom="280" w:left="1300" w:right="1280"/>
          <w:cols w:num="2" w:equalWidth="0">
            <w:col w:w="1592" w:space="40"/>
            <w:col w:w="7688"/>
          </w:cols>
        </w:sectPr>
      </w:pPr>
    </w:p>
    <w:p>
      <w:pPr>
        <w:pStyle w:val="BodyText"/>
        <w:rPr>
          <w:sz w:val="20"/>
        </w:rPr>
      </w:pPr>
    </w:p>
    <w:p>
      <w:pPr>
        <w:pStyle w:val="BodyText"/>
        <w:spacing w:before="8"/>
        <w:rPr>
          <w:sz w:val="18"/>
        </w:rPr>
      </w:pPr>
    </w:p>
    <w:p>
      <w:pPr>
        <w:pStyle w:val="BodyText"/>
        <w:spacing w:line="352" w:lineRule="auto" w:before="74"/>
        <w:ind w:left="1013" w:right="3864" w:firstLine="64"/>
      </w:pPr>
      <w:r>
        <w:rPr/>
        <w:t>U</w:t>
      </w:r>
      <w:r>
        <w:rPr>
          <w:position w:val="-2"/>
          <w:sz w:val="15"/>
        </w:rPr>
        <w:t>t </w:t>
      </w:r>
      <w:r>
        <w:rPr/>
        <w:t>= Tasa de desempleo en el periodo t NM</w:t>
      </w:r>
      <w:r>
        <w:rPr>
          <w:position w:val="-2"/>
          <w:sz w:val="15"/>
        </w:rPr>
        <w:t>t </w:t>
      </w:r>
      <w:r>
        <w:rPr/>
        <w:t>= Número de migrantes en el periodo</w:t>
      </w:r>
      <w:r>
        <w:rPr>
          <w:spacing w:val="50"/>
        </w:rPr>
        <w:t> </w:t>
      </w:r>
      <w:r>
        <w:rPr/>
        <w:t>t</w:t>
      </w:r>
    </w:p>
    <w:p>
      <w:pPr>
        <w:spacing w:line="322" w:lineRule="exact" w:before="0"/>
        <w:ind w:left="1167" w:right="102" w:firstLine="0"/>
        <w:jc w:val="left"/>
        <w:rPr>
          <w:sz w:val="23"/>
        </w:rPr>
      </w:pPr>
      <w:r>
        <w:rPr>
          <w:rFonts w:ascii="Symbol" w:hAnsi="Symbol"/>
          <w:sz w:val="25"/>
        </w:rPr>
        <w:t></w:t>
      </w:r>
      <w:r>
        <w:rPr>
          <w:rFonts w:ascii="Times New Roman" w:hAnsi="Times New Roman"/>
          <w:sz w:val="25"/>
        </w:rPr>
        <w:t> </w:t>
      </w:r>
      <w:r>
        <w:rPr>
          <w:rFonts w:ascii="Times New Roman" w:hAnsi="Times New Roman"/>
          <w:i/>
          <w:position w:val="-5"/>
          <w:sz w:val="13"/>
        </w:rPr>
        <w:t>t </w:t>
      </w:r>
      <w:r>
        <w:rPr>
          <w:sz w:val="23"/>
        </w:rPr>
        <w:t>= Errores</w:t>
      </w:r>
    </w:p>
    <w:p>
      <w:pPr>
        <w:pStyle w:val="BodyText"/>
        <w:rPr>
          <w:sz w:val="28"/>
        </w:rPr>
      </w:pPr>
    </w:p>
    <w:p>
      <w:pPr>
        <w:pStyle w:val="BodyText"/>
        <w:spacing w:line="364" w:lineRule="auto" w:before="245"/>
        <w:ind w:left="101" w:right="382"/>
        <w:jc w:val="both"/>
      </w:pPr>
      <w:r>
        <w:rPr/>
        <w:t>Para llevar a cabo el estudio se obtuvo información de las instituciones públicas  como: Banco de México (B de M), Consejo Nacional de Población (CONAPO),  Instituto Nacional de Estadística Geografía e Informática (INEGI), Colegio de la Frontera Norte (COLEF), entre otras. Para la estimación del modelo se utilizó el paquete estadístico</w:t>
      </w:r>
      <w:r>
        <w:rPr>
          <w:spacing w:val="30"/>
        </w:rPr>
        <w:t> </w:t>
      </w:r>
      <w:r>
        <w:rPr/>
        <w:t>(SAS).</w:t>
      </w:r>
    </w:p>
    <w:p>
      <w:pPr>
        <w:pStyle w:val="BodyText"/>
        <w:spacing w:before="6"/>
      </w:pPr>
    </w:p>
    <w:p>
      <w:pPr>
        <w:pStyle w:val="Heading2"/>
        <w:numPr>
          <w:ilvl w:val="0"/>
          <w:numId w:val="28"/>
        </w:numPr>
        <w:tabs>
          <w:tab w:pos="539" w:val="left" w:leader="none"/>
        </w:tabs>
        <w:spacing w:line="240" w:lineRule="auto" w:before="0" w:after="0"/>
        <w:ind w:left="538" w:right="0" w:hanging="437"/>
        <w:jc w:val="both"/>
      </w:pPr>
      <w:r>
        <w:rPr/>
        <w:t>ANÁLISIS Y DISCUSIÓN DE</w:t>
      </w:r>
      <w:r>
        <w:rPr>
          <w:spacing w:val="9"/>
        </w:rPr>
        <w:t> </w:t>
      </w:r>
      <w:r>
        <w:rPr/>
        <w:t>RESULTADOS</w:t>
      </w:r>
    </w:p>
    <w:p>
      <w:pPr>
        <w:pStyle w:val="BodyText"/>
        <w:rPr>
          <w:b/>
          <w:sz w:val="40"/>
        </w:rPr>
      </w:pPr>
    </w:p>
    <w:p>
      <w:pPr>
        <w:pStyle w:val="BodyText"/>
        <w:spacing w:line="364" w:lineRule="auto"/>
        <w:ind w:left="101" w:right="387"/>
        <w:jc w:val="both"/>
      </w:pPr>
      <w:r>
        <w:rPr/>
        <w:t>Para poder desarrollar los resultados obtenidos, se realizó el análisis de la siguiente manera.</w:t>
      </w:r>
    </w:p>
    <w:p>
      <w:pPr>
        <w:pStyle w:val="BodyText"/>
        <w:spacing w:before="2"/>
        <w:rPr>
          <w:sz w:val="24"/>
        </w:rPr>
      </w:pPr>
    </w:p>
    <w:p>
      <w:pPr>
        <w:pStyle w:val="Heading4"/>
        <w:jc w:val="both"/>
      </w:pPr>
      <w:r>
        <w:rPr/>
        <w:t>Resultados estadísticos</w:t>
      </w:r>
    </w:p>
    <w:p>
      <w:pPr>
        <w:pStyle w:val="BodyText"/>
        <w:rPr>
          <w:b/>
          <w:sz w:val="22"/>
        </w:rPr>
      </w:pPr>
    </w:p>
    <w:p>
      <w:pPr>
        <w:pStyle w:val="BodyText"/>
        <w:spacing w:line="355" w:lineRule="auto" w:before="159"/>
        <w:ind w:left="101" w:right="383"/>
        <w:jc w:val="both"/>
      </w:pPr>
      <w:r>
        <w:rPr/>
        <w:t>Los parámetros obtenidos para el modelo propuesto son aceptables en general. La variación de las remesas (Re) de acuerdo al coeficiente (R</w:t>
      </w:r>
      <w:r>
        <w:rPr>
          <w:position w:val="11"/>
          <w:sz w:val="15"/>
        </w:rPr>
        <w:t>2</w:t>
      </w:r>
      <w:r>
        <w:rPr/>
        <w:t>) es explicado en un 92% por la tasa de interés (r), tipo de cambio (E), inflación (</w:t>
      </w:r>
      <w:r>
        <w:rPr>
          <w:rFonts w:ascii="Symbol" w:hAnsi="Symbol"/>
        </w:rPr>
        <w:t></w:t>
      </w:r>
      <w:r>
        <w:rPr/>
        <w:t>), desempleo (U) y tasa  salarial (W). En cuanto al estadístico F (39.3), se puede inferir que si se propone  </w:t>
      </w:r>
      <w:r>
        <w:rPr>
          <w:spacing w:val="10"/>
        </w:rPr>
        <w:t> </w:t>
      </w:r>
      <w:r>
        <w:rPr/>
        <w:t>una</w:t>
      </w:r>
    </w:p>
    <w:p>
      <w:pPr>
        <w:pStyle w:val="BodyText"/>
        <w:spacing w:line="364" w:lineRule="auto" w:before="15"/>
        <w:ind w:left="101" w:right="387"/>
        <w:jc w:val="both"/>
      </w:pPr>
      <w:r>
        <w:rPr/>
        <w:t>prueba de significancia global del modelo, al menos uno de los coeficientes es significativamente diferente de cero con un nivel de confiabilidad del  0.0001.</w:t>
      </w:r>
    </w:p>
    <w:p>
      <w:pPr>
        <w:pStyle w:val="BodyText"/>
        <w:spacing w:before="2"/>
        <w:rPr>
          <w:sz w:val="24"/>
        </w:rPr>
      </w:pPr>
    </w:p>
    <w:p>
      <w:pPr>
        <w:pStyle w:val="BodyText"/>
        <w:spacing w:line="364" w:lineRule="auto"/>
        <w:ind w:left="101" w:right="383"/>
        <w:jc w:val="both"/>
      </w:pPr>
      <w:r>
        <w:rPr/>
        <w:t>En el caso de los coeficientes de regresión la variable remesas a este nivel y ante  una prueba de significancia del modelo, tiene probabilidad de F de 0.0001, lo cual es significativo este caería en la región de rechazo para la hipótesis nula que indica que los coeficientes de regresión son iguales a cero. Por esta razón, los coeficientes de regresión para las variables número de migrantes (NM), tasa salarial real (W), tipo de cambio real (E), la tasa de interés (r), la inflación (</w:t>
      </w:r>
      <w:r>
        <w:rPr>
          <w:rFonts w:ascii="Symbol" w:hAnsi="Symbol"/>
        </w:rPr>
        <w:t></w:t>
      </w:r>
      <w:r>
        <w:rPr/>
        <w:t>) y desempleo (U), con un valor   de 0.0001, 0.0061, 0.4373, 0.4730, 0.6291 y 0.8393 respectivamente para la   </w:t>
      </w:r>
      <w:r>
        <w:rPr>
          <w:spacing w:val="6"/>
        </w:rPr>
        <w:t> </w:t>
      </w:r>
      <w:r>
        <w:rPr/>
        <w:t>prueba</w:t>
      </w:r>
    </w:p>
    <w:p>
      <w:pPr>
        <w:pStyle w:val="BodyText"/>
        <w:spacing w:before="2"/>
        <w:ind w:left="101"/>
        <w:jc w:val="both"/>
      </w:pPr>
      <w:r>
        <w:rPr/>
        <w:t>de significancia y una t-student de 10.03, 3.07, 0.79, -0.73, 0.49 y 0.21    presentan un</w:t>
      </w:r>
    </w:p>
    <w:p>
      <w:pPr>
        <w:spacing w:after="0"/>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221" w:right="387"/>
        <w:jc w:val="both"/>
      </w:pPr>
      <w:r>
        <w:rPr/>
        <w:t>valor significativo. Por último, el coeficiente Durvin-Watson es aceptable con un valor de 0.982. Lo que indica que no se presentan problemas de autocorrelación en los errores, lo que puede apreciarse en el cuadro</w:t>
      </w:r>
      <w:r>
        <w:rPr>
          <w:spacing w:val="53"/>
        </w:rPr>
        <w:t> </w:t>
      </w:r>
      <w:r>
        <w:rPr/>
        <w:t>1.</w:t>
      </w:r>
    </w:p>
    <w:p>
      <w:pPr>
        <w:pStyle w:val="BodyText"/>
        <w:rPr>
          <w:sz w:val="24"/>
        </w:rPr>
      </w:pPr>
    </w:p>
    <w:p>
      <w:pPr>
        <w:pStyle w:val="Heading4"/>
        <w:spacing w:line="278" w:lineRule="auto"/>
        <w:ind w:left="3435" w:right="447" w:hanging="3039"/>
      </w:pPr>
      <w:r>
        <w:rPr/>
        <w:pict>
          <v:group style="position:absolute;margin-left:64.309998pt;margin-top:40.416241pt;width:453.05pt;height:475pt;mso-position-horizontal-relative:page;mso-position-vertical-relative:paragraph;z-index:-700528" coordorigin="1286,808" coordsize="9061,9500">
            <v:shape style="position:absolute;left:1291;top:813;width:9051;height:9490" coordorigin="1291,813" coordsize="9051,9490" path="m1296,818l10337,818m1291,813l1291,10303m10342,813l10342,10303e" filled="false" stroked="true" strokeweight=".48pt" strokecolor="#000000">
              <v:path arrowok="t"/>
            </v:shape>
            <v:shape style="position:absolute;left:3460;top:865;width:2198;height:617" type="#_x0000_t202" filled="false" stroked="false">
              <v:textbox inset="0,0,0,0">
                <w:txbxContent>
                  <w:p>
                    <w:pPr>
                      <w:spacing w:line="197" w:lineRule="exact" w:before="0"/>
                      <w:ind w:left="0" w:right="0" w:firstLine="0"/>
                      <w:jc w:val="left"/>
                      <w:rPr>
                        <w:sz w:val="19"/>
                      </w:rPr>
                    </w:pPr>
                    <w:r>
                      <w:rPr>
                        <w:sz w:val="19"/>
                      </w:rPr>
                      <w:t>Variable dependiente: Re</w:t>
                    </w:r>
                  </w:p>
                  <w:p>
                    <w:pPr>
                      <w:spacing w:line="240" w:lineRule="auto" w:before="8"/>
                      <w:rPr>
                        <w:sz w:val="17"/>
                      </w:rPr>
                    </w:pPr>
                  </w:p>
                  <w:p>
                    <w:pPr>
                      <w:spacing w:line="215" w:lineRule="exact" w:before="0"/>
                      <w:ind w:left="0" w:right="0" w:firstLine="0"/>
                      <w:jc w:val="left"/>
                      <w:rPr>
                        <w:sz w:val="19"/>
                      </w:rPr>
                    </w:pPr>
                    <w:r>
                      <w:rPr>
                        <w:sz w:val="19"/>
                      </w:rPr>
                      <w:t>Analysis of Variance</w:t>
                    </w:r>
                  </w:p>
                </w:txbxContent>
              </v:textbox>
              <w10:wrap type="none"/>
            </v:shape>
            <v:shape style="position:absolute;left:2486;top:4215;width:1654;height:194" type="#_x0000_t202" filled="false" stroked="false">
              <v:textbox inset="0,0,0,0">
                <w:txbxContent>
                  <w:p>
                    <w:pPr>
                      <w:spacing w:line="194" w:lineRule="exact" w:before="0"/>
                      <w:ind w:left="0" w:right="0" w:firstLine="0"/>
                      <w:jc w:val="left"/>
                      <w:rPr>
                        <w:sz w:val="19"/>
                      </w:rPr>
                    </w:pPr>
                    <w:r>
                      <w:rPr>
                        <w:sz w:val="19"/>
                      </w:rPr>
                      <w:t>Media dependiente</w:t>
                    </w:r>
                  </w:p>
                </w:txbxContent>
              </v:textbox>
              <w10:wrap type="none"/>
            </v:shape>
            <v:shape style="position:absolute;left:4413;top:4215;width:1023;height:194" type="#_x0000_t202" filled="false" stroked="false">
              <v:textbox inset="0,0,0,0">
                <w:txbxContent>
                  <w:p>
                    <w:pPr>
                      <w:spacing w:line="194" w:lineRule="exact" w:before="0"/>
                      <w:ind w:left="0" w:right="-1" w:firstLine="0"/>
                      <w:jc w:val="left"/>
                      <w:rPr>
                        <w:sz w:val="19"/>
                      </w:rPr>
                    </w:pPr>
                    <w:r>
                      <w:rPr>
                        <w:sz w:val="19"/>
                      </w:rPr>
                      <w:t>8230.31111</w:t>
                    </w:r>
                  </w:p>
                </w:txbxContent>
              </v:textbox>
              <w10:wrap type="none"/>
            </v:shape>
            <v:shape style="position:absolute;left:5820;top:4215;width:778;height:194" type="#_x0000_t202" filled="false" stroked="false">
              <v:textbox inset="0,0,0,0">
                <w:txbxContent>
                  <w:p>
                    <w:pPr>
                      <w:spacing w:line="194" w:lineRule="exact" w:before="0"/>
                      <w:ind w:left="0" w:right="-3" w:firstLine="0"/>
                      <w:jc w:val="left"/>
                      <w:rPr>
                        <w:sz w:val="19"/>
                      </w:rPr>
                    </w:pPr>
                    <w:r>
                      <w:rPr>
                        <w:sz w:val="19"/>
                      </w:rPr>
                      <w:t>Adj R-Sq</w:t>
                    </w:r>
                  </w:p>
                </w:txbxContent>
              </v:textbox>
              <w10:wrap type="none"/>
            </v:shape>
            <v:shape style="position:absolute;left:6976;top:4215;width:596;height:194" type="#_x0000_t202" filled="false" stroked="false">
              <v:textbox inset="0,0,0,0">
                <w:txbxContent>
                  <w:p>
                    <w:pPr>
                      <w:spacing w:line="194" w:lineRule="exact" w:before="0"/>
                      <w:ind w:left="0" w:right="-6" w:firstLine="0"/>
                      <w:jc w:val="left"/>
                      <w:rPr>
                        <w:sz w:val="19"/>
                      </w:rPr>
                    </w:pPr>
                    <w:r>
                      <w:rPr>
                        <w:sz w:val="19"/>
                      </w:rPr>
                      <w:t>0.8984</w:t>
                    </w:r>
                  </w:p>
                </w:txbxContent>
              </v:textbox>
              <w10:wrap type="none"/>
            </v:shape>
            <v:shape style="position:absolute;left:2486;top:4633;width:819;height:194" type="#_x0000_t202" filled="false" stroked="false">
              <v:textbox inset="0,0,0,0">
                <w:txbxContent>
                  <w:p>
                    <w:pPr>
                      <w:spacing w:line="194" w:lineRule="exact" w:before="0"/>
                      <w:ind w:left="0" w:right="-4" w:firstLine="0"/>
                      <w:jc w:val="left"/>
                      <w:rPr>
                        <w:sz w:val="19"/>
                      </w:rPr>
                    </w:pPr>
                    <w:r>
                      <w:rPr>
                        <w:sz w:val="19"/>
                      </w:rPr>
                      <w:t>Coeff Var</w:t>
                    </w:r>
                  </w:p>
                </w:txbxContent>
              </v:textbox>
              <w10:wrap type="none"/>
            </v:shape>
            <v:shape style="position:absolute;left:4117;top:4633;width:810;height:194" type="#_x0000_t202" filled="false" stroked="false">
              <v:textbox inset="0,0,0,0">
                <w:txbxContent>
                  <w:p>
                    <w:pPr>
                      <w:spacing w:line="194" w:lineRule="exact" w:before="0"/>
                      <w:ind w:left="0" w:right="-3" w:firstLine="0"/>
                      <w:jc w:val="left"/>
                      <w:rPr>
                        <w:sz w:val="19"/>
                      </w:rPr>
                    </w:pPr>
                    <w:r>
                      <w:rPr>
                        <w:sz w:val="19"/>
                      </w:rPr>
                      <w:t>32.60571</w:t>
                    </w:r>
                  </w:p>
                </w:txbxContent>
              </v:textbox>
              <w10:wrap type="none"/>
            </v:shape>
            <v:shape style="position:absolute;left:4056;top:5046;width:2084;height:194" type="#_x0000_t202" filled="false" stroked="false">
              <v:textbox inset="0,0,0,0">
                <w:txbxContent>
                  <w:p>
                    <w:pPr>
                      <w:spacing w:line="194" w:lineRule="exact" w:before="0"/>
                      <w:ind w:left="0" w:right="0" w:firstLine="0"/>
                      <w:jc w:val="left"/>
                      <w:rPr>
                        <w:b/>
                        <w:sz w:val="19"/>
                      </w:rPr>
                    </w:pPr>
                    <w:r>
                      <w:rPr>
                        <w:b/>
                        <w:sz w:val="19"/>
                      </w:rPr>
                      <w:t>Parámetros estimados</w:t>
                    </w:r>
                  </w:p>
                </w:txbxContent>
              </v:textbox>
              <w10:wrap type="none"/>
            </v:shape>
            <w10:wrap type="none"/>
          </v:group>
        </w:pict>
      </w:r>
      <w:r>
        <w:rPr/>
        <w:t>Cuadro 1. Análisis de varianza y estimación de los coeficientes de regresión del modelo planteado</w:t>
      </w:r>
    </w:p>
    <w:p>
      <w:pPr>
        <w:pStyle w:val="BodyText"/>
        <w:rPr>
          <w:b/>
          <w:sz w:val="20"/>
        </w:rPr>
      </w:pPr>
    </w:p>
    <w:p>
      <w:pPr>
        <w:pStyle w:val="BodyText"/>
        <w:rPr>
          <w:b/>
          <w:sz w:val="20"/>
        </w:rPr>
      </w:pPr>
    </w:p>
    <w:p>
      <w:pPr>
        <w:pStyle w:val="BodyText"/>
        <w:rPr>
          <w:b/>
          <w:sz w:val="20"/>
        </w:rPr>
      </w:pPr>
    </w:p>
    <w:p>
      <w:pPr>
        <w:pStyle w:val="BodyText"/>
        <w:spacing w:before="3"/>
        <w:rPr>
          <w:b/>
          <w:sz w:val="26"/>
        </w:rPr>
      </w:pPr>
    </w:p>
    <w:tbl>
      <w:tblPr>
        <w:tblW w:w="0" w:type="auto"/>
        <w:jc w:val="left"/>
        <w:tblInd w:w="72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58"/>
        <w:gridCol w:w="472"/>
        <w:gridCol w:w="1351"/>
        <w:gridCol w:w="2794"/>
      </w:tblGrid>
      <w:tr>
        <w:trPr>
          <w:trHeight w:val="1242" w:hRule="exact"/>
        </w:trPr>
        <w:tc>
          <w:tcPr>
            <w:tcW w:w="1558" w:type="dxa"/>
          </w:tcPr>
          <w:p>
            <w:pPr>
              <w:pStyle w:val="TableParagraph"/>
              <w:spacing w:before="6"/>
              <w:jc w:val="left"/>
              <w:rPr>
                <w:b/>
                <w:sz w:val="26"/>
              </w:rPr>
            </w:pPr>
          </w:p>
          <w:p>
            <w:pPr>
              <w:pStyle w:val="TableParagraph"/>
              <w:spacing w:line="410" w:lineRule="atLeast" w:before="0"/>
              <w:ind w:left="37" w:right="878"/>
              <w:jc w:val="left"/>
              <w:rPr>
                <w:sz w:val="19"/>
              </w:rPr>
            </w:pPr>
            <w:r>
              <w:rPr>
                <w:sz w:val="19"/>
              </w:rPr>
              <w:t>Fuente Modelo</w:t>
            </w:r>
          </w:p>
        </w:tc>
        <w:tc>
          <w:tcPr>
            <w:tcW w:w="472" w:type="dxa"/>
          </w:tcPr>
          <w:p>
            <w:pPr>
              <w:pStyle w:val="TableParagraph"/>
              <w:spacing w:before="6"/>
              <w:jc w:val="left"/>
              <w:rPr>
                <w:b/>
                <w:sz w:val="26"/>
              </w:rPr>
            </w:pPr>
          </w:p>
          <w:p>
            <w:pPr>
              <w:pStyle w:val="TableParagraph"/>
              <w:spacing w:line="410" w:lineRule="atLeast" w:before="0"/>
              <w:ind w:left="196" w:right="89" w:hanging="87"/>
              <w:jc w:val="left"/>
              <w:rPr>
                <w:sz w:val="19"/>
              </w:rPr>
            </w:pPr>
            <w:r>
              <w:rPr>
                <w:sz w:val="19"/>
              </w:rPr>
              <w:t>DF 6</w:t>
            </w:r>
          </w:p>
        </w:tc>
        <w:tc>
          <w:tcPr>
            <w:tcW w:w="1351" w:type="dxa"/>
          </w:tcPr>
          <w:p>
            <w:pPr>
              <w:pStyle w:val="TableParagraph"/>
              <w:spacing w:line="458" w:lineRule="auto" w:before="79"/>
              <w:ind w:left="329" w:right="294" w:hanging="52"/>
              <w:jc w:val="left"/>
              <w:rPr>
                <w:sz w:val="19"/>
              </w:rPr>
            </w:pPr>
            <w:r>
              <w:rPr>
                <w:sz w:val="19"/>
              </w:rPr>
              <w:t>Sum of Squares</w:t>
            </w:r>
          </w:p>
          <w:p>
            <w:pPr>
              <w:pStyle w:val="TableParagraph"/>
              <w:spacing w:before="6"/>
              <w:ind w:left="103"/>
              <w:jc w:val="left"/>
              <w:rPr>
                <w:sz w:val="19"/>
              </w:rPr>
            </w:pPr>
            <w:r>
              <w:rPr>
                <w:sz w:val="19"/>
              </w:rPr>
              <w:t>1699447837</w:t>
            </w:r>
          </w:p>
        </w:tc>
        <w:tc>
          <w:tcPr>
            <w:tcW w:w="2794" w:type="dxa"/>
          </w:tcPr>
          <w:p>
            <w:pPr>
              <w:pStyle w:val="TableParagraph"/>
              <w:spacing w:before="79"/>
              <w:ind w:left="137"/>
              <w:jc w:val="left"/>
              <w:rPr>
                <w:sz w:val="19"/>
              </w:rPr>
            </w:pPr>
            <w:r>
              <w:rPr>
                <w:sz w:val="19"/>
              </w:rPr>
              <w:t>Mean</w:t>
            </w:r>
          </w:p>
          <w:p>
            <w:pPr>
              <w:pStyle w:val="TableParagraph"/>
              <w:tabs>
                <w:tab w:pos="1359" w:val="left" w:leader="none"/>
                <w:tab w:pos="1458" w:val="left" w:leader="none"/>
                <w:tab w:pos="2161" w:val="left" w:leader="none"/>
                <w:tab w:pos="2213" w:val="left" w:leader="none"/>
              </w:tabs>
              <w:spacing w:line="410" w:lineRule="atLeast" w:before="7"/>
              <w:ind w:left="159" w:right="33" w:firstLine="31"/>
              <w:jc w:val="left"/>
              <w:rPr>
                <w:sz w:val="19"/>
              </w:rPr>
            </w:pPr>
            <w:r>
              <w:rPr>
                <w:sz w:val="19"/>
              </w:rPr>
              <w:t>Square</w:t>
              <w:tab/>
              <w:t>F-Valor</w:t>
              <w:tab/>
              <w:tab/>
              <w:t>Pr</w:t>
            </w:r>
            <w:r>
              <w:rPr>
                <w:spacing w:val="6"/>
                <w:sz w:val="19"/>
              </w:rPr>
              <w:t> </w:t>
            </w:r>
            <w:r>
              <w:rPr>
                <w:sz w:val="19"/>
              </w:rPr>
              <w:t>&gt;</w:t>
            </w:r>
            <w:r>
              <w:rPr>
                <w:spacing w:val="6"/>
                <w:sz w:val="19"/>
              </w:rPr>
              <w:t> </w:t>
            </w:r>
            <w:r>
              <w:rPr>
                <w:sz w:val="19"/>
              </w:rPr>
              <w:t>F</w:t>
            </w:r>
            <w:r>
              <w:rPr>
                <w:w w:val="101"/>
                <w:sz w:val="19"/>
              </w:rPr>
              <w:t> </w:t>
            </w:r>
            <w:r>
              <w:rPr>
                <w:sz w:val="19"/>
              </w:rPr>
              <w:t>283241306</w:t>
              <w:tab/>
              <w:tab/>
              <w:t>39.33</w:t>
              <w:tab/>
              <w:t>&lt;.0001</w:t>
            </w:r>
          </w:p>
        </w:tc>
      </w:tr>
      <w:tr>
        <w:trPr>
          <w:trHeight w:val="419" w:hRule="exact"/>
        </w:trPr>
        <w:tc>
          <w:tcPr>
            <w:tcW w:w="1558" w:type="dxa"/>
          </w:tcPr>
          <w:p>
            <w:pPr>
              <w:pStyle w:val="TableParagraph"/>
              <w:spacing w:before="92"/>
              <w:ind w:left="37" w:right="878"/>
              <w:jc w:val="left"/>
              <w:rPr>
                <w:sz w:val="19"/>
              </w:rPr>
            </w:pPr>
            <w:r>
              <w:rPr>
                <w:sz w:val="19"/>
              </w:rPr>
              <w:t>Error</w:t>
            </w:r>
          </w:p>
        </w:tc>
        <w:tc>
          <w:tcPr>
            <w:tcW w:w="472" w:type="dxa"/>
          </w:tcPr>
          <w:p>
            <w:pPr>
              <w:pStyle w:val="TableParagraph"/>
              <w:spacing w:before="92"/>
              <w:ind w:left="81" w:right="138"/>
              <w:jc w:val="center"/>
              <w:rPr>
                <w:sz w:val="19"/>
              </w:rPr>
            </w:pPr>
            <w:r>
              <w:rPr>
                <w:sz w:val="19"/>
              </w:rPr>
              <w:t>20</w:t>
            </w:r>
          </w:p>
        </w:tc>
        <w:tc>
          <w:tcPr>
            <w:tcW w:w="1351" w:type="dxa"/>
          </w:tcPr>
          <w:p>
            <w:pPr>
              <w:pStyle w:val="TableParagraph"/>
              <w:spacing w:before="92"/>
              <w:ind w:left="168"/>
              <w:jc w:val="left"/>
              <w:rPr>
                <w:sz w:val="19"/>
              </w:rPr>
            </w:pPr>
            <w:r>
              <w:rPr>
                <w:sz w:val="19"/>
              </w:rPr>
              <w:t>144029003</w:t>
            </w:r>
          </w:p>
        </w:tc>
        <w:tc>
          <w:tcPr>
            <w:tcW w:w="2794" w:type="dxa"/>
          </w:tcPr>
          <w:p>
            <w:pPr>
              <w:pStyle w:val="TableParagraph"/>
              <w:spacing w:before="92"/>
              <w:ind w:left="224"/>
              <w:jc w:val="left"/>
              <w:rPr>
                <w:sz w:val="19"/>
              </w:rPr>
            </w:pPr>
            <w:r>
              <w:rPr>
                <w:sz w:val="19"/>
              </w:rPr>
              <w:t>7201450</w:t>
            </w:r>
          </w:p>
        </w:tc>
      </w:tr>
      <w:tr>
        <w:trPr>
          <w:trHeight w:val="419" w:hRule="exact"/>
        </w:trPr>
        <w:tc>
          <w:tcPr>
            <w:tcW w:w="1558" w:type="dxa"/>
          </w:tcPr>
          <w:p>
            <w:pPr>
              <w:pStyle w:val="TableParagraph"/>
              <w:spacing w:before="90"/>
              <w:ind w:left="35"/>
              <w:jc w:val="left"/>
              <w:rPr>
                <w:sz w:val="19"/>
              </w:rPr>
            </w:pPr>
            <w:r>
              <w:rPr>
                <w:sz w:val="19"/>
              </w:rPr>
              <w:t>Total corregido</w:t>
            </w:r>
          </w:p>
        </w:tc>
        <w:tc>
          <w:tcPr>
            <w:tcW w:w="472" w:type="dxa"/>
          </w:tcPr>
          <w:p>
            <w:pPr>
              <w:pStyle w:val="TableParagraph"/>
              <w:spacing w:before="90"/>
              <w:ind w:left="81" w:right="137"/>
              <w:jc w:val="center"/>
              <w:rPr>
                <w:sz w:val="19"/>
              </w:rPr>
            </w:pPr>
            <w:r>
              <w:rPr>
                <w:sz w:val="19"/>
              </w:rPr>
              <w:t>26</w:t>
            </w:r>
          </w:p>
        </w:tc>
        <w:tc>
          <w:tcPr>
            <w:tcW w:w="1351" w:type="dxa"/>
          </w:tcPr>
          <w:p>
            <w:pPr>
              <w:pStyle w:val="TableParagraph"/>
              <w:spacing w:before="90"/>
              <w:ind w:left="116"/>
              <w:jc w:val="left"/>
              <w:rPr>
                <w:sz w:val="19"/>
              </w:rPr>
            </w:pPr>
            <w:r>
              <w:rPr>
                <w:sz w:val="19"/>
              </w:rPr>
              <w:t>1843476839</w:t>
            </w:r>
          </w:p>
        </w:tc>
        <w:tc>
          <w:tcPr>
            <w:tcW w:w="2794" w:type="dxa"/>
          </w:tcPr>
          <w:p>
            <w:pPr/>
          </w:p>
        </w:tc>
      </w:tr>
      <w:tr>
        <w:trPr>
          <w:trHeight w:val="407" w:hRule="exact"/>
        </w:trPr>
        <w:tc>
          <w:tcPr>
            <w:tcW w:w="1558" w:type="dxa"/>
          </w:tcPr>
          <w:p>
            <w:pPr>
              <w:pStyle w:val="TableParagraph"/>
              <w:spacing w:before="92"/>
              <w:ind w:left="577"/>
              <w:jc w:val="left"/>
              <w:rPr>
                <w:sz w:val="19"/>
              </w:rPr>
            </w:pPr>
            <w:r>
              <w:rPr>
                <w:sz w:val="19"/>
              </w:rPr>
              <w:t>Root MSE</w:t>
            </w:r>
          </w:p>
        </w:tc>
        <w:tc>
          <w:tcPr>
            <w:tcW w:w="472" w:type="dxa"/>
          </w:tcPr>
          <w:p>
            <w:pPr/>
          </w:p>
        </w:tc>
        <w:tc>
          <w:tcPr>
            <w:tcW w:w="1351" w:type="dxa"/>
          </w:tcPr>
          <w:p>
            <w:pPr>
              <w:pStyle w:val="TableParagraph"/>
              <w:spacing w:before="92"/>
              <w:ind w:left="190"/>
              <w:jc w:val="left"/>
              <w:rPr>
                <w:sz w:val="19"/>
              </w:rPr>
            </w:pPr>
            <w:r>
              <w:rPr>
                <w:sz w:val="19"/>
              </w:rPr>
              <w:t>2683.55178</w:t>
            </w:r>
          </w:p>
        </w:tc>
        <w:tc>
          <w:tcPr>
            <w:tcW w:w="2794" w:type="dxa"/>
          </w:tcPr>
          <w:p>
            <w:pPr>
              <w:pStyle w:val="TableParagraph"/>
              <w:tabs>
                <w:tab w:pos="1695" w:val="left" w:leader="none"/>
              </w:tabs>
              <w:spacing w:before="92"/>
              <w:ind w:left="409"/>
              <w:jc w:val="left"/>
              <w:rPr>
                <w:sz w:val="19"/>
              </w:rPr>
            </w:pPr>
            <w:r>
              <w:rPr>
                <w:sz w:val="19"/>
              </w:rPr>
              <w:t>R-cuadrado</w:t>
              <w:tab/>
              <w:t>0.9219</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9"/>
        </w:r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92"/>
        <w:gridCol w:w="4758"/>
      </w:tblGrid>
      <w:tr>
        <w:trPr>
          <w:trHeight w:val="632" w:hRule="exact"/>
        </w:trPr>
        <w:tc>
          <w:tcPr>
            <w:tcW w:w="4292" w:type="dxa"/>
          </w:tcPr>
          <w:p>
            <w:pPr>
              <w:pStyle w:val="TableParagraph"/>
              <w:spacing w:before="6"/>
              <w:jc w:val="left"/>
              <w:rPr>
                <w:b/>
                <w:sz w:val="26"/>
              </w:rPr>
            </w:pPr>
          </w:p>
          <w:p>
            <w:pPr>
              <w:pStyle w:val="TableParagraph"/>
              <w:spacing w:before="0"/>
              <w:ind w:left="1679"/>
              <w:jc w:val="left"/>
              <w:rPr>
                <w:sz w:val="19"/>
              </w:rPr>
            </w:pPr>
            <w:r>
              <w:rPr>
                <w:sz w:val="19"/>
              </w:rPr>
              <w:t>Durbin-Watson D</w:t>
            </w:r>
          </w:p>
        </w:tc>
        <w:tc>
          <w:tcPr>
            <w:tcW w:w="4758" w:type="dxa"/>
          </w:tcPr>
          <w:p>
            <w:pPr>
              <w:pStyle w:val="TableParagraph"/>
              <w:spacing w:before="6"/>
              <w:jc w:val="left"/>
              <w:rPr>
                <w:b/>
                <w:sz w:val="26"/>
              </w:rPr>
            </w:pPr>
          </w:p>
          <w:p>
            <w:pPr>
              <w:pStyle w:val="TableParagraph"/>
              <w:spacing w:before="0"/>
              <w:ind w:left="125"/>
              <w:jc w:val="left"/>
              <w:rPr>
                <w:sz w:val="19"/>
              </w:rPr>
            </w:pPr>
            <w:r>
              <w:rPr>
                <w:sz w:val="19"/>
              </w:rPr>
              <w:t>0.982</w:t>
            </w:r>
          </w:p>
        </w:tc>
      </w:tr>
      <w:tr>
        <w:trPr>
          <w:trHeight w:val="418" w:hRule="exact"/>
        </w:trPr>
        <w:tc>
          <w:tcPr>
            <w:tcW w:w="4292" w:type="dxa"/>
          </w:tcPr>
          <w:p>
            <w:pPr>
              <w:pStyle w:val="TableParagraph"/>
              <w:spacing w:before="90"/>
              <w:ind w:left="1679"/>
              <w:jc w:val="left"/>
              <w:rPr>
                <w:sz w:val="19"/>
              </w:rPr>
            </w:pPr>
            <w:r>
              <w:rPr>
                <w:sz w:val="19"/>
              </w:rPr>
              <w:t>Número de observaciones</w:t>
            </w:r>
          </w:p>
        </w:tc>
        <w:tc>
          <w:tcPr>
            <w:tcW w:w="4758" w:type="dxa"/>
          </w:tcPr>
          <w:p>
            <w:pPr>
              <w:pStyle w:val="TableParagraph"/>
              <w:spacing w:before="90"/>
              <w:ind w:left="416"/>
              <w:jc w:val="left"/>
              <w:rPr>
                <w:sz w:val="19"/>
              </w:rPr>
            </w:pPr>
            <w:r>
              <w:rPr>
                <w:sz w:val="19"/>
              </w:rPr>
              <w:t>27</w:t>
            </w:r>
          </w:p>
        </w:tc>
      </w:tr>
      <w:tr>
        <w:trPr>
          <w:trHeight w:val="337" w:hRule="exact"/>
        </w:trPr>
        <w:tc>
          <w:tcPr>
            <w:tcW w:w="4292" w:type="dxa"/>
            <w:tcBorders>
              <w:bottom w:val="single" w:sz="3" w:space="0" w:color="000000"/>
            </w:tcBorders>
          </w:tcPr>
          <w:p>
            <w:pPr>
              <w:pStyle w:val="TableParagraph"/>
              <w:spacing w:before="90"/>
              <w:ind w:left="1679"/>
              <w:jc w:val="left"/>
              <w:rPr>
                <w:sz w:val="19"/>
              </w:rPr>
            </w:pPr>
            <w:r>
              <w:rPr>
                <w:sz w:val="19"/>
              </w:rPr>
              <w:t>1st Autocorrelación de orden</w:t>
            </w:r>
          </w:p>
        </w:tc>
        <w:tc>
          <w:tcPr>
            <w:tcW w:w="4758" w:type="dxa"/>
            <w:tcBorders>
              <w:bottom w:val="single" w:sz="3" w:space="0" w:color="000000"/>
            </w:tcBorders>
          </w:tcPr>
          <w:p>
            <w:pPr>
              <w:pStyle w:val="TableParagraph"/>
              <w:spacing w:before="90"/>
              <w:ind w:left="203"/>
              <w:jc w:val="left"/>
              <w:rPr>
                <w:sz w:val="19"/>
              </w:rPr>
            </w:pPr>
            <w:r>
              <w:rPr>
                <w:sz w:val="19"/>
              </w:rPr>
              <w:t>0.498</w:t>
            </w:r>
          </w:p>
        </w:tc>
      </w:tr>
    </w:tbl>
    <w:p>
      <w:pPr>
        <w:pStyle w:val="BodyText"/>
        <w:spacing w:before="8"/>
        <w:rPr>
          <w:b/>
          <w:sz w:val="16"/>
        </w:rPr>
      </w:pPr>
    </w:p>
    <w:p>
      <w:pPr>
        <w:spacing w:before="78"/>
        <w:ind w:left="221" w:right="447" w:firstLine="0"/>
        <w:jc w:val="left"/>
        <w:rPr>
          <w:sz w:val="19"/>
        </w:rPr>
      </w:pPr>
      <w:r>
        <w:rPr>
          <w:sz w:val="21"/>
        </w:rPr>
        <w:t>Fuente: Elaboración propia con datos de la salida de  SAS</w:t>
      </w:r>
      <w:r>
        <w:rPr>
          <w:sz w:val="19"/>
        </w:rPr>
        <w:t>.</w:t>
      </w:r>
    </w:p>
    <w:p>
      <w:pPr>
        <w:spacing w:after="0"/>
        <w:jc w:val="left"/>
        <w:rPr>
          <w:sz w:val="19"/>
        </w:rPr>
        <w:sectPr>
          <w:pgSz w:w="11900" w:h="16840"/>
          <w:pgMar w:header="0" w:footer="1679" w:top="1600" w:bottom="1860" w:left="1180" w:right="1280"/>
        </w:sectPr>
      </w:pPr>
    </w:p>
    <w:p>
      <w:pPr>
        <w:pStyle w:val="BodyText"/>
        <w:rPr>
          <w:sz w:val="20"/>
        </w:rPr>
      </w:pPr>
    </w:p>
    <w:p>
      <w:pPr>
        <w:pStyle w:val="BodyText"/>
        <w:spacing w:before="8"/>
        <w:rPr>
          <w:sz w:val="18"/>
        </w:rPr>
      </w:pPr>
    </w:p>
    <w:p>
      <w:pPr>
        <w:pStyle w:val="BodyText"/>
        <w:spacing w:before="74"/>
        <w:ind w:left="101"/>
        <w:jc w:val="both"/>
      </w:pPr>
      <w:r>
        <w:rPr/>
        <w:t>Por lo tanto, el modelo obtenido a partir de los datos, es el  siguiente:</w:t>
      </w:r>
    </w:p>
    <w:p>
      <w:pPr>
        <w:pStyle w:val="BodyText"/>
        <w:rPr>
          <w:sz w:val="22"/>
        </w:rPr>
      </w:pPr>
    </w:p>
    <w:p>
      <w:pPr>
        <w:spacing w:before="155"/>
        <w:ind w:left="101" w:right="0" w:firstLine="0"/>
        <w:jc w:val="both"/>
        <w:rPr>
          <w:b/>
          <w:sz w:val="16"/>
        </w:rPr>
      </w:pPr>
      <w:r>
        <w:rPr>
          <w:b/>
          <w:sz w:val="25"/>
        </w:rPr>
        <w:t>Re</w:t>
      </w:r>
      <w:r>
        <w:rPr>
          <w:b/>
          <w:position w:val="-3"/>
          <w:sz w:val="16"/>
        </w:rPr>
        <w:t>t</w:t>
      </w:r>
      <w:r>
        <w:rPr>
          <w:b/>
          <w:sz w:val="25"/>
        </w:rPr>
        <w:t>= -26982-785.113E+179.94 W</w:t>
      </w:r>
      <w:r>
        <w:rPr>
          <w:b/>
          <w:position w:val="-3"/>
          <w:sz w:val="16"/>
        </w:rPr>
        <w:t>t</w:t>
      </w:r>
      <w:r>
        <w:rPr>
          <w:b/>
          <w:sz w:val="25"/>
        </w:rPr>
        <w:t>+14.93</w:t>
      </w:r>
      <w:r>
        <w:rPr>
          <w:rFonts w:ascii="Symbol" w:hAnsi="Symbol"/>
          <w:sz w:val="25"/>
        </w:rPr>
        <w:t></w:t>
      </w:r>
      <w:r>
        <w:rPr>
          <w:b/>
          <w:position w:val="-3"/>
          <w:sz w:val="16"/>
        </w:rPr>
        <w:t>t</w:t>
      </w:r>
      <w:r>
        <w:rPr>
          <w:b/>
          <w:sz w:val="25"/>
        </w:rPr>
        <w:t>+50.62r</w:t>
      </w:r>
      <w:r>
        <w:rPr>
          <w:b/>
          <w:position w:val="-3"/>
          <w:sz w:val="16"/>
        </w:rPr>
        <w:t>t</w:t>
      </w:r>
      <w:r>
        <w:rPr>
          <w:b/>
          <w:sz w:val="25"/>
        </w:rPr>
        <w:t>+  0.00384NM</w:t>
      </w:r>
      <w:r>
        <w:rPr>
          <w:b/>
          <w:position w:val="-3"/>
          <w:sz w:val="16"/>
        </w:rPr>
        <w:t>t</w:t>
      </w:r>
      <w:r>
        <w:rPr>
          <w:b/>
          <w:sz w:val="25"/>
        </w:rPr>
        <w:t>+157.90U</w:t>
      </w:r>
      <w:r>
        <w:rPr>
          <w:b/>
          <w:position w:val="-3"/>
          <w:sz w:val="16"/>
        </w:rPr>
        <w:t>t</w:t>
      </w:r>
    </w:p>
    <w:p>
      <w:pPr>
        <w:pStyle w:val="BodyText"/>
        <w:spacing w:before="8"/>
        <w:rPr>
          <w:b/>
          <w:sz w:val="35"/>
        </w:rPr>
      </w:pPr>
    </w:p>
    <w:p>
      <w:pPr>
        <w:pStyle w:val="Heading4"/>
        <w:jc w:val="both"/>
      </w:pPr>
      <w:r>
        <w:rPr/>
        <w:t>Resultados económicos</w:t>
      </w:r>
    </w:p>
    <w:p>
      <w:pPr>
        <w:pStyle w:val="BodyText"/>
        <w:rPr>
          <w:b/>
          <w:sz w:val="22"/>
        </w:rPr>
      </w:pPr>
    </w:p>
    <w:p>
      <w:pPr>
        <w:pStyle w:val="BodyText"/>
        <w:spacing w:line="364" w:lineRule="auto" w:before="161"/>
        <w:ind w:left="101" w:right="387"/>
        <w:jc w:val="both"/>
      </w:pPr>
      <w:r>
        <w:rPr/>
        <w:t>El análisis de los coeficientes estructurales permite apreciar la congruencia de los estimadores con las relaciones teóricas económicas inmersas en la  ecuación.</w:t>
      </w:r>
    </w:p>
    <w:p>
      <w:pPr>
        <w:pStyle w:val="BodyText"/>
        <w:rPr>
          <w:sz w:val="24"/>
        </w:rPr>
      </w:pPr>
    </w:p>
    <w:p>
      <w:pPr>
        <w:pStyle w:val="BodyText"/>
        <w:spacing w:line="364" w:lineRule="auto"/>
        <w:ind w:left="101" w:right="383"/>
        <w:jc w:val="both"/>
      </w:pPr>
      <w:r>
        <w:rPr/>
        <w:t>Las remesas en función de la tasa de interés, el desempleo, y el número  de migrantes presentan los signos esperados, es decir,  al aumentar la tasa de interés,   el desempleo y el número de migrantes provocará que las remesas aumenten. Sin embargo, para la inflación, el tipo de cambio y el salario presentan signos contrarios   a los</w:t>
      </w:r>
      <w:r>
        <w:rPr>
          <w:spacing w:val="14"/>
        </w:rPr>
        <w:t> </w:t>
      </w:r>
      <w:r>
        <w:rPr/>
        <w:t>esperados.</w:t>
      </w:r>
    </w:p>
    <w:p>
      <w:pPr>
        <w:pStyle w:val="BodyText"/>
        <w:spacing w:before="9"/>
      </w:pPr>
    </w:p>
    <w:p>
      <w:pPr>
        <w:pStyle w:val="Heading4"/>
        <w:ind w:left="166"/>
        <w:jc w:val="both"/>
      </w:pPr>
      <w:r>
        <w:rPr/>
        <w:t>Interpretación económica de las</w:t>
      </w:r>
      <w:r>
        <w:rPr>
          <w:spacing w:val="54"/>
        </w:rPr>
        <w:t> </w:t>
      </w:r>
      <w:r>
        <w:rPr/>
        <w:t>elasticidades</w:t>
      </w:r>
    </w:p>
    <w:p>
      <w:pPr>
        <w:pStyle w:val="BodyText"/>
        <w:rPr>
          <w:b/>
          <w:sz w:val="22"/>
        </w:rPr>
      </w:pPr>
    </w:p>
    <w:p>
      <w:pPr>
        <w:pStyle w:val="BodyText"/>
        <w:spacing w:line="364" w:lineRule="auto" w:before="161"/>
        <w:ind w:left="101" w:right="383"/>
        <w:jc w:val="both"/>
      </w:pPr>
      <w:r>
        <w:rPr/>
        <w:t>La elasticidad de las remesas con respecto al salario fue de 1.4409, es decir; al aumentar un 10% el salario, las remesas aumentarán en 14.409%. Para el caso de   la elasticidad de las remesas con la inflación de 0.011897 o sea que al aumentar la inflación en un 10% las remesas aumentan en 0.11897%. La elasticidad de las remesas con respecto a la tasa de interés, del desempleo y el número de migrantes fue de 0.40338, 0.08947 y de 3.6832 respectivamente, es decir, al aumentar en un 10% a la tasa de interés, el tipo de cambio y del desempleo, las  remesas  aumentarían en 4.0338%, 0.8947% y 36.83% respectivamente, como se puede observar la relación entre las remesas y el número de migrantes es elástica, esto quiere decir que si aumenta el NM en 10% las remesas aumentaran en mayor proporción que el aumento de estos; en lo que respecta al tipo de cambio indica que  si éste aumente en un 10% las remesas disminuirán en 7.069%, lo  cual  no  se cumple con la teoría económica (Cuadro</w:t>
      </w:r>
      <w:r>
        <w:rPr>
          <w:spacing w:val="49"/>
        </w:rPr>
        <w:t> </w:t>
      </w:r>
      <w:r>
        <w:rPr/>
        <w:t>2).</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6"/>
        <w:rPr>
          <w:sz w:val="18"/>
        </w:rPr>
      </w:pPr>
    </w:p>
    <w:p>
      <w:pPr>
        <w:pStyle w:val="Heading4"/>
        <w:spacing w:before="74"/>
        <w:ind w:left="1954" w:right="150"/>
      </w:pPr>
      <w:r>
        <w:rPr/>
        <w:t>Cuadro 2. Resumen de elasticidades del</w:t>
      </w:r>
      <w:r>
        <w:rPr>
          <w:spacing w:val="62"/>
        </w:rPr>
        <w:t> </w:t>
      </w:r>
      <w:r>
        <w:rPr/>
        <w:t>modelo</w:t>
      </w:r>
    </w:p>
    <w:p>
      <w:pPr>
        <w:pStyle w:val="BodyText"/>
        <w:rPr>
          <w:b/>
          <w:sz w:val="20"/>
        </w:rPr>
      </w:pPr>
    </w:p>
    <w:p>
      <w:pPr>
        <w:pStyle w:val="BodyText"/>
        <w:spacing w:before="9"/>
        <w:rPr>
          <w:b/>
          <w:sz w:val="11"/>
        </w:rPr>
      </w:pPr>
      <w:r>
        <w:rPr/>
        <w:pict>
          <v:group style="position:absolute;margin-left:64.549995pt;margin-top:8.733261pt;width:466.6pt;height:124.85pt;mso-position-horizontal-relative:page;mso-position-vertical-relative:paragraph;z-index:14392;mso-wrap-distance-left:0;mso-wrap-distance-right:0" coordorigin="1291,175" coordsize="9332,2497">
            <v:line style="position:absolute" from="1301,184" to="10613,184" stroked="true" strokeweight=".48pt" strokecolor="#000000"/>
            <v:line style="position:absolute" from="1296,180" to="1296,2666" stroked="true" strokeweight=".48pt" strokecolor="#000000"/>
            <v:line style="position:absolute" from="1301,2661" to="10613,2661" stroked="true" strokeweight=".48pt" strokecolor="#000000"/>
            <v:line style="position:absolute" from="10618,180" to="10618,2666" stroked="true" strokeweight=".48pt" strokecolor="#000000"/>
            <v:shape style="position:absolute;left:2279;top:232;width:234;height:351" type="#_x0000_t202" filled="false" stroked="false">
              <v:textbox inset="0,0,0,0">
                <w:txbxContent>
                  <w:p>
                    <w:pPr>
                      <w:spacing w:line="350" w:lineRule="exact" w:before="0"/>
                      <w:ind w:left="0" w:right="0" w:firstLine="0"/>
                      <w:jc w:val="left"/>
                      <w:rPr>
                        <w:b/>
                        <w:sz w:val="35"/>
                      </w:rPr>
                    </w:pPr>
                    <w:r>
                      <w:rPr>
                        <w:b/>
                        <w:w w:val="100"/>
                        <w:sz w:val="35"/>
                      </w:rPr>
                      <w:t>E</w:t>
                    </w:r>
                  </w:p>
                </w:txbxContent>
              </v:textbox>
              <w10:wrap type="none"/>
            </v:shape>
            <v:shape style="position:absolute;left:2537;top:306;width:161;height:299" type="#_x0000_t202" filled="false" stroked="false">
              <v:textbox inset="0,0,0,0">
                <w:txbxContent>
                  <w:p>
                    <w:pPr>
                      <w:spacing w:line="137" w:lineRule="exact" w:before="0"/>
                      <w:ind w:left="0" w:right="-16" w:firstLine="12"/>
                      <w:jc w:val="left"/>
                      <w:rPr>
                        <w:rFonts w:ascii="Times New Roman"/>
                        <w:sz w:val="13"/>
                      </w:rPr>
                    </w:pPr>
                    <w:r>
                      <w:rPr>
                        <w:rFonts w:ascii="Times New Roman"/>
                        <w:sz w:val="13"/>
                      </w:rPr>
                      <w:t>Re</w:t>
                    </w:r>
                  </w:p>
                  <w:p>
                    <w:pPr>
                      <w:spacing w:line="148" w:lineRule="exact" w:before="13"/>
                      <w:ind w:left="0" w:right="0" w:firstLine="0"/>
                      <w:jc w:val="left"/>
                      <w:rPr>
                        <w:rFonts w:ascii="Times New Roman"/>
                        <w:i/>
                        <w:sz w:val="13"/>
                      </w:rPr>
                    </w:pPr>
                    <w:r>
                      <w:rPr>
                        <w:rFonts w:ascii="Times New Roman"/>
                        <w:i/>
                        <w:w w:val="104"/>
                        <w:sz w:val="13"/>
                      </w:rPr>
                      <w:t>W</w:t>
                    </w:r>
                  </w:p>
                </w:txbxContent>
              </v:textbox>
              <w10:wrap type="none"/>
            </v:shape>
            <v:shape style="position:absolute;left:2738;top:330;width:805;height:236" type="#_x0000_t202" filled="false" stroked="false">
              <v:textbox inset="0,0,0,0">
                <w:txbxContent>
                  <w:p>
                    <w:pPr>
                      <w:spacing w:line="236" w:lineRule="exact" w:before="0"/>
                      <w:ind w:left="0" w:right="-16" w:firstLine="0"/>
                      <w:jc w:val="left"/>
                      <w:rPr>
                        <w:rFonts w:ascii="Times New Roman" w:hAnsi="Times New Roman"/>
                        <w:sz w:val="23"/>
                      </w:rPr>
                    </w:pPr>
                    <w:r>
                      <w:rPr>
                        <w:rFonts w:ascii="Symbol" w:hAnsi="Symbol"/>
                        <w:sz w:val="23"/>
                      </w:rPr>
                      <w:t></w:t>
                    </w:r>
                    <w:r>
                      <w:rPr>
                        <w:rFonts w:ascii="Times New Roman" w:hAnsi="Times New Roman"/>
                        <w:spacing w:val="-16"/>
                        <w:sz w:val="23"/>
                      </w:rPr>
                      <w:t> </w:t>
                    </w:r>
                    <w:r>
                      <w:rPr>
                        <w:rFonts w:ascii="Times New Roman" w:hAnsi="Times New Roman"/>
                        <w:sz w:val="23"/>
                      </w:rPr>
                      <w:t>1.4409</w:t>
                    </w:r>
                  </w:p>
                </w:txbxContent>
              </v:textbox>
              <w10:wrap type="none"/>
            </v:shape>
            <v:shape style="position:absolute;left:6495;top:232;width:234;height:351" type="#_x0000_t202" filled="false" stroked="false">
              <v:textbox inset="0,0,0,0">
                <w:txbxContent>
                  <w:p>
                    <w:pPr>
                      <w:spacing w:line="350" w:lineRule="exact" w:before="0"/>
                      <w:ind w:left="0" w:right="0" w:firstLine="0"/>
                      <w:jc w:val="left"/>
                      <w:rPr>
                        <w:b/>
                        <w:sz w:val="35"/>
                      </w:rPr>
                    </w:pPr>
                    <w:r>
                      <w:rPr>
                        <w:b/>
                        <w:w w:val="100"/>
                        <w:sz w:val="35"/>
                      </w:rPr>
                      <w:t>E</w:t>
                    </w:r>
                  </w:p>
                </w:txbxContent>
              </v:textbox>
              <w10:wrap type="none"/>
            </v:shape>
            <v:shape style="position:absolute;left:6758;top:306;width:159;height:298" type="#_x0000_t202" filled="false" stroked="false">
              <v:textbox inset="0,0,0,0">
                <w:txbxContent>
                  <w:p>
                    <w:pPr>
                      <w:spacing w:line="134" w:lineRule="exact" w:before="0"/>
                      <w:ind w:left="9" w:right="-15" w:firstLine="0"/>
                      <w:jc w:val="left"/>
                      <w:rPr>
                        <w:rFonts w:ascii="Times New Roman"/>
                        <w:sz w:val="13"/>
                      </w:rPr>
                    </w:pPr>
                    <w:r>
                      <w:rPr>
                        <w:rFonts w:ascii="Times New Roman"/>
                        <w:sz w:val="13"/>
                      </w:rPr>
                      <w:t>Re</w:t>
                    </w:r>
                  </w:p>
                  <w:p>
                    <w:pPr>
                      <w:spacing w:line="164" w:lineRule="exact" w:before="0"/>
                      <w:ind w:left="0" w:right="0" w:firstLine="0"/>
                      <w:jc w:val="left"/>
                      <w:rPr>
                        <w:rFonts w:ascii="Symbol" w:hAnsi="Symbol"/>
                        <w:sz w:val="14"/>
                      </w:rPr>
                    </w:pPr>
                    <w:r>
                      <w:rPr>
                        <w:rFonts w:ascii="Symbol" w:hAnsi="Symbol"/>
                        <w:w w:val="96"/>
                        <w:sz w:val="14"/>
                      </w:rPr>
                      <w:t></w:t>
                    </w:r>
                  </w:p>
                </w:txbxContent>
              </v:textbox>
              <w10:wrap type="none"/>
            </v:shape>
            <v:shape style="position:absolute;left:6958;top:330;width:1067;height:236" type="#_x0000_t202" filled="false" stroked="false">
              <v:textbox inset="0,0,0,0">
                <w:txbxContent>
                  <w:p>
                    <w:pPr>
                      <w:spacing w:line="236" w:lineRule="exact" w:before="0"/>
                      <w:ind w:left="0" w:right="0" w:firstLine="0"/>
                      <w:jc w:val="left"/>
                      <w:rPr>
                        <w:rFonts w:ascii="Times New Roman" w:hAnsi="Times New Roman"/>
                        <w:sz w:val="23"/>
                      </w:rPr>
                    </w:pPr>
                    <w:r>
                      <w:rPr>
                        <w:rFonts w:ascii="Symbol" w:hAnsi="Symbol"/>
                        <w:sz w:val="23"/>
                      </w:rPr>
                      <w:t></w:t>
                    </w:r>
                    <w:r>
                      <w:rPr>
                        <w:rFonts w:ascii="Times New Roman" w:hAnsi="Times New Roman"/>
                        <w:sz w:val="23"/>
                      </w:rPr>
                      <w:t> 0.011897</w:t>
                    </w:r>
                  </w:p>
                </w:txbxContent>
              </v:textbox>
              <w10:wrap type="none"/>
            </v:shape>
            <v:shape style="position:absolute;left:2378;top:1153;width:1530;height:351" type="#_x0000_t202" filled="false" stroked="false">
              <v:textbox inset="0,0,0,0">
                <w:txbxContent>
                  <w:p>
                    <w:pPr>
                      <w:tabs>
                        <w:tab w:pos="461" w:val="left" w:leader="none"/>
                      </w:tabs>
                      <w:spacing w:line="350" w:lineRule="exact" w:before="0"/>
                      <w:ind w:left="0" w:right="0" w:firstLine="0"/>
                      <w:jc w:val="left"/>
                      <w:rPr>
                        <w:rFonts w:ascii="Times New Roman" w:hAnsi="Times New Roman"/>
                        <w:sz w:val="23"/>
                      </w:rPr>
                    </w:pPr>
                    <w:r>
                      <w:rPr>
                        <w:b/>
                        <w:sz w:val="35"/>
                      </w:rPr>
                      <w:t>E</w:t>
                      <w:tab/>
                    </w:r>
                    <w:r>
                      <w:rPr>
                        <w:rFonts w:ascii="Symbol" w:hAnsi="Symbol"/>
                        <w:sz w:val="23"/>
                      </w:rPr>
                      <w:t></w:t>
                    </w:r>
                    <w:r>
                      <w:rPr>
                        <w:rFonts w:ascii="Times New Roman" w:hAnsi="Times New Roman"/>
                        <w:spacing w:val="19"/>
                        <w:sz w:val="23"/>
                      </w:rPr>
                      <w:t> </w:t>
                    </w:r>
                    <w:r>
                      <w:rPr>
                        <w:rFonts w:ascii="Times New Roman" w:hAnsi="Times New Roman"/>
                        <w:sz w:val="23"/>
                      </w:rPr>
                      <w:t>0.040338</w:t>
                    </w:r>
                  </w:p>
                </w:txbxContent>
              </v:textbox>
              <w10:wrap type="none"/>
            </v:shape>
            <v:shape style="position:absolute;left:2650;top:1221;width:153;height:138" type="#_x0000_t202" filled="false" stroked="false">
              <v:textbox inset="0,0,0,0">
                <w:txbxContent>
                  <w:p>
                    <w:pPr>
                      <w:spacing w:line="137" w:lineRule="exact" w:before="0"/>
                      <w:ind w:left="0" w:right="-19" w:firstLine="0"/>
                      <w:jc w:val="left"/>
                      <w:rPr>
                        <w:rFonts w:ascii="Times New Roman"/>
                        <w:sz w:val="13"/>
                      </w:rPr>
                    </w:pPr>
                    <w:r>
                      <w:rPr>
                        <w:rFonts w:ascii="Times New Roman"/>
                        <w:w w:val="105"/>
                        <w:sz w:val="13"/>
                      </w:rPr>
                      <w:t>Re</w:t>
                    </w:r>
                  </w:p>
                </w:txbxContent>
              </v:textbox>
              <w10:wrap type="none"/>
            </v:shape>
            <v:shape style="position:absolute;left:6567;top:1153;width:1428;height:351" type="#_x0000_t202" filled="false" stroked="false">
              <v:textbox inset="0,0,0,0">
                <w:txbxContent>
                  <w:p>
                    <w:pPr>
                      <w:tabs>
                        <w:tab w:pos="462" w:val="left" w:leader="none"/>
                      </w:tabs>
                      <w:spacing w:line="350" w:lineRule="exact" w:before="0"/>
                      <w:ind w:left="0" w:right="0" w:firstLine="0"/>
                      <w:jc w:val="left"/>
                      <w:rPr>
                        <w:rFonts w:ascii="Times New Roman" w:hAnsi="Times New Roman"/>
                        <w:sz w:val="23"/>
                      </w:rPr>
                    </w:pPr>
                    <w:r>
                      <w:rPr>
                        <w:b/>
                        <w:sz w:val="35"/>
                      </w:rPr>
                      <w:t>E</w:t>
                      <w:tab/>
                    </w:r>
                    <w:r>
                      <w:rPr>
                        <w:rFonts w:ascii="Symbol" w:hAnsi="Symbol"/>
                        <w:sz w:val="23"/>
                      </w:rPr>
                      <w:t></w:t>
                    </w:r>
                    <w:r>
                      <w:rPr>
                        <w:rFonts w:ascii="Times New Roman" w:hAnsi="Times New Roman"/>
                        <w:spacing w:val="20"/>
                        <w:sz w:val="23"/>
                      </w:rPr>
                      <w:t> </w:t>
                    </w:r>
                    <w:r>
                      <w:rPr>
                        <w:rFonts w:ascii="Symbol" w:hAnsi="Symbol"/>
                        <w:sz w:val="23"/>
                      </w:rPr>
                      <w:t></w:t>
                    </w:r>
                    <w:r>
                      <w:rPr>
                        <w:rFonts w:ascii="Times New Roman" w:hAnsi="Times New Roman"/>
                        <w:sz w:val="23"/>
                      </w:rPr>
                      <w:t>0.7069</w:t>
                    </w:r>
                  </w:p>
                </w:txbxContent>
              </v:textbox>
              <w10:wrap type="none"/>
            </v:shape>
            <v:shape style="position:absolute;left:6840;top:1221;width:153;height:138" type="#_x0000_t202" filled="false" stroked="false">
              <v:textbox inset="0,0,0,0">
                <w:txbxContent>
                  <w:p>
                    <w:pPr>
                      <w:spacing w:line="137" w:lineRule="exact" w:before="0"/>
                      <w:ind w:left="0" w:right="-19" w:firstLine="0"/>
                      <w:jc w:val="left"/>
                      <w:rPr>
                        <w:rFonts w:ascii="Times New Roman"/>
                        <w:sz w:val="13"/>
                      </w:rPr>
                    </w:pPr>
                    <w:r>
                      <w:rPr>
                        <w:rFonts w:ascii="Times New Roman"/>
                        <w:w w:val="105"/>
                        <w:sz w:val="13"/>
                      </w:rPr>
                      <w:t>Re</w:t>
                    </w:r>
                  </w:p>
                </w:txbxContent>
              </v:textbox>
              <w10:wrap type="none"/>
            </v:shape>
            <v:shape style="position:absolute;left:2650;top:1387;width:54;height:138" type="#_x0000_t202" filled="false" stroked="false">
              <v:textbox inset="0,0,0,0">
                <w:txbxContent>
                  <w:p>
                    <w:pPr>
                      <w:spacing w:line="137" w:lineRule="exact" w:before="0"/>
                      <w:ind w:left="0" w:right="0" w:firstLine="0"/>
                      <w:jc w:val="left"/>
                      <w:rPr>
                        <w:rFonts w:ascii="Times New Roman"/>
                        <w:i/>
                        <w:sz w:val="13"/>
                      </w:rPr>
                    </w:pPr>
                    <w:r>
                      <w:rPr>
                        <w:rFonts w:ascii="Times New Roman"/>
                        <w:i/>
                        <w:w w:val="105"/>
                        <w:sz w:val="13"/>
                      </w:rPr>
                      <w:t>r</w:t>
                    </w:r>
                  </w:p>
                </w:txbxContent>
              </v:textbox>
              <w10:wrap type="none"/>
            </v:shape>
            <v:shape style="position:absolute;left:6842;top:1387;width:84;height:138" type="#_x0000_t202" filled="false" stroked="false">
              <v:textbox inset="0,0,0,0">
                <w:txbxContent>
                  <w:p>
                    <w:pPr>
                      <w:spacing w:line="137" w:lineRule="exact" w:before="0"/>
                      <w:ind w:left="0" w:right="0" w:firstLine="0"/>
                      <w:jc w:val="left"/>
                      <w:rPr>
                        <w:rFonts w:ascii="Times New Roman"/>
                        <w:i/>
                        <w:sz w:val="13"/>
                      </w:rPr>
                    </w:pPr>
                    <w:r>
                      <w:rPr>
                        <w:rFonts w:ascii="Times New Roman"/>
                        <w:i/>
                        <w:w w:val="105"/>
                        <w:sz w:val="13"/>
                      </w:rPr>
                      <w:t>E</w:t>
                    </w:r>
                  </w:p>
                </w:txbxContent>
              </v:textbox>
              <w10:wrap type="none"/>
            </v:shape>
            <v:shape style="position:absolute;left:2378;top:2053;width:234;height:351" type="#_x0000_t202" filled="false" stroked="false">
              <v:textbox inset="0,0,0,0">
                <w:txbxContent>
                  <w:p>
                    <w:pPr>
                      <w:spacing w:line="350" w:lineRule="exact" w:before="0"/>
                      <w:ind w:left="0" w:right="0" w:firstLine="0"/>
                      <w:jc w:val="left"/>
                      <w:rPr>
                        <w:b/>
                        <w:sz w:val="35"/>
                      </w:rPr>
                    </w:pPr>
                    <w:r>
                      <w:rPr>
                        <w:b/>
                        <w:w w:val="100"/>
                        <w:sz w:val="35"/>
                      </w:rPr>
                      <w:t>E</w:t>
                    </w:r>
                  </w:p>
                </w:txbxContent>
              </v:textbox>
              <w10:wrap type="none"/>
            </v:shape>
            <v:shape style="position:absolute;left:2635;top:2125;width:161;height:299" type="#_x0000_t202" filled="false" stroked="false">
              <v:textbox inset="0,0,0,0">
                <w:txbxContent>
                  <w:p>
                    <w:pPr>
                      <w:spacing w:line="137" w:lineRule="exact" w:before="0"/>
                      <w:ind w:left="11" w:right="-15" w:firstLine="0"/>
                      <w:jc w:val="left"/>
                      <w:rPr>
                        <w:rFonts w:ascii="Times New Roman"/>
                        <w:sz w:val="13"/>
                      </w:rPr>
                    </w:pPr>
                    <w:r>
                      <w:rPr>
                        <w:rFonts w:ascii="Times New Roman"/>
                        <w:sz w:val="13"/>
                      </w:rPr>
                      <w:t>Re</w:t>
                    </w:r>
                  </w:p>
                  <w:p>
                    <w:pPr>
                      <w:spacing w:line="148" w:lineRule="exact" w:before="13"/>
                      <w:ind w:left="0" w:right="0" w:firstLine="0"/>
                      <w:jc w:val="left"/>
                      <w:rPr>
                        <w:rFonts w:ascii="Times New Roman"/>
                        <w:i/>
                        <w:sz w:val="13"/>
                      </w:rPr>
                    </w:pPr>
                    <w:r>
                      <w:rPr>
                        <w:rFonts w:ascii="Times New Roman"/>
                        <w:i/>
                        <w:w w:val="104"/>
                        <w:sz w:val="13"/>
                      </w:rPr>
                      <w:t>U</w:t>
                    </w:r>
                  </w:p>
                </w:txbxContent>
              </v:textbox>
              <w10:wrap type="none"/>
            </v:shape>
            <v:shape style="position:absolute;left:2839;top:2149;width:947;height:236" type="#_x0000_t202" filled="false" stroked="false">
              <v:textbox inset="0,0,0,0">
                <w:txbxContent>
                  <w:p>
                    <w:pPr>
                      <w:spacing w:line="236" w:lineRule="exact" w:before="0"/>
                      <w:ind w:left="0" w:right="-5" w:firstLine="0"/>
                      <w:jc w:val="left"/>
                      <w:rPr>
                        <w:rFonts w:ascii="Times New Roman" w:hAnsi="Times New Roman"/>
                        <w:sz w:val="23"/>
                      </w:rPr>
                    </w:pPr>
                    <w:r>
                      <w:rPr>
                        <w:rFonts w:ascii="Symbol" w:hAnsi="Symbol"/>
                        <w:sz w:val="23"/>
                      </w:rPr>
                      <w:t></w:t>
                    </w:r>
                    <w:r>
                      <w:rPr>
                        <w:rFonts w:ascii="Times New Roman" w:hAnsi="Times New Roman"/>
                        <w:sz w:val="23"/>
                      </w:rPr>
                      <w:t> 0.08947</w:t>
                    </w:r>
                  </w:p>
                </w:txbxContent>
              </v:textbox>
              <w10:wrap type="none"/>
            </v:shape>
            <v:shape style="position:absolute;left:6445;top:2053;width:234;height:351" type="#_x0000_t202" filled="false" stroked="false">
              <v:textbox inset="0,0,0,0">
                <w:txbxContent>
                  <w:p>
                    <w:pPr>
                      <w:spacing w:line="350" w:lineRule="exact" w:before="0"/>
                      <w:ind w:left="0" w:right="0" w:firstLine="0"/>
                      <w:jc w:val="left"/>
                      <w:rPr>
                        <w:b/>
                        <w:sz w:val="35"/>
                      </w:rPr>
                    </w:pPr>
                    <w:r>
                      <w:rPr>
                        <w:b/>
                        <w:w w:val="100"/>
                        <w:sz w:val="35"/>
                      </w:rPr>
                      <w:t>E</w:t>
                    </w:r>
                  </w:p>
                </w:txbxContent>
              </v:textbox>
              <w10:wrap type="none"/>
            </v:shape>
            <v:shape style="position:absolute;left:6718;top:2125;width:207;height:299" type="#_x0000_t202" filled="false" stroked="false">
              <v:textbox inset="0,0,0,0">
                <w:txbxContent>
                  <w:p>
                    <w:pPr>
                      <w:spacing w:line="137" w:lineRule="exact" w:before="0"/>
                      <w:ind w:left="4" w:right="-12" w:hanging="5"/>
                      <w:jc w:val="left"/>
                      <w:rPr>
                        <w:rFonts w:ascii="Times New Roman"/>
                        <w:sz w:val="13"/>
                      </w:rPr>
                    </w:pPr>
                    <w:r>
                      <w:rPr>
                        <w:rFonts w:ascii="Times New Roman"/>
                        <w:w w:val="105"/>
                        <w:sz w:val="13"/>
                      </w:rPr>
                      <w:t>Re</w:t>
                    </w:r>
                  </w:p>
                  <w:p>
                    <w:pPr>
                      <w:spacing w:line="148" w:lineRule="exact" w:before="13"/>
                      <w:ind w:left="4" w:right="-12" w:firstLine="0"/>
                      <w:jc w:val="left"/>
                      <w:rPr>
                        <w:rFonts w:ascii="Times New Roman"/>
                        <w:i/>
                        <w:sz w:val="13"/>
                      </w:rPr>
                    </w:pPr>
                    <w:r>
                      <w:rPr>
                        <w:rFonts w:ascii="Times New Roman"/>
                        <w:i/>
                        <w:sz w:val="13"/>
                      </w:rPr>
                      <w:t>NM</w:t>
                    </w:r>
                  </w:p>
                </w:txbxContent>
              </v:textbox>
              <w10:wrap type="none"/>
            </v:shape>
            <v:shape style="position:absolute;left:6989;top:2149;width:827;height:236" type="#_x0000_t202" filled="false" stroked="false">
              <v:textbox inset="0,0,0,0">
                <w:txbxContent>
                  <w:p>
                    <w:pPr>
                      <w:spacing w:line="236" w:lineRule="exact" w:before="0"/>
                      <w:ind w:left="0" w:right="-10" w:firstLine="0"/>
                      <w:jc w:val="left"/>
                      <w:rPr>
                        <w:rFonts w:ascii="Times New Roman" w:hAnsi="Times New Roman"/>
                        <w:sz w:val="23"/>
                      </w:rPr>
                    </w:pPr>
                    <w:r>
                      <w:rPr>
                        <w:rFonts w:ascii="Symbol" w:hAnsi="Symbol"/>
                        <w:sz w:val="23"/>
                      </w:rPr>
                      <w:t></w:t>
                    </w:r>
                    <w:r>
                      <w:rPr>
                        <w:rFonts w:ascii="Times New Roman" w:hAnsi="Times New Roman"/>
                        <w:sz w:val="23"/>
                      </w:rPr>
                      <w:t> 3.6832</w:t>
                    </w:r>
                  </w:p>
                </w:txbxContent>
              </v:textbox>
              <w10:wrap type="none"/>
            </v:shape>
            <w10:wrap type="topAndBottom"/>
          </v:group>
        </w:pict>
      </w:r>
    </w:p>
    <w:p>
      <w:pPr>
        <w:pStyle w:val="BodyText"/>
        <w:spacing w:before="2"/>
        <w:rPr>
          <w:b/>
          <w:sz w:val="14"/>
        </w:rPr>
      </w:pPr>
    </w:p>
    <w:p>
      <w:pPr>
        <w:spacing w:before="74"/>
        <w:ind w:left="221" w:right="0" w:firstLine="0"/>
        <w:jc w:val="both"/>
        <w:rPr>
          <w:sz w:val="23"/>
        </w:rPr>
      </w:pPr>
      <w:r>
        <w:rPr>
          <w:sz w:val="21"/>
        </w:rPr>
        <w:t>Fuente: Elaboración propia con la salida del paquete estadístico  SAS</w:t>
      </w:r>
      <w:r>
        <w:rPr>
          <w:sz w:val="23"/>
        </w:rPr>
        <w:t>.</w:t>
      </w:r>
    </w:p>
    <w:p>
      <w:pPr>
        <w:pStyle w:val="BodyText"/>
        <w:rPr>
          <w:sz w:val="22"/>
        </w:rPr>
      </w:pPr>
    </w:p>
    <w:p>
      <w:pPr>
        <w:pStyle w:val="BodyText"/>
        <w:rPr>
          <w:sz w:val="22"/>
        </w:rPr>
      </w:pPr>
    </w:p>
    <w:p>
      <w:pPr>
        <w:pStyle w:val="BodyText"/>
        <w:rPr>
          <w:sz w:val="22"/>
        </w:rPr>
      </w:pPr>
    </w:p>
    <w:p>
      <w:pPr>
        <w:pStyle w:val="BodyText"/>
        <w:rPr>
          <w:sz w:val="28"/>
        </w:rPr>
      </w:pPr>
    </w:p>
    <w:p>
      <w:pPr>
        <w:pStyle w:val="Heading2"/>
        <w:numPr>
          <w:ilvl w:val="0"/>
          <w:numId w:val="28"/>
        </w:numPr>
        <w:tabs>
          <w:tab w:pos="688" w:val="left" w:leader="none"/>
        </w:tabs>
        <w:spacing w:line="240" w:lineRule="auto" w:before="0" w:after="0"/>
        <w:ind w:left="687" w:right="0" w:hanging="466"/>
        <w:jc w:val="both"/>
      </w:pPr>
      <w:r>
        <w:rPr/>
        <w:t>CONCLUSIONES</w:t>
      </w:r>
    </w:p>
    <w:p>
      <w:pPr>
        <w:pStyle w:val="BodyText"/>
        <w:spacing w:before="2"/>
        <w:rPr>
          <w:b/>
          <w:sz w:val="40"/>
        </w:rPr>
      </w:pPr>
    </w:p>
    <w:p>
      <w:pPr>
        <w:pStyle w:val="BodyText"/>
        <w:spacing w:line="364" w:lineRule="auto"/>
        <w:ind w:left="221" w:right="503"/>
        <w:jc w:val="both"/>
      </w:pPr>
      <w:r>
        <w:rPr/>
        <w:t>En base a lo anterior, se concluyó lo siguiente: las variables más significativas se   tiene al número de migrantes, ya que si éstos aumentan las remesas aumentaran, es decir que si el salario fuera atractivo las personas estarían dispuestas a trabajar en   su país y no habría motivos para emigrar; otras variables que también resultaron significativas fueron el desempleo, la tasa de interés y la </w:t>
      </w:r>
      <w:r>
        <w:rPr>
          <w:spacing w:val="7"/>
        </w:rPr>
        <w:t> </w:t>
      </w:r>
      <w:r>
        <w:rPr/>
        <w:t>inflación.</w:t>
      </w:r>
    </w:p>
    <w:p>
      <w:pPr>
        <w:pStyle w:val="BodyText"/>
        <w:spacing w:before="2"/>
        <w:rPr>
          <w:sz w:val="24"/>
        </w:rPr>
      </w:pPr>
    </w:p>
    <w:p>
      <w:pPr>
        <w:pStyle w:val="BodyText"/>
        <w:spacing w:line="364" w:lineRule="auto"/>
        <w:ind w:left="221" w:right="503"/>
        <w:jc w:val="both"/>
      </w:pPr>
      <w:r>
        <w:rPr/>
        <w:t>El desarrollo económico es el factor que a la larga puede detener la migración hacia los Estados Unidos. Tal vez con ello, México deje de ser considerado un problema  por sus altas tasas de expulsión de mano obra no calificada. Hoy México tiene una economía abierta que es cada vez más diversa, un sistema político con mayor democracia y una taza de natalidad que está disminuyendo. Por lo tanto  es  razonable esperar que llegue el día en que el aumento en la demanda de empleos   en México acabe con el desempleo y absorba a la fuerza laboral entrante. La economía mexicana depende casi por completo de las ventas por petróleo que en el mediano plazo tiende a agotarse, por lo que una forma de diversificar la entrada de divisas se ha visto a la migración como factor clave en este sentido. No obstante, la mano de obra que emigra hacia los Estados Unidos es no calificada y emigra de manera</w:t>
      </w:r>
      <w:r>
        <w:rPr>
          <w:spacing w:val="49"/>
        </w:rPr>
        <w:t> </w:t>
      </w:r>
      <w:r>
        <w:rPr/>
        <w:t>ilegal,</w:t>
      </w:r>
      <w:r>
        <w:rPr>
          <w:spacing w:val="50"/>
        </w:rPr>
        <w:t> </w:t>
      </w:r>
      <w:r>
        <w:rPr/>
        <w:t>por</w:t>
      </w:r>
      <w:r>
        <w:rPr>
          <w:spacing w:val="49"/>
        </w:rPr>
        <w:t> </w:t>
      </w:r>
      <w:r>
        <w:rPr/>
        <w:t>lo</w:t>
      </w:r>
      <w:r>
        <w:rPr>
          <w:spacing w:val="49"/>
        </w:rPr>
        <w:t> </w:t>
      </w:r>
      <w:r>
        <w:rPr/>
        <w:t>que</w:t>
      </w:r>
      <w:r>
        <w:rPr>
          <w:spacing w:val="49"/>
        </w:rPr>
        <w:t> </w:t>
      </w:r>
      <w:r>
        <w:rPr/>
        <w:t>no</w:t>
      </w:r>
      <w:r>
        <w:rPr>
          <w:spacing w:val="47"/>
        </w:rPr>
        <w:t> </w:t>
      </w:r>
      <w:r>
        <w:rPr/>
        <w:t>puede</w:t>
      </w:r>
      <w:r>
        <w:rPr>
          <w:spacing w:val="49"/>
        </w:rPr>
        <w:t> </w:t>
      </w:r>
      <w:r>
        <w:rPr/>
        <w:t>acceder</w:t>
      </w:r>
      <w:r>
        <w:rPr>
          <w:spacing w:val="49"/>
        </w:rPr>
        <w:t> </w:t>
      </w:r>
      <w:r>
        <w:rPr/>
        <w:t>a</w:t>
      </w:r>
      <w:r>
        <w:rPr>
          <w:spacing w:val="47"/>
        </w:rPr>
        <w:t> </w:t>
      </w:r>
      <w:r>
        <w:rPr/>
        <w:t>puestos</w:t>
      </w:r>
      <w:r>
        <w:rPr>
          <w:spacing w:val="51"/>
        </w:rPr>
        <w:t> </w:t>
      </w:r>
      <w:r>
        <w:rPr/>
        <w:t>de</w:t>
      </w:r>
      <w:r>
        <w:rPr>
          <w:spacing w:val="49"/>
        </w:rPr>
        <w:t> </w:t>
      </w:r>
      <w:r>
        <w:rPr/>
        <w:t>trabajo</w:t>
      </w:r>
      <w:r>
        <w:rPr>
          <w:spacing w:val="47"/>
        </w:rPr>
        <w:t> </w:t>
      </w:r>
      <w:r>
        <w:rPr/>
        <w:t>calificados</w:t>
      </w:r>
      <w:r>
        <w:rPr>
          <w:spacing w:val="51"/>
        </w:rPr>
        <w:t> </w:t>
      </w:r>
      <w:r>
        <w:rPr/>
        <w:t>con</w:t>
      </w:r>
    </w:p>
    <w:p>
      <w:pPr>
        <w:spacing w:after="0" w:line="364" w:lineRule="auto"/>
        <w:jc w:val="both"/>
        <w:sectPr>
          <w:pgSz w:w="11900" w:h="16840"/>
          <w:pgMar w:header="0" w:footer="1679" w:top="1600" w:bottom="1860" w:left="1180" w:right="1160"/>
        </w:sectPr>
      </w:pPr>
    </w:p>
    <w:p>
      <w:pPr>
        <w:pStyle w:val="BodyText"/>
        <w:rPr>
          <w:sz w:val="20"/>
        </w:rPr>
      </w:pPr>
    </w:p>
    <w:p>
      <w:pPr>
        <w:pStyle w:val="BodyText"/>
        <w:spacing w:before="8"/>
        <w:rPr>
          <w:sz w:val="18"/>
        </w:rPr>
      </w:pPr>
    </w:p>
    <w:p>
      <w:pPr>
        <w:pStyle w:val="BodyText"/>
        <w:spacing w:line="364" w:lineRule="auto" w:before="74"/>
        <w:ind w:left="101" w:right="383"/>
        <w:jc w:val="both"/>
      </w:pPr>
      <w:r>
        <w:rPr/>
        <w:t>salarios más atractivos, en este sentido debe tratarse de que los niveles educativos  de la población más marginada se eleven lo más posible a fin de que  tengan  mayores aptitudes y puedan tener mejores oportunidades de vida en el país o en el extranjero.</w:t>
      </w:r>
    </w:p>
    <w:p>
      <w:pPr>
        <w:pStyle w:val="BodyText"/>
        <w:rPr>
          <w:sz w:val="22"/>
        </w:rPr>
      </w:pPr>
    </w:p>
    <w:p>
      <w:pPr>
        <w:pStyle w:val="BodyText"/>
        <w:rPr>
          <w:sz w:val="22"/>
        </w:rPr>
      </w:pPr>
    </w:p>
    <w:p>
      <w:pPr>
        <w:pStyle w:val="Heading2"/>
        <w:numPr>
          <w:ilvl w:val="0"/>
          <w:numId w:val="28"/>
        </w:numPr>
        <w:tabs>
          <w:tab w:pos="481" w:val="left" w:leader="none"/>
        </w:tabs>
        <w:spacing w:line="240" w:lineRule="auto" w:before="134" w:after="0"/>
        <w:ind w:left="480" w:right="0" w:hanging="379"/>
        <w:jc w:val="left"/>
      </w:pPr>
      <w:r>
        <w:rPr/>
        <w:t>REFERENCIAS</w:t>
      </w:r>
      <w:r>
        <w:rPr>
          <w:spacing w:val="9"/>
        </w:rPr>
        <w:t> </w:t>
      </w:r>
      <w:r>
        <w:rPr/>
        <w:t>BIBLIOGRÁFICAS</w:t>
      </w:r>
    </w:p>
    <w:p>
      <w:pPr>
        <w:pStyle w:val="BodyText"/>
        <w:rPr>
          <w:b/>
          <w:sz w:val="30"/>
        </w:rPr>
      </w:pPr>
    </w:p>
    <w:p>
      <w:pPr>
        <w:pStyle w:val="BodyText"/>
        <w:spacing w:before="211"/>
        <w:ind w:left="101" w:right="102"/>
      </w:pPr>
      <w:r>
        <w:rPr/>
        <w:t>Heredia G.  E. S.  1994. Historia del sistema cambiario.  Economía,  mimeo.</w:t>
      </w:r>
    </w:p>
    <w:p>
      <w:pPr>
        <w:pStyle w:val="BodyText"/>
        <w:rPr>
          <w:sz w:val="22"/>
        </w:rPr>
      </w:pPr>
    </w:p>
    <w:p>
      <w:pPr>
        <w:pStyle w:val="BodyText"/>
        <w:spacing w:before="10"/>
        <w:rPr>
          <w:sz w:val="24"/>
        </w:rPr>
      </w:pPr>
    </w:p>
    <w:p>
      <w:pPr>
        <w:pStyle w:val="BodyText"/>
        <w:ind w:left="166" w:right="102"/>
        <w:rPr>
          <w:i/>
        </w:rPr>
      </w:pPr>
      <w:r>
        <w:rPr/>
        <w:t>Rivera R. M. 1986. Crisis y reorganización del capitalismo mexicano. Era,  México</w:t>
      </w:r>
      <w:r>
        <w:rPr>
          <w:i/>
        </w:rPr>
        <w:t>.</w:t>
      </w:r>
    </w:p>
    <w:p>
      <w:pPr>
        <w:pStyle w:val="BodyText"/>
        <w:rPr>
          <w:i/>
          <w:sz w:val="22"/>
        </w:rPr>
      </w:pPr>
    </w:p>
    <w:p>
      <w:pPr>
        <w:pStyle w:val="BodyText"/>
        <w:rPr>
          <w:i/>
          <w:sz w:val="22"/>
        </w:rPr>
      </w:pPr>
    </w:p>
    <w:p>
      <w:pPr>
        <w:pStyle w:val="BodyText"/>
        <w:spacing w:before="4"/>
        <w:rPr>
          <w:i/>
        </w:rPr>
      </w:pPr>
    </w:p>
    <w:p>
      <w:pPr>
        <w:spacing w:line="364" w:lineRule="auto" w:before="0"/>
        <w:ind w:left="101" w:right="388" w:firstLine="64"/>
        <w:jc w:val="both"/>
        <w:rPr>
          <w:i/>
          <w:sz w:val="23"/>
        </w:rPr>
      </w:pPr>
      <w:r>
        <w:rPr>
          <w:i/>
          <w:sz w:val="23"/>
        </w:rPr>
        <w:t>Vargas M. J. 1994. Las relaciones cambiarias del peso frente al  dólar  </w:t>
      </w:r>
      <w:r>
        <w:rPr>
          <w:i/>
          <w:sz w:val="23"/>
        </w:rPr>
        <w:t>norteamericano y la problemática actual del valor de la moneda mexicana. (</w:t>
      </w:r>
      <w:hyperlink r:id="rId495">
        <w:r>
          <w:rPr>
            <w:i/>
            <w:sz w:val="23"/>
          </w:rPr>
          <w:t>http://www.azc.uam.mx/publicaciones/cotidiano/68/doc11.html)</w:t>
        </w:r>
      </w:hyperlink>
    </w:p>
    <w:p>
      <w:pPr>
        <w:pStyle w:val="BodyText"/>
        <w:spacing w:before="2"/>
        <w:rPr>
          <w:i/>
          <w:sz w:val="24"/>
        </w:rPr>
      </w:pPr>
    </w:p>
    <w:p>
      <w:pPr>
        <w:pStyle w:val="BodyText"/>
        <w:spacing w:line="364" w:lineRule="auto"/>
        <w:ind w:left="101" w:right="638"/>
      </w:pPr>
      <w:r>
        <w:rPr/>
        <w:t>Vargas S. G. 1989. La política Cambiaria en México, en Lechuga, J. </w:t>
      </w:r>
      <w:r>
        <w:rPr>
          <w:i/>
        </w:rPr>
        <w:t>et. al. </w:t>
      </w:r>
      <w:r>
        <w:rPr/>
        <w:t>(coordinadores), Estancamiento Económico y crisis social en México </w:t>
      </w:r>
      <w:r>
        <w:rPr>
          <w:i/>
        </w:rPr>
        <w:t>1983-1988</w:t>
      </w:r>
      <w:r>
        <w:rPr/>
        <w:t>, Tomo 1, UAM, México.</w:t>
      </w:r>
    </w:p>
    <w:p>
      <w:pPr>
        <w:pStyle w:val="BodyText"/>
        <w:spacing w:before="2"/>
        <w:rPr>
          <w:sz w:val="24"/>
        </w:rPr>
      </w:pPr>
    </w:p>
    <w:p>
      <w:pPr>
        <w:pStyle w:val="BodyText"/>
        <w:tabs>
          <w:tab w:pos="1776" w:val="left" w:leader="none"/>
          <w:tab w:pos="2679" w:val="left" w:leader="none"/>
          <w:tab w:pos="3742" w:val="left" w:leader="none"/>
          <w:tab w:pos="5422" w:val="left" w:leader="none"/>
          <w:tab w:pos="6840" w:val="left" w:leader="none"/>
          <w:tab w:pos="7774" w:val="left" w:leader="none"/>
        </w:tabs>
        <w:spacing w:line="364" w:lineRule="auto"/>
        <w:ind w:left="101" w:right="383"/>
      </w:pPr>
      <w:r>
        <w:rPr/>
        <w:t>Aragonés</w:t>
        <w:tab/>
        <w:t>A.</w:t>
        <w:tab/>
        <w:t>Ma.</w:t>
        <w:tab/>
        <w:t>Explosivo</w:t>
        <w:tab/>
        <w:t>retorno</w:t>
        <w:tab/>
        <w:t>de</w:t>
        <w:tab/>
        <w:t>migrantes? </w:t>
      </w:r>
      <w:hyperlink r:id="rId496">
        <w:r>
          <w:rPr/>
          <w:t>http://migracion.jornada.com.mx/explosivo-retorno-de-migrantes).Consultado</w:t>
        </w:r>
      </w:hyperlink>
      <w:r>
        <w:rPr/>
        <w:t> 21/06/2010.</w:t>
      </w:r>
    </w:p>
    <w:p>
      <w:pPr>
        <w:pStyle w:val="BodyText"/>
        <w:spacing w:before="6"/>
        <w:rPr>
          <w:sz w:val="17"/>
        </w:rPr>
      </w:pPr>
    </w:p>
    <w:p>
      <w:pPr>
        <w:pStyle w:val="BodyText"/>
        <w:ind w:left="101" w:right="102"/>
      </w:pPr>
      <w:r>
        <w:rPr/>
        <w:t>Banco de México. Indicadores económicos. Varios</w:t>
      </w:r>
      <w:r>
        <w:rPr>
          <w:spacing w:val="62"/>
        </w:rPr>
        <w:t> </w:t>
      </w:r>
      <w:r>
        <w:rPr/>
        <w:t>años.</w:t>
      </w:r>
    </w:p>
    <w:p>
      <w:pPr>
        <w:pStyle w:val="BodyText"/>
        <w:rPr>
          <w:sz w:val="22"/>
        </w:rPr>
      </w:pPr>
    </w:p>
    <w:p>
      <w:pPr>
        <w:pStyle w:val="BodyText"/>
        <w:spacing w:before="10"/>
        <w:rPr>
          <w:sz w:val="24"/>
        </w:rPr>
      </w:pPr>
    </w:p>
    <w:p>
      <w:pPr>
        <w:pStyle w:val="BodyText"/>
        <w:ind w:left="101" w:right="102"/>
      </w:pPr>
      <w:r>
        <w:rPr/>
        <w:t>Gujarati, D. 2004. Econometría. Mc Graw-Hill. México,  D.F.</w:t>
      </w:r>
    </w:p>
    <w:p>
      <w:pPr>
        <w:pStyle w:val="BodyText"/>
        <w:rPr>
          <w:sz w:val="22"/>
        </w:rPr>
      </w:pPr>
    </w:p>
    <w:p>
      <w:pPr>
        <w:pStyle w:val="BodyText"/>
        <w:spacing w:before="1"/>
        <w:rPr>
          <w:sz w:val="25"/>
        </w:rPr>
      </w:pPr>
    </w:p>
    <w:p>
      <w:pPr>
        <w:pStyle w:val="BodyText"/>
        <w:spacing w:line="364" w:lineRule="auto"/>
        <w:ind w:left="101" w:right="102"/>
      </w:pPr>
      <w:r>
        <w:rPr/>
        <w:t>CONAPO. 2001. La Migración de Mexicanos a Estados Unidos en La Población de México en el Nuevo Siglo. México.</w:t>
      </w:r>
    </w:p>
    <w:p>
      <w:pPr>
        <w:spacing w:after="0" w:line="364" w:lineRule="auto"/>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383"/>
        <w:jc w:val="both"/>
      </w:pPr>
      <w:r>
        <w:rPr/>
        <w:t>Pérez S. F., Figueroa H. E. y Pérez S. Ma. T. 2006. Análisis de la  Economía  Mexicana de 1982-2004. Revista Controversia/21. No. 11-12, Enero-Diciembre. Pág. 45-52. Programa Universitario de Investigación y Servicio en Economía, Administración y Comercio Internacional (PROACE-DICEA) Universidad Autónoma Chapingo. Chapingo,</w:t>
      </w:r>
      <w:r>
        <w:rPr>
          <w:spacing w:val="28"/>
        </w:rPr>
        <w:t> </w:t>
      </w:r>
      <w:r>
        <w:rPr/>
        <w:t>México.</w:t>
      </w:r>
    </w:p>
    <w:p>
      <w:pPr>
        <w:pStyle w:val="BodyText"/>
        <w:rPr>
          <w:sz w:val="22"/>
        </w:rPr>
      </w:pPr>
    </w:p>
    <w:p>
      <w:pPr>
        <w:pStyle w:val="BodyText"/>
        <w:spacing w:before="4"/>
        <w:rPr>
          <w:sz w:val="30"/>
        </w:rPr>
      </w:pPr>
    </w:p>
    <w:p>
      <w:pPr>
        <w:pStyle w:val="BodyText"/>
        <w:spacing w:line="364" w:lineRule="auto"/>
        <w:ind w:left="101" w:right="386"/>
        <w:jc w:val="both"/>
      </w:pPr>
      <w:r>
        <w:rPr/>
        <w:t>Tuirán, R. 2001. Intervención en la ceremonia de presentación del Programa de Trabajo de los 210 Consejos Municipales de Población. Xalapa, Ver. 15 de  agosto.</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6"/>
        <w:rPr>
          <w:sz w:val="19"/>
        </w:rPr>
      </w:pPr>
    </w:p>
    <w:p>
      <w:pPr>
        <w:pStyle w:val="Heading1"/>
        <w:numPr>
          <w:ilvl w:val="0"/>
          <w:numId w:val="26"/>
        </w:numPr>
        <w:tabs>
          <w:tab w:pos="1374" w:val="left" w:leader="none"/>
        </w:tabs>
        <w:spacing w:line="360" w:lineRule="auto" w:before="55" w:after="0"/>
        <w:ind w:left="4140" w:right="443" w:hanging="3350"/>
        <w:jc w:val="left"/>
      </w:pPr>
      <w:bookmarkStart w:name="_TOC_250002" w:id="1"/>
      <w:bookmarkEnd w:id="1"/>
      <w:r>
        <w:rPr/>
        <w:t>REMESAS Y DESARROLLO ECONÓMICO EN MÉXICO</w:t>
      </w:r>
    </w:p>
    <w:p>
      <w:pPr>
        <w:pStyle w:val="Heading4"/>
        <w:spacing w:before="126"/>
        <w:ind w:left="345" w:right="353"/>
        <w:jc w:val="center"/>
      </w:pPr>
      <w:r>
        <w:rPr/>
        <w:t>Francisco Pérez Soto</w:t>
      </w:r>
    </w:p>
    <w:p>
      <w:pPr>
        <w:spacing w:before="143"/>
        <w:ind w:left="345" w:right="350" w:firstLine="0"/>
        <w:jc w:val="center"/>
        <w:rPr>
          <w:sz w:val="21"/>
        </w:rPr>
      </w:pPr>
      <w:r>
        <w:rPr>
          <w:sz w:val="21"/>
        </w:rPr>
        <w:t>División de Ciencias Económico Administrativas de la UACH,   </w:t>
      </w:r>
      <w:hyperlink r:id="rId19">
        <w:r>
          <w:rPr>
            <w:sz w:val="21"/>
          </w:rPr>
          <w:t>perezsotof@hotmail.com</w:t>
        </w:r>
      </w:hyperlink>
    </w:p>
    <w:p>
      <w:pPr>
        <w:pStyle w:val="BodyText"/>
        <w:spacing w:before="1"/>
        <w:rPr>
          <w:sz w:val="20"/>
        </w:rPr>
      </w:pPr>
    </w:p>
    <w:p>
      <w:pPr>
        <w:pStyle w:val="Heading4"/>
        <w:ind w:left="345" w:right="352"/>
        <w:jc w:val="center"/>
      </w:pPr>
      <w:r>
        <w:rPr/>
        <w:t>Esther Figueroa Hernández</w:t>
      </w:r>
    </w:p>
    <w:p>
      <w:pPr>
        <w:spacing w:before="143"/>
        <w:ind w:left="345" w:right="349" w:firstLine="0"/>
        <w:jc w:val="center"/>
        <w:rPr>
          <w:sz w:val="21"/>
        </w:rPr>
      </w:pPr>
      <w:r>
        <w:rPr>
          <w:sz w:val="21"/>
        </w:rPr>
        <w:t>Universidad Autónoma del Estado de México.  </w:t>
      </w:r>
      <w:r>
        <w:rPr>
          <w:spacing w:val="51"/>
          <w:sz w:val="21"/>
        </w:rPr>
        <w:t> </w:t>
      </w:r>
      <w:hyperlink r:id="rId17">
        <w:r>
          <w:rPr>
            <w:sz w:val="21"/>
          </w:rPr>
          <w:t>esfigue_3@yahoo.com.mx</w:t>
        </w:r>
      </w:hyperlink>
    </w:p>
    <w:p>
      <w:pPr>
        <w:pStyle w:val="BodyText"/>
        <w:spacing w:before="4"/>
        <w:rPr>
          <w:sz w:val="20"/>
        </w:rPr>
      </w:pPr>
    </w:p>
    <w:p>
      <w:pPr>
        <w:pStyle w:val="Heading4"/>
        <w:ind w:left="345" w:right="351"/>
        <w:jc w:val="center"/>
      </w:pPr>
      <w:r>
        <w:rPr/>
        <w:t>Gerónimo Barrios Puente</w:t>
      </w:r>
    </w:p>
    <w:p>
      <w:pPr>
        <w:spacing w:before="140"/>
        <w:ind w:left="345" w:right="347" w:firstLine="0"/>
        <w:jc w:val="center"/>
        <w:rPr>
          <w:sz w:val="21"/>
        </w:rPr>
      </w:pPr>
      <w:r>
        <w:rPr>
          <w:sz w:val="21"/>
        </w:rPr>
        <w:t>División de Ciencias Económico Administrativas de la UACH,   </w:t>
      </w:r>
      <w:hyperlink r:id="rId139">
        <w:r>
          <w:rPr>
            <w:sz w:val="21"/>
          </w:rPr>
          <w:t>gbarrios@yahoo.com.mx</w:t>
        </w:r>
      </w:hyperlink>
    </w:p>
    <w:p>
      <w:pPr>
        <w:pStyle w:val="BodyText"/>
        <w:spacing w:before="4"/>
        <w:rPr>
          <w:sz w:val="20"/>
        </w:rPr>
      </w:pPr>
    </w:p>
    <w:p>
      <w:pPr>
        <w:pStyle w:val="Heading4"/>
        <w:ind w:left="345" w:right="355"/>
        <w:jc w:val="center"/>
      </w:pPr>
      <w:r>
        <w:rPr/>
        <w:t>Marcos Portillo Vázquez</w:t>
      </w:r>
    </w:p>
    <w:p>
      <w:pPr>
        <w:spacing w:before="140"/>
        <w:ind w:left="345" w:right="350" w:firstLine="0"/>
        <w:jc w:val="center"/>
        <w:rPr>
          <w:sz w:val="21"/>
        </w:rPr>
      </w:pPr>
      <w:r>
        <w:rPr>
          <w:sz w:val="21"/>
        </w:rPr>
        <w:t>División de Ciencias Económico Administrativas de la  UACH</w:t>
      </w:r>
    </w:p>
    <w:p>
      <w:pPr>
        <w:pStyle w:val="BodyText"/>
        <w:spacing w:before="4"/>
        <w:rPr>
          <w:sz w:val="20"/>
        </w:rPr>
      </w:pPr>
    </w:p>
    <w:p>
      <w:pPr>
        <w:pStyle w:val="Heading4"/>
        <w:ind w:left="345" w:right="350"/>
        <w:jc w:val="center"/>
      </w:pPr>
      <w:r>
        <w:rPr/>
        <w:t>Jesús Loera Martínez</w:t>
      </w:r>
    </w:p>
    <w:p>
      <w:pPr>
        <w:pStyle w:val="BodyText"/>
        <w:spacing w:before="2"/>
        <w:rPr>
          <w:b/>
          <w:sz w:val="22"/>
        </w:rPr>
      </w:pPr>
    </w:p>
    <w:p>
      <w:pPr>
        <w:spacing w:before="1"/>
        <w:ind w:left="345" w:right="350" w:firstLine="0"/>
        <w:jc w:val="center"/>
        <w:rPr>
          <w:sz w:val="21"/>
        </w:rPr>
      </w:pPr>
      <w:r>
        <w:rPr>
          <w:sz w:val="21"/>
        </w:rPr>
        <w:t>División de Ciencias Económico Administrativas de la  UACH</w:t>
      </w:r>
    </w:p>
    <w:p>
      <w:pPr>
        <w:pStyle w:val="BodyText"/>
        <w:rPr>
          <w:sz w:val="20"/>
        </w:rPr>
      </w:pPr>
    </w:p>
    <w:p>
      <w:pPr>
        <w:pStyle w:val="BodyText"/>
        <w:rPr>
          <w:sz w:val="20"/>
        </w:rPr>
      </w:pPr>
    </w:p>
    <w:p>
      <w:pPr>
        <w:pStyle w:val="BodyText"/>
        <w:rPr>
          <w:sz w:val="20"/>
        </w:rPr>
      </w:pPr>
    </w:p>
    <w:p>
      <w:pPr>
        <w:pStyle w:val="ListParagraph"/>
        <w:numPr>
          <w:ilvl w:val="1"/>
          <w:numId w:val="28"/>
        </w:numPr>
        <w:tabs>
          <w:tab w:pos="1152" w:val="left" w:leader="none"/>
          <w:tab w:pos="1153" w:val="left" w:leader="none"/>
        </w:tabs>
        <w:spacing w:line="240" w:lineRule="auto" w:before="150" w:after="0"/>
        <w:ind w:left="1152" w:right="0" w:hanging="700"/>
        <w:jc w:val="left"/>
        <w:rPr>
          <w:b/>
          <w:sz w:val="31"/>
        </w:rPr>
      </w:pPr>
      <w:r>
        <w:rPr>
          <w:b/>
          <w:sz w:val="31"/>
        </w:rPr>
        <w:t>INTRODUCCIÓN</w:t>
      </w:r>
    </w:p>
    <w:p>
      <w:pPr>
        <w:pStyle w:val="BodyText"/>
        <w:rPr>
          <w:b/>
          <w:sz w:val="30"/>
        </w:rPr>
      </w:pPr>
    </w:p>
    <w:p>
      <w:pPr>
        <w:pStyle w:val="BodyText"/>
        <w:spacing w:before="5"/>
        <w:rPr>
          <w:b/>
          <w:sz w:val="34"/>
        </w:rPr>
      </w:pPr>
    </w:p>
    <w:p>
      <w:pPr>
        <w:pStyle w:val="BodyText"/>
        <w:spacing w:line="364" w:lineRule="auto"/>
        <w:ind w:left="101" w:right="104"/>
        <w:jc w:val="both"/>
      </w:pPr>
      <w:r>
        <w:rPr/>
        <w:t>La migración es un fenómeno que ocurre desde el momento que el hombre busca  nuevas alternativas para mejorar su bienestar social, su aspecto benéfico es el flujo de remesas captadas en las regiones expulsoras de mano de obra, las cuales se encuentran concentradas principalmente en zonas rurales. La tendencia  de  las  remesas está encaminada hacia la satisfacción de las necesidades básicas, así como  en la adquisición de bienes de consumo, y en la compra y mejora de vivienda. Existen países que tienen flujos migratorios masivos, motivo por el cual reciben grandes cantidades de remesas, este trabajo se basa en seis capítulos, el primero de estos explica el comportamiento de países expulsores y países destino de mano de obra, analizándose en cinco regiones del mundo, África, Asia, Europa, Latinoamérica y finalmente Oceanía. Existen países en Europa que obtienen flujos monetarios por concepto  de  remesas  muy  superiores  a  los  demás,  tales  son  España,  Grecia     </w:t>
      </w:r>
      <w:r>
        <w:rPr>
          <w:spacing w:val="39"/>
        </w:rPr>
        <w:t> </w:t>
      </w:r>
      <w:r>
        <w:rPr/>
        <w:t>y</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3"/>
        <w:jc w:val="both"/>
      </w:pPr>
      <w:r>
        <w:rPr/>
        <w:t>Portugal, por lo que los migrantes ven a estas naciones como fuente generadora de empleos. Por otro lado Asia tiene como pilares en captación de remesas a India, China   y Filipinas, cunas que sin duda tienen una gran cantidad de habitantes en su territorio nacional, mientras que en Latinoamérica México y Brasil obtienen los mayores flujos, ambos por tener lasos históricos muy entrañables. Por lo que concierne a Oceanía los países más relevantes son: Australia y Nueva Zelanda, finalmente África obtiene los mayores flujos de remesas de países que su destino son  a países petroleros,  estos  son: Marruecos, Egipto y Argelia. Los países que captan la atención de los migrantes son aquellos que se encuentran clasificados como industriales y de primer mundo. En   el continente Europeo Alemania y Francia son los primeros destinos, si bien es cierto también España a captado la atención de los migrantes, por lo que es un país que expulsa gran mano de obra, pero recibe flujos migratorios también muy fuertes. Por el lado de Asia, Japón es el destino que los migrantes han fijado como meta para  instalarse, principalmente provienen de Brasil y Ecuador, debido a que fueron países  que tienen gran descendencia nipona, finalmente nos encontramos que los países que provienen de Sudamérica y del Norte de América, buscan incursionar  a  Estados  Unidos, país que recibe grandes flujos migratorios, pues tan solo en 2005 han se instalaron 10.000 migrantes provenientes de</w:t>
      </w:r>
      <w:r>
        <w:rPr>
          <w:spacing w:val="57"/>
        </w:rPr>
        <w:t> </w:t>
      </w:r>
      <w:r>
        <w:rPr/>
        <w:t>México.</w:t>
      </w:r>
    </w:p>
    <w:p>
      <w:pPr>
        <w:pStyle w:val="BodyText"/>
        <w:spacing w:before="6"/>
        <w:rPr>
          <w:sz w:val="17"/>
        </w:rPr>
      </w:pPr>
    </w:p>
    <w:p>
      <w:pPr>
        <w:pStyle w:val="BodyText"/>
        <w:spacing w:line="364" w:lineRule="auto"/>
        <w:ind w:left="101" w:right="103"/>
        <w:jc w:val="both"/>
      </w:pPr>
      <w:r>
        <w:rPr/>
        <w:t>Parte esencial de que los migrantes quieran incursionar hacia los Estados Unidos, se debe a las dilaciones estructurales que tiene nuestro país con los vecinos del norte, de ahí que busquen una mejora en su forma de vida, traduciéndose en mayores ingresos, que conlleva siempre a una mejora personal, tanto en consumo, salud o vivienda. De esta forma es que la atención por distintas entidades gubernamentales está centrada    en el tema remesas, pues en las últimas décadas, los cambios de nivel parecen estar relacionados con el comportamiento cíclico de la economía mexicana, aumentando considerablemente en 1982-1983 y posteriormente en 1995, y aunque la industria petrolera ha mostrado su gran fuerza siendo la principal fuente de ingreso mediante el comercio exterior, constantemente se ve acechada por los flujos monetarios que ingresan por el concepto de remesas, que en el año 2003 se coloco por primera vez en su historia como la segunda fuente principal en la captación de ingresos para México.   La  necesidad  de  conocer  los  efectos  que  traen  aunados  las       </w:t>
      </w:r>
      <w:r>
        <w:rPr>
          <w:spacing w:val="27"/>
        </w:rPr>
        <w:t> </w:t>
      </w:r>
      <w:r>
        <w:rPr/>
        <w:t>remesas  sobre  la</w:t>
      </w:r>
    </w:p>
    <w:p>
      <w:pPr>
        <w:spacing w:after="0" w:line="364" w:lineRule="auto"/>
        <w:jc w:val="both"/>
        <w:sectPr>
          <w:footerReference w:type="default" r:id="rId497"/>
          <w:pgSz w:w="11900" w:h="16840"/>
          <w:pgMar w:footer="1679" w:header="0" w:top="1600" w:bottom="1860" w:left="1300" w:right="1280"/>
          <w:pgNumType w:start="330"/>
        </w:sectPr>
      </w:pPr>
    </w:p>
    <w:p>
      <w:pPr>
        <w:pStyle w:val="BodyText"/>
        <w:rPr>
          <w:sz w:val="20"/>
        </w:rPr>
      </w:pPr>
    </w:p>
    <w:p>
      <w:pPr>
        <w:pStyle w:val="BodyText"/>
        <w:spacing w:before="8"/>
        <w:rPr>
          <w:sz w:val="18"/>
        </w:rPr>
      </w:pPr>
    </w:p>
    <w:p>
      <w:pPr>
        <w:pStyle w:val="BodyText"/>
        <w:spacing w:line="364" w:lineRule="auto" w:before="74"/>
        <w:ind w:left="141" w:right="105"/>
        <w:jc w:val="both"/>
      </w:pPr>
      <w:r>
        <w:rPr/>
        <w:t>economía mexicana se debe a que representan un flujo monetario que en más del 80% es destinado al autoconsumo y el resto a la inversión o ahorro, variables que en el modelo a estudiar, están clasificadas como endógenas pero que a su vez son explicativas para otras variables.</w:t>
      </w:r>
    </w:p>
    <w:p>
      <w:pPr>
        <w:pStyle w:val="BodyText"/>
        <w:spacing w:before="4"/>
        <w:rPr>
          <w:sz w:val="17"/>
        </w:rPr>
      </w:pPr>
    </w:p>
    <w:p>
      <w:pPr>
        <w:pStyle w:val="BodyText"/>
        <w:spacing w:line="364" w:lineRule="auto"/>
        <w:ind w:left="141" w:right="103"/>
        <w:jc w:val="both"/>
      </w:pPr>
      <w:r>
        <w:rPr/>
        <w:t>El objetivo principal de este trabajo consistió en analizar y evaluar en que medida las remesas familiares reales inciden sobre las variables Producto Interno Bruto Real, Desempleo, Inversión Real y la Inflación en México de 1980 a  2009.</w:t>
      </w:r>
    </w:p>
    <w:p>
      <w:pPr>
        <w:pStyle w:val="BodyText"/>
        <w:rPr>
          <w:sz w:val="22"/>
        </w:rPr>
      </w:pPr>
    </w:p>
    <w:p>
      <w:pPr>
        <w:pStyle w:val="BodyText"/>
        <w:rPr>
          <w:sz w:val="22"/>
        </w:rPr>
      </w:pPr>
    </w:p>
    <w:p>
      <w:pPr>
        <w:pStyle w:val="BodyText"/>
        <w:spacing w:before="2"/>
        <w:rPr>
          <w:sz w:val="28"/>
        </w:rPr>
      </w:pPr>
    </w:p>
    <w:p>
      <w:pPr>
        <w:pStyle w:val="Heading2"/>
        <w:numPr>
          <w:ilvl w:val="1"/>
          <w:numId w:val="28"/>
        </w:numPr>
        <w:tabs>
          <w:tab w:pos="487" w:val="left" w:leader="none"/>
        </w:tabs>
        <w:spacing w:line="240" w:lineRule="auto" w:before="0" w:after="0"/>
        <w:ind w:left="487" w:right="0" w:hanging="346"/>
        <w:jc w:val="both"/>
      </w:pPr>
      <w:r>
        <w:rPr/>
        <w:t>METODOLOGÍA</w:t>
      </w:r>
    </w:p>
    <w:p>
      <w:pPr>
        <w:pStyle w:val="BodyText"/>
        <w:rPr>
          <w:b/>
          <w:sz w:val="30"/>
        </w:rPr>
      </w:pPr>
    </w:p>
    <w:p>
      <w:pPr>
        <w:pStyle w:val="BodyText"/>
        <w:spacing w:before="5"/>
        <w:rPr>
          <w:b/>
          <w:sz w:val="34"/>
        </w:rPr>
      </w:pPr>
    </w:p>
    <w:p>
      <w:pPr>
        <w:pStyle w:val="BodyText"/>
        <w:spacing w:line="364" w:lineRule="auto"/>
        <w:ind w:left="141" w:right="105"/>
        <w:jc w:val="both"/>
      </w:pPr>
      <w:r>
        <w:rPr/>
        <w:t>Con base en las series de datos de las fuentes oficiales, se planteó un modelo de ecuaciones simultáneas para tratar de establecer las relaciones funcionales entre las variables consideradas en el modelo planteado que en general tomó la siguiente forma estructural:</w:t>
      </w:r>
    </w:p>
    <w:p>
      <w:pPr>
        <w:pStyle w:val="BodyText"/>
        <w:spacing w:before="7"/>
        <w:rPr>
          <w:sz w:val="13"/>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67"/>
        <w:gridCol w:w="800"/>
        <w:gridCol w:w="650"/>
      </w:tblGrid>
      <w:tr>
        <w:trPr>
          <w:trHeight w:val="518" w:hRule="exact"/>
        </w:trPr>
        <w:tc>
          <w:tcPr>
            <w:tcW w:w="7067" w:type="dxa"/>
          </w:tcPr>
          <w:p>
            <w:pPr>
              <w:pStyle w:val="TableParagraph"/>
              <w:spacing w:before="73"/>
              <w:ind w:left="35"/>
              <w:jc w:val="left"/>
              <w:rPr>
                <w:rFonts w:ascii="Times New Roman" w:hAnsi="Times New Roman"/>
                <w:i/>
                <w:sz w:val="13"/>
              </w:rPr>
            </w:pPr>
            <w:r>
              <w:rPr>
                <w:sz w:val="23"/>
              </w:rPr>
              <w:t>PIBR</w:t>
            </w:r>
            <w:r>
              <w:rPr>
                <w:spacing w:val="-33"/>
                <w:sz w:val="23"/>
              </w:rPr>
              <w:t> </w:t>
            </w:r>
            <w:r>
              <w:rPr>
                <w:rFonts w:ascii="Times New Roman" w:hAnsi="Times New Roman"/>
                <w:i/>
                <w:position w:val="-5"/>
                <w:sz w:val="13"/>
              </w:rPr>
              <w:t>t  </w:t>
            </w:r>
            <w:r>
              <w:rPr>
                <w:rFonts w:ascii="Times New Roman" w:hAnsi="Times New Roman"/>
                <w:i/>
                <w:spacing w:val="22"/>
                <w:position w:val="-5"/>
                <w:sz w:val="13"/>
              </w:rPr>
              <w:t> </w:t>
            </w:r>
            <w:r>
              <w:rPr>
                <w:sz w:val="23"/>
              </w:rPr>
              <w:t>=</w:t>
            </w:r>
            <w:r>
              <w:rPr>
                <w:spacing w:val="3"/>
                <w:sz w:val="23"/>
              </w:rPr>
              <w:t> </w:t>
            </w:r>
            <w:r>
              <w:rPr>
                <w:sz w:val="23"/>
              </w:rPr>
              <w:t>α</w:t>
            </w:r>
            <w:r>
              <w:rPr>
                <w:spacing w:val="-41"/>
                <w:sz w:val="23"/>
              </w:rPr>
              <w:t> </w:t>
            </w:r>
            <w:r>
              <w:rPr>
                <w:rFonts w:ascii="Times New Roman" w:hAnsi="Times New Roman"/>
                <w:position w:val="-5"/>
                <w:sz w:val="14"/>
              </w:rPr>
              <w:t>1</w:t>
            </w:r>
            <w:r>
              <w:rPr>
                <w:rFonts w:ascii="Times New Roman" w:hAnsi="Times New Roman"/>
                <w:spacing w:val="-9"/>
                <w:position w:val="-5"/>
                <w:sz w:val="14"/>
              </w:rPr>
              <w:t> </w:t>
            </w:r>
            <w:r>
              <w:rPr>
                <w:sz w:val="23"/>
              </w:rPr>
              <w:t>CTR</w:t>
            </w:r>
            <w:r>
              <w:rPr>
                <w:spacing w:val="-28"/>
                <w:sz w:val="23"/>
              </w:rPr>
              <w:t> </w:t>
            </w:r>
            <w:r>
              <w:rPr>
                <w:rFonts w:ascii="Times New Roman" w:hAnsi="Times New Roman"/>
                <w:i/>
                <w:position w:val="-5"/>
                <w:sz w:val="14"/>
              </w:rPr>
              <w:t>t  </w:t>
            </w:r>
            <w:r>
              <w:rPr>
                <w:rFonts w:ascii="Times New Roman" w:hAnsi="Times New Roman"/>
                <w:i/>
                <w:spacing w:val="12"/>
                <w:position w:val="-5"/>
                <w:sz w:val="14"/>
              </w:rPr>
              <w:t> </w:t>
            </w:r>
            <w:r>
              <w:rPr>
                <w:sz w:val="23"/>
              </w:rPr>
              <w:t>+</w:t>
            </w:r>
            <w:r>
              <w:rPr>
                <w:spacing w:val="5"/>
                <w:sz w:val="23"/>
              </w:rPr>
              <w:t> </w:t>
            </w:r>
            <w:r>
              <w:rPr>
                <w:sz w:val="23"/>
              </w:rPr>
              <w:t>α</w:t>
            </w:r>
            <w:r>
              <w:rPr>
                <w:spacing w:val="-5"/>
                <w:sz w:val="23"/>
              </w:rPr>
              <w:t> </w:t>
            </w:r>
            <w:r>
              <w:rPr>
                <w:rFonts w:ascii="Times New Roman" w:hAnsi="Times New Roman"/>
                <w:position w:val="-5"/>
                <w:sz w:val="14"/>
              </w:rPr>
              <w:t>2    </w:t>
            </w:r>
            <w:r>
              <w:rPr>
                <w:rFonts w:ascii="Times New Roman" w:hAnsi="Times New Roman"/>
                <w:spacing w:val="9"/>
                <w:position w:val="-5"/>
                <w:sz w:val="14"/>
              </w:rPr>
              <w:t> </w:t>
            </w:r>
            <w:r>
              <w:rPr>
                <w:sz w:val="23"/>
              </w:rPr>
              <w:t>ITR</w:t>
            </w:r>
            <w:r>
              <w:rPr>
                <w:spacing w:val="-30"/>
                <w:sz w:val="23"/>
              </w:rPr>
              <w:t> </w:t>
            </w:r>
            <w:r>
              <w:rPr>
                <w:rFonts w:ascii="Times New Roman" w:hAnsi="Times New Roman"/>
                <w:i/>
                <w:position w:val="-5"/>
                <w:sz w:val="13"/>
              </w:rPr>
              <w:t>t  </w:t>
            </w:r>
            <w:r>
              <w:rPr>
                <w:rFonts w:ascii="Times New Roman" w:hAnsi="Times New Roman"/>
                <w:i/>
                <w:spacing w:val="19"/>
                <w:position w:val="-5"/>
                <w:sz w:val="13"/>
              </w:rPr>
              <w:t> </w:t>
            </w:r>
            <w:r>
              <w:rPr>
                <w:sz w:val="23"/>
              </w:rPr>
              <w:t>+</w:t>
            </w:r>
            <w:r>
              <w:rPr>
                <w:spacing w:val="5"/>
                <w:sz w:val="23"/>
              </w:rPr>
              <w:t> </w:t>
            </w:r>
            <w:r>
              <w:rPr>
                <w:sz w:val="23"/>
              </w:rPr>
              <w:t>α</w:t>
            </w:r>
            <w:r>
              <w:rPr>
                <w:spacing w:val="-30"/>
                <w:sz w:val="23"/>
              </w:rPr>
              <w:t> </w:t>
            </w:r>
            <w:r>
              <w:rPr>
                <w:rFonts w:ascii="Times New Roman" w:hAnsi="Times New Roman"/>
                <w:position w:val="-5"/>
                <w:sz w:val="13"/>
              </w:rPr>
              <w:t>3  </w:t>
            </w:r>
            <w:r>
              <w:rPr>
                <w:rFonts w:ascii="Times New Roman" w:hAnsi="Times New Roman"/>
                <w:spacing w:val="3"/>
                <w:position w:val="-5"/>
                <w:sz w:val="13"/>
              </w:rPr>
              <w:t> </w:t>
            </w:r>
            <w:r>
              <w:rPr>
                <w:sz w:val="23"/>
              </w:rPr>
              <w:t>GTR</w:t>
            </w:r>
            <w:r>
              <w:rPr>
                <w:spacing w:val="-25"/>
                <w:sz w:val="23"/>
              </w:rPr>
              <w:t> </w:t>
            </w:r>
            <w:r>
              <w:rPr>
                <w:rFonts w:ascii="Times New Roman" w:hAnsi="Times New Roman"/>
                <w:i/>
                <w:position w:val="-5"/>
                <w:sz w:val="13"/>
              </w:rPr>
              <w:t>t  </w:t>
            </w:r>
            <w:r>
              <w:rPr>
                <w:rFonts w:ascii="Times New Roman" w:hAnsi="Times New Roman"/>
                <w:i/>
                <w:spacing w:val="19"/>
                <w:position w:val="-5"/>
                <w:sz w:val="13"/>
              </w:rPr>
              <w:t> </w:t>
            </w:r>
            <w:r>
              <w:rPr>
                <w:sz w:val="23"/>
              </w:rPr>
              <w:t>+</w:t>
            </w:r>
            <w:r>
              <w:rPr>
                <w:spacing w:val="5"/>
                <w:sz w:val="23"/>
              </w:rPr>
              <w:t> </w:t>
            </w:r>
            <w:r>
              <w:rPr>
                <w:sz w:val="23"/>
              </w:rPr>
              <w:t>α</w:t>
            </w:r>
            <w:r>
              <w:rPr>
                <w:spacing w:val="-26"/>
                <w:sz w:val="23"/>
              </w:rPr>
              <w:t> </w:t>
            </w:r>
            <w:r>
              <w:rPr>
                <w:rFonts w:ascii="Times New Roman" w:hAnsi="Times New Roman"/>
                <w:position w:val="-5"/>
                <w:sz w:val="14"/>
              </w:rPr>
              <w:t>4  </w:t>
            </w:r>
            <w:r>
              <w:rPr>
                <w:rFonts w:ascii="Times New Roman" w:hAnsi="Times New Roman"/>
                <w:spacing w:val="13"/>
                <w:position w:val="-5"/>
                <w:sz w:val="14"/>
              </w:rPr>
              <w:t> </w:t>
            </w:r>
            <w:r>
              <w:rPr>
                <w:sz w:val="23"/>
              </w:rPr>
              <w:t>XNTR</w:t>
            </w:r>
            <w:r>
              <w:rPr>
                <w:spacing w:val="-26"/>
                <w:sz w:val="23"/>
              </w:rPr>
              <w:t> </w:t>
            </w:r>
            <w:r>
              <w:rPr>
                <w:rFonts w:ascii="Times New Roman" w:hAnsi="Times New Roman"/>
                <w:i/>
                <w:position w:val="-5"/>
                <w:sz w:val="13"/>
              </w:rPr>
              <w:t>t  </w:t>
            </w:r>
            <w:r>
              <w:rPr>
                <w:rFonts w:ascii="Times New Roman" w:hAnsi="Times New Roman"/>
                <w:i/>
                <w:spacing w:val="19"/>
                <w:position w:val="-5"/>
                <w:sz w:val="13"/>
              </w:rPr>
              <w:t> </w:t>
            </w:r>
            <w:r>
              <w:rPr>
                <w:sz w:val="23"/>
              </w:rPr>
              <w:t>+</w:t>
            </w:r>
            <w:r>
              <w:rPr>
                <w:spacing w:val="3"/>
                <w:sz w:val="23"/>
              </w:rPr>
              <w:t> </w:t>
            </w:r>
            <w:r>
              <w:rPr>
                <w:sz w:val="23"/>
              </w:rPr>
              <w:t>α</w:t>
            </w:r>
            <w:r>
              <w:rPr>
                <w:spacing w:val="-28"/>
                <w:sz w:val="23"/>
              </w:rPr>
              <w:t> </w:t>
            </w:r>
            <w:r>
              <w:rPr>
                <w:rFonts w:ascii="Times New Roman" w:hAnsi="Times New Roman"/>
                <w:position w:val="-5"/>
                <w:sz w:val="13"/>
              </w:rPr>
              <w:t>5  </w:t>
            </w:r>
            <w:r>
              <w:rPr>
                <w:rFonts w:ascii="Times New Roman" w:hAnsi="Times New Roman"/>
                <w:spacing w:val="3"/>
                <w:position w:val="-5"/>
                <w:sz w:val="13"/>
              </w:rPr>
              <w:t> </w:t>
            </w:r>
            <w:r>
              <w:rPr>
                <w:sz w:val="23"/>
              </w:rPr>
              <w:t>RETR</w:t>
            </w:r>
            <w:r>
              <w:rPr>
                <w:spacing w:val="-28"/>
                <w:sz w:val="23"/>
              </w:rPr>
              <w:t> </w:t>
            </w:r>
            <w:r>
              <w:rPr>
                <w:rFonts w:ascii="Times New Roman" w:hAnsi="Times New Roman"/>
                <w:i/>
                <w:position w:val="-5"/>
                <w:sz w:val="13"/>
              </w:rPr>
              <w:t>t</w:t>
            </w:r>
          </w:p>
        </w:tc>
        <w:tc>
          <w:tcPr>
            <w:tcW w:w="800" w:type="dxa"/>
          </w:tcPr>
          <w:p>
            <w:pPr>
              <w:pStyle w:val="TableParagraph"/>
              <w:spacing w:before="73"/>
              <w:ind w:left="55"/>
              <w:jc w:val="left"/>
              <w:rPr>
                <w:rFonts w:ascii="Times New Roman" w:hAnsi="Times New Roman"/>
                <w:sz w:val="14"/>
              </w:rPr>
            </w:pPr>
            <w:r>
              <w:rPr>
                <w:sz w:val="23"/>
              </w:rPr>
              <w:t>+ ξ</w:t>
            </w:r>
            <w:r>
              <w:rPr>
                <w:rFonts w:ascii="Times New Roman" w:hAnsi="Times New Roman"/>
                <w:position w:val="-5"/>
                <w:sz w:val="14"/>
              </w:rPr>
              <w:t>1</w:t>
            </w:r>
          </w:p>
        </w:tc>
        <w:tc>
          <w:tcPr>
            <w:tcW w:w="650" w:type="dxa"/>
          </w:tcPr>
          <w:p>
            <w:pPr>
              <w:pStyle w:val="TableParagraph"/>
              <w:spacing w:before="73"/>
              <w:ind w:right="33"/>
              <w:rPr>
                <w:sz w:val="23"/>
              </w:rPr>
            </w:pPr>
            <w:r>
              <w:rPr>
                <w:sz w:val="23"/>
              </w:rPr>
              <w:t>(1)</w:t>
            </w:r>
          </w:p>
        </w:tc>
      </w:tr>
      <w:tr>
        <w:trPr>
          <w:trHeight w:val="557" w:hRule="exact"/>
        </w:trPr>
        <w:tc>
          <w:tcPr>
            <w:tcW w:w="7067" w:type="dxa"/>
          </w:tcPr>
          <w:p>
            <w:pPr>
              <w:pStyle w:val="TableParagraph"/>
              <w:spacing w:before="112"/>
              <w:ind w:left="35"/>
              <w:jc w:val="left"/>
              <w:rPr>
                <w:rFonts w:ascii="Times New Roman" w:hAnsi="Times New Roman"/>
                <w:sz w:val="14"/>
              </w:rPr>
            </w:pPr>
            <w:r>
              <w:rPr>
                <w:sz w:val="23"/>
              </w:rPr>
              <w:t>INF </w:t>
            </w:r>
            <w:r>
              <w:rPr>
                <w:rFonts w:ascii="Times New Roman" w:hAnsi="Times New Roman"/>
                <w:i/>
                <w:position w:val="-5"/>
                <w:sz w:val="13"/>
              </w:rPr>
              <w:t>t   </w:t>
            </w:r>
            <w:r>
              <w:rPr>
                <w:sz w:val="23"/>
              </w:rPr>
              <w:t>= £ </w:t>
            </w:r>
            <w:r>
              <w:rPr>
                <w:rFonts w:ascii="Times New Roman" w:hAnsi="Times New Roman"/>
                <w:position w:val="-5"/>
                <w:sz w:val="14"/>
              </w:rPr>
              <w:t>1 </w:t>
            </w:r>
            <w:r>
              <w:rPr>
                <w:sz w:val="23"/>
              </w:rPr>
              <w:t>INPC </w:t>
            </w:r>
            <w:r>
              <w:rPr>
                <w:rFonts w:ascii="Times New Roman" w:hAnsi="Times New Roman"/>
                <w:i/>
                <w:position w:val="-5"/>
                <w:sz w:val="13"/>
              </w:rPr>
              <w:t>t   </w:t>
            </w:r>
            <w:r>
              <w:rPr>
                <w:sz w:val="23"/>
              </w:rPr>
              <w:t>+ £ </w:t>
            </w:r>
            <w:r>
              <w:rPr>
                <w:rFonts w:ascii="Times New Roman" w:hAnsi="Times New Roman"/>
                <w:position w:val="-5"/>
                <w:sz w:val="14"/>
              </w:rPr>
              <w:t>2   </w:t>
            </w:r>
            <w:r>
              <w:rPr>
                <w:sz w:val="23"/>
              </w:rPr>
              <w:t>U </w:t>
            </w:r>
            <w:r>
              <w:rPr>
                <w:rFonts w:ascii="Times New Roman" w:hAnsi="Times New Roman"/>
                <w:i/>
                <w:position w:val="-5"/>
                <w:sz w:val="13"/>
              </w:rPr>
              <w:t>t   </w:t>
            </w:r>
            <w:r>
              <w:rPr>
                <w:sz w:val="23"/>
              </w:rPr>
              <w:t>+ £ </w:t>
            </w:r>
            <w:r>
              <w:rPr>
                <w:rFonts w:ascii="Times New Roman" w:hAnsi="Times New Roman"/>
                <w:position w:val="-5"/>
                <w:sz w:val="13"/>
              </w:rPr>
              <w:t>3   </w:t>
            </w:r>
            <w:r>
              <w:rPr>
                <w:sz w:val="23"/>
              </w:rPr>
              <w:t>S </w:t>
            </w:r>
            <w:r>
              <w:rPr>
                <w:rFonts w:ascii="Times New Roman" w:hAnsi="Times New Roman"/>
                <w:i/>
                <w:position w:val="-5"/>
                <w:sz w:val="13"/>
              </w:rPr>
              <w:t>t   </w:t>
            </w:r>
            <w:r>
              <w:rPr>
                <w:sz w:val="23"/>
              </w:rPr>
              <w:t>+ £ </w:t>
            </w:r>
            <w:r>
              <w:rPr>
                <w:rFonts w:ascii="Times New Roman" w:hAnsi="Times New Roman"/>
                <w:position w:val="-5"/>
                <w:sz w:val="14"/>
              </w:rPr>
              <w:t>4 </w:t>
            </w:r>
            <w:r>
              <w:rPr>
                <w:sz w:val="23"/>
              </w:rPr>
              <w:t>RETR </w:t>
            </w:r>
            <w:r>
              <w:rPr>
                <w:rFonts w:ascii="Times New Roman" w:hAnsi="Times New Roman"/>
                <w:i/>
                <w:position w:val="-5"/>
                <w:sz w:val="13"/>
              </w:rPr>
              <w:t>t   </w:t>
            </w:r>
            <w:r>
              <w:rPr>
                <w:sz w:val="23"/>
              </w:rPr>
              <w:t>+ ξ </w:t>
            </w:r>
            <w:r>
              <w:rPr>
                <w:rFonts w:ascii="Times New Roman" w:hAnsi="Times New Roman"/>
                <w:position w:val="-5"/>
                <w:sz w:val="14"/>
              </w:rPr>
              <w:t>2</w:t>
            </w:r>
          </w:p>
        </w:tc>
        <w:tc>
          <w:tcPr>
            <w:tcW w:w="800" w:type="dxa"/>
          </w:tcPr>
          <w:p>
            <w:pPr/>
          </w:p>
        </w:tc>
        <w:tc>
          <w:tcPr>
            <w:tcW w:w="650" w:type="dxa"/>
          </w:tcPr>
          <w:p>
            <w:pPr>
              <w:pStyle w:val="TableParagraph"/>
              <w:spacing w:before="112"/>
              <w:ind w:right="33"/>
              <w:rPr>
                <w:sz w:val="23"/>
              </w:rPr>
            </w:pPr>
            <w:r>
              <w:rPr>
                <w:sz w:val="23"/>
              </w:rPr>
              <w:t>(2)</w:t>
            </w:r>
          </w:p>
        </w:tc>
      </w:tr>
      <w:tr>
        <w:trPr>
          <w:trHeight w:val="562" w:hRule="exact"/>
        </w:trPr>
        <w:tc>
          <w:tcPr>
            <w:tcW w:w="7067" w:type="dxa"/>
          </w:tcPr>
          <w:p>
            <w:pPr>
              <w:pStyle w:val="TableParagraph"/>
              <w:spacing w:before="115"/>
              <w:ind w:left="35"/>
              <w:jc w:val="left"/>
              <w:rPr>
                <w:rFonts w:ascii="Times New Roman" w:hAnsi="Times New Roman"/>
                <w:i/>
                <w:sz w:val="13"/>
              </w:rPr>
            </w:pPr>
            <w:r>
              <w:rPr>
                <w:sz w:val="23"/>
              </w:rPr>
              <w:t>ITR</w:t>
            </w:r>
            <w:r>
              <w:rPr>
                <w:spacing w:val="-30"/>
                <w:sz w:val="23"/>
              </w:rPr>
              <w:t> </w:t>
            </w:r>
            <w:r>
              <w:rPr>
                <w:rFonts w:ascii="Times New Roman" w:hAnsi="Times New Roman"/>
                <w:i/>
                <w:position w:val="-5"/>
                <w:sz w:val="14"/>
              </w:rPr>
              <w:t>t  </w:t>
            </w:r>
            <w:r>
              <w:rPr>
                <w:rFonts w:ascii="Times New Roman" w:hAnsi="Times New Roman"/>
                <w:i/>
                <w:spacing w:val="13"/>
                <w:position w:val="-5"/>
                <w:sz w:val="14"/>
              </w:rPr>
              <w:t> </w:t>
            </w:r>
            <w:r>
              <w:rPr>
                <w:sz w:val="23"/>
              </w:rPr>
              <w:t>=</w:t>
            </w:r>
            <w:r>
              <w:rPr>
                <w:spacing w:val="3"/>
                <w:sz w:val="23"/>
              </w:rPr>
              <w:t> </w:t>
            </w:r>
            <w:r>
              <w:rPr>
                <w:sz w:val="23"/>
              </w:rPr>
              <w:t>γ</w:t>
            </w:r>
            <w:r>
              <w:rPr>
                <w:spacing w:val="-41"/>
                <w:sz w:val="23"/>
              </w:rPr>
              <w:t> </w:t>
            </w:r>
            <w:r>
              <w:rPr>
                <w:rFonts w:ascii="Times New Roman" w:hAnsi="Times New Roman"/>
                <w:position w:val="-5"/>
                <w:sz w:val="14"/>
              </w:rPr>
              <w:t>1</w:t>
            </w:r>
            <w:r>
              <w:rPr>
                <w:rFonts w:ascii="Times New Roman" w:hAnsi="Times New Roman"/>
                <w:spacing w:val="-6"/>
                <w:position w:val="-5"/>
                <w:sz w:val="14"/>
              </w:rPr>
              <w:t> </w:t>
            </w:r>
            <w:r>
              <w:rPr>
                <w:sz w:val="23"/>
              </w:rPr>
              <w:t>TC</w:t>
            </w:r>
            <w:r>
              <w:rPr>
                <w:spacing w:val="-28"/>
                <w:sz w:val="23"/>
              </w:rPr>
              <w:t> </w:t>
            </w:r>
            <w:r>
              <w:rPr>
                <w:rFonts w:ascii="Times New Roman" w:hAnsi="Times New Roman"/>
                <w:i/>
                <w:position w:val="-5"/>
                <w:sz w:val="14"/>
              </w:rPr>
              <w:t>t  </w:t>
            </w:r>
            <w:r>
              <w:rPr>
                <w:rFonts w:ascii="Times New Roman" w:hAnsi="Times New Roman"/>
                <w:i/>
                <w:spacing w:val="11"/>
                <w:position w:val="-5"/>
                <w:sz w:val="14"/>
              </w:rPr>
              <w:t> </w:t>
            </w:r>
            <w:r>
              <w:rPr>
                <w:sz w:val="23"/>
              </w:rPr>
              <w:t>+</w:t>
            </w:r>
            <w:r>
              <w:rPr>
                <w:spacing w:val="6"/>
                <w:sz w:val="23"/>
              </w:rPr>
              <w:t> </w:t>
            </w:r>
            <w:r>
              <w:rPr>
                <w:sz w:val="23"/>
              </w:rPr>
              <w:t>γ</w:t>
            </w:r>
            <w:r>
              <w:rPr>
                <w:spacing w:val="-6"/>
                <w:sz w:val="23"/>
              </w:rPr>
              <w:t> </w:t>
            </w:r>
            <w:r>
              <w:rPr>
                <w:rFonts w:ascii="Times New Roman" w:hAnsi="Times New Roman"/>
                <w:position w:val="-5"/>
                <w:sz w:val="14"/>
              </w:rPr>
              <w:t>2  </w:t>
            </w:r>
            <w:r>
              <w:rPr>
                <w:rFonts w:ascii="Times New Roman" w:hAnsi="Times New Roman"/>
                <w:spacing w:val="14"/>
                <w:position w:val="-5"/>
                <w:sz w:val="14"/>
              </w:rPr>
              <w:t> </w:t>
            </w:r>
            <w:r>
              <w:rPr>
                <w:sz w:val="23"/>
              </w:rPr>
              <w:t>TI</w:t>
            </w:r>
            <w:r>
              <w:rPr>
                <w:spacing w:val="-27"/>
                <w:sz w:val="23"/>
              </w:rPr>
              <w:t> </w:t>
            </w:r>
            <w:r>
              <w:rPr>
                <w:rFonts w:ascii="Times New Roman" w:hAnsi="Times New Roman"/>
                <w:i/>
                <w:position w:val="-5"/>
                <w:sz w:val="14"/>
              </w:rPr>
              <w:t>t  </w:t>
            </w:r>
            <w:r>
              <w:rPr>
                <w:rFonts w:ascii="Times New Roman" w:hAnsi="Times New Roman"/>
                <w:i/>
                <w:spacing w:val="11"/>
                <w:position w:val="-5"/>
                <w:sz w:val="14"/>
              </w:rPr>
              <w:t> </w:t>
            </w:r>
            <w:r>
              <w:rPr>
                <w:sz w:val="23"/>
              </w:rPr>
              <w:t>+</w:t>
            </w:r>
            <w:r>
              <w:rPr>
                <w:spacing w:val="6"/>
                <w:sz w:val="23"/>
              </w:rPr>
              <w:t> </w:t>
            </w:r>
            <w:r>
              <w:rPr>
                <w:sz w:val="23"/>
              </w:rPr>
              <w:t>γ</w:t>
            </w:r>
            <w:r>
              <w:rPr>
                <w:spacing w:val="-31"/>
                <w:sz w:val="23"/>
              </w:rPr>
              <w:t> </w:t>
            </w:r>
            <w:r>
              <w:rPr>
                <w:rFonts w:ascii="Times New Roman" w:hAnsi="Times New Roman"/>
                <w:position w:val="-5"/>
                <w:sz w:val="13"/>
              </w:rPr>
              <w:t>3 </w:t>
            </w:r>
            <w:r>
              <w:rPr>
                <w:sz w:val="23"/>
              </w:rPr>
              <w:t>GTR</w:t>
            </w:r>
            <w:r>
              <w:rPr>
                <w:spacing w:val="-28"/>
                <w:sz w:val="23"/>
              </w:rPr>
              <w:t> </w:t>
            </w:r>
            <w:r>
              <w:rPr>
                <w:rFonts w:ascii="Times New Roman" w:hAnsi="Times New Roman"/>
                <w:i/>
                <w:position w:val="-5"/>
                <w:sz w:val="13"/>
              </w:rPr>
              <w:t>t  </w:t>
            </w:r>
            <w:r>
              <w:rPr>
                <w:rFonts w:ascii="Times New Roman" w:hAnsi="Times New Roman"/>
                <w:i/>
                <w:spacing w:val="20"/>
                <w:position w:val="-5"/>
                <w:sz w:val="13"/>
              </w:rPr>
              <w:t> </w:t>
            </w:r>
            <w:r>
              <w:rPr>
                <w:sz w:val="23"/>
              </w:rPr>
              <w:t>+</w:t>
            </w:r>
            <w:r>
              <w:rPr>
                <w:spacing w:val="6"/>
                <w:sz w:val="23"/>
              </w:rPr>
              <w:t> </w:t>
            </w:r>
            <w:r>
              <w:rPr>
                <w:sz w:val="23"/>
              </w:rPr>
              <w:t>γ</w:t>
            </w:r>
            <w:r>
              <w:rPr>
                <w:spacing w:val="-27"/>
                <w:sz w:val="23"/>
              </w:rPr>
              <w:t> </w:t>
            </w:r>
            <w:r>
              <w:rPr>
                <w:rFonts w:ascii="Times New Roman" w:hAnsi="Times New Roman"/>
                <w:position w:val="-5"/>
                <w:sz w:val="14"/>
              </w:rPr>
              <w:t>4</w:t>
            </w:r>
            <w:r>
              <w:rPr>
                <w:rFonts w:ascii="Times New Roman" w:hAnsi="Times New Roman"/>
                <w:spacing w:val="16"/>
                <w:position w:val="-5"/>
                <w:sz w:val="14"/>
              </w:rPr>
              <w:t> </w:t>
            </w:r>
            <w:r>
              <w:rPr>
                <w:sz w:val="23"/>
              </w:rPr>
              <w:t>PIBR</w:t>
            </w:r>
            <w:r>
              <w:rPr>
                <w:spacing w:val="-28"/>
                <w:sz w:val="23"/>
              </w:rPr>
              <w:t> </w:t>
            </w:r>
            <w:r>
              <w:rPr>
                <w:rFonts w:ascii="Times New Roman" w:hAnsi="Times New Roman"/>
                <w:i/>
                <w:position w:val="-5"/>
                <w:sz w:val="13"/>
              </w:rPr>
              <w:t>t  </w:t>
            </w:r>
            <w:r>
              <w:rPr>
                <w:rFonts w:ascii="Times New Roman" w:hAnsi="Times New Roman"/>
                <w:i/>
                <w:spacing w:val="20"/>
                <w:position w:val="-5"/>
                <w:sz w:val="13"/>
              </w:rPr>
              <w:t> </w:t>
            </w:r>
            <w:r>
              <w:rPr>
                <w:sz w:val="23"/>
              </w:rPr>
              <w:t>+</w:t>
            </w:r>
            <w:r>
              <w:rPr>
                <w:spacing w:val="6"/>
                <w:sz w:val="23"/>
              </w:rPr>
              <w:t> </w:t>
            </w:r>
            <w:r>
              <w:rPr>
                <w:sz w:val="23"/>
              </w:rPr>
              <w:t>γ</w:t>
            </w:r>
            <w:r>
              <w:rPr>
                <w:spacing w:val="-31"/>
                <w:sz w:val="23"/>
              </w:rPr>
              <w:t> </w:t>
            </w:r>
            <w:r>
              <w:rPr>
                <w:rFonts w:ascii="Times New Roman" w:hAnsi="Times New Roman"/>
                <w:position w:val="-5"/>
                <w:sz w:val="13"/>
              </w:rPr>
              <w:t>5  </w:t>
            </w:r>
            <w:r>
              <w:rPr>
                <w:rFonts w:ascii="Times New Roman" w:hAnsi="Times New Roman"/>
                <w:spacing w:val="3"/>
                <w:position w:val="-5"/>
                <w:sz w:val="13"/>
              </w:rPr>
              <w:t> </w:t>
            </w:r>
            <w:r>
              <w:rPr>
                <w:sz w:val="23"/>
              </w:rPr>
              <w:t>INF</w:t>
            </w:r>
            <w:r>
              <w:rPr>
                <w:spacing w:val="-31"/>
                <w:sz w:val="23"/>
              </w:rPr>
              <w:t> </w:t>
            </w:r>
            <w:r>
              <w:rPr>
                <w:rFonts w:ascii="Times New Roman" w:hAnsi="Times New Roman"/>
                <w:i/>
                <w:position w:val="-5"/>
                <w:sz w:val="13"/>
              </w:rPr>
              <w:t>t</w:t>
            </w:r>
            <w:r>
              <w:rPr>
                <w:rFonts w:ascii="Times New Roman" w:hAnsi="Times New Roman"/>
                <w:i/>
                <w:spacing w:val="17"/>
                <w:position w:val="-5"/>
                <w:sz w:val="13"/>
              </w:rPr>
              <w:t> </w:t>
            </w:r>
            <w:r>
              <w:rPr>
                <w:sz w:val="23"/>
              </w:rPr>
              <w:t>+</w:t>
            </w:r>
            <w:r>
              <w:rPr>
                <w:spacing w:val="3"/>
                <w:sz w:val="23"/>
              </w:rPr>
              <w:t> </w:t>
            </w:r>
            <w:r>
              <w:rPr>
                <w:sz w:val="23"/>
              </w:rPr>
              <w:t>γ</w:t>
            </w:r>
            <w:r>
              <w:rPr>
                <w:spacing w:val="-27"/>
                <w:sz w:val="23"/>
              </w:rPr>
              <w:t> </w:t>
            </w:r>
            <w:r>
              <w:rPr>
                <w:rFonts w:ascii="Times New Roman" w:hAnsi="Times New Roman"/>
                <w:position w:val="-5"/>
                <w:sz w:val="13"/>
              </w:rPr>
              <w:t>6</w:t>
            </w:r>
            <w:r>
              <w:rPr>
                <w:rFonts w:ascii="Times New Roman" w:hAnsi="Times New Roman"/>
                <w:spacing w:val="-2"/>
                <w:position w:val="-5"/>
                <w:sz w:val="13"/>
              </w:rPr>
              <w:t> </w:t>
            </w:r>
            <w:r>
              <w:rPr>
                <w:sz w:val="23"/>
              </w:rPr>
              <w:t>RETR</w:t>
            </w:r>
            <w:r>
              <w:rPr>
                <w:spacing w:val="-28"/>
                <w:sz w:val="23"/>
              </w:rPr>
              <w:t> </w:t>
            </w:r>
            <w:r>
              <w:rPr>
                <w:rFonts w:ascii="Times New Roman" w:hAnsi="Times New Roman"/>
                <w:i/>
                <w:position w:val="-5"/>
                <w:sz w:val="13"/>
              </w:rPr>
              <w:t>t</w:t>
            </w:r>
          </w:p>
        </w:tc>
        <w:tc>
          <w:tcPr>
            <w:tcW w:w="800" w:type="dxa"/>
          </w:tcPr>
          <w:p>
            <w:pPr>
              <w:pStyle w:val="TableParagraph"/>
              <w:spacing w:before="115"/>
              <w:ind w:left="57"/>
              <w:jc w:val="left"/>
              <w:rPr>
                <w:rFonts w:ascii="Times New Roman" w:hAnsi="Times New Roman"/>
                <w:sz w:val="13"/>
              </w:rPr>
            </w:pPr>
            <w:r>
              <w:rPr>
                <w:w w:val="105"/>
                <w:sz w:val="23"/>
              </w:rPr>
              <w:t>+ ξ </w:t>
            </w:r>
            <w:r>
              <w:rPr>
                <w:rFonts w:ascii="Times New Roman" w:hAnsi="Times New Roman"/>
                <w:w w:val="105"/>
                <w:position w:val="-5"/>
                <w:sz w:val="13"/>
              </w:rPr>
              <w:t>3</w:t>
            </w:r>
          </w:p>
        </w:tc>
        <w:tc>
          <w:tcPr>
            <w:tcW w:w="650" w:type="dxa"/>
          </w:tcPr>
          <w:p>
            <w:pPr>
              <w:pStyle w:val="TableParagraph"/>
              <w:spacing w:before="115"/>
              <w:ind w:right="33"/>
              <w:rPr>
                <w:sz w:val="23"/>
              </w:rPr>
            </w:pPr>
            <w:r>
              <w:rPr>
                <w:sz w:val="23"/>
              </w:rPr>
              <w:t>(3)</w:t>
            </w:r>
          </w:p>
        </w:tc>
      </w:tr>
      <w:tr>
        <w:trPr>
          <w:trHeight w:val="560" w:hRule="exact"/>
        </w:trPr>
        <w:tc>
          <w:tcPr>
            <w:tcW w:w="7067" w:type="dxa"/>
          </w:tcPr>
          <w:p>
            <w:pPr>
              <w:pStyle w:val="TableParagraph"/>
              <w:spacing w:before="115"/>
              <w:ind w:left="35"/>
              <w:jc w:val="left"/>
              <w:rPr>
                <w:rFonts w:ascii="Times New Roman" w:hAnsi="Times New Roman"/>
                <w:sz w:val="14"/>
              </w:rPr>
            </w:pPr>
            <w:r>
              <w:rPr>
                <w:sz w:val="23"/>
              </w:rPr>
              <w:t>U </w:t>
            </w:r>
            <w:r>
              <w:rPr>
                <w:rFonts w:ascii="Times New Roman" w:hAnsi="Times New Roman"/>
                <w:i/>
                <w:position w:val="-5"/>
                <w:sz w:val="14"/>
              </w:rPr>
              <w:t>t   </w:t>
            </w:r>
            <w:r>
              <w:rPr>
                <w:sz w:val="23"/>
              </w:rPr>
              <w:t>= β </w:t>
            </w:r>
            <w:r>
              <w:rPr>
                <w:rFonts w:ascii="Times New Roman" w:hAnsi="Times New Roman"/>
                <w:position w:val="-5"/>
                <w:sz w:val="14"/>
              </w:rPr>
              <w:t>1 </w:t>
            </w:r>
            <w:r>
              <w:rPr>
                <w:sz w:val="23"/>
              </w:rPr>
              <w:t>PIBR </w:t>
            </w:r>
            <w:r>
              <w:rPr>
                <w:rFonts w:ascii="Times New Roman" w:hAnsi="Times New Roman"/>
                <w:i/>
                <w:position w:val="-5"/>
                <w:sz w:val="14"/>
              </w:rPr>
              <w:t>t   </w:t>
            </w:r>
            <w:r>
              <w:rPr>
                <w:sz w:val="23"/>
              </w:rPr>
              <w:t>+ β </w:t>
            </w:r>
            <w:r>
              <w:rPr>
                <w:rFonts w:ascii="Times New Roman" w:hAnsi="Times New Roman"/>
                <w:position w:val="-5"/>
                <w:sz w:val="14"/>
              </w:rPr>
              <w:t>2   </w:t>
            </w:r>
            <w:r>
              <w:rPr>
                <w:sz w:val="23"/>
              </w:rPr>
              <w:t>S </w:t>
            </w:r>
            <w:r>
              <w:rPr>
                <w:rFonts w:ascii="Times New Roman" w:hAnsi="Times New Roman"/>
                <w:i/>
                <w:position w:val="-5"/>
                <w:sz w:val="14"/>
              </w:rPr>
              <w:t>t   </w:t>
            </w:r>
            <w:r>
              <w:rPr>
                <w:sz w:val="23"/>
              </w:rPr>
              <w:t>+ β </w:t>
            </w:r>
            <w:r>
              <w:rPr>
                <w:rFonts w:ascii="Times New Roman" w:hAnsi="Times New Roman"/>
                <w:position w:val="-5"/>
                <w:sz w:val="13"/>
              </w:rPr>
              <w:t>3 </w:t>
            </w:r>
            <w:r>
              <w:rPr>
                <w:sz w:val="23"/>
              </w:rPr>
              <w:t>INF </w:t>
            </w:r>
            <w:r>
              <w:rPr>
                <w:rFonts w:ascii="Times New Roman" w:hAnsi="Times New Roman"/>
                <w:i/>
                <w:position w:val="-5"/>
                <w:sz w:val="14"/>
              </w:rPr>
              <w:t>t   </w:t>
            </w:r>
            <w:r>
              <w:rPr>
                <w:sz w:val="23"/>
              </w:rPr>
              <w:t>+ β </w:t>
            </w:r>
            <w:r>
              <w:rPr>
                <w:rFonts w:ascii="Times New Roman" w:hAnsi="Times New Roman"/>
                <w:position w:val="-5"/>
                <w:sz w:val="14"/>
              </w:rPr>
              <w:t>4 </w:t>
            </w:r>
            <w:r>
              <w:rPr>
                <w:sz w:val="23"/>
              </w:rPr>
              <w:t>RETR </w:t>
            </w:r>
            <w:r>
              <w:rPr>
                <w:rFonts w:ascii="Times New Roman" w:hAnsi="Times New Roman"/>
                <w:i/>
                <w:position w:val="-5"/>
                <w:sz w:val="14"/>
              </w:rPr>
              <w:t>t   </w:t>
            </w:r>
            <w:r>
              <w:rPr>
                <w:sz w:val="23"/>
              </w:rPr>
              <w:t>+ ξ </w:t>
            </w:r>
            <w:r>
              <w:rPr>
                <w:rFonts w:ascii="Times New Roman" w:hAnsi="Times New Roman"/>
                <w:position w:val="-5"/>
                <w:sz w:val="14"/>
              </w:rPr>
              <w:t>4</w:t>
            </w:r>
          </w:p>
        </w:tc>
        <w:tc>
          <w:tcPr>
            <w:tcW w:w="800" w:type="dxa"/>
          </w:tcPr>
          <w:p>
            <w:pPr/>
          </w:p>
        </w:tc>
        <w:tc>
          <w:tcPr>
            <w:tcW w:w="650" w:type="dxa"/>
          </w:tcPr>
          <w:p>
            <w:pPr>
              <w:pStyle w:val="TableParagraph"/>
              <w:spacing w:before="115"/>
              <w:ind w:right="33"/>
              <w:rPr>
                <w:sz w:val="23"/>
              </w:rPr>
            </w:pPr>
            <w:r>
              <w:rPr>
                <w:sz w:val="23"/>
              </w:rPr>
              <w:t>(4)</w:t>
            </w:r>
          </w:p>
        </w:tc>
      </w:tr>
      <w:tr>
        <w:trPr>
          <w:trHeight w:val="559" w:hRule="exact"/>
        </w:trPr>
        <w:tc>
          <w:tcPr>
            <w:tcW w:w="7067" w:type="dxa"/>
          </w:tcPr>
          <w:p>
            <w:pPr>
              <w:pStyle w:val="TableParagraph"/>
              <w:spacing w:before="115"/>
              <w:ind w:left="35"/>
              <w:jc w:val="left"/>
              <w:rPr>
                <w:rFonts w:ascii="Times New Roman" w:hAnsi="Times New Roman"/>
                <w:sz w:val="13"/>
              </w:rPr>
            </w:pPr>
            <w:r>
              <w:rPr>
                <w:sz w:val="23"/>
              </w:rPr>
              <w:t>RETR</w:t>
            </w:r>
            <w:r>
              <w:rPr>
                <w:spacing w:val="-30"/>
                <w:sz w:val="23"/>
              </w:rPr>
              <w:t> </w:t>
            </w:r>
            <w:r>
              <w:rPr>
                <w:rFonts w:ascii="Times New Roman" w:hAnsi="Times New Roman"/>
                <w:i/>
                <w:position w:val="-5"/>
                <w:sz w:val="14"/>
              </w:rPr>
              <w:t>t  </w:t>
            </w:r>
            <w:r>
              <w:rPr>
                <w:rFonts w:ascii="Times New Roman" w:hAnsi="Times New Roman"/>
                <w:i/>
                <w:spacing w:val="13"/>
                <w:position w:val="-5"/>
                <w:sz w:val="14"/>
              </w:rPr>
              <w:t> </w:t>
            </w:r>
            <w:r>
              <w:rPr>
                <w:sz w:val="23"/>
              </w:rPr>
              <w:t>=</w:t>
            </w:r>
            <w:r>
              <w:rPr>
                <w:spacing w:val="3"/>
                <w:sz w:val="23"/>
              </w:rPr>
              <w:t> </w:t>
            </w:r>
            <w:r>
              <w:rPr>
                <w:sz w:val="23"/>
              </w:rPr>
              <w:t>δ</w:t>
            </w:r>
            <w:r>
              <w:rPr>
                <w:spacing w:val="-41"/>
                <w:sz w:val="23"/>
              </w:rPr>
              <w:t> </w:t>
            </w:r>
            <w:r>
              <w:rPr>
                <w:rFonts w:ascii="Times New Roman" w:hAnsi="Times New Roman"/>
                <w:position w:val="-5"/>
                <w:sz w:val="14"/>
              </w:rPr>
              <w:t>1</w:t>
            </w:r>
            <w:r>
              <w:rPr>
                <w:rFonts w:ascii="Times New Roman" w:hAnsi="Times New Roman"/>
                <w:spacing w:val="-9"/>
                <w:position w:val="-5"/>
                <w:sz w:val="14"/>
              </w:rPr>
              <w:t> </w:t>
            </w:r>
            <w:r>
              <w:rPr>
                <w:sz w:val="23"/>
              </w:rPr>
              <w:t>TI</w:t>
            </w:r>
            <w:r>
              <w:rPr>
                <w:spacing w:val="-27"/>
                <w:sz w:val="23"/>
              </w:rPr>
              <w:t> </w:t>
            </w:r>
            <w:r>
              <w:rPr>
                <w:rFonts w:ascii="Times New Roman" w:hAnsi="Times New Roman"/>
                <w:i/>
                <w:position w:val="-5"/>
                <w:sz w:val="14"/>
              </w:rPr>
              <w:t>t  </w:t>
            </w:r>
            <w:r>
              <w:rPr>
                <w:rFonts w:ascii="Times New Roman" w:hAnsi="Times New Roman"/>
                <w:i/>
                <w:spacing w:val="10"/>
                <w:position w:val="-5"/>
                <w:sz w:val="14"/>
              </w:rPr>
              <w:t> </w:t>
            </w:r>
            <w:r>
              <w:rPr>
                <w:sz w:val="23"/>
              </w:rPr>
              <w:t>+</w:t>
            </w:r>
            <w:r>
              <w:rPr>
                <w:spacing w:val="5"/>
                <w:sz w:val="23"/>
              </w:rPr>
              <w:t> </w:t>
            </w:r>
            <w:r>
              <w:rPr>
                <w:sz w:val="23"/>
              </w:rPr>
              <w:t>δ</w:t>
            </w:r>
            <w:r>
              <w:rPr>
                <w:spacing w:val="-8"/>
                <w:sz w:val="23"/>
              </w:rPr>
              <w:t> </w:t>
            </w:r>
            <w:r>
              <w:rPr>
                <w:rFonts w:ascii="Times New Roman" w:hAnsi="Times New Roman"/>
                <w:position w:val="-5"/>
                <w:sz w:val="14"/>
              </w:rPr>
              <w:t>2  </w:t>
            </w:r>
            <w:r>
              <w:rPr>
                <w:rFonts w:ascii="Times New Roman" w:hAnsi="Times New Roman"/>
                <w:spacing w:val="11"/>
                <w:position w:val="-5"/>
                <w:sz w:val="14"/>
              </w:rPr>
              <w:t> </w:t>
            </w:r>
            <w:r>
              <w:rPr>
                <w:sz w:val="23"/>
              </w:rPr>
              <w:t>TC</w:t>
            </w:r>
            <w:r>
              <w:rPr>
                <w:spacing w:val="-28"/>
                <w:sz w:val="23"/>
              </w:rPr>
              <w:t> </w:t>
            </w:r>
            <w:r>
              <w:rPr>
                <w:rFonts w:ascii="Times New Roman" w:hAnsi="Times New Roman"/>
                <w:i/>
                <w:position w:val="-5"/>
                <w:sz w:val="14"/>
              </w:rPr>
              <w:t>t</w:t>
            </w:r>
            <w:r>
              <w:rPr>
                <w:rFonts w:ascii="Times New Roman" w:hAnsi="Times New Roman"/>
                <w:i/>
                <w:spacing w:val="14"/>
                <w:position w:val="-5"/>
                <w:sz w:val="14"/>
              </w:rPr>
              <w:t> </w:t>
            </w:r>
            <w:r>
              <w:rPr>
                <w:sz w:val="23"/>
              </w:rPr>
              <w:t>+</w:t>
            </w:r>
            <w:r>
              <w:rPr>
                <w:spacing w:val="5"/>
                <w:sz w:val="23"/>
              </w:rPr>
              <w:t> </w:t>
            </w:r>
            <w:r>
              <w:rPr>
                <w:sz w:val="23"/>
              </w:rPr>
              <w:t>δ</w:t>
            </w:r>
            <w:r>
              <w:rPr>
                <w:spacing w:val="-30"/>
                <w:sz w:val="23"/>
              </w:rPr>
              <w:t> </w:t>
            </w:r>
            <w:r>
              <w:rPr>
                <w:rFonts w:ascii="Times New Roman" w:hAnsi="Times New Roman"/>
                <w:position w:val="-5"/>
                <w:sz w:val="13"/>
              </w:rPr>
              <w:t>3 </w:t>
            </w:r>
            <w:r>
              <w:rPr>
                <w:sz w:val="23"/>
              </w:rPr>
              <w:t>INF</w:t>
            </w:r>
            <w:r>
              <w:rPr>
                <w:spacing w:val="-31"/>
                <w:sz w:val="23"/>
              </w:rPr>
              <w:t> </w:t>
            </w:r>
            <w:r>
              <w:rPr>
                <w:rFonts w:ascii="Times New Roman" w:hAnsi="Times New Roman"/>
                <w:i/>
                <w:position w:val="-5"/>
                <w:sz w:val="14"/>
              </w:rPr>
              <w:t>t  </w:t>
            </w:r>
            <w:r>
              <w:rPr>
                <w:rFonts w:ascii="Times New Roman" w:hAnsi="Times New Roman"/>
                <w:i/>
                <w:spacing w:val="13"/>
                <w:position w:val="-5"/>
                <w:sz w:val="14"/>
              </w:rPr>
              <w:t> </w:t>
            </w:r>
            <w:r>
              <w:rPr>
                <w:sz w:val="23"/>
              </w:rPr>
              <w:t>+</w:t>
            </w:r>
            <w:r>
              <w:rPr>
                <w:spacing w:val="3"/>
                <w:sz w:val="23"/>
              </w:rPr>
              <w:t> </w:t>
            </w:r>
            <w:r>
              <w:rPr>
                <w:sz w:val="23"/>
              </w:rPr>
              <w:t>δ</w:t>
            </w:r>
            <w:r>
              <w:rPr>
                <w:spacing w:val="-23"/>
                <w:sz w:val="23"/>
              </w:rPr>
              <w:t> </w:t>
            </w:r>
            <w:r>
              <w:rPr>
                <w:rFonts w:ascii="Times New Roman" w:hAnsi="Times New Roman"/>
                <w:position w:val="-5"/>
                <w:sz w:val="14"/>
              </w:rPr>
              <w:t>4</w:t>
            </w:r>
            <w:r>
              <w:rPr>
                <w:rFonts w:ascii="Times New Roman" w:hAnsi="Times New Roman"/>
                <w:spacing w:val="14"/>
                <w:position w:val="-5"/>
                <w:sz w:val="14"/>
              </w:rPr>
              <w:t> </w:t>
            </w:r>
            <w:r>
              <w:rPr>
                <w:sz w:val="23"/>
              </w:rPr>
              <w:t>U</w:t>
            </w:r>
            <w:r>
              <w:rPr>
                <w:spacing w:val="-28"/>
                <w:sz w:val="23"/>
              </w:rPr>
              <w:t> </w:t>
            </w:r>
            <w:r>
              <w:rPr>
                <w:rFonts w:ascii="Times New Roman" w:hAnsi="Times New Roman"/>
                <w:i/>
                <w:position w:val="-5"/>
                <w:sz w:val="14"/>
              </w:rPr>
              <w:t>t  </w:t>
            </w:r>
            <w:r>
              <w:rPr>
                <w:rFonts w:ascii="Times New Roman" w:hAnsi="Times New Roman"/>
                <w:i/>
                <w:spacing w:val="10"/>
                <w:position w:val="-5"/>
                <w:sz w:val="14"/>
              </w:rPr>
              <w:t> </w:t>
            </w:r>
            <w:r>
              <w:rPr>
                <w:sz w:val="23"/>
              </w:rPr>
              <w:t>+</w:t>
            </w:r>
            <w:r>
              <w:rPr>
                <w:spacing w:val="5"/>
                <w:sz w:val="23"/>
              </w:rPr>
              <w:t> </w:t>
            </w:r>
            <w:r>
              <w:rPr>
                <w:sz w:val="23"/>
              </w:rPr>
              <w:t>δ</w:t>
            </w:r>
            <w:r>
              <w:rPr>
                <w:spacing w:val="-30"/>
                <w:sz w:val="23"/>
              </w:rPr>
              <w:t> </w:t>
            </w:r>
            <w:r>
              <w:rPr>
                <w:rFonts w:ascii="Times New Roman" w:hAnsi="Times New Roman"/>
                <w:position w:val="-5"/>
                <w:sz w:val="13"/>
              </w:rPr>
              <w:t>5 </w:t>
            </w:r>
            <w:r>
              <w:rPr>
                <w:sz w:val="23"/>
              </w:rPr>
              <w:t>PIBR</w:t>
            </w:r>
            <w:r>
              <w:rPr>
                <w:spacing w:val="-30"/>
                <w:sz w:val="23"/>
              </w:rPr>
              <w:t> </w:t>
            </w:r>
            <w:r>
              <w:rPr>
                <w:rFonts w:ascii="Times New Roman" w:hAnsi="Times New Roman"/>
                <w:i/>
                <w:position w:val="-5"/>
                <w:sz w:val="14"/>
              </w:rPr>
              <w:t>t  </w:t>
            </w:r>
            <w:r>
              <w:rPr>
                <w:rFonts w:ascii="Times New Roman" w:hAnsi="Times New Roman"/>
                <w:i/>
                <w:spacing w:val="10"/>
                <w:position w:val="-5"/>
                <w:sz w:val="14"/>
              </w:rPr>
              <w:t> </w:t>
            </w:r>
            <w:r>
              <w:rPr>
                <w:sz w:val="23"/>
              </w:rPr>
              <w:t>+</w:t>
            </w:r>
            <w:r>
              <w:rPr>
                <w:spacing w:val="5"/>
                <w:sz w:val="23"/>
              </w:rPr>
              <w:t> </w:t>
            </w:r>
            <w:r>
              <w:rPr>
                <w:sz w:val="23"/>
              </w:rPr>
              <w:t>δ</w:t>
            </w:r>
            <w:r>
              <w:rPr>
                <w:spacing w:val="-28"/>
                <w:sz w:val="23"/>
              </w:rPr>
              <w:t> </w:t>
            </w:r>
            <w:r>
              <w:rPr>
                <w:rFonts w:ascii="Times New Roman" w:hAnsi="Times New Roman"/>
                <w:position w:val="-5"/>
                <w:sz w:val="13"/>
              </w:rPr>
              <w:t>6</w:t>
            </w:r>
            <w:r>
              <w:rPr>
                <w:rFonts w:ascii="Times New Roman" w:hAnsi="Times New Roman"/>
                <w:spacing w:val="-2"/>
                <w:position w:val="-5"/>
                <w:sz w:val="13"/>
              </w:rPr>
              <w:t> </w:t>
            </w:r>
            <w:r>
              <w:rPr>
                <w:sz w:val="23"/>
              </w:rPr>
              <w:t>S</w:t>
            </w:r>
            <w:r>
              <w:rPr>
                <w:spacing w:val="-27"/>
                <w:sz w:val="23"/>
              </w:rPr>
              <w:t> </w:t>
            </w:r>
            <w:r>
              <w:rPr>
                <w:rFonts w:ascii="Times New Roman" w:hAnsi="Times New Roman"/>
                <w:i/>
                <w:position w:val="-5"/>
                <w:sz w:val="14"/>
              </w:rPr>
              <w:t>t</w:t>
            </w:r>
            <w:r>
              <w:rPr>
                <w:rFonts w:ascii="Times New Roman" w:hAnsi="Times New Roman"/>
                <w:i/>
                <w:spacing w:val="14"/>
                <w:position w:val="-5"/>
                <w:sz w:val="14"/>
              </w:rPr>
              <w:t> </w:t>
            </w:r>
            <w:r>
              <w:rPr>
                <w:sz w:val="23"/>
              </w:rPr>
              <w:t>+</w:t>
            </w:r>
            <w:r>
              <w:rPr>
                <w:spacing w:val="5"/>
                <w:sz w:val="23"/>
              </w:rPr>
              <w:t> </w:t>
            </w:r>
            <w:r>
              <w:rPr>
                <w:sz w:val="23"/>
              </w:rPr>
              <w:t>ξ</w:t>
            </w:r>
            <w:r>
              <w:rPr>
                <w:spacing w:val="-31"/>
                <w:sz w:val="23"/>
              </w:rPr>
              <w:t> </w:t>
            </w:r>
            <w:r>
              <w:rPr>
                <w:rFonts w:ascii="Times New Roman" w:hAnsi="Times New Roman"/>
                <w:position w:val="-5"/>
                <w:sz w:val="13"/>
              </w:rPr>
              <w:t>5</w:t>
            </w:r>
          </w:p>
        </w:tc>
        <w:tc>
          <w:tcPr>
            <w:tcW w:w="800" w:type="dxa"/>
          </w:tcPr>
          <w:p>
            <w:pPr/>
          </w:p>
        </w:tc>
        <w:tc>
          <w:tcPr>
            <w:tcW w:w="650" w:type="dxa"/>
          </w:tcPr>
          <w:p>
            <w:pPr>
              <w:pStyle w:val="TableParagraph"/>
              <w:spacing w:before="115"/>
              <w:ind w:right="33"/>
              <w:rPr>
                <w:sz w:val="23"/>
              </w:rPr>
            </w:pPr>
            <w:r>
              <w:rPr>
                <w:sz w:val="23"/>
              </w:rPr>
              <w:t>(5)</w:t>
            </w:r>
          </w:p>
        </w:tc>
      </w:tr>
      <w:tr>
        <w:trPr>
          <w:trHeight w:val="1006" w:hRule="exact"/>
        </w:trPr>
        <w:tc>
          <w:tcPr>
            <w:tcW w:w="7067" w:type="dxa"/>
          </w:tcPr>
          <w:p>
            <w:pPr>
              <w:pStyle w:val="TableParagraph"/>
              <w:spacing w:before="115"/>
              <w:ind w:left="35"/>
              <w:jc w:val="left"/>
              <w:rPr>
                <w:rFonts w:ascii="Times New Roman"/>
                <w:i/>
                <w:sz w:val="14"/>
              </w:rPr>
            </w:pPr>
            <w:r>
              <w:rPr>
                <w:sz w:val="23"/>
              </w:rPr>
              <w:t>XNTR </w:t>
            </w:r>
            <w:r>
              <w:rPr>
                <w:rFonts w:ascii="Times New Roman"/>
                <w:i/>
                <w:position w:val="-5"/>
                <w:sz w:val="14"/>
              </w:rPr>
              <w:t>t   </w:t>
            </w:r>
            <w:r>
              <w:rPr>
                <w:sz w:val="23"/>
              </w:rPr>
              <w:t>= XTR </w:t>
            </w:r>
            <w:r>
              <w:rPr>
                <w:rFonts w:ascii="Times New Roman"/>
                <w:i/>
                <w:position w:val="-5"/>
                <w:sz w:val="14"/>
              </w:rPr>
              <w:t>t   </w:t>
            </w:r>
            <w:r>
              <w:rPr>
                <w:sz w:val="23"/>
              </w:rPr>
              <w:t>-  MTR </w:t>
            </w:r>
            <w:r>
              <w:rPr>
                <w:rFonts w:ascii="Times New Roman"/>
                <w:i/>
                <w:position w:val="-5"/>
                <w:sz w:val="14"/>
              </w:rPr>
              <w:t>t</w:t>
            </w:r>
          </w:p>
          <w:p>
            <w:pPr>
              <w:pStyle w:val="TableParagraph"/>
              <w:spacing w:before="224"/>
              <w:ind w:left="35"/>
              <w:jc w:val="left"/>
              <w:rPr>
                <w:sz w:val="23"/>
              </w:rPr>
            </w:pPr>
            <w:r>
              <w:rPr>
                <w:sz w:val="23"/>
              </w:rPr>
              <w:t>Donde:</w:t>
            </w:r>
          </w:p>
        </w:tc>
        <w:tc>
          <w:tcPr>
            <w:tcW w:w="800" w:type="dxa"/>
          </w:tcPr>
          <w:p>
            <w:pPr/>
          </w:p>
        </w:tc>
        <w:tc>
          <w:tcPr>
            <w:tcW w:w="650" w:type="dxa"/>
          </w:tcPr>
          <w:p>
            <w:pPr>
              <w:pStyle w:val="TableParagraph"/>
              <w:spacing w:before="115"/>
              <w:ind w:right="33"/>
              <w:rPr>
                <w:sz w:val="23"/>
              </w:rPr>
            </w:pPr>
            <w:r>
              <w:rPr>
                <w:sz w:val="23"/>
              </w:rPr>
              <w:t>(6)</w:t>
            </w:r>
          </w:p>
        </w:tc>
      </w:tr>
    </w:tbl>
    <w:p>
      <w:pPr>
        <w:pStyle w:val="BodyText"/>
        <w:tabs>
          <w:tab w:pos="1002" w:val="left" w:leader="none"/>
        </w:tabs>
        <w:spacing w:line="470" w:lineRule="auto" w:before="124"/>
        <w:ind w:left="141" w:right="1958"/>
      </w:pPr>
      <w:r>
        <w:rPr/>
        <w:t>PIBR</w:t>
      </w:r>
      <w:r>
        <w:rPr>
          <w:spacing w:val="-33"/>
        </w:rPr>
        <w:t> </w:t>
      </w:r>
      <w:r>
        <w:rPr>
          <w:rFonts w:ascii="Times New Roman" w:hAnsi="Times New Roman"/>
          <w:i/>
          <w:position w:val="-5"/>
          <w:sz w:val="13"/>
        </w:rPr>
        <w:t>t</w:t>
        <w:tab/>
      </w:r>
      <w:r>
        <w:rPr/>
        <w:t>= Producto interno bruto real en México (millones  de</w:t>
      </w:r>
      <w:r>
        <w:rPr>
          <w:spacing w:val="6"/>
        </w:rPr>
        <w:t> </w:t>
      </w:r>
      <w:r>
        <w:rPr/>
        <w:t>dólares).</w:t>
      </w:r>
      <w:r>
        <w:rPr>
          <w:w w:val="101"/>
        </w:rPr>
        <w:t> </w:t>
      </w:r>
      <w:r>
        <w:rPr/>
        <w:t>CTR</w:t>
      </w:r>
      <w:r>
        <w:rPr>
          <w:spacing w:val="-27"/>
        </w:rPr>
        <w:t> </w:t>
      </w:r>
      <w:r>
        <w:rPr>
          <w:rFonts w:ascii="Times New Roman" w:hAnsi="Times New Roman"/>
          <w:i/>
          <w:position w:val="-5"/>
          <w:sz w:val="14"/>
        </w:rPr>
        <w:t>t</w:t>
        <w:tab/>
      </w:r>
      <w:r>
        <w:rPr/>
        <w:t>= Consumo total real en México (millones de</w:t>
      </w:r>
      <w:r>
        <w:rPr>
          <w:spacing w:val="59"/>
        </w:rPr>
        <w:t> </w:t>
      </w:r>
      <w:r>
        <w:rPr/>
        <w:t>dólares).</w:t>
      </w:r>
    </w:p>
    <w:p>
      <w:pPr>
        <w:pStyle w:val="BodyText"/>
        <w:tabs>
          <w:tab w:pos="964" w:val="left" w:leader="none"/>
        </w:tabs>
        <w:spacing w:line="261" w:lineRule="exact"/>
        <w:ind w:left="141"/>
      </w:pPr>
      <w:r>
        <w:rPr/>
        <w:t>ITR</w:t>
      </w:r>
      <w:r>
        <w:rPr>
          <w:spacing w:val="-30"/>
        </w:rPr>
        <w:t> </w:t>
      </w:r>
      <w:r>
        <w:rPr>
          <w:rFonts w:ascii="Times New Roman" w:hAnsi="Times New Roman"/>
          <w:i/>
          <w:position w:val="-5"/>
          <w:sz w:val="13"/>
        </w:rPr>
        <w:t>t</w:t>
        <w:tab/>
      </w:r>
      <w:r>
        <w:rPr/>
        <w:t>= Inversión total real en México (millones de</w:t>
      </w:r>
      <w:r>
        <w:rPr>
          <w:spacing w:val="55"/>
        </w:rPr>
        <w:t> </w:t>
      </w:r>
      <w:r>
        <w:rPr/>
        <w:t>dólares).</w:t>
      </w:r>
    </w:p>
    <w:p>
      <w:pPr>
        <w:pStyle w:val="BodyText"/>
        <w:tabs>
          <w:tab w:pos="952" w:val="left" w:leader="none"/>
        </w:tabs>
        <w:spacing w:before="245"/>
        <w:ind w:left="141"/>
      </w:pPr>
      <w:r>
        <w:rPr/>
        <w:t>GTR</w:t>
      </w:r>
      <w:r>
        <w:rPr>
          <w:spacing w:val="-26"/>
        </w:rPr>
        <w:t> </w:t>
      </w:r>
      <w:r>
        <w:rPr>
          <w:rFonts w:ascii="Times New Roman" w:hAnsi="Times New Roman"/>
          <w:i/>
          <w:position w:val="-5"/>
          <w:sz w:val="13"/>
        </w:rPr>
        <w:t>t</w:t>
        <w:tab/>
      </w:r>
      <w:r>
        <w:rPr>
          <w:b/>
        </w:rPr>
        <w:t>= </w:t>
      </w:r>
      <w:r>
        <w:rPr/>
        <w:t>Gasto gubernamental total en México (millones de </w:t>
      </w:r>
      <w:r>
        <w:rPr>
          <w:spacing w:val="6"/>
        </w:rPr>
        <w:t> </w:t>
      </w:r>
      <w:r>
        <w:rPr/>
        <w:t>dólares).</w:t>
      </w:r>
    </w:p>
    <w:p>
      <w:pPr>
        <w:spacing w:after="0"/>
        <w:sectPr>
          <w:pgSz w:w="11900" w:h="16840"/>
          <w:pgMar w:header="0" w:footer="1679" w:top="1600" w:bottom="1860" w:left="1260" w:right="1280"/>
        </w:sectPr>
      </w:pPr>
    </w:p>
    <w:p>
      <w:pPr>
        <w:pStyle w:val="BodyText"/>
        <w:rPr>
          <w:sz w:val="20"/>
        </w:rPr>
      </w:pPr>
    </w:p>
    <w:p>
      <w:pPr>
        <w:pStyle w:val="BodyText"/>
        <w:spacing w:before="2"/>
        <w:rPr>
          <w:sz w:val="20"/>
        </w:rPr>
      </w:pPr>
    </w:p>
    <w:p>
      <w:pPr>
        <w:pStyle w:val="BodyText"/>
        <w:tabs>
          <w:tab w:pos="950" w:val="left" w:leader="none"/>
        </w:tabs>
        <w:spacing w:line="472" w:lineRule="auto" w:before="74"/>
        <w:ind w:left="101" w:right="1273"/>
      </w:pPr>
      <w:r>
        <w:rPr/>
        <w:t>XNTR </w:t>
      </w:r>
      <w:r>
        <w:rPr>
          <w:rFonts w:ascii="Times New Roman" w:hAnsi="Times New Roman"/>
          <w:i/>
          <w:position w:val="-5"/>
          <w:sz w:val="13"/>
        </w:rPr>
        <w:t>t </w:t>
      </w:r>
      <w:r>
        <w:rPr/>
        <w:t>= Exportaciones netas totales reales en México (millones de dólares). XTR</w:t>
      </w:r>
      <w:r>
        <w:rPr>
          <w:spacing w:val="-28"/>
        </w:rPr>
        <w:t> </w:t>
      </w:r>
      <w:r>
        <w:rPr>
          <w:rFonts w:ascii="Times New Roman" w:hAnsi="Times New Roman"/>
          <w:i/>
          <w:position w:val="-5"/>
          <w:sz w:val="14"/>
        </w:rPr>
        <w:t>t</w:t>
        <w:tab/>
      </w:r>
      <w:r>
        <w:rPr/>
        <w:t>= Exportaciones totales reales en México (millones de</w:t>
      </w:r>
      <w:r>
        <w:rPr>
          <w:spacing w:val="61"/>
        </w:rPr>
        <w:t> </w:t>
      </w:r>
      <w:r>
        <w:rPr/>
        <w:t>dólares).</w:t>
      </w:r>
    </w:p>
    <w:p>
      <w:pPr>
        <w:pStyle w:val="BodyText"/>
        <w:tabs>
          <w:tab w:pos="924" w:val="left" w:leader="none"/>
        </w:tabs>
        <w:spacing w:line="270" w:lineRule="exact"/>
        <w:ind w:left="101" w:right="102"/>
      </w:pPr>
      <w:r>
        <w:rPr/>
        <w:t>MTR</w:t>
      </w:r>
      <w:r>
        <w:rPr>
          <w:spacing w:val="-26"/>
        </w:rPr>
        <w:t> </w:t>
      </w:r>
      <w:r>
        <w:rPr>
          <w:rFonts w:ascii="Times New Roman" w:hAnsi="Times New Roman"/>
          <w:i/>
          <w:position w:val="-5"/>
          <w:sz w:val="14"/>
        </w:rPr>
        <w:t>t</w:t>
        <w:tab/>
      </w:r>
      <w:r>
        <w:rPr/>
        <w:t>= Importaciones totales reales en México (millones de </w:t>
      </w:r>
      <w:r>
        <w:rPr>
          <w:spacing w:val="7"/>
        </w:rPr>
        <w:t> </w:t>
      </w:r>
      <w:r>
        <w:rPr/>
        <w:t>dólares).</w:t>
      </w:r>
    </w:p>
    <w:p>
      <w:pPr>
        <w:pStyle w:val="BodyText"/>
        <w:spacing w:before="11"/>
        <w:rPr>
          <w:sz w:val="20"/>
        </w:rPr>
      </w:pPr>
    </w:p>
    <w:p>
      <w:pPr>
        <w:pStyle w:val="BodyText"/>
        <w:tabs>
          <w:tab w:pos="924" w:val="left" w:leader="none"/>
        </w:tabs>
        <w:spacing w:line="463" w:lineRule="auto"/>
        <w:ind w:left="101" w:right="1273"/>
      </w:pPr>
      <w:r>
        <w:rPr/>
        <w:t>RETR </w:t>
      </w:r>
      <w:r>
        <w:rPr>
          <w:rFonts w:ascii="Times New Roman" w:hAnsi="Times New Roman"/>
          <w:i/>
          <w:position w:val="-5"/>
          <w:sz w:val="13"/>
        </w:rPr>
        <w:t>t </w:t>
      </w:r>
      <w:r>
        <w:rPr/>
        <w:t>= Remesas familiares totales reales en México (millones de dólares). INF</w:t>
      </w:r>
      <w:r>
        <w:rPr>
          <w:spacing w:val="-28"/>
        </w:rPr>
        <w:t> </w:t>
      </w:r>
      <w:r>
        <w:rPr>
          <w:rFonts w:ascii="Times New Roman" w:hAnsi="Times New Roman"/>
          <w:i/>
          <w:position w:val="-5"/>
          <w:sz w:val="13"/>
        </w:rPr>
        <w:t>t</w:t>
        <w:tab/>
      </w:r>
      <w:r>
        <w:rPr/>
        <w:t>= Inflación anual en</w:t>
      </w:r>
      <w:r>
        <w:rPr>
          <w:spacing w:val="28"/>
        </w:rPr>
        <w:t> </w:t>
      </w:r>
      <w:r>
        <w:rPr/>
        <w:t>México.</w:t>
      </w:r>
    </w:p>
    <w:p>
      <w:pPr>
        <w:pStyle w:val="BodyText"/>
        <w:spacing w:line="272" w:lineRule="exact"/>
        <w:ind w:left="101" w:right="102"/>
      </w:pPr>
      <w:r>
        <w:rPr/>
        <w:t>INPC </w:t>
      </w:r>
      <w:r>
        <w:rPr>
          <w:rFonts w:ascii="Times New Roman" w:hAnsi="Times New Roman"/>
          <w:i/>
          <w:position w:val="-5"/>
          <w:sz w:val="13"/>
        </w:rPr>
        <w:t>t      </w:t>
      </w:r>
      <w:r>
        <w:rPr/>
        <w:t>= Índice nacional de precios al consumidor (base 2002).</w:t>
      </w:r>
    </w:p>
    <w:p>
      <w:pPr>
        <w:pStyle w:val="BodyText"/>
        <w:tabs>
          <w:tab w:pos="977" w:val="left" w:leader="none"/>
        </w:tabs>
        <w:spacing w:before="245"/>
        <w:ind w:left="101" w:right="102"/>
      </w:pPr>
      <w:r>
        <w:rPr/>
        <w:t>U</w:t>
      </w:r>
      <w:r>
        <w:rPr>
          <w:spacing w:val="-29"/>
        </w:rPr>
        <w:t> </w:t>
      </w:r>
      <w:r>
        <w:rPr>
          <w:rFonts w:ascii="Times New Roman" w:hAnsi="Times New Roman"/>
          <w:i/>
          <w:position w:val="-5"/>
          <w:sz w:val="13"/>
        </w:rPr>
        <w:t>t</w:t>
        <w:tab/>
      </w:r>
      <w:r>
        <w:rPr>
          <w:b/>
        </w:rPr>
        <w:t>= </w:t>
      </w:r>
      <w:r>
        <w:rPr/>
        <w:t>Tasa de desempleo abierto en</w:t>
      </w:r>
      <w:r>
        <w:rPr>
          <w:spacing w:val="43"/>
        </w:rPr>
        <w:t> </w:t>
      </w:r>
      <w:r>
        <w:rPr/>
        <w:t>México.</w:t>
      </w:r>
    </w:p>
    <w:p>
      <w:pPr>
        <w:pStyle w:val="BodyText"/>
        <w:rPr>
          <w:sz w:val="28"/>
        </w:rPr>
      </w:pPr>
    </w:p>
    <w:p>
      <w:pPr>
        <w:pStyle w:val="BodyText"/>
        <w:spacing w:before="7"/>
        <w:rPr>
          <w:sz w:val="34"/>
        </w:rPr>
      </w:pPr>
    </w:p>
    <w:p>
      <w:pPr>
        <w:pStyle w:val="Heading2"/>
        <w:numPr>
          <w:ilvl w:val="1"/>
          <w:numId w:val="28"/>
        </w:numPr>
        <w:tabs>
          <w:tab w:pos="527" w:val="left" w:leader="none"/>
        </w:tabs>
        <w:spacing w:line="240" w:lineRule="auto" w:before="0" w:after="0"/>
        <w:ind w:left="526" w:right="0" w:hanging="425"/>
        <w:jc w:val="left"/>
      </w:pPr>
      <w:r>
        <w:rPr/>
        <w:t>ANÁLISIS Y DISCUSIÓN  DE</w:t>
      </w:r>
      <w:r>
        <w:rPr>
          <w:spacing w:val="2"/>
        </w:rPr>
        <w:t> </w:t>
      </w:r>
      <w:r>
        <w:rPr>
          <w:spacing w:val="-5"/>
        </w:rPr>
        <w:t>RESULTADOS</w:t>
      </w:r>
    </w:p>
    <w:p>
      <w:pPr>
        <w:pStyle w:val="BodyText"/>
        <w:rPr>
          <w:b/>
          <w:sz w:val="30"/>
        </w:rPr>
      </w:pPr>
    </w:p>
    <w:p>
      <w:pPr>
        <w:pStyle w:val="BodyText"/>
        <w:spacing w:before="4"/>
        <w:rPr>
          <w:b/>
          <w:sz w:val="27"/>
        </w:rPr>
      </w:pPr>
    </w:p>
    <w:p>
      <w:pPr>
        <w:pStyle w:val="Heading3"/>
        <w:numPr>
          <w:ilvl w:val="1"/>
          <w:numId w:val="29"/>
        </w:numPr>
        <w:tabs>
          <w:tab w:pos="560" w:val="left" w:leader="none"/>
        </w:tabs>
        <w:spacing w:line="240" w:lineRule="auto" w:before="1" w:after="0"/>
        <w:ind w:left="560" w:right="0" w:hanging="459"/>
        <w:jc w:val="left"/>
      </w:pPr>
      <w:r>
        <w:rPr/>
        <w:t>Resultados</w:t>
      </w:r>
      <w:r>
        <w:rPr>
          <w:spacing w:val="20"/>
        </w:rPr>
        <w:t> </w:t>
      </w:r>
      <w:r>
        <w:rPr/>
        <w:t>estadísticos</w:t>
      </w:r>
    </w:p>
    <w:p>
      <w:pPr>
        <w:pStyle w:val="BodyText"/>
        <w:spacing w:before="10"/>
        <w:rPr>
          <w:b/>
          <w:sz w:val="25"/>
        </w:rPr>
      </w:pPr>
    </w:p>
    <w:p>
      <w:pPr>
        <w:spacing w:after="0"/>
        <w:rPr>
          <w:sz w:val="25"/>
        </w:rPr>
        <w:sectPr>
          <w:pgSz w:w="11900" w:h="16840"/>
          <w:pgMar w:header="0" w:footer="1679" w:top="1600" w:bottom="1860" w:left="1300" w:right="1280"/>
        </w:sectPr>
      </w:pPr>
    </w:p>
    <w:p>
      <w:pPr>
        <w:pStyle w:val="BodyText"/>
        <w:spacing w:before="94"/>
        <w:ind w:left="101"/>
      </w:pPr>
      <w:r>
        <w:rPr/>
        <w:t>El análisis estadístico se basa en los parámetros de  </w:t>
      </w:r>
      <w:r>
        <w:rPr>
          <w:spacing w:val="51"/>
        </w:rPr>
        <w:t> </w:t>
      </w:r>
      <w:r>
        <w:rPr/>
        <w:t>la</w:t>
      </w:r>
    </w:p>
    <w:p>
      <w:pPr>
        <w:pStyle w:val="BodyText"/>
        <w:spacing w:before="91"/>
        <w:ind w:left="82"/>
      </w:pPr>
      <w:r>
        <w:rPr/>
        <w:br w:type="column"/>
      </w:r>
      <w:r>
        <w:rPr>
          <w:rFonts w:ascii="Times New Roman"/>
          <w:i/>
        </w:rPr>
        <w:t>R </w:t>
      </w:r>
      <w:r>
        <w:rPr>
          <w:rFonts w:ascii="Times New Roman"/>
          <w:position w:val="10"/>
          <w:sz w:val="13"/>
        </w:rPr>
        <w:t>2 </w:t>
      </w:r>
      <w:r>
        <w:rPr/>
        <w:t>, del valor de la F  calculada,</w:t>
      </w:r>
    </w:p>
    <w:p>
      <w:pPr>
        <w:spacing w:after="0"/>
        <w:sectPr>
          <w:type w:val="continuous"/>
          <w:pgSz w:w="11900" w:h="16840"/>
          <w:pgMar w:top="1600" w:bottom="280" w:left="1300" w:right="1280"/>
          <w:cols w:num="2" w:equalWidth="0">
            <w:col w:w="5843" w:space="40"/>
            <w:col w:w="3437"/>
          </w:cols>
        </w:sectPr>
      </w:pPr>
    </w:p>
    <w:p>
      <w:pPr>
        <w:pStyle w:val="BodyText"/>
        <w:spacing w:line="364" w:lineRule="auto" w:before="137"/>
        <w:ind w:left="101" w:right="105"/>
        <w:jc w:val="both"/>
      </w:pPr>
      <w:r>
        <w:rPr/>
        <w:t>el cuadrado medio del error, de las t´s parciales para cada uno de los estimadores a partir del Análisis de la Varianza, para cada ecuación </w:t>
      </w:r>
      <w:r>
        <w:rPr>
          <w:spacing w:val="3"/>
        </w:rPr>
        <w:t> </w:t>
      </w:r>
      <w:r>
        <w:rPr/>
        <w:t>dada.</w:t>
      </w:r>
    </w:p>
    <w:p>
      <w:pPr>
        <w:pStyle w:val="BodyText"/>
        <w:spacing w:before="3"/>
        <w:rPr>
          <w:sz w:val="20"/>
        </w:rPr>
      </w:pPr>
    </w:p>
    <w:p>
      <w:pPr>
        <w:pStyle w:val="Heading4"/>
        <w:jc w:val="both"/>
      </w:pPr>
      <w:r>
        <w:rPr/>
        <w:t>Producto interno bruto real de México (PIBR </w:t>
      </w:r>
      <w:r>
        <w:rPr>
          <w:rFonts w:ascii="Times New Roman" w:hAnsi="Times New Roman"/>
          <w:b w:val="0"/>
          <w:i/>
          <w:position w:val="-5"/>
          <w:sz w:val="14"/>
        </w:rPr>
        <w:t>t  </w:t>
      </w:r>
      <w:r>
        <w:rPr/>
        <w:t>).</w:t>
      </w:r>
    </w:p>
    <w:p>
      <w:pPr>
        <w:pStyle w:val="BodyText"/>
        <w:spacing w:before="9"/>
        <w:rPr>
          <w:b/>
          <w:sz w:val="30"/>
        </w:rPr>
      </w:pPr>
    </w:p>
    <w:p>
      <w:pPr>
        <w:pStyle w:val="BodyText"/>
        <w:spacing w:line="379" w:lineRule="auto"/>
        <w:ind w:left="101" w:right="104"/>
        <w:jc w:val="both"/>
      </w:pPr>
      <w:r>
        <w:rPr/>
        <w:t>El cuadro 1, muestra los valores estimados de los parámetros de la forma estructural,  sus desviaciones estándar, los estadísticos “t”, los coeficientes de determinación ( </w:t>
      </w:r>
      <w:r>
        <w:rPr>
          <w:rFonts w:ascii="Times New Roman" w:hAnsi="Times New Roman"/>
          <w:i/>
        </w:rPr>
        <w:t>R </w:t>
      </w:r>
      <w:r>
        <w:rPr>
          <w:rFonts w:ascii="Times New Roman" w:hAnsi="Times New Roman"/>
          <w:position w:val="10"/>
          <w:sz w:val="13"/>
        </w:rPr>
        <w:t>2 </w:t>
      </w:r>
      <w:r>
        <w:rPr/>
        <w:t>) y los valores de</w:t>
      </w:r>
      <w:r>
        <w:rPr>
          <w:spacing w:val="14"/>
        </w:rPr>
        <w:t> </w:t>
      </w:r>
      <w:r>
        <w:rPr/>
        <w:t>F.</w:t>
      </w:r>
    </w:p>
    <w:p>
      <w:pPr>
        <w:spacing w:after="0" w:line="379" w:lineRule="auto"/>
        <w:jc w:val="both"/>
        <w:sectPr>
          <w:type w:val="continuous"/>
          <w:pgSz w:w="11900" w:h="16840"/>
          <w:pgMar w:top="1600" w:bottom="280" w:left="1300" w:right="1280"/>
        </w:sectPr>
      </w:pPr>
    </w:p>
    <w:p>
      <w:pPr>
        <w:pStyle w:val="BodyText"/>
        <w:rPr>
          <w:sz w:val="20"/>
        </w:rPr>
      </w:pPr>
    </w:p>
    <w:p>
      <w:pPr>
        <w:pStyle w:val="BodyText"/>
        <w:spacing w:before="6"/>
        <w:rPr>
          <w:sz w:val="18"/>
        </w:rPr>
      </w:pPr>
    </w:p>
    <w:p>
      <w:pPr>
        <w:pStyle w:val="Heading4"/>
        <w:spacing w:before="74"/>
        <w:ind w:left="1878" w:right="690"/>
      </w:pPr>
      <w:r>
        <w:rPr/>
        <w:pict>
          <v:group style="position:absolute;margin-left:69.705002pt;margin-top:28.871161pt;width:430pt;height:361.85pt;mso-position-horizontal-relative:page;mso-position-vertical-relative:paragraph;z-index:-699760" coordorigin="1394,577" coordsize="8600,7237">
            <v:rect style="position:absolute;left:1402;top:585;width:8585;height:7222" filled="false" stroked="true" strokeweight=".730032pt" strokecolor="#000000"/>
            <v:shape style="position:absolute;left:4002;top:685;width:1551;height:176" type="#_x0000_t202" filled="false" stroked="false">
              <v:textbox inset="0,0,0,0">
                <w:txbxContent>
                  <w:p>
                    <w:pPr>
                      <w:spacing w:line="175" w:lineRule="exact" w:before="0"/>
                      <w:ind w:left="0" w:right="0" w:firstLine="0"/>
                      <w:jc w:val="left"/>
                      <w:rPr>
                        <w:sz w:val="17"/>
                      </w:rPr>
                    </w:pPr>
                    <w:r>
                      <w:rPr>
                        <w:sz w:val="17"/>
                      </w:rPr>
                      <w:t>Dependent Variable</w:t>
                    </w:r>
                  </w:p>
                </w:txbxContent>
              </v:textbox>
              <w10:wrap type="none"/>
            </v:shape>
            <v:shape style="position:absolute;left:5942;top:685;width:410;height:176" type="#_x0000_t202" filled="false" stroked="false">
              <v:textbox inset="0,0,0,0">
                <w:txbxContent>
                  <w:p>
                    <w:pPr>
                      <w:spacing w:line="175" w:lineRule="exact" w:before="0"/>
                      <w:ind w:left="0" w:right="-7" w:firstLine="0"/>
                      <w:jc w:val="left"/>
                      <w:rPr>
                        <w:sz w:val="17"/>
                      </w:rPr>
                    </w:pPr>
                    <w:r>
                      <w:rPr>
                        <w:sz w:val="17"/>
                      </w:rPr>
                      <w:t>PIBR</w:t>
                    </w:r>
                  </w:p>
                </w:txbxContent>
              </v:textbox>
              <w10:wrap type="none"/>
            </v:shape>
            <v:shape style="position:absolute;left:4900;top:1081;width:1556;height:176" type="#_x0000_t202" filled="false" stroked="false">
              <v:textbox inset="0,0,0,0">
                <w:txbxContent>
                  <w:p>
                    <w:pPr>
                      <w:spacing w:line="175" w:lineRule="exact" w:before="0"/>
                      <w:ind w:left="0" w:right="-14" w:firstLine="0"/>
                      <w:jc w:val="left"/>
                      <w:rPr>
                        <w:sz w:val="17"/>
                      </w:rPr>
                    </w:pPr>
                    <w:r>
                      <w:rPr>
                        <w:w w:val="105"/>
                        <w:sz w:val="17"/>
                      </w:rPr>
                      <w:t>Análisis de</w:t>
                    </w:r>
                    <w:r>
                      <w:rPr>
                        <w:spacing w:val="-38"/>
                        <w:w w:val="105"/>
                        <w:sz w:val="17"/>
                      </w:rPr>
                      <w:t> </w:t>
                    </w:r>
                    <w:r>
                      <w:rPr>
                        <w:w w:val="105"/>
                        <w:sz w:val="17"/>
                      </w:rPr>
                      <w:t>varianza</w:t>
                    </w:r>
                  </w:p>
                </w:txbxContent>
              </v:textbox>
              <w10:wrap type="none"/>
            </v:shape>
            <v:shape style="position:absolute;left:3146;top:3460;width:799;height:176" type="#_x0000_t202" filled="false" stroked="false">
              <v:textbox inset="0,0,0,0">
                <w:txbxContent>
                  <w:p>
                    <w:pPr>
                      <w:spacing w:line="175" w:lineRule="exact" w:before="0"/>
                      <w:ind w:left="0" w:right="-17" w:firstLine="0"/>
                      <w:jc w:val="left"/>
                      <w:rPr>
                        <w:sz w:val="17"/>
                      </w:rPr>
                    </w:pPr>
                    <w:r>
                      <w:rPr>
                        <w:w w:val="105"/>
                        <w:sz w:val="17"/>
                      </w:rPr>
                      <w:t>Root</w:t>
                    </w:r>
                    <w:r>
                      <w:rPr>
                        <w:spacing w:val="-18"/>
                        <w:w w:val="105"/>
                        <w:sz w:val="17"/>
                      </w:rPr>
                      <w:t> </w:t>
                    </w:r>
                    <w:r>
                      <w:rPr>
                        <w:w w:val="105"/>
                        <w:sz w:val="17"/>
                      </w:rPr>
                      <w:t>MSE</w:t>
                    </w:r>
                  </w:p>
                </w:txbxContent>
              </v:textbox>
              <w10:wrap type="none"/>
            </v:shape>
            <v:shape style="position:absolute;left:4579;top:3460;width:943;height:176" type="#_x0000_t202" filled="false" stroked="false">
              <v:textbox inset="0,0,0,0">
                <w:txbxContent>
                  <w:p>
                    <w:pPr>
                      <w:spacing w:line="175" w:lineRule="exact" w:before="0"/>
                      <w:ind w:left="0" w:right="0" w:firstLine="0"/>
                      <w:jc w:val="left"/>
                      <w:rPr>
                        <w:sz w:val="17"/>
                      </w:rPr>
                    </w:pPr>
                    <w:r>
                      <w:rPr>
                        <w:sz w:val="17"/>
                      </w:rPr>
                      <w:t>2.91397E10</w:t>
                    </w:r>
                  </w:p>
                </w:txbxContent>
              </v:textbox>
              <w10:wrap type="none"/>
            </v:shape>
            <v:shape style="position:absolute;left:5851;top:3460;width:753;height:176" type="#_x0000_t202" filled="false" stroked="false">
              <v:textbox inset="0,0,0,0">
                <w:txbxContent>
                  <w:p>
                    <w:pPr>
                      <w:spacing w:line="175" w:lineRule="exact" w:before="0"/>
                      <w:ind w:left="0" w:right="0" w:firstLine="0"/>
                      <w:jc w:val="left"/>
                      <w:rPr>
                        <w:sz w:val="17"/>
                      </w:rPr>
                    </w:pPr>
                    <w:r>
                      <w:rPr>
                        <w:sz w:val="17"/>
                      </w:rPr>
                      <w:t>R-Square</w:t>
                    </w:r>
                  </w:p>
                </w:txbxContent>
              </v:textbox>
              <w10:wrap type="none"/>
            </v:shape>
            <v:shape style="position:absolute;left:6943;top:3460;width:636;height:176" type="#_x0000_t202" filled="false" stroked="false">
              <v:textbox inset="0,0,0,0">
                <w:txbxContent>
                  <w:p>
                    <w:pPr>
                      <w:spacing w:line="175" w:lineRule="exact" w:before="0"/>
                      <w:ind w:left="0" w:right="0" w:firstLine="0"/>
                      <w:jc w:val="left"/>
                      <w:rPr>
                        <w:sz w:val="17"/>
                      </w:rPr>
                    </w:pPr>
                    <w:r>
                      <w:rPr>
                        <w:sz w:val="17"/>
                      </w:rPr>
                      <w:t>0.99757</w:t>
                    </w:r>
                  </w:p>
                </w:txbxContent>
              </v:textbox>
              <w10:wrap type="none"/>
            </v:shape>
            <v:shape style="position:absolute;left:3799;top:3853;width:3454;height:176" type="#_x0000_t202" filled="false" stroked="false">
              <v:textbox inset="0,0,0,0">
                <w:txbxContent>
                  <w:p>
                    <w:pPr>
                      <w:tabs>
                        <w:tab w:pos="2753" w:val="left" w:leader="none"/>
                      </w:tabs>
                      <w:spacing w:line="175" w:lineRule="exact" w:before="0"/>
                      <w:ind w:left="0" w:right="0" w:firstLine="0"/>
                      <w:jc w:val="left"/>
                      <w:rPr>
                        <w:sz w:val="17"/>
                      </w:rPr>
                    </w:pPr>
                    <w:r>
                      <w:rPr>
                        <w:w w:val="105"/>
                        <w:sz w:val="17"/>
                      </w:rPr>
                      <w:t>Dependent</w:t>
                    </w:r>
                    <w:r>
                      <w:rPr>
                        <w:spacing w:val="-10"/>
                        <w:w w:val="105"/>
                        <w:sz w:val="17"/>
                      </w:rPr>
                      <w:t> </w:t>
                    </w:r>
                    <w:r>
                      <w:rPr>
                        <w:w w:val="105"/>
                        <w:sz w:val="17"/>
                      </w:rPr>
                      <w:t>Mean  </w:t>
                    </w:r>
                    <w:r>
                      <w:rPr>
                        <w:spacing w:val="16"/>
                        <w:w w:val="105"/>
                        <w:sz w:val="17"/>
                      </w:rPr>
                      <w:t> </w:t>
                    </w:r>
                    <w:r>
                      <w:rPr>
                        <w:w w:val="105"/>
                        <w:sz w:val="17"/>
                      </w:rPr>
                      <w:t>4.74521E11</w:t>
                      <w:tab/>
                      <w:t>Adj</w:t>
                    </w:r>
                    <w:r>
                      <w:rPr>
                        <w:spacing w:val="-18"/>
                        <w:w w:val="105"/>
                        <w:sz w:val="17"/>
                      </w:rPr>
                      <w:t> </w:t>
                    </w:r>
                    <w:r>
                      <w:rPr>
                        <w:w w:val="105"/>
                        <w:sz w:val="17"/>
                      </w:rPr>
                      <w:t>R-Sq</w:t>
                    </w:r>
                  </w:p>
                </w:txbxContent>
              </v:textbox>
              <w10:wrap type="none"/>
            </v:shape>
            <v:shape style="position:absolute;left:7593;top:3853;width:636;height:176" type="#_x0000_t202" filled="false" stroked="false">
              <v:textbox inset="0,0,0,0">
                <w:txbxContent>
                  <w:p>
                    <w:pPr>
                      <w:spacing w:line="175" w:lineRule="exact" w:before="0"/>
                      <w:ind w:left="0" w:right="0" w:firstLine="0"/>
                      <w:jc w:val="left"/>
                      <w:rPr>
                        <w:sz w:val="17"/>
                      </w:rPr>
                    </w:pPr>
                    <w:r>
                      <w:rPr>
                        <w:sz w:val="17"/>
                      </w:rPr>
                      <w:t>0.99685</w:t>
                    </w:r>
                  </w:p>
                </w:txbxContent>
              </v:textbox>
              <w10:wrap type="none"/>
            </v:shape>
            <v:shape style="position:absolute;left:4120;top:4252;width:740;height:176" type="#_x0000_t202" filled="false" stroked="false">
              <v:textbox inset="0,0,0,0">
                <w:txbxContent>
                  <w:p>
                    <w:pPr>
                      <w:spacing w:line="175" w:lineRule="exact" w:before="0"/>
                      <w:ind w:left="0" w:right="-16" w:firstLine="0"/>
                      <w:jc w:val="left"/>
                      <w:rPr>
                        <w:sz w:val="17"/>
                      </w:rPr>
                    </w:pPr>
                    <w:r>
                      <w:rPr>
                        <w:w w:val="105"/>
                        <w:sz w:val="17"/>
                      </w:rPr>
                      <w:t>Coeff</w:t>
                    </w:r>
                    <w:r>
                      <w:rPr>
                        <w:spacing w:val="-18"/>
                        <w:w w:val="105"/>
                        <w:sz w:val="17"/>
                      </w:rPr>
                      <w:t> </w:t>
                    </w:r>
                    <w:r>
                      <w:rPr>
                        <w:w w:val="105"/>
                        <w:sz w:val="17"/>
                      </w:rPr>
                      <w:t>Var</w:t>
                    </w:r>
                  </w:p>
                </w:txbxContent>
              </v:textbox>
              <w10:wrap type="none"/>
            </v:shape>
            <v:shape style="position:absolute;left:5642;top:4252;width:633;height:176" type="#_x0000_t202" filled="false" stroked="false">
              <v:textbox inset="0,0,0,0">
                <w:txbxContent>
                  <w:p>
                    <w:pPr>
                      <w:spacing w:line="175" w:lineRule="exact" w:before="0"/>
                      <w:ind w:left="0" w:right="-2" w:firstLine="0"/>
                      <w:jc w:val="left"/>
                      <w:rPr>
                        <w:sz w:val="17"/>
                      </w:rPr>
                    </w:pPr>
                    <w:r>
                      <w:rPr>
                        <w:sz w:val="17"/>
                      </w:rPr>
                      <w:t>6.14086</w:t>
                    </w:r>
                  </w:p>
                </w:txbxContent>
              </v:textbox>
              <w10:wrap type="none"/>
            </v:shape>
            <v:shape style="position:absolute;left:4120;top:4645;width:2150;height:176" type="#_x0000_t202" filled="false" stroked="false">
              <v:textbox inset="0,0,0,0">
                <w:txbxContent>
                  <w:p>
                    <w:pPr>
                      <w:spacing w:line="175" w:lineRule="exact" w:before="0"/>
                      <w:ind w:left="0" w:right="-11" w:firstLine="0"/>
                      <w:jc w:val="left"/>
                      <w:rPr>
                        <w:sz w:val="17"/>
                      </w:rPr>
                    </w:pPr>
                    <w:r>
                      <w:rPr>
                        <w:w w:val="105"/>
                        <w:sz w:val="17"/>
                      </w:rPr>
                      <w:t>Estimadores</w:t>
                    </w:r>
                    <w:r>
                      <w:rPr>
                        <w:spacing w:val="-26"/>
                        <w:w w:val="105"/>
                        <w:sz w:val="17"/>
                      </w:rPr>
                      <w:t> </w:t>
                    </w:r>
                    <w:r>
                      <w:rPr>
                        <w:w w:val="105"/>
                        <w:sz w:val="17"/>
                      </w:rPr>
                      <w:t>de</w:t>
                    </w:r>
                    <w:r>
                      <w:rPr>
                        <w:spacing w:val="-26"/>
                        <w:w w:val="105"/>
                        <w:sz w:val="17"/>
                      </w:rPr>
                      <w:t> </w:t>
                    </w:r>
                    <w:r>
                      <w:rPr>
                        <w:w w:val="105"/>
                        <w:sz w:val="17"/>
                      </w:rPr>
                      <w:t>parámetros</w:t>
                    </w:r>
                  </w:p>
                </w:txbxContent>
              </v:textbox>
              <w10:wrap type="none"/>
            </v:shape>
            <w10:wrap type="none"/>
          </v:group>
        </w:pict>
      </w:r>
      <w:r>
        <w:rPr/>
        <w:t>Cuadro 1. Análisis de varianza del PIBR en</w:t>
      </w:r>
      <w:r>
        <w:rPr>
          <w:spacing w:val="61"/>
        </w:rPr>
        <w:t> </w:t>
      </w:r>
      <w:r>
        <w:rPr/>
        <w:t>México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after="1"/>
        <w:rPr>
          <w:b/>
          <w:sz w:val="10"/>
        </w:rPr>
      </w:pPr>
    </w:p>
    <w:tbl>
      <w:tblPr>
        <w:tblW w:w="0" w:type="auto"/>
        <w:jc w:val="left"/>
        <w:tblInd w:w="96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69"/>
        <w:gridCol w:w="597"/>
        <w:gridCol w:w="2780"/>
        <w:gridCol w:w="1417"/>
        <w:gridCol w:w="1077"/>
      </w:tblGrid>
      <w:tr>
        <w:trPr>
          <w:trHeight w:val="386" w:hRule="exact"/>
        </w:trPr>
        <w:tc>
          <w:tcPr>
            <w:tcW w:w="1966" w:type="dxa"/>
            <w:gridSpan w:val="2"/>
          </w:tcPr>
          <w:p>
            <w:pPr/>
          </w:p>
        </w:tc>
        <w:tc>
          <w:tcPr>
            <w:tcW w:w="2780" w:type="dxa"/>
          </w:tcPr>
          <w:p>
            <w:pPr>
              <w:pStyle w:val="TableParagraph"/>
              <w:tabs>
                <w:tab w:pos="1041" w:val="left" w:leader="none"/>
              </w:tabs>
              <w:spacing w:before="82"/>
              <w:ind w:right="221"/>
              <w:rPr>
                <w:sz w:val="17"/>
              </w:rPr>
            </w:pPr>
            <w:r>
              <w:rPr>
                <w:w w:val="105"/>
                <w:sz w:val="17"/>
              </w:rPr>
              <w:t>Suma</w:t>
            </w:r>
            <w:r>
              <w:rPr>
                <w:spacing w:val="-5"/>
                <w:w w:val="105"/>
                <w:sz w:val="17"/>
              </w:rPr>
              <w:t> </w:t>
            </w:r>
            <w:r>
              <w:rPr>
                <w:w w:val="105"/>
                <w:sz w:val="17"/>
              </w:rPr>
              <w:t>de</w:t>
              <w:tab/>
              <w:t>Cuadrado de</w:t>
            </w:r>
            <w:r>
              <w:rPr>
                <w:spacing w:val="-30"/>
                <w:w w:val="105"/>
                <w:sz w:val="17"/>
              </w:rPr>
              <w:t> </w:t>
            </w:r>
            <w:r>
              <w:rPr>
                <w:w w:val="105"/>
                <w:sz w:val="17"/>
              </w:rPr>
              <w:t>la</w:t>
            </w:r>
          </w:p>
        </w:tc>
        <w:tc>
          <w:tcPr>
            <w:tcW w:w="2495" w:type="dxa"/>
            <w:gridSpan w:val="2"/>
          </w:tcPr>
          <w:p>
            <w:pPr/>
          </w:p>
        </w:tc>
      </w:tr>
      <w:tr>
        <w:trPr>
          <w:trHeight w:val="396" w:hRule="exact"/>
        </w:trPr>
        <w:tc>
          <w:tcPr>
            <w:tcW w:w="1369" w:type="dxa"/>
          </w:tcPr>
          <w:p>
            <w:pPr>
              <w:pStyle w:val="TableParagraph"/>
              <w:spacing w:before="93"/>
              <w:ind w:left="35"/>
              <w:jc w:val="left"/>
              <w:rPr>
                <w:sz w:val="17"/>
              </w:rPr>
            </w:pPr>
            <w:r>
              <w:rPr>
                <w:w w:val="105"/>
                <w:sz w:val="17"/>
              </w:rPr>
              <w:t>Fuente</w:t>
            </w:r>
          </w:p>
        </w:tc>
        <w:tc>
          <w:tcPr>
            <w:tcW w:w="597" w:type="dxa"/>
          </w:tcPr>
          <w:p>
            <w:pPr>
              <w:pStyle w:val="TableParagraph"/>
              <w:spacing w:before="93"/>
              <w:ind w:left="136"/>
              <w:jc w:val="left"/>
              <w:rPr>
                <w:sz w:val="17"/>
              </w:rPr>
            </w:pPr>
            <w:r>
              <w:rPr>
                <w:w w:val="105"/>
                <w:sz w:val="17"/>
              </w:rPr>
              <w:t>DF</w:t>
            </w:r>
          </w:p>
        </w:tc>
        <w:tc>
          <w:tcPr>
            <w:tcW w:w="2780" w:type="dxa"/>
          </w:tcPr>
          <w:p>
            <w:pPr>
              <w:pStyle w:val="TableParagraph"/>
              <w:tabs>
                <w:tab w:pos="1302" w:val="left" w:leader="none"/>
              </w:tabs>
              <w:spacing w:before="93"/>
              <w:ind w:left="139"/>
              <w:jc w:val="left"/>
              <w:rPr>
                <w:sz w:val="17"/>
              </w:rPr>
            </w:pPr>
            <w:r>
              <w:rPr>
                <w:w w:val="105"/>
                <w:sz w:val="17"/>
              </w:rPr>
              <w:t>cuadrados</w:t>
              <w:tab/>
              <w:t>media</w:t>
            </w:r>
          </w:p>
        </w:tc>
        <w:tc>
          <w:tcPr>
            <w:tcW w:w="1417" w:type="dxa"/>
          </w:tcPr>
          <w:p>
            <w:pPr>
              <w:pStyle w:val="TableParagraph"/>
              <w:spacing w:before="93"/>
              <w:ind w:left="165"/>
              <w:jc w:val="left"/>
              <w:rPr>
                <w:sz w:val="17"/>
              </w:rPr>
            </w:pPr>
            <w:r>
              <w:rPr>
                <w:w w:val="105"/>
                <w:sz w:val="17"/>
              </w:rPr>
              <w:t>F-Valor</w:t>
            </w:r>
          </w:p>
        </w:tc>
        <w:tc>
          <w:tcPr>
            <w:tcW w:w="1077" w:type="dxa"/>
          </w:tcPr>
          <w:p>
            <w:pPr>
              <w:pStyle w:val="TableParagraph"/>
              <w:spacing w:before="93"/>
              <w:ind w:left="325"/>
              <w:jc w:val="left"/>
              <w:rPr>
                <w:sz w:val="17"/>
              </w:rPr>
            </w:pPr>
            <w:r>
              <w:rPr>
                <w:w w:val="105"/>
                <w:sz w:val="17"/>
              </w:rPr>
              <w:t>Pr &gt; F</w:t>
            </w:r>
          </w:p>
        </w:tc>
      </w:tr>
      <w:tr>
        <w:trPr>
          <w:trHeight w:val="396" w:hRule="exact"/>
        </w:trPr>
        <w:tc>
          <w:tcPr>
            <w:tcW w:w="1369" w:type="dxa"/>
          </w:tcPr>
          <w:p>
            <w:pPr>
              <w:pStyle w:val="TableParagraph"/>
              <w:spacing w:before="93"/>
              <w:ind w:left="35"/>
              <w:jc w:val="left"/>
              <w:rPr>
                <w:sz w:val="17"/>
              </w:rPr>
            </w:pPr>
            <w:r>
              <w:rPr>
                <w:w w:val="105"/>
                <w:sz w:val="17"/>
              </w:rPr>
              <w:t>Model</w:t>
            </w:r>
          </w:p>
        </w:tc>
        <w:tc>
          <w:tcPr>
            <w:tcW w:w="597" w:type="dxa"/>
          </w:tcPr>
          <w:p>
            <w:pPr>
              <w:pStyle w:val="TableParagraph"/>
              <w:spacing w:before="93"/>
              <w:ind w:left="165"/>
              <w:jc w:val="left"/>
              <w:rPr>
                <w:sz w:val="17"/>
              </w:rPr>
            </w:pPr>
            <w:r>
              <w:rPr>
                <w:w w:val="102"/>
                <w:sz w:val="17"/>
              </w:rPr>
              <w:t>5</w:t>
            </w:r>
          </w:p>
        </w:tc>
        <w:tc>
          <w:tcPr>
            <w:tcW w:w="2780" w:type="dxa"/>
          </w:tcPr>
          <w:p>
            <w:pPr>
              <w:pStyle w:val="TableParagraph"/>
              <w:tabs>
                <w:tab w:pos="1190" w:val="left" w:leader="none"/>
              </w:tabs>
              <w:spacing w:before="93"/>
              <w:ind w:right="163"/>
              <w:rPr>
                <w:sz w:val="17"/>
              </w:rPr>
            </w:pPr>
            <w:r>
              <w:rPr>
                <w:w w:val="105"/>
                <w:sz w:val="17"/>
              </w:rPr>
              <w:t>5.923E24</w:t>
              <w:tab/>
            </w:r>
            <w:r>
              <w:rPr>
                <w:spacing w:val="-1"/>
                <w:sz w:val="17"/>
              </w:rPr>
              <w:t>1.185E24</w:t>
            </w:r>
          </w:p>
        </w:tc>
        <w:tc>
          <w:tcPr>
            <w:tcW w:w="1417" w:type="dxa"/>
          </w:tcPr>
          <w:p>
            <w:pPr>
              <w:pStyle w:val="TableParagraph"/>
              <w:spacing w:before="93"/>
              <w:ind w:left="458"/>
              <w:jc w:val="left"/>
              <w:rPr>
                <w:sz w:val="17"/>
              </w:rPr>
            </w:pPr>
            <w:r>
              <w:rPr>
                <w:w w:val="105"/>
                <w:sz w:val="17"/>
              </w:rPr>
              <w:t>1395.17</w:t>
            </w:r>
          </w:p>
        </w:tc>
        <w:tc>
          <w:tcPr>
            <w:tcW w:w="1077" w:type="dxa"/>
          </w:tcPr>
          <w:p>
            <w:pPr>
              <w:pStyle w:val="TableParagraph"/>
              <w:spacing w:before="93"/>
              <w:ind w:left="500"/>
              <w:jc w:val="left"/>
              <w:rPr>
                <w:sz w:val="17"/>
              </w:rPr>
            </w:pPr>
            <w:r>
              <w:rPr>
                <w:w w:val="105"/>
                <w:sz w:val="17"/>
              </w:rPr>
              <w:t>&lt;.0001</w:t>
            </w:r>
          </w:p>
        </w:tc>
      </w:tr>
      <w:tr>
        <w:trPr>
          <w:trHeight w:val="396" w:hRule="exact"/>
        </w:trPr>
        <w:tc>
          <w:tcPr>
            <w:tcW w:w="1369" w:type="dxa"/>
          </w:tcPr>
          <w:p>
            <w:pPr>
              <w:pStyle w:val="TableParagraph"/>
              <w:spacing w:before="93"/>
              <w:ind w:left="37"/>
              <w:jc w:val="left"/>
              <w:rPr>
                <w:sz w:val="17"/>
              </w:rPr>
            </w:pPr>
            <w:r>
              <w:rPr>
                <w:w w:val="105"/>
                <w:sz w:val="17"/>
              </w:rPr>
              <w:t>Error</w:t>
            </w:r>
          </w:p>
        </w:tc>
        <w:tc>
          <w:tcPr>
            <w:tcW w:w="597" w:type="dxa"/>
          </w:tcPr>
          <w:p>
            <w:pPr>
              <w:pStyle w:val="TableParagraph"/>
              <w:spacing w:before="93"/>
              <w:ind w:left="124"/>
              <w:jc w:val="left"/>
              <w:rPr>
                <w:sz w:val="17"/>
              </w:rPr>
            </w:pPr>
            <w:r>
              <w:rPr>
                <w:w w:val="105"/>
                <w:sz w:val="17"/>
              </w:rPr>
              <w:t>17</w:t>
            </w:r>
          </w:p>
        </w:tc>
        <w:tc>
          <w:tcPr>
            <w:tcW w:w="2780" w:type="dxa"/>
          </w:tcPr>
          <w:p>
            <w:pPr>
              <w:pStyle w:val="TableParagraph"/>
              <w:tabs>
                <w:tab w:pos="1190" w:val="left" w:leader="none"/>
              </w:tabs>
              <w:spacing w:before="93"/>
              <w:ind w:right="163"/>
              <w:rPr>
                <w:sz w:val="17"/>
              </w:rPr>
            </w:pPr>
            <w:r>
              <w:rPr>
                <w:w w:val="105"/>
                <w:sz w:val="17"/>
              </w:rPr>
              <w:t>1.444E22</w:t>
              <w:tab/>
            </w:r>
            <w:r>
              <w:rPr>
                <w:spacing w:val="-1"/>
                <w:sz w:val="17"/>
              </w:rPr>
              <w:t>8.491E20</w:t>
            </w:r>
          </w:p>
        </w:tc>
        <w:tc>
          <w:tcPr>
            <w:tcW w:w="1417" w:type="dxa"/>
          </w:tcPr>
          <w:p>
            <w:pPr/>
          </w:p>
        </w:tc>
        <w:tc>
          <w:tcPr>
            <w:tcW w:w="1077" w:type="dxa"/>
          </w:tcPr>
          <w:p>
            <w:pPr/>
          </w:p>
        </w:tc>
      </w:tr>
      <w:tr>
        <w:trPr>
          <w:trHeight w:val="386" w:hRule="exact"/>
        </w:trPr>
        <w:tc>
          <w:tcPr>
            <w:tcW w:w="1369" w:type="dxa"/>
          </w:tcPr>
          <w:p>
            <w:pPr>
              <w:pStyle w:val="TableParagraph"/>
              <w:spacing w:before="93"/>
              <w:ind w:left="37"/>
              <w:jc w:val="left"/>
              <w:rPr>
                <w:sz w:val="17"/>
              </w:rPr>
            </w:pPr>
            <w:r>
              <w:rPr>
                <w:w w:val="105"/>
                <w:sz w:val="17"/>
              </w:rPr>
              <w:t>Corrected Total</w:t>
            </w:r>
          </w:p>
        </w:tc>
        <w:tc>
          <w:tcPr>
            <w:tcW w:w="597" w:type="dxa"/>
          </w:tcPr>
          <w:p>
            <w:pPr>
              <w:pStyle w:val="TableParagraph"/>
              <w:spacing w:before="93"/>
              <w:ind w:left="261"/>
              <w:jc w:val="left"/>
              <w:rPr>
                <w:sz w:val="17"/>
              </w:rPr>
            </w:pPr>
            <w:r>
              <w:rPr>
                <w:w w:val="105"/>
                <w:sz w:val="17"/>
              </w:rPr>
              <w:t>22</w:t>
            </w:r>
          </w:p>
        </w:tc>
        <w:tc>
          <w:tcPr>
            <w:tcW w:w="2780" w:type="dxa"/>
          </w:tcPr>
          <w:p>
            <w:pPr>
              <w:pStyle w:val="TableParagraph"/>
              <w:spacing w:before="93"/>
              <w:ind w:left="394"/>
              <w:jc w:val="left"/>
              <w:rPr>
                <w:sz w:val="17"/>
              </w:rPr>
            </w:pPr>
            <w:r>
              <w:rPr>
                <w:w w:val="105"/>
                <w:sz w:val="17"/>
              </w:rPr>
              <w:t>5.936E24</w:t>
            </w:r>
          </w:p>
        </w:tc>
        <w:tc>
          <w:tcPr>
            <w:tcW w:w="1417" w:type="dxa"/>
          </w:tcPr>
          <w:p>
            <w:pPr/>
          </w:p>
        </w:tc>
        <w:tc>
          <w:tcPr>
            <w:tcW w:w="1077" w:type="dxa"/>
          </w:tcPr>
          <w:p>
            <w:pP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after="1"/>
        <w:rPr>
          <w:b/>
          <w:sz w:val="19"/>
        </w:rPr>
      </w:pPr>
    </w:p>
    <w:tbl>
      <w:tblPr>
        <w:tblW w:w="0" w:type="auto"/>
        <w:jc w:val="left"/>
        <w:tblInd w:w="96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82"/>
        <w:gridCol w:w="691"/>
        <w:gridCol w:w="1713"/>
        <w:gridCol w:w="1315"/>
        <w:gridCol w:w="1273"/>
        <w:gridCol w:w="1064"/>
      </w:tblGrid>
      <w:tr>
        <w:trPr>
          <w:trHeight w:val="384" w:hRule="exact"/>
        </w:trPr>
        <w:tc>
          <w:tcPr>
            <w:tcW w:w="1574" w:type="dxa"/>
            <w:gridSpan w:val="2"/>
          </w:tcPr>
          <w:p>
            <w:pPr/>
          </w:p>
        </w:tc>
        <w:tc>
          <w:tcPr>
            <w:tcW w:w="1713" w:type="dxa"/>
          </w:tcPr>
          <w:p>
            <w:pPr>
              <w:pStyle w:val="TableParagraph"/>
              <w:spacing w:before="82"/>
              <w:ind w:left="224"/>
              <w:jc w:val="left"/>
              <w:rPr>
                <w:sz w:val="17"/>
              </w:rPr>
            </w:pPr>
            <w:r>
              <w:rPr>
                <w:w w:val="105"/>
                <w:sz w:val="17"/>
              </w:rPr>
              <w:t>Estimadores</w:t>
            </w:r>
          </w:p>
        </w:tc>
        <w:tc>
          <w:tcPr>
            <w:tcW w:w="1315" w:type="dxa"/>
          </w:tcPr>
          <w:p>
            <w:pPr>
              <w:pStyle w:val="TableParagraph"/>
              <w:spacing w:before="82"/>
              <w:ind w:left="370"/>
              <w:jc w:val="left"/>
              <w:rPr>
                <w:sz w:val="17"/>
              </w:rPr>
            </w:pPr>
            <w:r>
              <w:rPr>
                <w:w w:val="105"/>
                <w:sz w:val="17"/>
              </w:rPr>
              <w:t>Error</w:t>
            </w:r>
          </w:p>
        </w:tc>
        <w:tc>
          <w:tcPr>
            <w:tcW w:w="2336" w:type="dxa"/>
            <w:gridSpan w:val="2"/>
          </w:tcPr>
          <w:p>
            <w:pPr/>
          </w:p>
        </w:tc>
      </w:tr>
      <w:tr>
        <w:trPr>
          <w:trHeight w:val="396" w:hRule="exact"/>
        </w:trPr>
        <w:tc>
          <w:tcPr>
            <w:tcW w:w="882" w:type="dxa"/>
          </w:tcPr>
          <w:p>
            <w:pPr>
              <w:pStyle w:val="TableParagraph"/>
              <w:spacing w:before="91"/>
              <w:ind w:left="37"/>
              <w:jc w:val="left"/>
              <w:rPr>
                <w:sz w:val="17"/>
              </w:rPr>
            </w:pPr>
            <w:r>
              <w:rPr>
                <w:w w:val="105"/>
                <w:sz w:val="17"/>
              </w:rPr>
              <w:t>Variable</w:t>
            </w:r>
          </w:p>
        </w:tc>
        <w:tc>
          <w:tcPr>
            <w:tcW w:w="691" w:type="dxa"/>
          </w:tcPr>
          <w:p>
            <w:pPr>
              <w:pStyle w:val="TableParagraph"/>
              <w:spacing w:before="91"/>
              <w:ind w:left="234"/>
              <w:jc w:val="left"/>
              <w:rPr>
                <w:sz w:val="17"/>
              </w:rPr>
            </w:pPr>
            <w:r>
              <w:rPr>
                <w:w w:val="105"/>
                <w:sz w:val="17"/>
              </w:rPr>
              <w:t>DF</w:t>
            </w:r>
          </w:p>
        </w:tc>
        <w:tc>
          <w:tcPr>
            <w:tcW w:w="1713" w:type="dxa"/>
          </w:tcPr>
          <w:p>
            <w:pPr>
              <w:pStyle w:val="TableParagraph"/>
              <w:spacing w:before="91"/>
              <w:ind w:left="261"/>
              <w:jc w:val="left"/>
              <w:rPr>
                <w:sz w:val="17"/>
              </w:rPr>
            </w:pPr>
            <w:r>
              <w:rPr>
                <w:w w:val="105"/>
                <w:sz w:val="17"/>
              </w:rPr>
              <w:t>de parámetros</w:t>
            </w:r>
          </w:p>
        </w:tc>
        <w:tc>
          <w:tcPr>
            <w:tcW w:w="1315" w:type="dxa"/>
          </w:tcPr>
          <w:p>
            <w:pPr>
              <w:pStyle w:val="TableParagraph"/>
              <w:spacing w:before="91"/>
              <w:ind w:left="271"/>
              <w:jc w:val="left"/>
              <w:rPr>
                <w:sz w:val="17"/>
              </w:rPr>
            </w:pPr>
            <w:r>
              <w:rPr>
                <w:w w:val="105"/>
                <w:sz w:val="17"/>
              </w:rPr>
              <w:t>estándar</w:t>
            </w:r>
          </w:p>
        </w:tc>
        <w:tc>
          <w:tcPr>
            <w:tcW w:w="1273" w:type="dxa"/>
          </w:tcPr>
          <w:p>
            <w:pPr>
              <w:pStyle w:val="TableParagraph"/>
              <w:spacing w:before="91"/>
              <w:ind w:left="307"/>
              <w:jc w:val="left"/>
              <w:rPr>
                <w:sz w:val="17"/>
              </w:rPr>
            </w:pPr>
            <w:r>
              <w:rPr>
                <w:w w:val="105"/>
                <w:sz w:val="17"/>
              </w:rPr>
              <w:t>Valor t</w:t>
            </w:r>
          </w:p>
        </w:tc>
        <w:tc>
          <w:tcPr>
            <w:tcW w:w="1064" w:type="dxa"/>
          </w:tcPr>
          <w:p>
            <w:pPr>
              <w:pStyle w:val="TableParagraph"/>
              <w:spacing w:before="91"/>
              <w:ind w:right="61"/>
              <w:rPr>
                <w:sz w:val="17"/>
              </w:rPr>
            </w:pPr>
            <w:r>
              <w:rPr>
                <w:w w:val="105"/>
                <w:sz w:val="17"/>
              </w:rPr>
              <w:t>Pr &gt; |t|</w:t>
            </w:r>
          </w:p>
        </w:tc>
      </w:tr>
      <w:tr>
        <w:trPr>
          <w:trHeight w:val="397" w:hRule="exact"/>
        </w:trPr>
        <w:tc>
          <w:tcPr>
            <w:tcW w:w="882" w:type="dxa"/>
          </w:tcPr>
          <w:p>
            <w:pPr>
              <w:pStyle w:val="TableParagraph"/>
              <w:spacing w:before="94"/>
              <w:ind w:left="35"/>
              <w:jc w:val="left"/>
              <w:rPr>
                <w:sz w:val="17"/>
              </w:rPr>
            </w:pPr>
            <w:r>
              <w:rPr>
                <w:w w:val="105"/>
                <w:sz w:val="17"/>
              </w:rPr>
              <w:t>Intercept</w:t>
            </w:r>
          </w:p>
        </w:tc>
        <w:tc>
          <w:tcPr>
            <w:tcW w:w="691" w:type="dxa"/>
          </w:tcPr>
          <w:p>
            <w:pPr>
              <w:pStyle w:val="TableParagraph"/>
              <w:spacing w:before="94"/>
              <w:ind w:left="225"/>
              <w:jc w:val="left"/>
              <w:rPr>
                <w:sz w:val="17"/>
              </w:rPr>
            </w:pPr>
            <w:r>
              <w:rPr>
                <w:w w:val="102"/>
                <w:sz w:val="17"/>
              </w:rPr>
              <w:t>1</w:t>
            </w:r>
          </w:p>
        </w:tc>
        <w:tc>
          <w:tcPr>
            <w:tcW w:w="1713" w:type="dxa"/>
          </w:tcPr>
          <w:p>
            <w:pPr>
              <w:pStyle w:val="TableParagraph"/>
              <w:spacing w:before="94"/>
              <w:ind w:left="582"/>
              <w:jc w:val="left"/>
              <w:rPr>
                <w:sz w:val="17"/>
              </w:rPr>
            </w:pPr>
            <w:r>
              <w:rPr>
                <w:w w:val="105"/>
                <w:sz w:val="17"/>
              </w:rPr>
              <w:t>-8.47E10</w:t>
            </w:r>
          </w:p>
        </w:tc>
        <w:tc>
          <w:tcPr>
            <w:tcW w:w="1315" w:type="dxa"/>
          </w:tcPr>
          <w:p>
            <w:pPr>
              <w:pStyle w:val="TableParagraph"/>
              <w:spacing w:before="94"/>
              <w:ind w:left="271"/>
              <w:jc w:val="left"/>
              <w:rPr>
                <w:sz w:val="17"/>
              </w:rPr>
            </w:pPr>
            <w:r>
              <w:rPr>
                <w:w w:val="105"/>
                <w:sz w:val="17"/>
              </w:rPr>
              <w:t>2.644E10</w:t>
            </w:r>
          </w:p>
        </w:tc>
        <w:tc>
          <w:tcPr>
            <w:tcW w:w="1273" w:type="dxa"/>
          </w:tcPr>
          <w:p>
            <w:pPr>
              <w:pStyle w:val="TableParagraph"/>
              <w:spacing w:before="94"/>
              <w:ind w:left="293"/>
              <w:jc w:val="left"/>
              <w:rPr>
                <w:sz w:val="17"/>
              </w:rPr>
            </w:pPr>
            <w:r>
              <w:rPr>
                <w:w w:val="105"/>
                <w:sz w:val="17"/>
              </w:rPr>
              <w:t>- 3.21</w:t>
            </w:r>
          </w:p>
        </w:tc>
        <w:tc>
          <w:tcPr>
            <w:tcW w:w="1064" w:type="dxa"/>
          </w:tcPr>
          <w:p>
            <w:pPr>
              <w:pStyle w:val="TableParagraph"/>
              <w:spacing w:before="94"/>
              <w:ind w:right="38"/>
              <w:rPr>
                <w:sz w:val="17"/>
              </w:rPr>
            </w:pPr>
            <w:r>
              <w:rPr>
                <w:sz w:val="17"/>
              </w:rPr>
              <w:t>0.0052</w:t>
            </w:r>
          </w:p>
        </w:tc>
      </w:tr>
      <w:tr>
        <w:trPr>
          <w:trHeight w:val="396" w:hRule="exact"/>
        </w:trPr>
        <w:tc>
          <w:tcPr>
            <w:tcW w:w="882" w:type="dxa"/>
          </w:tcPr>
          <w:p>
            <w:pPr>
              <w:pStyle w:val="TableParagraph"/>
              <w:spacing w:before="93"/>
              <w:ind w:left="37"/>
              <w:jc w:val="left"/>
              <w:rPr>
                <w:sz w:val="17"/>
              </w:rPr>
            </w:pPr>
            <w:r>
              <w:rPr>
                <w:w w:val="105"/>
                <w:sz w:val="17"/>
              </w:rPr>
              <w:t>CTR</w:t>
            </w:r>
          </w:p>
        </w:tc>
        <w:tc>
          <w:tcPr>
            <w:tcW w:w="691" w:type="dxa"/>
          </w:tcPr>
          <w:p>
            <w:pPr>
              <w:pStyle w:val="TableParagraph"/>
              <w:spacing w:before="93"/>
              <w:ind w:left="193"/>
              <w:jc w:val="left"/>
              <w:rPr>
                <w:sz w:val="17"/>
              </w:rPr>
            </w:pPr>
            <w:r>
              <w:rPr>
                <w:w w:val="102"/>
                <w:sz w:val="17"/>
              </w:rPr>
              <w:t>1</w:t>
            </w:r>
          </w:p>
        </w:tc>
        <w:tc>
          <w:tcPr>
            <w:tcW w:w="1713" w:type="dxa"/>
          </w:tcPr>
          <w:p>
            <w:pPr>
              <w:pStyle w:val="TableParagraph"/>
              <w:spacing w:before="93"/>
              <w:ind w:left="582"/>
              <w:jc w:val="left"/>
              <w:rPr>
                <w:sz w:val="17"/>
              </w:rPr>
            </w:pPr>
            <w:r>
              <w:rPr>
                <w:w w:val="105"/>
                <w:sz w:val="17"/>
              </w:rPr>
              <w:t>-0.00498</w:t>
            </w:r>
          </w:p>
        </w:tc>
        <w:tc>
          <w:tcPr>
            <w:tcW w:w="1315" w:type="dxa"/>
          </w:tcPr>
          <w:p>
            <w:pPr>
              <w:pStyle w:val="TableParagraph"/>
              <w:spacing w:before="93"/>
              <w:ind w:left="271"/>
              <w:jc w:val="left"/>
              <w:rPr>
                <w:sz w:val="17"/>
              </w:rPr>
            </w:pPr>
            <w:r>
              <w:rPr>
                <w:w w:val="105"/>
                <w:sz w:val="17"/>
              </w:rPr>
              <w:t>0.012925</w:t>
            </w:r>
          </w:p>
        </w:tc>
        <w:tc>
          <w:tcPr>
            <w:tcW w:w="1273" w:type="dxa"/>
          </w:tcPr>
          <w:p>
            <w:pPr>
              <w:pStyle w:val="TableParagraph"/>
              <w:spacing w:before="93"/>
              <w:ind w:right="462"/>
              <w:rPr>
                <w:sz w:val="17"/>
              </w:rPr>
            </w:pPr>
            <w:r>
              <w:rPr>
                <w:w w:val="105"/>
                <w:sz w:val="17"/>
              </w:rPr>
              <w:t>- 0.38</w:t>
            </w:r>
          </w:p>
        </w:tc>
        <w:tc>
          <w:tcPr>
            <w:tcW w:w="1064" w:type="dxa"/>
          </w:tcPr>
          <w:p>
            <w:pPr>
              <w:pStyle w:val="TableParagraph"/>
              <w:spacing w:before="93"/>
              <w:ind w:right="67"/>
              <w:rPr>
                <w:sz w:val="17"/>
              </w:rPr>
            </w:pPr>
            <w:r>
              <w:rPr>
                <w:sz w:val="17"/>
              </w:rPr>
              <w:t>0.7050</w:t>
            </w:r>
          </w:p>
        </w:tc>
      </w:tr>
      <w:tr>
        <w:trPr>
          <w:trHeight w:val="396" w:hRule="exact"/>
        </w:trPr>
        <w:tc>
          <w:tcPr>
            <w:tcW w:w="882" w:type="dxa"/>
          </w:tcPr>
          <w:p>
            <w:pPr>
              <w:pStyle w:val="TableParagraph"/>
              <w:spacing w:before="93"/>
              <w:ind w:left="35"/>
              <w:jc w:val="left"/>
              <w:rPr>
                <w:sz w:val="17"/>
              </w:rPr>
            </w:pPr>
            <w:r>
              <w:rPr>
                <w:w w:val="105"/>
                <w:sz w:val="17"/>
              </w:rPr>
              <w:t>ITR</w:t>
            </w:r>
          </w:p>
        </w:tc>
        <w:tc>
          <w:tcPr>
            <w:tcW w:w="691" w:type="dxa"/>
          </w:tcPr>
          <w:p>
            <w:pPr>
              <w:pStyle w:val="TableParagraph"/>
              <w:spacing w:before="93"/>
              <w:ind w:left="165"/>
              <w:jc w:val="left"/>
              <w:rPr>
                <w:sz w:val="17"/>
              </w:rPr>
            </w:pPr>
            <w:r>
              <w:rPr>
                <w:w w:val="102"/>
                <w:sz w:val="17"/>
              </w:rPr>
              <w:t>1</w:t>
            </w:r>
          </w:p>
        </w:tc>
        <w:tc>
          <w:tcPr>
            <w:tcW w:w="1713" w:type="dxa"/>
          </w:tcPr>
          <w:p>
            <w:pPr>
              <w:pStyle w:val="TableParagraph"/>
              <w:spacing w:before="93"/>
              <w:ind w:left="582"/>
              <w:jc w:val="left"/>
              <w:rPr>
                <w:sz w:val="17"/>
              </w:rPr>
            </w:pPr>
            <w:r>
              <w:rPr>
                <w:w w:val="105"/>
                <w:sz w:val="17"/>
              </w:rPr>
              <w:t>-0.03549</w:t>
            </w:r>
          </w:p>
        </w:tc>
        <w:tc>
          <w:tcPr>
            <w:tcW w:w="1315" w:type="dxa"/>
          </w:tcPr>
          <w:p>
            <w:pPr>
              <w:pStyle w:val="TableParagraph"/>
              <w:spacing w:before="93"/>
              <w:ind w:left="271"/>
              <w:jc w:val="left"/>
              <w:rPr>
                <w:sz w:val="17"/>
              </w:rPr>
            </w:pPr>
            <w:r>
              <w:rPr>
                <w:w w:val="105"/>
                <w:sz w:val="17"/>
              </w:rPr>
              <w:t>0.345345</w:t>
            </w:r>
          </w:p>
        </w:tc>
        <w:tc>
          <w:tcPr>
            <w:tcW w:w="1273" w:type="dxa"/>
          </w:tcPr>
          <w:p>
            <w:pPr>
              <w:pStyle w:val="TableParagraph"/>
              <w:spacing w:before="93"/>
              <w:ind w:right="462"/>
              <w:rPr>
                <w:sz w:val="17"/>
              </w:rPr>
            </w:pPr>
            <w:r>
              <w:rPr>
                <w:w w:val="105"/>
                <w:sz w:val="17"/>
              </w:rPr>
              <w:t>- 0.10</w:t>
            </w:r>
          </w:p>
        </w:tc>
        <w:tc>
          <w:tcPr>
            <w:tcW w:w="1064" w:type="dxa"/>
          </w:tcPr>
          <w:p>
            <w:pPr>
              <w:pStyle w:val="TableParagraph"/>
              <w:spacing w:before="93"/>
              <w:ind w:right="66"/>
              <w:rPr>
                <w:sz w:val="17"/>
              </w:rPr>
            </w:pPr>
            <w:r>
              <w:rPr>
                <w:sz w:val="17"/>
              </w:rPr>
              <w:t>0.9194</w:t>
            </w:r>
          </w:p>
        </w:tc>
      </w:tr>
      <w:tr>
        <w:trPr>
          <w:trHeight w:val="396" w:hRule="exact"/>
        </w:trPr>
        <w:tc>
          <w:tcPr>
            <w:tcW w:w="882" w:type="dxa"/>
          </w:tcPr>
          <w:p>
            <w:pPr>
              <w:pStyle w:val="TableParagraph"/>
              <w:spacing w:before="93"/>
              <w:ind w:left="35"/>
              <w:jc w:val="left"/>
              <w:rPr>
                <w:sz w:val="17"/>
              </w:rPr>
            </w:pPr>
            <w:r>
              <w:rPr>
                <w:w w:val="105"/>
                <w:sz w:val="17"/>
              </w:rPr>
              <w:t>GTR</w:t>
            </w:r>
          </w:p>
        </w:tc>
        <w:tc>
          <w:tcPr>
            <w:tcW w:w="691" w:type="dxa"/>
          </w:tcPr>
          <w:p>
            <w:pPr>
              <w:pStyle w:val="TableParagraph"/>
              <w:spacing w:before="93"/>
              <w:ind w:left="203"/>
              <w:jc w:val="left"/>
              <w:rPr>
                <w:sz w:val="17"/>
              </w:rPr>
            </w:pPr>
            <w:r>
              <w:rPr>
                <w:w w:val="102"/>
                <w:sz w:val="17"/>
              </w:rPr>
              <w:t>1</w:t>
            </w:r>
          </w:p>
        </w:tc>
        <w:tc>
          <w:tcPr>
            <w:tcW w:w="1713" w:type="dxa"/>
          </w:tcPr>
          <w:p>
            <w:pPr>
              <w:pStyle w:val="TableParagraph"/>
              <w:spacing w:before="93"/>
              <w:ind w:right="301"/>
              <w:rPr>
                <w:sz w:val="17"/>
              </w:rPr>
            </w:pPr>
            <w:r>
              <w:rPr>
                <w:sz w:val="17"/>
              </w:rPr>
              <w:t>0.777738</w:t>
            </w:r>
          </w:p>
        </w:tc>
        <w:tc>
          <w:tcPr>
            <w:tcW w:w="1315" w:type="dxa"/>
          </w:tcPr>
          <w:p>
            <w:pPr>
              <w:pStyle w:val="TableParagraph"/>
              <w:spacing w:before="93"/>
              <w:ind w:left="271"/>
              <w:jc w:val="left"/>
              <w:rPr>
                <w:sz w:val="17"/>
              </w:rPr>
            </w:pPr>
            <w:r>
              <w:rPr>
                <w:w w:val="105"/>
                <w:sz w:val="17"/>
              </w:rPr>
              <w:t>0.025544</w:t>
            </w:r>
          </w:p>
        </w:tc>
        <w:tc>
          <w:tcPr>
            <w:tcW w:w="1273" w:type="dxa"/>
          </w:tcPr>
          <w:p>
            <w:pPr>
              <w:pStyle w:val="TableParagraph"/>
              <w:spacing w:before="93"/>
              <w:ind w:right="471"/>
              <w:rPr>
                <w:sz w:val="17"/>
              </w:rPr>
            </w:pPr>
            <w:r>
              <w:rPr>
                <w:sz w:val="17"/>
              </w:rPr>
              <w:t>30.45</w:t>
            </w:r>
          </w:p>
        </w:tc>
        <w:tc>
          <w:tcPr>
            <w:tcW w:w="1064" w:type="dxa"/>
          </w:tcPr>
          <w:p>
            <w:pPr>
              <w:pStyle w:val="TableParagraph"/>
              <w:spacing w:before="93"/>
              <w:ind w:right="33"/>
              <w:rPr>
                <w:sz w:val="17"/>
              </w:rPr>
            </w:pPr>
            <w:r>
              <w:rPr>
                <w:sz w:val="17"/>
              </w:rPr>
              <w:t>&lt;.0001</w:t>
            </w:r>
          </w:p>
        </w:tc>
      </w:tr>
      <w:tr>
        <w:trPr>
          <w:trHeight w:val="386" w:hRule="exact"/>
        </w:trPr>
        <w:tc>
          <w:tcPr>
            <w:tcW w:w="882" w:type="dxa"/>
          </w:tcPr>
          <w:p>
            <w:pPr>
              <w:pStyle w:val="TableParagraph"/>
              <w:spacing w:before="93"/>
              <w:ind w:left="37"/>
              <w:jc w:val="left"/>
              <w:rPr>
                <w:sz w:val="17"/>
              </w:rPr>
            </w:pPr>
            <w:r>
              <w:rPr>
                <w:w w:val="105"/>
                <w:sz w:val="17"/>
              </w:rPr>
              <w:t>XNTR</w:t>
            </w:r>
          </w:p>
        </w:tc>
        <w:tc>
          <w:tcPr>
            <w:tcW w:w="691" w:type="dxa"/>
          </w:tcPr>
          <w:p>
            <w:pPr>
              <w:pStyle w:val="TableParagraph"/>
              <w:spacing w:before="93"/>
              <w:ind w:left="165"/>
              <w:jc w:val="left"/>
              <w:rPr>
                <w:sz w:val="17"/>
              </w:rPr>
            </w:pPr>
            <w:r>
              <w:rPr>
                <w:w w:val="102"/>
                <w:sz w:val="17"/>
              </w:rPr>
              <w:t>1</w:t>
            </w:r>
          </w:p>
        </w:tc>
        <w:tc>
          <w:tcPr>
            <w:tcW w:w="1713" w:type="dxa"/>
          </w:tcPr>
          <w:p>
            <w:pPr>
              <w:pStyle w:val="TableParagraph"/>
              <w:spacing w:before="93"/>
              <w:ind w:right="269"/>
              <w:rPr>
                <w:sz w:val="17"/>
              </w:rPr>
            </w:pPr>
            <w:r>
              <w:rPr>
                <w:sz w:val="17"/>
              </w:rPr>
              <w:t>1.991000</w:t>
            </w:r>
          </w:p>
        </w:tc>
        <w:tc>
          <w:tcPr>
            <w:tcW w:w="1315" w:type="dxa"/>
          </w:tcPr>
          <w:p>
            <w:pPr>
              <w:pStyle w:val="TableParagraph"/>
              <w:spacing w:before="93"/>
              <w:ind w:left="271"/>
              <w:jc w:val="left"/>
              <w:rPr>
                <w:sz w:val="17"/>
              </w:rPr>
            </w:pPr>
            <w:r>
              <w:rPr>
                <w:w w:val="105"/>
                <w:sz w:val="17"/>
              </w:rPr>
              <w:t>0.327262</w:t>
            </w:r>
          </w:p>
        </w:tc>
        <w:tc>
          <w:tcPr>
            <w:tcW w:w="1273" w:type="dxa"/>
          </w:tcPr>
          <w:p>
            <w:pPr>
              <w:pStyle w:val="TableParagraph"/>
              <w:spacing w:before="93"/>
              <w:ind w:right="471"/>
              <w:rPr>
                <w:sz w:val="17"/>
              </w:rPr>
            </w:pPr>
            <w:r>
              <w:rPr>
                <w:sz w:val="17"/>
              </w:rPr>
              <w:t>6.08</w:t>
            </w:r>
          </w:p>
        </w:tc>
        <w:tc>
          <w:tcPr>
            <w:tcW w:w="1064" w:type="dxa"/>
          </w:tcPr>
          <w:p>
            <w:pPr>
              <w:pStyle w:val="TableParagraph"/>
              <w:spacing w:before="93"/>
              <w:ind w:right="33"/>
              <w:rPr>
                <w:sz w:val="17"/>
              </w:rPr>
            </w:pPr>
            <w:r>
              <w:rPr>
                <w:sz w:val="17"/>
              </w:rPr>
              <w:t>&lt;.0001</w:t>
            </w:r>
          </w:p>
        </w:tc>
      </w:tr>
    </w:tbl>
    <w:p>
      <w:pPr>
        <w:spacing w:before="113"/>
        <w:ind w:left="121" w:right="0" w:firstLine="0"/>
        <w:jc w:val="both"/>
        <w:rPr>
          <w:sz w:val="21"/>
        </w:rPr>
      </w:pPr>
      <w:r>
        <w:rPr>
          <w:sz w:val="21"/>
        </w:rPr>
        <w:t>Fuente: Elaborado en base a la salida de  SAS.</w:t>
      </w: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72" w:lineRule="auto"/>
        <w:ind w:left="121" w:right="105"/>
        <w:jc w:val="both"/>
      </w:pPr>
      <w:r>
        <w:rPr/>
        <w:t>En el cuadro anterior se observa que la F-valor es de 1,395.17 que indica un valor muy alto, éste es muy bueno, pues tiene una probabilidad de error de Pr&gt;F= 0.0001 y una probabilidad de acierto 0.9999, por otro lado la variación en el Producto Interno Bruto Real de acuerdo al coeficiente de determinación ( </w:t>
      </w:r>
      <w:r>
        <w:rPr>
          <w:rFonts w:ascii="Times New Roman" w:hAnsi="Times New Roman"/>
          <w:i/>
        </w:rPr>
        <w:t>R </w:t>
      </w:r>
      <w:r>
        <w:rPr>
          <w:rFonts w:ascii="Times New Roman" w:hAnsi="Times New Roman"/>
          <w:position w:val="10"/>
          <w:sz w:val="13"/>
        </w:rPr>
        <w:t>2 </w:t>
      </w:r>
      <w:r>
        <w:rPr/>
        <w:t>) es explicado en 99% por las variables incluidas en la ecuación.</w:t>
      </w:r>
    </w:p>
    <w:p>
      <w:pPr>
        <w:pStyle w:val="BodyText"/>
        <w:spacing w:line="388" w:lineRule="auto" w:before="191"/>
        <w:ind w:left="121" w:right="103"/>
        <w:jc w:val="both"/>
      </w:pPr>
      <w:r>
        <w:rPr/>
        <w:t>Cuando se divide los parámetros estimados con el error estándar, obtenemos el valor   de t, el cuál manifiesta que el CR </w:t>
      </w:r>
      <w:r>
        <w:rPr>
          <w:rFonts w:ascii="Times New Roman" w:hAnsi="Times New Roman"/>
          <w:i/>
          <w:position w:val="-5"/>
          <w:sz w:val="14"/>
        </w:rPr>
        <w:t>t </w:t>
      </w:r>
      <w:r>
        <w:rPr/>
        <w:t>, explica en -0.38 la relación existente con el PIBR </w:t>
      </w:r>
      <w:r>
        <w:rPr>
          <w:rFonts w:ascii="Times New Roman" w:hAnsi="Times New Roman"/>
          <w:i/>
          <w:position w:val="-5"/>
          <w:sz w:val="14"/>
        </w:rPr>
        <w:t>t </w:t>
      </w:r>
      <w:r>
        <w:rPr/>
        <w:t>, así</w:t>
      </w:r>
      <w:r>
        <w:rPr>
          <w:spacing w:val="35"/>
        </w:rPr>
        <w:t> </w:t>
      </w:r>
      <w:r>
        <w:rPr/>
        <w:t>que</w:t>
      </w:r>
      <w:r>
        <w:rPr>
          <w:spacing w:val="37"/>
        </w:rPr>
        <w:t> </w:t>
      </w:r>
      <w:r>
        <w:rPr/>
        <w:t>la</w:t>
      </w:r>
      <w:r>
        <w:rPr>
          <w:spacing w:val="35"/>
        </w:rPr>
        <w:t> </w:t>
      </w:r>
      <w:r>
        <w:rPr/>
        <w:t>probabilidad</w:t>
      </w:r>
      <w:r>
        <w:rPr>
          <w:spacing w:val="32"/>
        </w:rPr>
        <w:t> </w:t>
      </w:r>
      <w:r>
        <w:rPr/>
        <w:t>de</w:t>
      </w:r>
      <w:r>
        <w:rPr>
          <w:spacing w:val="32"/>
        </w:rPr>
        <w:t> </w:t>
      </w:r>
      <w:r>
        <w:rPr/>
        <w:t>fallo</w:t>
      </w:r>
      <w:r>
        <w:rPr>
          <w:spacing w:val="32"/>
        </w:rPr>
        <w:t> </w:t>
      </w:r>
      <w:r>
        <w:rPr/>
        <w:t>es</w:t>
      </w:r>
      <w:r>
        <w:rPr>
          <w:spacing w:val="34"/>
        </w:rPr>
        <w:t> </w:t>
      </w:r>
      <w:r>
        <w:rPr/>
        <w:t>muy</w:t>
      </w:r>
      <w:r>
        <w:rPr>
          <w:spacing w:val="30"/>
        </w:rPr>
        <w:t> </w:t>
      </w:r>
      <w:r>
        <w:rPr/>
        <w:t>alta</w:t>
      </w:r>
      <w:r>
        <w:rPr>
          <w:spacing w:val="37"/>
        </w:rPr>
        <w:t> </w:t>
      </w:r>
      <w:r>
        <w:rPr/>
        <w:t>para</w:t>
      </w:r>
      <w:r>
        <w:rPr>
          <w:spacing w:val="35"/>
        </w:rPr>
        <w:t> </w:t>
      </w:r>
      <w:r>
        <w:rPr/>
        <w:t>ésta</w:t>
      </w:r>
      <w:r>
        <w:rPr>
          <w:spacing w:val="35"/>
        </w:rPr>
        <w:t> </w:t>
      </w:r>
      <w:r>
        <w:rPr/>
        <w:t>variable</w:t>
      </w:r>
      <w:r>
        <w:rPr>
          <w:spacing w:val="37"/>
        </w:rPr>
        <w:t> </w:t>
      </w:r>
      <w:r>
        <w:rPr/>
        <w:t>pues</w:t>
      </w:r>
      <w:r>
        <w:rPr>
          <w:spacing w:val="36"/>
        </w:rPr>
        <w:t> </w:t>
      </w:r>
      <w:r>
        <w:rPr/>
        <w:t>es</w:t>
      </w:r>
      <w:r>
        <w:rPr>
          <w:spacing w:val="36"/>
        </w:rPr>
        <w:t> </w:t>
      </w:r>
      <w:r>
        <w:rPr/>
        <w:t>de</w:t>
      </w:r>
      <w:r>
        <w:rPr>
          <w:spacing w:val="35"/>
        </w:rPr>
        <w:t> </w:t>
      </w:r>
      <w:r>
        <w:rPr/>
        <w:t>0.7050,</w:t>
      </w:r>
      <w:r>
        <w:rPr>
          <w:spacing w:val="35"/>
        </w:rPr>
        <w:t> </w:t>
      </w:r>
      <w:r>
        <w:rPr/>
        <w:t>lo</w:t>
      </w:r>
    </w:p>
    <w:p>
      <w:pPr>
        <w:spacing w:after="0" w:line="388" w:lineRule="auto"/>
        <w:jc w:val="both"/>
        <w:sectPr>
          <w:pgSz w:w="11900" w:h="16840"/>
          <w:pgMar w:header="0" w:footer="1679" w:top="1600" w:bottom="1860" w:left="1280" w:right="1280"/>
        </w:sectPr>
      </w:pPr>
    </w:p>
    <w:p>
      <w:pPr>
        <w:pStyle w:val="BodyText"/>
        <w:rPr>
          <w:sz w:val="20"/>
        </w:rPr>
      </w:pPr>
    </w:p>
    <w:p>
      <w:pPr>
        <w:pStyle w:val="BodyText"/>
        <w:spacing w:before="5"/>
        <w:rPr>
          <w:sz w:val="21"/>
        </w:rPr>
      </w:pPr>
    </w:p>
    <w:p>
      <w:pPr>
        <w:pStyle w:val="BodyText"/>
        <w:spacing w:line="396" w:lineRule="auto" w:before="74"/>
        <w:ind w:left="101" w:right="103"/>
        <w:jc w:val="both"/>
      </w:pPr>
      <w:r>
        <w:rPr/>
        <w:t>mismo ocurre con la IR </w:t>
      </w:r>
      <w:r>
        <w:rPr>
          <w:rFonts w:ascii="Times New Roman" w:hAnsi="Times New Roman"/>
          <w:i/>
          <w:position w:val="-5"/>
          <w:sz w:val="14"/>
        </w:rPr>
        <w:t>t </w:t>
      </w:r>
      <w:r>
        <w:rPr/>
        <w:t>, que explica tan sólo el -0.10 la relación existente con el PIBR    </w:t>
      </w:r>
      <w:r>
        <w:rPr>
          <w:rFonts w:ascii="Times New Roman" w:hAnsi="Times New Roman"/>
          <w:i/>
          <w:position w:val="-5"/>
          <w:sz w:val="14"/>
        </w:rPr>
        <w:t>t </w:t>
      </w:r>
      <w:r>
        <w:rPr/>
        <w:t>, teniendo una probabilidad de fallo de 0.9194, por lo que éstas variables no son significativas para el modelo planteado, indicando que estos valores caen en la región  de no rechazo de la hipótesis nula; por el contrario el GR </w:t>
      </w:r>
      <w:r>
        <w:rPr>
          <w:rFonts w:ascii="Times New Roman" w:hAnsi="Times New Roman"/>
          <w:i/>
          <w:position w:val="-5"/>
          <w:sz w:val="14"/>
        </w:rPr>
        <w:t>t </w:t>
      </w:r>
      <w:r>
        <w:rPr/>
        <w:t>y XNR </w:t>
      </w:r>
      <w:r>
        <w:rPr>
          <w:rFonts w:ascii="Times New Roman" w:hAnsi="Times New Roman"/>
          <w:i/>
          <w:position w:val="-5"/>
          <w:sz w:val="14"/>
        </w:rPr>
        <w:t>t </w:t>
      </w:r>
      <w:r>
        <w:rPr/>
        <w:t>tienen un valor de 0.0001</w:t>
      </w:r>
      <w:r>
        <w:rPr>
          <w:spacing w:val="59"/>
        </w:rPr>
        <w:t> </w:t>
      </w:r>
      <w:r>
        <w:rPr/>
        <w:t>y</w:t>
      </w:r>
      <w:r>
        <w:rPr>
          <w:spacing w:val="52"/>
        </w:rPr>
        <w:t> </w:t>
      </w:r>
      <w:r>
        <w:rPr/>
        <w:t>una</w:t>
      </w:r>
      <w:r>
        <w:rPr>
          <w:spacing w:val="53"/>
        </w:rPr>
        <w:t> </w:t>
      </w:r>
      <w:r>
        <w:rPr/>
        <w:t>Valor-t</w:t>
      </w:r>
      <w:r>
        <w:rPr>
          <w:spacing w:val="59"/>
        </w:rPr>
        <w:t> </w:t>
      </w:r>
      <w:r>
        <w:rPr/>
        <w:t>de</w:t>
      </w:r>
      <w:r>
        <w:rPr>
          <w:spacing w:val="57"/>
        </w:rPr>
        <w:t> </w:t>
      </w:r>
      <w:r>
        <w:rPr/>
        <w:t>30.45&gt;1</w:t>
      </w:r>
      <w:r>
        <w:rPr>
          <w:spacing w:val="57"/>
        </w:rPr>
        <w:t> </w:t>
      </w:r>
      <w:r>
        <w:rPr/>
        <w:t>y</w:t>
      </w:r>
      <w:r>
        <w:rPr>
          <w:spacing w:val="54"/>
        </w:rPr>
        <w:t> </w:t>
      </w:r>
      <w:r>
        <w:rPr/>
        <w:t>6.08&gt;1</w:t>
      </w:r>
      <w:r>
        <w:rPr>
          <w:spacing w:val="59"/>
        </w:rPr>
        <w:t> </w:t>
      </w:r>
      <w:r>
        <w:rPr/>
        <w:t>respectivamente,</w:t>
      </w:r>
      <w:r>
        <w:rPr>
          <w:spacing w:val="57"/>
        </w:rPr>
        <w:t> </w:t>
      </w:r>
      <w:r>
        <w:rPr/>
        <w:t>los</w:t>
      </w:r>
      <w:r>
        <w:rPr>
          <w:spacing w:val="54"/>
        </w:rPr>
        <w:t> </w:t>
      </w:r>
      <w:r>
        <w:rPr/>
        <w:t>cuales</w:t>
      </w:r>
      <w:r>
        <w:rPr>
          <w:spacing w:val="54"/>
        </w:rPr>
        <w:t> </w:t>
      </w:r>
      <w:r>
        <w:rPr/>
        <w:t>son</w:t>
      </w:r>
      <w:r>
        <w:rPr>
          <w:spacing w:val="57"/>
        </w:rPr>
        <w:t> </w:t>
      </w:r>
      <w:r>
        <w:rPr/>
        <w:t>valores</w:t>
      </w:r>
    </w:p>
    <w:p>
      <w:pPr>
        <w:pStyle w:val="BodyText"/>
        <w:spacing w:line="234" w:lineRule="exact"/>
        <w:ind w:left="101"/>
        <w:jc w:val="both"/>
      </w:pPr>
      <w:r>
        <w:rPr/>
        <w:t>significativos; finalmente la RER tienen probabilidad de error de 0.1534 e igualmente </w:t>
      </w:r>
      <w:r>
        <w:rPr>
          <w:spacing w:val="63"/>
        </w:rPr>
        <w:t> </w:t>
      </w:r>
      <w:r>
        <w:rPr/>
        <w:t>es</w:t>
      </w:r>
    </w:p>
    <w:p>
      <w:pPr>
        <w:pStyle w:val="BodyText"/>
        <w:spacing w:before="141"/>
        <w:ind w:left="101"/>
        <w:jc w:val="both"/>
      </w:pPr>
      <w:r>
        <w:rPr/>
        <w:t>significativo ya que es de 1.49&gt;1.</w:t>
      </w:r>
    </w:p>
    <w:p>
      <w:pPr>
        <w:pStyle w:val="BodyText"/>
        <w:rPr>
          <w:sz w:val="22"/>
        </w:rPr>
      </w:pPr>
    </w:p>
    <w:p>
      <w:pPr>
        <w:pStyle w:val="BodyText"/>
        <w:rPr>
          <w:sz w:val="22"/>
        </w:rPr>
      </w:pPr>
    </w:p>
    <w:p>
      <w:pPr>
        <w:pStyle w:val="BodyText"/>
        <w:rPr>
          <w:sz w:val="22"/>
        </w:rPr>
      </w:pPr>
    </w:p>
    <w:p>
      <w:pPr>
        <w:pStyle w:val="Heading4"/>
        <w:spacing w:before="191"/>
        <w:jc w:val="both"/>
      </w:pPr>
      <w:r>
        <w:rPr/>
        <w:t>Inflación anual en México (INF </w:t>
      </w:r>
      <w:r>
        <w:rPr>
          <w:rFonts w:ascii="Times New Roman" w:hAnsi="Times New Roman"/>
          <w:b w:val="0"/>
          <w:i/>
          <w:position w:val="-5"/>
          <w:sz w:val="13"/>
        </w:rPr>
        <w:t>t </w:t>
      </w:r>
      <w:r>
        <w:rPr/>
        <w:t>).</w:t>
      </w:r>
    </w:p>
    <w:p>
      <w:pPr>
        <w:pStyle w:val="BodyText"/>
        <w:spacing w:before="7"/>
        <w:rPr>
          <w:b/>
          <w:sz w:val="32"/>
        </w:rPr>
      </w:pPr>
    </w:p>
    <w:p>
      <w:pPr>
        <w:pStyle w:val="BodyText"/>
        <w:spacing w:line="391" w:lineRule="auto"/>
        <w:ind w:left="101" w:right="103"/>
        <w:jc w:val="both"/>
      </w:pPr>
      <w:r>
        <w:rPr/>
        <w:t>Pala la ecuación 2, inflación anual en México (INF </w:t>
      </w:r>
      <w:r>
        <w:rPr>
          <w:rFonts w:ascii="Times New Roman" w:hAnsi="Times New Roman"/>
          <w:i/>
          <w:position w:val="-5"/>
          <w:sz w:val="13"/>
        </w:rPr>
        <w:t>t  </w:t>
      </w:r>
      <w:r>
        <w:rPr/>
        <w:t>), se obtuvieron los resultados que   se presentan en el cuadro</w:t>
      </w:r>
      <w:r>
        <w:rPr>
          <w:spacing w:val="31"/>
        </w:rPr>
        <w:t> </w:t>
      </w:r>
      <w:r>
        <w:rPr/>
        <w:t>2.</w:t>
      </w:r>
    </w:p>
    <w:p>
      <w:pPr>
        <w:spacing w:after="0" w:line="391" w:lineRule="auto"/>
        <w:jc w:val="both"/>
        <w:sectPr>
          <w:pgSz w:w="11900" w:h="16840"/>
          <w:pgMar w:header="0" w:footer="1679" w:top="1600" w:bottom="1860" w:left="1300" w:right="1280"/>
        </w:sectPr>
      </w:pPr>
    </w:p>
    <w:p>
      <w:pPr>
        <w:pStyle w:val="BodyText"/>
        <w:rPr>
          <w:sz w:val="20"/>
        </w:rPr>
      </w:pPr>
    </w:p>
    <w:p>
      <w:pPr>
        <w:pStyle w:val="BodyText"/>
        <w:spacing w:before="6"/>
        <w:rPr>
          <w:sz w:val="18"/>
        </w:rPr>
      </w:pPr>
    </w:p>
    <w:p>
      <w:pPr>
        <w:pStyle w:val="Heading4"/>
        <w:spacing w:before="74"/>
        <w:ind w:left="1871" w:right="690"/>
      </w:pPr>
      <w:r>
        <w:rPr/>
        <w:pict>
          <v:rect style="position:absolute;margin-left:70.080002pt;margin-top:41.006161pt;width:429.23999pt;height:383.279991pt;mso-position-horizontal-relative:page;mso-position-vertical-relative:paragraph;z-index:-699736" filled="false" stroked="true" strokeweight=".730032pt" strokecolor="#000000">
            <w10:wrap type="none"/>
          </v:rect>
        </w:pict>
      </w:r>
      <w:r>
        <w:rPr/>
        <w:t>Cuadro 2. Análisis de varianza de la INF en</w:t>
      </w:r>
      <w:r>
        <w:rPr>
          <w:spacing w:val="60"/>
        </w:rPr>
        <w:t> </w:t>
      </w:r>
      <w:r>
        <w:rPr/>
        <w:t>México</w:t>
      </w:r>
    </w:p>
    <w:p>
      <w:pPr>
        <w:pStyle w:val="BodyText"/>
        <w:rPr>
          <w:b/>
          <w:sz w:val="20"/>
        </w:rPr>
      </w:pPr>
    </w:p>
    <w:p>
      <w:pPr>
        <w:pStyle w:val="BodyText"/>
        <w:spacing w:before="6"/>
        <w:rPr>
          <w:b/>
          <w:sz w:val="21"/>
        </w:rPr>
      </w:pPr>
    </w:p>
    <w:tbl>
      <w:tblPr>
        <w:tblW w:w="0" w:type="auto"/>
        <w:jc w:val="left"/>
        <w:tblInd w:w="88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52"/>
        <w:gridCol w:w="346"/>
        <w:gridCol w:w="2601"/>
        <w:gridCol w:w="1320"/>
        <w:gridCol w:w="1232"/>
        <w:gridCol w:w="956"/>
      </w:tblGrid>
      <w:tr>
        <w:trPr>
          <w:trHeight w:val="365" w:hRule="exact"/>
        </w:trPr>
        <w:tc>
          <w:tcPr>
            <w:tcW w:w="1498" w:type="dxa"/>
            <w:gridSpan w:val="2"/>
            <w:vMerge w:val="restart"/>
          </w:tcPr>
          <w:p>
            <w:pPr/>
          </w:p>
        </w:tc>
        <w:tc>
          <w:tcPr>
            <w:tcW w:w="2601" w:type="dxa"/>
          </w:tcPr>
          <w:p>
            <w:pPr>
              <w:pStyle w:val="TableParagraph"/>
              <w:tabs>
                <w:tab w:pos="1801" w:val="left" w:leader="none"/>
              </w:tabs>
              <w:spacing w:before="86"/>
              <w:ind w:left="35"/>
              <w:jc w:val="left"/>
              <w:rPr>
                <w:sz w:val="15"/>
              </w:rPr>
            </w:pPr>
            <w:r>
              <w:rPr>
                <w:w w:val="105"/>
                <w:sz w:val="15"/>
              </w:rPr>
              <w:t>Dependent</w:t>
            </w:r>
            <w:r>
              <w:rPr>
                <w:spacing w:val="-9"/>
                <w:w w:val="105"/>
                <w:sz w:val="15"/>
              </w:rPr>
              <w:t> </w:t>
            </w:r>
            <w:r>
              <w:rPr>
                <w:w w:val="105"/>
                <w:sz w:val="15"/>
              </w:rPr>
              <w:t>Variable</w:t>
              <w:tab/>
              <w:t>INF</w:t>
            </w:r>
          </w:p>
        </w:tc>
        <w:tc>
          <w:tcPr>
            <w:tcW w:w="1320" w:type="dxa"/>
          </w:tcPr>
          <w:p>
            <w:pPr/>
          </w:p>
        </w:tc>
        <w:tc>
          <w:tcPr>
            <w:tcW w:w="2188" w:type="dxa"/>
            <w:gridSpan w:val="2"/>
            <w:vMerge w:val="restart"/>
          </w:tcPr>
          <w:p>
            <w:pPr/>
          </w:p>
        </w:tc>
      </w:tr>
      <w:tr>
        <w:trPr>
          <w:trHeight w:val="373" w:hRule="exact"/>
        </w:trPr>
        <w:tc>
          <w:tcPr>
            <w:tcW w:w="1498" w:type="dxa"/>
            <w:gridSpan w:val="2"/>
            <w:vMerge/>
          </w:tcPr>
          <w:p>
            <w:pPr/>
          </w:p>
        </w:tc>
        <w:tc>
          <w:tcPr>
            <w:tcW w:w="2601" w:type="dxa"/>
          </w:tcPr>
          <w:p>
            <w:pPr>
              <w:pStyle w:val="TableParagraph"/>
              <w:spacing w:before="95"/>
              <w:ind w:left="1020"/>
              <w:jc w:val="left"/>
              <w:rPr>
                <w:sz w:val="15"/>
              </w:rPr>
            </w:pPr>
            <w:r>
              <w:rPr>
                <w:w w:val="105"/>
                <w:sz w:val="15"/>
              </w:rPr>
              <w:t>Análisis de varianza</w:t>
            </w:r>
          </w:p>
        </w:tc>
        <w:tc>
          <w:tcPr>
            <w:tcW w:w="1320" w:type="dxa"/>
          </w:tcPr>
          <w:p>
            <w:pPr/>
          </w:p>
        </w:tc>
        <w:tc>
          <w:tcPr>
            <w:tcW w:w="2188" w:type="dxa"/>
            <w:gridSpan w:val="2"/>
            <w:vMerge/>
          </w:tcPr>
          <w:p>
            <w:pPr/>
          </w:p>
        </w:tc>
      </w:tr>
      <w:tr>
        <w:trPr>
          <w:trHeight w:val="373" w:hRule="exact"/>
        </w:trPr>
        <w:tc>
          <w:tcPr>
            <w:tcW w:w="1498" w:type="dxa"/>
            <w:gridSpan w:val="2"/>
            <w:vMerge/>
          </w:tcPr>
          <w:p>
            <w:pPr/>
          </w:p>
        </w:tc>
        <w:tc>
          <w:tcPr>
            <w:tcW w:w="2601" w:type="dxa"/>
          </w:tcPr>
          <w:p>
            <w:pPr>
              <w:pStyle w:val="TableParagraph"/>
              <w:spacing w:before="94"/>
              <w:ind w:left="1393"/>
              <w:jc w:val="left"/>
              <w:rPr>
                <w:sz w:val="15"/>
              </w:rPr>
            </w:pPr>
            <w:r>
              <w:rPr>
                <w:w w:val="105"/>
                <w:sz w:val="15"/>
              </w:rPr>
              <w:t>Suma de</w:t>
            </w:r>
          </w:p>
        </w:tc>
        <w:tc>
          <w:tcPr>
            <w:tcW w:w="1320" w:type="dxa"/>
          </w:tcPr>
          <w:p>
            <w:pPr>
              <w:pStyle w:val="TableParagraph"/>
              <w:spacing w:before="94"/>
              <w:ind w:left="193"/>
              <w:jc w:val="left"/>
              <w:rPr>
                <w:sz w:val="15"/>
              </w:rPr>
            </w:pPr>
            <w:r>
              <w:rPr>
                <w:w w:val="105"/>
                <w:sz w:val="15"/>
              </w:rPr>
              <w:t>Cuadrado</w:t>
            </w:r>
          </w:p>
        </w:tc>
        <w:tc>
          <w:tcPr>
            <w:tcW w:w="2188" w:type="dxa"/>
            <w:gridSpan w:val="2"/>
            <w:vMerge/>
          </w:tcPr>
          <w:p>
            <w:pPr/>
          </w:p>
        </w:tc>
      </w:tr>
      <w:tr>
        <w:trPr>
          <w:trHeight w:val="374" w:hRule="exact"/>
        </w:trPr>
        <w:tc>
          <w:tcPr>
            <w:tcW w:w="1152" w:type="dxa"/>
          </w:tcPr>
          <w:p>
            <w:pPr>
              <w:pStyle w:val="TableParagraph"/>
              <w:spacing w:before="95"/>
              <w:ind w:left="35"/>
              <w:jc w:val="left"/>
              <w:rPr>
                <w:sz w:val="15"/>
              </w:rPr>
            </w:pPr>
            <w:r>
              <w:rPr>
                <w:w w:val="105"/>
                <w:sz w:val="15"/>
              </w:rPr>
              <w:t>Fuente</w:t>
            </w:r>
          </w:p>
        </w:tc>
        <w:tc>
          <w:tcPr>
            <w:tcW w:w="346" w:type="dxa"/>
          </w:tcPr>
          <w:p>
            <w:pPr>
              <w:pStyle w:val="TableParagraph"/>
              <w:spacing w:before="95"/>
              <w:ind w:left="81" w:right="15"/>
              <w:jc w:val="center"/>
              <w:rPr>
                <w:sz w:val="15"/>
              </w:rPr>
            </w:pPr>
            <w:r>
              <w:rPr>
                <w:w w:val="105"/>
                <w:sz w:val="15"/>
              </w:rPr>
              <w:t>DF</w:t>
            </w:r>
          </w:p>
        </w:tc>
        <w:tc>
          <w:tcPr>
            <w:tcW w:w="2601" w:type="dxa"/>
          </w:tcPr>
          <w:p>
            <w:pPr>
              <w:pStyle w:val="TableParagraph"/>
              <w:spacing w:before="95"/>
              <w:ind w:left="1392"/>
              <w:jc w:val="left"/>
              <w:rPr>
                <w:sz w:val="15"/>
              </w:rPr>
            </w:pPr>
            <w:r>
              <w:rPr>
                <w:w w:val="105"/>
                <w:sz w:val="15"/>
              </w:rPr>
              <w:t>cuadrados</w:t>
            </w:r>
          </w:p>
        </w:tc>
        <w:tc>
          <w:tcPr>
            <w:tcW w:w="1320" w:type="dxa"/>
          </w:tcPr>
          <w:p>
            <w:pPr>
              <w:pStyle w:val="TableParagraph"/>
              <w:spacing w:before="95"/>
              <w:ind w:left="194"/>
              <w:jc w:val="left"/>
              <w:rPr>
                <w:sz w:val="15"/>
              </w:rPr>
            </w:pPr>
            <w:r>
              <w:rPr>
                <w:w w:val="105"/>
                <w:sz w:val="15"/>
              </w:rPr>
              <w:t>de la media</w:t>
            </w:r>
          </w:p>
        </w:tc>
        <w:tc>
          <w:tcPr>
            <w:tcW w:w="1232" w:type="dxa"/>
          </w:tcPr>
          <w:p>
            <w:pPr>
              <w:pStyle w:val="TableParagraph"/>
              <w:spacing w:before="95"/>
              <w:ind w:left="275"/>
              <w:jc w:val="left"/>
              <w:rPr>
                <w:sz w:val="15"/>
              </w:rPr>
            </w:pPr>
            <w:r>
              <w:rPr>
                <w:w w:val="105"/>
                <w:sz w:val="15"/>
              </w:rPr>
              <w:t>F-Valor</w:t>
            </w:r>
          </w:p>
        </w:tc>
        <w:tc>
          <w:tcPr>
            <w:tcW w:w="956" w:type="dxa"/>
          </w:tcPr>
          <w:p>
            <w:pPr>
              <w:pStyle w:val="TableParagraph"/>
              <w:spacing w:before="95"/>
              <w:ind w:right="38"/>
              <w:rPr>
                <w:sz w:val="15"/>
              </w:rPr>
            </w:pPr>
            <w:r>
              <w:rPr>
                <w:w w:val="105"/>
                <w:sz w:val="15"/>
              </w:rPr>
              <w:t>Pr &gt; F</w:t>
            </w:r>
          </w:p>
        </w:tc>
      </w:tr>
      <w:tr>
        <w:trPr>
          <w:trHeight w:val="374" w:hRule="exact"/>
        </w:trPr>
        <w:tc>
          <w:tcPr>
            <w:tcW w:w="1152" w:type="dxa"/>
          </w:tcPr>
          <w:p>
            <w:pPr>
              <w:pStyle w:val="TableParagraph"/>
              <w:spacing w:before="95"/>
              <w:ind w:left="37"/>
              <w:jc w:val="left"/>
              <w:rPr>
                <w:sz w:val="15"/>
              </w:rPr>
            </w:pPr>
            <w:r>
              <w:rPr>
                <w:w w:val="105"/>
                <w:sz w:val="15"/>
              </w:rPr>
              <w:t>Model</w:t>
            </w:r>
          </w:p>
        </w:tc>
        <w:tc>
          <w:tcPr>
            <w:tcW w:w="346" w:type="dxa"/>
          </w:tcPr>
          <w:p>
            <w:pPr>
              <w:pStyle w:val="TableParagraph"/>
              <w:spacing w:before="95"/>
              <w:ind w:right="1"/>
              <w:jc w:val="center"/>
              <w:rPr>
                <w:sz w:val="15"/>
              </w:rPr>
            </w:pPr>
            <w:r>
              <w:rPr>
                <w:w w:val="104"/>
                <w:sz w:val="15"/>
              </w:rPr>
              <w:t>4</w:t>
            </w:r>
          </w:p>
        </w:tc>
        <w:tc>
          <w:tcPr>
            <w:tcW w:w="2601" w:type="dxa"/>
          </w:tcPr>
          <w:p>
            <w:pPr>
              <w:pStyle w:val="TableParagraph"/>
              <w:spacing w:before="95"/>
              <w:ind w:left="1392"/>
              <w:jc w:val="left"/>
              <w:rPr>
                <w:sz w:val="15"/>
              </w:rPr>
            </w:pPr>
            <w:r>
              <w:rPr>
                <w:w w:val="105"/>
                <w:sz w:val="15"/>
              </w:rPr>
              <w:t>21166.35</w:t>
            </w:r>
          </w:p>
        </w:tc>
        <w:tc>
          <w:tcPr>
            <w:tcW w:w="1320" w:type="dxa"/>
          </w:tcPr>
          <w:p>
            <w:pPr>
              <w:pStyle w:val="TableParagraph"/>
              <w:spacing w:before="95"/>
              <w:ind w:left="194"/>
              <w:jc w:val="left"/>
              <w:rPr>
                <w:sz w:val="15"/>
              </w:rPr>
            </w:pPr>
            <w:r>
              <w:rPr>
                <w:w w:val="105"/>
                <w:sz w:val="15"/>
              </w:rPr>
              <w:t>5291.588</w:t>
            </w:r>
          </w:p>
        </w:tc>
        <w:tc>
          <w:tcPr>
            <w:tcW w:w="1232" w:type="dxa"/>
          </w:tcPr>
          <w:p>
            <w:pPr>
              <w:pStyle w:val="TableParagraph"/>
              <w:spacing w:before="95"/>
              <w:ind w:left="275"/>
              <w:jc w:val="left"/>
              <w:rPr>
                <w:sz w:val="15"/>
              </w:rPr>
            </w:pPr>
            <w:r>
              <w:rPr>
                <w:w w:val="105"/>
                <w:sz w:val="15"/>
              </w:rPr>
              <w:t>6.14</w:t>
            </w:r>
          </w:p>
        </w:tc>
        <w:tc>
          <w:tcPr>
            <w:tcW w:w="956" w:type="dxa"/>
          </w:tcPr>
          <w:p>
            <w:pPr>
              <w:pStyle w:val="TableParagraph"/>
              <w:spacing w:before="95"/>
              <w:ind w:right="33"/>
              <w:rPr>
                <w:sz w:val="15"/>
              </w:rPr>
            </w:pPr>
            <w:r>
              <w:rPr>
                <w:sz w:val="15"/>
              </w:rPr>
              <w:t>0.0027</w:t>
            </w:r>
          </w:p>
        </w:tc>
      </w:tr>
      <w:tr>
        <w:trPr>
          <w:trHeight w:val="373" w:hRule="exact"/>
        </w:trPr>
        <w:tc>
          <w:tcPr>
            <w:tcW w:w="1152" w:type="dxa"/>
          </w:tcPr>
          <w:p>
            <w:pPr>
              <w:pStyle w:val="TableParagraph"/>
              <w:spacing w:before="95"/>
              <w:ind w:left="35"/>
              <w:jc w:val="left"/>
              <w:rPr>
                <w:sz w:val="15"/>
              </w:rPr>
            </w:pPr>
            <w:r>
              <w:rPr>
                <w:w w:val="105"/>
                <w:sz w:val="15"/>
              </w:rPr>
              <w:t>Error</w:t>
            </w:r>
          </w:p>
        </w:tc>
        <w:tc>
          <w:tcPr>
            <w:tcW w:w="346" w:type="dxa"/>
          </w:tcPr>
          <w:p>
            <w:pPr>
              <w:pStyle w:val="TableParagraph"/>
              <w:spacing w:before="95"/>
              <w:ind w:left="24" w:right="91"/>
              <w:jc w:val="center"/>
              <w:rPr>
                <w:sz w:val="15"/>
              </w:rPr>
            </w:pPr>
            <w:r>
              <w:rPr>
                <w:w w:val="105"/>
                <w:sz w:val="15"/>
              </w:rPr>
              <w:t>18</w:t>
            </w:r>
          </w:p>
        </w:tc>
        <w:tc>
          <w:tcPr>
            <w:tcW w:w="2601" w:type="dxa"/>
          </w:tcPr>
          <w:p>
            <w:pPr>
              <w:pStyle w:val="TableParagraph"/>
              <w:spacing w:before="95"/>
              <w:ind w:left="1392"/>
              <w:jc w:val="left"/>
              <w:rPr>
                <w:sz w:val="15"/>
              </w:rPr>
            </w:pPr>
            <w:r>
              <w:rPr>
                <w:w w:val="105"/>
                <w:sz w:val="15"/>
              </w:rPr>
              <w:t>15511.90</w:t>
            </w:r>
          </w:p>
        </w:tc>
        <w:tc>
          <w:tcPr>
            <w:tcW w:w="1320" w:type="dxa"/>
          </w:tcPr>
          <w:p>
            <w:pPr>
              <w:pStyle w:val="TableParagraph"/>
              <w:spacing w:before="95"/>
              <w:ind w:left="237"/>
              <w:jc w:val="left"/>
              <w:rPr>
                <w:sz w:val="15"/>
              </w:rPr>
            </w:pPr>
            <w:r>
              <w:rPr>
                <w:w w:val="105"/>
                <w:sz w:val="15"/>
              </w:rPr>
              <w:t>861.7722</w:t>
            </w:r>
          </w:p>
        </w:tc>
        <w:tc>
          <w:tcPr>
            <w:tcW w:w="1232" w:type="dxa"/>
          </w:tcPr>
          <w:p>
            <w:pPr/>
          </w:p>
        </w:tc>
        <w:tc>
          <w:tcPr>
            <w:tcW w:w="956" w:type="dxa"/>
          </w:tcPr>
          <w:p>
            <w:pPr/>
          </w:p>
        </w:tc>
      </w:tr>
      <w:tr>
        <w:trPr>
          <w:trHeight w:val="364" w:hRule="exact"/>
        </w:trPr>
        <w:tc>
          <w:tcPr>
            <w:tcW w:w="1152" w:type="dxa"/>
          </w:tcPr>
          <w:p>
            <w:pPr>
              <w:pStyle w:val="TableParagraph"/>
              <w:spacing w:before="94"/>
              <w:ind w:left="35"/>
              <w:jc w:val="left"/>
              <w:rPr>
                <w:sz w:val="15"/>
              </w:rPr>
            </w:pPr>
            <w:r>
              <w:rPr>
                <w:w w:val="105"/>
                <w:sz w:val="15"/>
              </w:rPr>
              <w:t>Corrected Total</w:t>
            </w:r>
          </w:p>
        </w:tc>
        <w:tc>
          <w:tcPr>
            <w:tcW w:w="346" w:type="dxa"/>
          </w:tcPr>
          <w:p>
            <w:pPr>
              <w:pStyle w:val="TableParagraph"/>
              <w:spacing w:before="94"/>
              <w:ind w:left="16" w:right="98"/>
              <w:jc w:val="center"/>
              <w:rPr>
                <w:sz w:val="15"/>
              </w:rPr>
            </w:pPr>
            <w:r>
              <w:rPr>
                <w:w w:val="105"/>
                <w:sz w:val="15"/>
              </w:rPr>
              <w:t>22</w:t>
            </w:r>
          </w:p>
        </w:tc>
        <w:tc>
          <w:tcPr>
            <w:tcW w:w="2601" w:type="dxa"/>
          </w:tcPr>
          <w:p>
            <w:pPr>
              <w:pStyle w:val="TableParagraph"/>
              <w:spacing w:before="94"/>
              <w:ind w:left="1393"/>
              <w:jc w:val="left"/>
              <w:rPr>
                <w:sz w:val="15"/>
              </w:rPr>
            </w:pPr>
            <w:r>
              <w:rPr>
                <w:w w:val="105"/>
                <w:sz w:val="15"/>
              </w:rPr>
              <w:t>36488.19</w:t>
            </w:r>
          </w:p>
        </w:tc>
        <w:tc>
          <w:tcPr>
            <w:tcW w:w="1320" w:type="dxa"/>
          </w:tcPr>
          <w:p>
            <w:pPr/>
          </w:p>
        </w:tc>
        <w:tc>
          <w:tcPr>
            <w:tcW w:w="1232" w:type="dxa"/>
          </w:tcPr>
          <w:p>
            <w:pPr/>
          </w:p>
        </w:tc>
        <w:tc>
          <w:tcPr>
            <w:tcW w:w="956" w:type="dxa"/>
          </w:tcPr>
          <w:p>
            <w:pPr/>
          </w:p>
        </w:tc>
      </w:tr>
    </w:tbl>
    <w:p>
      <w:pPr>
        <w:pStyle w:val="BodyText"/>
        <w:rPr>
          <w:b/>
          <w:sz w:val="20"/>
        </w:rPr>
      </w:pPr>
    </w:p>
    <w:p>
      <w:pPr>
        <w:pStyle w:val="BodyText"/>
        <w:spacing w:before="1"/>
        <w:rPr>
          <w:b/>
          <w:sz w:val="14"/>
        </w:rPr>
      </w:pPr>
    </w:p>
    <w:tbl>
      <w:tblPr>
        <w:tblW w:w="0" w:type="auto"/>
        <w:jc w:val="left"/>
        <w:tblInd w:w="127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64"/>
        <w:gridCol w:w="1661"/>
        <w:gridCol w:w="1175"/>
        <w:gridCol w:w="769"/>
      </w:tblGrid>
      <w:tr>
        <w:trPr>
          <w:trHeight w:val="365" w:hRule="exact"/>
        </w:trPr>
        <w:tc>
          <w:tcPr>
            <w:tcW w:w="1864" w:type="dxa"/>
          </w:tcPr>
          <w:p>
            <w:pPr>
              <w:pStyle w:val="TableParagraph"/>
              <w:spacing w:before="86"/>
              <w:ind w:left="35"/>
              <w:jc w:val="left"/>
              <w:rPr>
                <w:sz w:val="15"/>
              </w:rPr>
            </w:pPr>
            <w:r>
              <w:rPr>
                <w:w w:val="105"/>
                <w:sz w:val="15"/>
              </w:rPr>
              <w:t>Root MSE</w:t>
            </w:r>
          </w:p>
        </w:tc>
        <w:tc>
          <w:tcPr>
            <w:tcW w:w="1661" w:type="dxa"/>
          </w:tcPr>
          <w:p>
            <w:pPr>
              <w:pStyle w:val="TableParagraph"/>
              <w:spacing w:before="86"/>
              <w:ind w:right="374"/>
              <w:rPr>
                <w:sz w:val="15"/>
              </w:rPr>
            </w:pPr>
            <w:r>
              <w:rPr>
                <w:sz w:val="15"/>
              </w:rPr>
              <w:t>29.35596</w:t>
            </w:r>
          </w:p>
        </w:tc>
        <w:tc>
          <w:tcPr>
            <w:tcW w:w="1175" w:type="dxa"/>
          </w:tcPr>
          <w:p>
            <w:pPr>
              <w:pStyle w:val="TableParagraph"/>
              <w:spacing w:before="86"/>
              <w:ind w:left="376"/>
              <w:jc w:val="left"/>
              <w:rPr>
                <w:sz w:val="15"/>
              </w:rPr>
            </w:pPr>
            <w:r>
              <w:rPr>
                <w:w w:val="105"/>
                <w:sz w:val="15"/>
              </w:rPr>
              <w:t>R-Square</w:t>
            </w:r>
          </w:p>
        </w:tc>
        <w:tc>
          <w:tcPr>
            <w:tcW w:w="769" w:type="dxa"/>
          </w:tcPr>
          <w:p>
            <w:pPr>
              <w:pStyle w:val="TableParagraph"/>
              <w:spacing w:before="86"/>
              <w:ind w:left="146" w:right="13"/>
              <w:jc w:val="center"/>
              <w:rPr>
                <w:sz w:val="15"/>
              </w:rPr>
            </w:pPr>
            <w:r>
              <w:rPr>
                <w:w w:val="105"/>
                <w:sz w:val="15"/>
              </w:rPr>
              <w:t>0.57708</w:t>
            </w:r>
          </w:p>
        </w:tc>
      </w:tr>
      <w:tr>
        <w:trPr>
          <w:trHeight w:val="373" w:hRule="exact"/>
        </w:trPr>
        <w:tc>
          <w:tcPr>
            <w:tcW w:w="1864" w:type="dxa"/>
          </w:tcPr>
          <w:p>
            <w:pPr>
              <w:pStyle w:val="TableParagraph"/>
              <w:spacing w:before="95"/>
              <w:ind w:left="35"/>
              <w:jc w:val="left"/>
              <w:rPr>
                <w:sz w:val="15"/>
              </w:rPr>
            </w:pPr>
            <w:r>
              <w:rPr>
                <w:w w:val="105"/>
                <w:sz w:val="15"/>
              </w:rPr>
              <w:t>Dependent Mean</w:t>
            </w:r>
          </w:p>
        </w:tc>
        <w:tc>
          <w:tcPr>
            <w:tcW w:w="1661" w:type="dxa"/>
          </w:tcPr>
          <w:p>
            <w:pPr>
              <w:pStyle w:val="TableParagraph"/>
              <w:spacing w:before="95"/>
              <w:ind w:right="374"/>
              <w:rPr>
                <w:sz w:val="15"/>
              </w:rPr>
            </w:pPr>
            <w:r>
              <w:rPr>
                <w:sz w:val="15"/>
              </w:rPr>
              <w:t>37.78609</w:t>
            </w:r>
          </w:p>
        </w:tc>
        <w:tc>
          <w:tcPr>
            <w:tcW w:w="1175" w:type="dxa"/>
          </w:tcPr>
          <w:p>
            <w:pPr>
              <w:pStyle w:val="TableParagraph"/>
              <w:spacing w:before="95"/>
              <w:ind w:left="376"/>
              <w:jc w:val="left"/>
              <w:rPr>
                <w:sz w:val="15"/>
              </w:rPr>
            </w:pPr>
            <w:r>
              <w:rPr>
                <w:w w:val="105"/>
                <w:sz w:val="15"/>
              </w:rPr>
              <w:t>Adj R-Sq</w:t>
            </w:r>
          </w:p>
        </w:tc>
        <w:tc>
          <w:tcPr>
            <w:tcW w:w="769" w:type="dxa"/>
          </w:tcPr>
          <w:p>
            <w:pPr>
              <w:pStyle w:val="TableParagraph"/>
              <w:spacing w:before="95"/>
              <w:ind w:left="60" w:right="13"/>
              <w:jc w:val="center"/>
              <w:rPr>
                <w:sz w:val="15"/>
              </w:rPr>
            </w:pPr>
            <w:r>
              <w:rPr>
                <w:w w:val="105"/>
                <w:sz w:val="15"/>
              </w:rPr>
              <w:t>0.48310</w:t>
            </w:r>
          </w:p>
        </w:tc>
      </w:tr>
      <w:tr>
        <w:trPr>
          <w:trHeight w:val="264" w:hRule="exact"/>
        </w:trPr>
        <w:tc>
          <w:tcPr>
            <w:tcW w:w="1864" w:type="dxa"/>
          </w:tcPr>
          <w:p>
            <w:pPr>
              <w:pStyle w:val="TableParagraph"/>
              <w:spacing w:before="94"/>
              <w:ind w:left="35"/>
              <w:jc w:val="left"/>
              <w:rPr>
                <w:sz w:val="15"/>
              </w:rPr>
            </w:pPr>
            <w:r>
              <w:rPr>
                <w:w w:val="105"/>
                <w:sz w:val="15"/>
              </w:rPr>
              <w:t>Coeff Var</w:t>
            </w:r>
          </w:p>
        </w:tc>
        <w:tc>
          <w:tcPr>
            <w:tcW w:w="1661" w:type="dxa"/>
          </w:tcPr>
          <w:p>
            <w:pPr>
              <w:pStyle w:val="TableParagraph"/>
              <w:spacing w:before="94"/>
              <w:ind w:right="374"/>
              <w:rPr>
                <w:sz w:val="15"/>
              </w:rPr>
            </w:pPr>
            <w:r>
              <w:rPr>
                <w:sz w:val="15"/>
              </w:rPr>
              <w:t>77.68985</w:t>
            </w:r>
          </w:p>
        </w:tc>
        <w:tc>
          <w:tcPr>
            <w:tcW w:w="1175" w:type="dxa"/>
          </w:tcPr>
          <w:p>
            <w:pPr/>
          </w:p>
        </w:tc>
        <w:tc>
          <w:tcPr>
            <w:tcW w:w="769" w:type="dxa"/>
          </w:tcPr>
          <w:p>
            <w:pPr/>
          </w:p>
        </w:tc>
      </w:tr>
      <w:tr>
        <w:trPr>
          <w:trHeight w:val="474" w:hRule="exact"/>
        </w:trPr>
        <w:tc>
          <w:tcPr>
            <w:tcW w:w="5469" w:type="dxa"/>
            <w:gridSpan w:val="4"/>
          </w:tcPr>
          <w:p>
            <w:pPr>
              <w:pStyle w:val="TableParagraph"/>
              <w:spacing w:before="8"/>
              <w:jc w:val="left"/>
              <w:rPr>
                <w:b/>
                <w:sz w:val="17"/>
              </w:rPr>
            </w:pPr>
          </w:p>
          <w:p>
            <w:pPr>
              <w:pStyle w:val="TableParagraph"/>
              <w:spacing w:before="0"/>
              <w:ind w:left="639"/>
              <w:jc w:val="left"/>
              <w:rPr>
                <w:sz w:val="15"/>
              </w:rPr>
            </w:pPr>
            <w:r>
              <w:rPr>
                <w:w w:val="105"/>
                <w:sz w:val="15"/>
              </w:rPr>
              <w:t>Estimadores de parámetros</w:t>
            </w:r>
          </w:p>
        </w:tc>
      </w:tr>
    </w:tbl>
    <w:tbl>
      <w:tblPr>
        <w:tblW w:w="0" w:type="auto"/>
        <w:jc w:val="left"/>
        <w:tblInd w:w="88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00"/>
        <w:gridCol w:w="1130"/>
        <w:gridCol w:w="1465"/>
        <w:gridCol w:w="1201"/>
        <w:gridCol w:w="1324"/>
        <w:gridCol w:w="968"/>
      </w:tblGrid>
      <w:tr>
        <w:trPr>
          <w:trHeight w:val="364" w:hRule="exact"/>
        </w:trPr>
        <w:tc>
          <w:tcPr>
            <w:tcW w:w="3395" w:type="dxa"/>
            <w:gridSpan w:val="3"/>
          </w:tcPr>
          <w:p>
            <w:pPr>
              <w:pStyle w:val="TableParagraph"/>
              <w:spacing w:before="86"/>
              <w:ind w:left="1964"/>
              <w:jc w:val="left"/>
              <w:rPr>
                <w:sz w:val="15"/>
              </w:rPr>
            </w:pPr>
            <w:r>
              <w:rPr>
                <w:w w:val="105"/>
                <w:sz w:val="15"/>
              </w:rPr>
              <w:t>Estimadores</w:t>
            </w:r>
          </w:p>
        </w:tc>
        <w:tc>
          <w:tcPr>
            <w:tcW w:w="3494" w:type="dxa"/>
            <w:gridSpan w:val="3"/>
          </w:tcPr>
          <w:p>
            <w:pPr>
              <w:pStyle w:val="TableParagraph"/>
              <w:spacing w:before="86"/>
              <w:ind w:left="197"/>
              <w:jc w:val="left"/>
              <w:rPr>
                <w:sz w:val="15"/>
              </w:rPr>
            </w:pPr>
            <w:r>
              <w:rPr>
                <w:w w:val="105"/>
                <w:sz w:val="15"/>
              </w:rPr>
              <w:t>Error</w:t>
            </w:r>
          </w:p>
        </w:tc>
      </w:tr>
      <w:tr>
        <w:trPr>
          <w:trHeight w:val="364" w:hRule="exact"/>
        </w:trPr>
        <w:tc>
          <w:tcPr>
            <w:tcW w:w="800" w:type="dxa"/>
          </w:tcPr>
          <w:p>
            <w:pPr>
              <w:pStyle w:val="TableParagraph"/>
              <w:spacing w:before="94"/>
              <w:ind w:left="35"/>
              <w:jc w:val="left"/>
              <w:rPr>
                <w:sz w:val="15"/>
              </w:rPr>
            </w:pPr>
            <w:r>
              <w:rPr>
                <w:w w:val="105"/>
                <w:sz w:val="15"/>
              </w:rPr>
              <w:t>Variable</w:t>
            </w:r>
          </w:p>
        </w:tc>
        <w:tc>
          <w:tcPr>
            <w:tcW w:w="1130" w:type="dxa"/>
          </w:tcPr>
          <w:p>
            <w:pPr>
              <w:pStyle w:val="TableParagraph"/>
              <w:spacing w:before="94"/>
              <w:ind w:left="195"/>
              <w:jc w:val="left"/>
              <w:rPr>
                <w:sz w:val="15"/>
              </w:rPr>
            </w:pPr>
            <w:r>
              <w:rPr>
                <w:w w:val="105"/>
                <w:sz w:val="15"/>
              </w:rPr>
              <w:t>DF</w:t>
            </w:r>
          </w:p>
        </w:tc>
        <w:tc>
          <w:tcPr>
            <w:tcW w:w="1465" w:type="dxa"/>
          </w:tcPr>
          <w:p>
            <w:pPr>
              <w:pStyle w:val="TableParagraph"/>
              <w:spacing w:before="94"/>
              <w:ind w:left="260"/>
              <w:jc w:val="left"/>
              <w:rPr>
                <w:sz w:val="15"/>
              </w:rPr>
            </w:pPr>
            <w:r>
              <w:rPr>
                <w:w w:val="105"/>
                <w:sz w:val="15"/>
              </w:rPr>
              <w:t>de parámetros</w:t>
            </w:r>
          </w:p>
        </w:tc>
        <w:tc>
          <w:tcPr>
            <w:tcW w:w="1201" w:type="dxa"/>
          </w:tcPr>
          <w:p>
            <w:pPr>
              <w:pStyle w:val="TableParagraph"/>
              <w:spacing w:before="94"/>
              <w:ind w:left="197"/>
              <w:jc w:val="left"/>
              <w:rPr>
                <w:sz w:val="15"/>
              </w:rPr>
            </w:pPr>
            <w:r>
              <w:rPr>
                <w:w w:val="105"/>
                <w:sz w:val="15"/>
              </w:rPr>
              <w:t>estándar</w:t>
            </w:r>
          </w:p>
        </w:tc>
        <w:tc>
          <w:tcPr>
            <w:tcW w:w="1324" w:type="dxa"/>
          </w:tcPr>
          <w:p>
            <w:pPr>
              <w:pStyle w:val="TableParagraph"/>
              <w:spacing w:before="94"/>
              <w:ind w:left="397"/>
              <w:jc w:val="left"/>
              <w:rPr>
                <w:sz w:val="15"/>
              </w:rPr>
            </w:pPr>
            <w:r>
              <w:rPr>
                <w:w w:val="105"/>
                <w:sz w:val="15"/>
              </w:rPr>
              <w:t>Valor t</w:t>
            </w:r>
          </w:p>
        </w:tc>
        <w:tc>
          <w:tcPr>
            <w:tcW w:w="968" w:type="dxa"/>
          </w:tcPr>
          <w:p>
            <w:pPr>
              <w:pStyle w:val="TableParagraph"/>
              <w:spacing w:before="94"/>
              <w:ind w:left="474"/>
              <w:jc w:val="left"/>
              <w:rPr>
                <w:sz w:val="15"/>
              </w:rPr>
            </w:pPr>
            <w:r>
              <w:rPr>
                <w:w w:val="105"/>
                <w:sz w:val="15"/>
              </w:rPr>
              <w:t>Pr &gt; |t|</w:t>
            </w:r>
          </w:p>
        </w:tc>
      </w:tr>
    </w:tbl>
    <w:p>
      <w:pPr>
        <w:pStyle w:val="BodyText"/>
        <w:rPr>
          <w:b/>
          <w:sz w:val="20"/>
        </w:rPr>
      </w:pPr>
    </w:p>
    <w:p>
      <w:pPr>
        <w:pStyle w:val="BodyText"/>
        <w:spacing w:before="7"/>
        <w:rPr>
          <w:b/>
          <w:sz w:val="15"/>
        </w:rPr>
      </w:pPr>
    </w:p>
    <w:tbl>
      <w:tblPr>
        <w:tblW w:w="0" w:type="auto"/>
        <w:jc w:val="left"/>
        <w:tblInd w:w="88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1"/>
        <w:gridCol w:w="842"/>
        <w:gridCol w:w="1562"/>
        <w:gridCol w:w="1402"/>
        <w:gridCol w:w="1255"/>
        <w:gridCol w:w="1034"/>
      </w:tblGrid>
      <w:tr>
        <w:trPr>
          <w:trHeight w:val="365" w:hRule="exact"/>
        </w:trPr>
        <w:tc>
          <w:tcPr>
            <w:tcW w:w="811" w:type="dxa"/>
          </w:tcPr>
          <w:p>
            <w:pPr>
              <w:pStyle w:val="TableParagraph"/>
              <w:spacing w:before="86"/>
              <w:ind w:left="35"/>
              <w:jc w:val="left"/>
              <w:rPr>
                <w:sz w:val="15"/>
              </w:rPr>
            </w:pPr>
            <w:r>
              <w:rPr>
                <w:w w:val="105"/>
                <w:sz w:val="15"/>
              </w:rPr>
              <w:t>Intercept</w:t>
            </w:r>
          </w:p>
        </w:tc>
        <w:tc>
          <w:tcPr>
            <w:tcW w:w="842" w:type="dxa"/>
          </w:tcPr>
          <w:p>
            <w:pPr>
              <w:pStyle w:val="TableParagraph"/>
              <w:spacing w:before="86"/>
              <w:ind w:left="219"/>
              <w:jc w:val="left"/>
              <w:rPr>
                <w:sz w:val="15"/>
              </w:rPr>
            </w:pPr>
            <w:r>
              <w:rPr>
                <w:w w:val="104"/>
                <w:sz w:val="15"/>
              </w:rPr>
              <w:t>1</w:t>
            </w:r>
          </w:p>
        </w:tc>
        <w:tc>
          <w:tcPr>
            <w:tcW w:w="1562" w:type="dxa"/>
          </w:tcPr>
          <w:p>
            <w:pPr>
              <w:pStyle w:val="TableParagraph"/>
              <w:spacing w:before="86"/>
              <w:ind w:right="374"/>
              <w:rPr>
                <w:sz w:val="15"/>
              </w:rPr>
            </w:pPr>
            <w:r>
              <w:rPr>
                <w:sz w:val="15"/>
              </w:rPr>
              <w:t>55.50061</w:t>
            </w:r>
          </w:p>
        </w:tc>
        <w:tc>
          <w:tcPr>
            <w:tcW w:w="1402" w:type="dxa"/>
          </w:tcPr>
          <w:p>
            <w:pPr>
              <w:pStyle w:val="TableParagraph"/>
              <w:spacing w:before="86"/>
              <w:ind w:left="352" w:right="352"/>
              <w:jc w:val="center"/>
              <w:rPr>
                <w:sz w:val="15"/>
              </w:rPr>
            </w:pPr>
            <w:r>
              <w:rPr>
                <w:w w:val="105"/>
                <w:sz w:val="15"/>
              </w:rPr>
              <w:t>42.89286</w:t>
            </w:r>
          </w:p>
        </w:tc>
        <w:tc>
          <w:tcPr>
            <w:tcW w:w="1255" w:type="dxa"/>
          </w:tcPr>
          <w:p>
            <w:pPr>
              <w:pStyle w:val="TableParagraph"/>
              <w:spacing w:before="86"/>
              <w:ind w:left="419"/>
              <w:jc w:val="left"/>
              <w:rPr>
                <w:sz w:val="15"/>
              </w:rPr>
            </w:pPr>
            <w:r>
              <w:rPr>
                <w:w w:val="105"/>
                <w:sz w:val="15"/>
              </w:rPr>
              <w:t>1.29</w:t>
            </w:r>
          </w:p>
        </w:tc>
        <w:tc>
          <w:tcPr>
            <w:tcW w:w="1034" w:type="dxa"/>
          </w:tcPr>
          <w:p>
            <w:pPr>
              <w:pStyle w:val="TableParagraph"/>
              <w:spacing w:before="86"/>
              <w:ind w:right="33"/>
              <w:rPr>
                <w:sz w:val="15"/>
              </w:rPr>
            </w:pPr>
            <w:r>
              <w:rPr>
                <w:sz w:val="15"/>
              </w:rPr>
              <w:t>0.2120</w:t>
            </w:r>
          </w:p>
        </w:tc>
      </w:tr>
      <w:tr>
        <w:trPr>
          <w:trHeight w:val="373" w:hRule="exact"/>
        </w:trPr>
        <w:tc>
          <w:tcPr>
            <w:tcW w:w="811" w:type="dxa"/>
          </w:tcPr>
          <w:p>
            <w:pPr>
              <w:pStyle w:val="TableParagraph"/>
              <w:spacing w:before="95"/>
              <w:ind w:left="35"/>
              <w:jc w:val="left"/>
              <w:rPr>
                <w:sz w:val="15"/>
              </w:rPr>
            </w:pPr>
            <w:r>
              <w:rPr>
                <w:w w:val="105"/>
                <w:sz w:val="15"/>
              </w:rPr>
              <w:t>INPC</w:t>
            </w:r>
          </w:p>
        </w:tc>
        <w:tc>
          <w:tcPr>
            <w:tcW w:w="842" w:type="dxa"/>
          </w:tcPr>
          <w:p>
            <w:pPr>
              <w:pStyle w:val="TableParagraph"/>
              <w:spacing w:before="95"/>
              <w:ind w:left="202"/>
              <w:jc w:val="left"/>
              <w:rPr>
                <w:sz w:val="15"/>
              </w:rPr>
            </w:pPr>
            <w:r>
              <w:rPr>
                <w:w w:val="104"/>
                <w:sz w:val="15"/>
              </w:rPr>
              <w:t>1</w:t>
            </w:r>
          </w:p>
        </w:tc>
        <w:tc>
          <w:tcPr>
            <w:tcW w:w="1562" w:type="dxa"/>
          </w:tcPr>
          <w:p>
            <w:pPr>
              <w:pStyle w:val="TableParagraph"/>
              <w:spacing w:before="95"/>
              <w:ind w:right="374"/>
              <w:rPr>
                <w:sz w:val="15"/>
              </w:rPr>
            </w:pPr>
            <w:r>
              <w:rPr>
                <w:sz w:val="15"/>
              </w:rPr>
              <w:t>5.025087</w:t>
            </w:r>
          </w:p>
        </w:tc>
        <w:tc>
          <w:tcPr>
            <w:tcW w:w="1402" w:type="dxa"/>
          </w:tcPr>
          <w:p>
            <w:pPr>
              <w:pStyle w:val="TableParagraph"/>
              <w:spacing w:before="95"/>
              <w:ind w:left="352" w:right="352"/>
              <w:jc w:val="center"/>
              <w:rPr>
                <w:sz w:val="15"/>
              </w:rPr>
            </w:pPr>
            <w:r>
              <w:rPr>
                <w:w w:val="105"/>
                <w:sz w:val="15"/>
              </w:rPr>
              <w:t>3.191156</w:t>
            </w:r>
          </w:p>
        </w:tc>
        <w:tc>
          <w:tcPr>
            <w:tcW w:w="1255" w:type="dxa"/>
          </w:tcPr>
          <w:p>
            <w:pPr>
              <w:pStyle w:val="TableParagraph"/>
              <w:spacing w:before="95"/>
              <w:ind w:left="419"/>
              <w:jc w:val="left"/>
              <w:rPr>
                <w:sz w:val="15"/>
              </w:rPr>
            </w:pPr>
            <w:r>
              <w:rPr>
                <w:w w:val="105"/>
                <w:sz w:val="15"/>
              </w:rPr>
              <w:t>1.57</w:t>
            </w:r>
          </w:p>
        </w:tc>
        <w:tc>
          <w:tcPr>
            <w:tcW w:w="1034" w:type="dxa"/>
          </w:tcPr>
          <w:p>
            <w:pPr>
              <w:pStyle w:val="TableParagraph"/>
              <w:spacing w:before="95"/>
              <w:ind w:right="33"/>
              <w:rPr>
                <w:sz w:val="15"/>
              </w:rPr>
            </w:pPr>
            <w:r>
              <w:rPr>
                <w:sz w:val="15"/>
              </w:rPr>
              <w:t>0.1327</w:t>
            </w:r>
          </w:p>
        </w:tc>
      </w:tr>
      <w:tr>
        <w:trPr>
          <w:trHeight w:val="373" w:hRule="exact"/>
        </w:trPr>
        <w:tc>
          <w:tcPr>
            <w:tcW w:w="811" w:type="dxa"/>
          </w:tcPr>
          <w:p>
            <w:pPr>
              <w:pStyle w:val="TableParagraph"/>
              <w:spacing w:before="94"/>
              <w:ind w:left="35"/>
              <w:jc w:val="left"/>
              <w:rPr>
                <w:sz w:val="15"/>
              </w:rPr>
            </w:pPr>
            <w:r>
              <w:rPr>
                <w:w w:val="104"/>
                <w:sz w:val="15"/>
              </w:rPr>
              <w:t>U</w:t>
            </w:r>
          </w:p>
        </w:tc>
        <w:tc>
          <w:tcPr>
            <w:tcW w:w="842" w:type="dxa"/>
          </w:tcPr>
          <w:p>
            <w:pPr>
              <w:pStyle w:val="TableParagraph"/>
              <w:spacing w:before="94"/>
              <w:ind w:left="202"/>
              <w:jc w:val="left"/>
              <w:rPr>
                <w:sz w:val="15"/>
              </w:rPr>
            </w:pPr>
            <w:r>
              <w:rPr>
                <w:w w:val="104"/>
                <w:sz w:val="15"/>
              </w:rPr>
              <w:t>1</w:t>
            </w:r>
          </w:p>
        </w:tc>
        <w:tc>
          <w:tcPr>
            <w:tcW w:w="1562" w:type="dxa"/>
          </w:tcPr>
          <w:p>
            <w:pPr>
              <w:pStyle w:val="TableParagraph"/>
              <w:spacing w:before="94"/>
              <w:ind w:right="374"/>
              <w:rPr>
                <w:sz w:val="15"/>
              </w:rPr>
            </w:pPr>
            <w:r>
              <w:rPr>
                <w:sz w:val="15"/>
              </w:rPr>
              <w:t>7.571491</w:t>
            </w:r>
          </w:p>
        </w:tc>
        <w:tc>
          <w:tcPr>
            <w:tcW w:w="1402" w:type="dxa"/>
          </w:tcPr>
          <w:p>
            <w:pPr>
              <w:pStyle w:val="TableParagraph"/>
              <w:spacing w:before="94"/>
              <w:ind w:left="352" w:right="352"/>
              <w:jc w:val="center"/>
              <w:rPr>
                <w:sz w:val="15"/>
              </w:rPr>
            </w:pPr>
            <w:r>
              <w:rPr>
                <w:w w:val="105"/>
                <w:sz w:val="15"/>
              </w:rPr>
              <w:t>6.386326</w:t>
            </w:r>
          </w:p>
        </w:tc>
        <w:tc>
          <w:tcPr>
            <w:tcW w:w="1255" w:type="dxa"/>
          </w:tcPr>
          <w:p>
            <w:pPr>
              <w:pStyle w:val="TableParagraph"/>
              <w:spacing w:before="94"/>
              <w:ind w:left="419"/>
              <w:jc w:val="left"/>
              <w:rPr>
                <w:sz w:val="15"/>
              </w:rPr>
            </w:pPr>
            <w:r>
              <w:rPr>
                <w:w w:val="105"/>
                <w:sz w:val="15"/>
              </w:rPr>
              <w:t>1.19</w:t>
            </w:r>
          </w:p>
        </w:tc>
        <w:tc>
          <w:tcPr>
            <w:tcW w:w="1034" w:type="dxa"/>
          </w:tcPr>
          <w:p>
            <w:pPr>
              <w:pStyle w:val="TableParagraph"/>
              <w:spacing w:before="94"/>
              <w:ind w:right="33"/>
              <w:rPr>
                <w:sz w:val="15"/>
              </w:rPr>
            </w:pPr>
            <w:r>
              <w:rPr>
                <w:sz w:val="15"/>
              </w:rPr>
              <w:t>0.2512</w:t>
            </w:r>
          </w:p>
        </w:tc>
      </w:tr>
      <w:tr>
        <w:trPr>
          <w:trHeight w:val="374" w:hRule="exact"/>
        </w:trPr>
        <w:tc>
          <w:tcPr>
            <w:tcW w:w="811" w:type="dxa"/>
          </w:tcPr>
          <w:p>
            <w:pPr>
              <w:pStyle w:val="TableParagraph"/>
              <w:spacing w:before="95"/>
              <w:ind w:left="35"/>
              <w:jc w:val="left"/>
              <w:rPr>
                <w:sz w:val="15"/>
              </w:rPr>
            </w:pPr>
            <w:r>
              <w:rPr>
                <w:w w:val="104"/>
                <w:sz w:val="15"/>
              </w:rPr>
              <w:t>S</w:t>
            </w:r>
          </w:p>
        </w:tc>
        <w:tc>
          <w:tcPr>
            <w:tcW w:w="842" w:type="dxa"/>
          </w:tcPr>
          <w:p>
            <w:pPr>
              <w:pStyle w:val="TableParagraph"/>
              <w:spacing w:before="95"/>
              <w:ind w:left="192"/>
              <w:jc w:val="left"/>
              <w:rPr>
                <w:sz w:val="15"/>
              </w:rPr>
            </w:pPr>
            <w:r>
              <w:rPr>
                <w:w w:val="104"/>
                <w:sz w:val="15"/>
              </w:rPr>
              <w:t>1</w:t>
            </w:r>
          </w:p>
        </w:tc>
        <w:tc>
          <w:tcPr>
            <w:tcW w:w="1562" w:type="dxa"/>
          </w:tcPr>
          <w:p>
            <w:pPr>
              <w:pStyle w:val="TableParagraph"/>
              <w:spacing w:before="95"/>
              <w:ind w:right="408"/>
              <w:rPr>
                <w:sz w:val="15"/>
              </w:rPr>
            </w:pPr>
            <w:r>
              <w:rPr>
                <w:sz w:val="15"/>
              </w:rPr>
              <w:t>-14.8858</w:t>
            </w:r>
          </w:p>
        </w:tc>
        <w:tc>
          <w:tcPr>
            <w:tcW w:w="1402" w:type="dxa"/>
          </w:tcPr>
          <w:p>
            <w:pPr>
              <w:pStyle w:val="TableParagraph"/>
              <w:spacing w:before="95"/>
              <w:ind w:left="352" w:right="352"/>
              <w:jc w:val="center"/>
              <w:rPr>
                <w:sz w:val="15"/>
              </w:rPr>
            </w:pPr>
            <w:r>
              <w:rPr>
                <w:w w:val="105"/>
                <w:sz w:val="15"/>
              </w:rPr>
              <w:t>8.681858</w:t>
            </w:r>
          </w:p>
        </w:tc>
        <w:tc>
          <w:tcPr>
            <w:tcW w:w="1255" w:type="dxa"/>
          </w:tcPr>
          <w:p>
            <w:pPr>
              <w:pStyle w:val="TableParagraph"/>
              <w:spacing w:before="95"/>
              <w:ind w:left="376"/>
              <w:jc w:val="left"/>
              <w:rPr>
                <w:sz w:val="15"/>
              </w:rPr>
            </w:pPr>
            <w:r>
              <w:rPr>
                <w:w w:val="105"/>
                <w:sz w:val="15"/>
              </w:rPr>
              <w:t>-1.71</w:t>
            </w:r>
          </w:p>
        </w:tc>
        <w:tc>
          <w:tcPr>
            <w:tcW w:w="1034" w:type="dxa"/>
          </w:tcPr>
          <w:p>
            <w:pPr>
              <w:pStyle w:val="TableParagraph"/>
              <w:spacing w:before="95"/>
              <w:ind w:right="33"/>
              <w:rPr>
                <w:sz w:val="15"/>
              </w:rPr>
            </w:pPr>
            <w:r>
              <w:rPr>
                <w:sz w:val="15"/>
              </w:rPr>
              <w:t>0.1036</w:t>
            </w:r>
          </w:p>
        </w:tc>
      </w:tr>
      <w:tr>
        <w:trPr>
          <w:trHeight w:val="365" w:hRule="exact"/>
        </w:trPr>
        <w:tc>
          <w:tcPr>
            <w:tcW w:w="811" w:type="dxa"/>
          </w:tcPr>
          <w:p>
            <w:pPr>
              <w:pStyle w:val="TableParagraph"/>
              <w:spacing w:before="95"/>
              <w:ind w:left="35"/>
              <w:jc w:val="left"/>
              <w:rPr>
                <w:sz w:val="15"/>
              </w:rPr>
            </w:pPr>
            <w:r>
              <w:rPr>
                <w:w w:val="105"/>
                <w:sz w:val="15"/>
              </w:rPr>
              <w:t>RETR</w:t>
            </w:r>
          </w:p>
        </w:tc>
        <w:tc>
          <w:tcPr>
            <w:tcW w:w="842" w:type="dxa"/>
          </w:tcPr>
          <w:p>
            <w:pPr>
              <w:pStyle w:val="TableParagraph"/>
              <w:spacing w:before="95"/>
              <w:ind w:left="166"/>
              <w:jc w:val="left"/>
              <w:rPr>
                <w:sz w:val="15"/>
              </w:rPr>
            </w:pPr>
            <w:r>
              <w:rPr>
                <w:w w:val="104"/>
                <w:sz w:val="15"/>
              </w:rPr>
              <w:t>1</w:t>
            </w:r>
          </w:p>
        </w:tc>
        <w:tc>
          <w:tcPr>
            <w:tcW w:w="1562" w:type="dxa"/>
          </w:tcPr>
          <w:p>
            <w:pPr>
              <w:pStyle w:val="TableParagraph"/>
              <w:spacing w:before="95"/>
              <w:ind w:right="380"/>
              <w:rPr>
                <w:sz w:val="15"/>
              </w:rPr>
            </w:pPr>
            <w:r>
              <w:rPr>
                <w:w w:val="105"/>
                <w:sz w:val="15"/>
              </w:rPr>
              <w:t>-351E-13</w:t>
            </w:r>
          </w:p>
        </w:tc>
        <w:tc>
          <w:tcPr>
            <w:tcW w:w="1402" w:type="dxa"/>
          </w:tcPr>
          <w:p>
            <w:pPr>
              <w:pStyle w:val="TableParagraph"/>
              <w:spacing w:before="95"/>
              <w:ind w:left="338" w:right="352"/>
              <w:jc w:val="center"/>
              <w:rPr>
                <w:sz w:val="15"/>
              </w:rPr>
            </w:pPr>
            <w:r>
              <w:rPr>
                <w:w w:val="105"/>
                <w:sz w:val="15"/>
              </w:rPr>
              <w:t>1.24E-10</w:t>
            </w:r>
          </w:p>
        </w:tc>
        <w:tc>
          <w:tcPr>
            <w:tcW w:w="1255" w:type="dxa"/>
          </w:tcPr>
          <w:p>
            <w:pPr>
              <w:pStyle w:val="TableParagraph"/>
              <w:spacing w:before="95"/>
              <w:ind w:left="376"/>
              <w:jc w:val="left"/>
              <w:rPr>
                <w:sz w:val="15"/>
              </w:rPr>
            </w:pPr>
            <w:r>
              <w:rPr>
                <w:w w:val="105"/>
                <w:sz w:val="15"/>
              </w:rPr>
              <w:t>-0.28</w:t>
            </w:r>
          </w:p>
        </w:tc>
        <w:tc>
          <w:tcPr>
            <w:tcW w:w="1034" w:type="dxa"/>
          </w:tcPr>
          <w:p>
            <w:pPr>
              <w:pStyle w:val="TableParagraph"/>
              <w:spacing w:before="95"/>
              <w:ind w:right="33"/>
              <w:rPr>
                <w:sz w:val="15"/>
              </w:rPr>
            </w:pPr>
            <w:r>
              <w:rPr>
                <w:sz w:val="15"/>
              </w:rPr>
              <w:t>0.7799</w:t>
            </w:r>
          </w:p>
        </w:tc>
      </w:tr>
    </w:tbl>
    <w:p>
      <w:pPr>
        <w:pStyle w:val="BodyText"/>
        <w:rPr>
          <w:b/>
          <w:sz w:val="22"/>
        </w:rPr>
      </w:pPr>
    </w:p>
    <w:p>
      <w:pPr>
        <w:pStyle w:val="BodyText"/>
        <w:rPr>
          <w:b/>
          <w:sz w:val="31"/>
        </w:rPr>
      </w:pPr>
    </w:p>
    <w:p>
      <w:pPr>
        <w:spacing w:before="0"/>
        <w:ind w:left="121" w:right="0" w:firstLine="0"/>
        <w:jc w:val="both"/>
        <w:rPr>
          <w:sz w:val="23"/>
        </w:rPr>
      </w:pPr>
      <w:r>
        <w:rPr>
          <w:sz w:val="21"/>
        </w:rPr>
        <w:t>Fuente: Elaborado en base a la salida de  SAS</w:t>
      </w:r>
      <w:r>
        <w:rPr>
          <w:sz w:val="23"/>
        </w:rPr>
        <w:t>.</w:t>
      </w:r>
    </w:p>
    <w:p>
      <w:pPr>
        <w:pStyle w:val="BodyText"/>
        <w:rPr>
          <w:sz w:val="22"/>
        </w:rPr>
      </w:pPr>
    </w:p>
    <w:p>
      <w:pPr>
        <w:pStyle w:val="BodyText"/>
        <w:rPr>
          <w:sz w:val="22"/>
        </w:rPr>
      </w:pPr>
    </w:p>
    <w:p>
      <w:pPr>
        <w:pStyle w:val="BodyText"/>
        <w:spacing w:before="8"/>
        <w:rPr>
          <w:sz w:val="31"/>
        </w:rPr>
      </w:pPr>
    </w:p>
    <w:p>
      <w:pPr>
        <w:pStyle w:val="BodyText"/>
        <w:spacing w:line="376" w:lineRule="auto"/>
        <w:ind w:left="121" w:right="105"/>
        <w:jc w:val="both"/>
      </w:pPr>
      <w:r>
        <w:rPr/>
        <w:t>El análisis presentado para esta ecuación de la inflación anual en México (INF </w:t>
      </w:r>
      <w:r>
        <w:rPr>
          <w:rFonts w:ascii="Times New Roman" w:hAnsi="Times New Roman"/>
          <w:i/>
          <w:position w:val="-5"/>
          <w:sz w:val="13"/>
        </w:rPr>
        <w:t>t </w:t>
      </w:r>
      <w:r>
        <w:rPr/>
        <w:t>), tiene  un valor de F de 6.14, que es significativo en el modelo planteado, ya que obtiene una probabilidad de error de 0.0027, por otro lado, se tiene que el coeficiente de determinación ( </w:t>
      </w:r>
      <w:r>
        <w:rPr>
          <w:rFonts w:ascii="Times New Roman" w:hAnsi="Times New Roman"/>
          <w:i/>
          <w:spacing w:val="9"/>
        </w:rPr>
        <w:t>R</w:t>
      </w:r>
      <w:r>
        <w:rPr>
          <w:rFonts w:ascii="Times New Roman" w:hAnsi="Times New Roman"/>
          <w:spacing w:val="9"/>
          <w:position w:val="10"/>
          <w:sz w:val="13"/>
        </w:rPr>
        <w:t>2 </w:t>
      </w:r>
      <w:r>
        <w:rPr/>
        <w:t>) es igual a 0.57708, es decir, que la ecuación es explicada por un 57%, por las variables incluidas en el modelo</w:t>
      </w:r>
      <w:r>
        <w:rPr>
          <w:spacing w:val="58"/>
        </w:rPr>
        <w:t> </w:t>
      </w:r>
      <w:r>
        <w:rPr/>
        <w:t>planteado.</w:t>
      </w:r>
    </w:p>
    <w:p>
      <w:pPr>
        <w:spacing w:after="0" w:line="376" w:lineRule="auto"/>
        <w:jc w:val="both"/>
        <w:sectPr>
          <w:pgSz w:w="11900" w:h="16840"/>
          <w:pgMar w:header="0" w:footer="1679" w:top="1600" w:bottom="1860" w:left="1280" w:right="1280"/>
        </w:sectPr>
      </w:pPr>
    </w:p>
    <w:p>
      <w:pPr>
        <w:pStyle w:val="BodyText"/>
        <w:rPr>
          <w:sz w:val="20"/>
        </w:rPr>
      </w:pPr>
    </w:p>
    <w:p>
      <w:pPr>
        <w:pStyle w:val="BodyText"/>
        <w:spacing w:before="5"/>
        <w:rPr>
          <w:sz w:val="21"/>
        </w:rPr>
      </w:pPr>
    </w:p>
    <w:p>
      <w:pPr>
        <w:pStyle w:val="BodyText"/>
        <w:spacing w:line="372" w:lineRule="auto" w:before="74"/>
        <w:ind w:left="101" w:right="104"/>
        <w:jc w:val="both"/>
      </w:pPr>
      <w:r>
        <w:rPr/>
        <w:t>El coeficiente de regresión que no es significativo en la ecuación es la RER </w:t>
      </w:r>
      <w:r>
        <w:rPr>
          <w:rFonts w:ascii="Times New Roman" w:hAnsi="Times New Roman"/>
          <w:i/>
          <w:position w:val="-5"/>
          <w:sz w:val="14"/>
        </w:rPr>
        <w:t>t </w:t>
      </w:r>
      <w:r>
        <w:rPr/>
        <w:t>, la cual tiene una probabilidad de fallo equivalente al 0.7799, por el contrario las  demás  variables son significantes para explicar el modelo, ya que todas cumplen con la condición de Valor t &gt;</w:t>
      </w:r>
      <w:r>
        <w:rPr>
          <w:spacing w:val="27"/>
        </w:rPr>
        <w:t> </w:t>
      </w:r>
      <w:r>
        <w:rPr/>
        <w:t>1.</w:t>
      </w:r>
    </w:p>
    <w:p>
      <w:pPr>
        <w:pStyle w:val="BodyText"/>
        <w:rPr>
          <w:sz w:val="22"/>
        </w:rPr>
      </w:pPr>
    </w:p>
    <w:p>
      <w:pPr>
        <w:pStyle w:val="BodyText"/>
        <w:rPr>
          <w:sz w:val="22"/>
        </w:rPr>
      </w:pPr>
    </w:p>
    <w:p>
      <w:pPr>
        <w:pStyle w:val="BodyText"/>
        <w:spacing w:before="6"/>
        <w:rPr>
          <w:sz w:val="26"/>
        </w:rPr>
      </w:pPr>
    </w:p>
    <w:p>
      <w:pPr>
        <w:pStyle w:val="Heading4"/>
        <w:jc w:val="both"/>
      </w:pPr>
      <w:r>
        <w:rPr/>
        <w:t>Inversión Total Real de México (ITR </w:t>
      </w:r>
      <w:r>
        <w:rPr>
          <w:rFonts w:ascii="Times New Roman" w:hAnsi="Times New Roman"/>
          <w:b w:val="0"/>
          <w:i/>
          <w:position w:val="-5"/>
          <w:sz w:val="13"/>
        </w:rPr>
        <w:t>t  </w:t>
      </w:r>
      <w:r>
        <w:rPr/>
        <w:t>).</w:t>
      </w:r>
    </w:p>
    <w:p>
      <w:pPr>
        <w:pStyle w:val="BodyText"/>
        <w:spacing w:before="7"/>
        <w:rPr>
          <w:b/>
          <w:sz w:val="32"/>
        </w:rPr>
      </w:pPr>
    </w:p>
    <w:p>
      <w:pPr>
        <w:pStyle w:val="BodyText"/>
        <w:spacing w:line="388" w:lineRule="auto"/>
        <w:ind w:left="101" w:right="105"/>
        <w:jc w:val="both"/>
      </w:pPr>
      <w:r>
        <w:rPr/>
        <w:t>Para la ecuación 3, inversión total real de México (ITR </w:t>
      </w:r>
      <w:r>
        <w:rPr>
          <w:rFonts w:ascii="Times New Roman" w:hAnsi="Times New Roman"/>
          <w:i/>
          <w:position w:val="-5"/>
          <w:sz w:val="13"/>
        </w:rPr>
        <w:t>t </w:t>
      </w:r>
      <w:r>
        <w:rPr/>
        <w:t>), los principales resultados se presentan de la siguiente forma en el cuadro</w:t>
      </w:r>
      <w:r>
        <w:rPr>
          <w:spacing w:val="54"/>
        </w:rPr>
        <w:t> </w:t>
      </w:r>
      <w:r>
        <w:rPr/>
        <w:t>3.</w:t>
      </w:r>
    </w:p>
    <w:p>
      <w:pPr>
        <w:spacing w:after="0" w:line="388" w:lineRule="auto"/>
        <w:jc w:val="both"/>
        <w:sectPr>
          <w:pgSz w:w="11900" w:h="16840"/>
          <w:pgMar w:header="0" w:footer="1679" w:top="1600" w:bottom="1860" w:left="1300" w:right="1280"/>
        </w:sectPr>
      </w:pPr>
    </w:p>
    <w:p>
      <w:pPr>
        <w:pStyle w:val="BodyText"/>
        <w:rPr>
          <w:sz w:val="20"/>
        </w:rPr>
      </w:pPr>
    </w:p>
    <w:p>
      <w:pPr>
        <w:pStyle w:val="BodyText"/>
        <w:spacing w:before="6"/>
        <w:rPr>
          <w:sz w:val="18"/>
        </w:rPr>
      </w:pPr>
    </w:p>
    <w:p>
      <w:pPr>
        <w:pStyle w:val="Heading4"/>
        <w:spacing w:before="74"/>
        <w:ind w:left="1871" w:right="690"/>
      </w:pPr>
      <w:r>
        <w:rPr/>
        <w:pict>
          <v:shape style="position:absolute;margin-left:70.079926pt;margin-top:39.566162pt;width:429.25pt;height:517pt;mso-position-horizontal-relative:page;mso-position-vertical-relative:paragraph;z-index:-699712"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6"/>
                    <w:rPr>
                      <w:sz w:val="26"/>
                    </w:rPr>
                  </w:pPr>
                </w:p>
                <w:p>
                  <w:pPr>
                    <w:pStyle w:val="BodyText"/>
                  </w:pPr>
                  <w:r>
                    <w:rPr/>
                    <w:t>Fuente: Elaborado en base a la salida de</w:t>
                  </w:r>
                  <w:r>
                    <w:rPr>
                      <w:spacing w:val="56"/>
                    </w:rPr>
                    <w:t> </w:t>
                  </w:r>
                  <w:r>
                    <w:rPr/>
                    <w:t>SAS.</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0"/>
                    <w:rPr>
                      <w:sz w:val="30"/>
                    </w:rPr>
                  </w:pPr>
                </w:p>
                <w:p>
                  <w:pPr>
                    <w:spacing w:before="0"/>
                    <w:ind w:left="0" w:right="0" w:firstLine="0"/>
                    <w:jc w:val="left"/>
                    <w:rPr>
                      <w:sz w:val="23"/>
                    </w:rPr>
                  </w:pPr>
                  <w:r>
                    <w:rPr>
                      <w:sz w:val="21"/>
                    </w:rPr>
                    <w:t>Fuente: Elaboración propia</w:t>
                  </w:r>
                  <w:r>
                    <w:rPr>
                      <w:sz w:val="23"/>
                    </w:rPr>
                    <w:t>.</w:t>
                  </w:r>
                </w:p>
                <w:p>
                  <w:pPr>
                    <w:pStyle w:val="BodyText"/>
                    <w:rPr>
                      <w:sz w:val="22"/>
                    </w:rPr>
                  </w:pPr>
                </w:p>
                <w:p>
                  <w:pPr>
                    <w:pStyle w:val="BodyText"/>
                    <w:rPr>
                      <w:sz w:val="22"/>
                    </w:rPr>
                  </w:pPr>
                </w:p>
                <w:p>
                  <w:pPr>
                    <w:pStyle w:val="BodyText"/>
                    <w:rPr>
                      <w:sz w:val="22"/>
                    </w:rPr>
                  </w:pPr>
                </w:p>
                <w:p>
                  <w:pPr>
                    <w:spacing w:before="171"/>
                    <w:ind w:left="0" w:right="0" w:firstLine="0"/>
                    <w:jc w:val="left"/>
                    <w:rPr>
                      <w:sz w:val="21"/>
                    </w:rPr>
                  </w:pPr>
                  <w:r>
                    <w:rPr>
                      <w:sz w:val="21"/>
                    </w:rPr>
                    <w:t>Fuente: Elaborado en base a la salida de  SAS.</w:t>
                  </w:r>
                </w:p>
              </w:txbxContent>
            </v:textbox>
            <w10:wrap type="none"/>
          </v:shape>
        </w:pict>
      </w:r>
      <w:r>
        <w:rPr/>
        <w:pict>
          <v:group style="position:absolute;margin-left:69.705002pt;margin-top:39.191162pt;width:430pt;height:517.75pt;mso-position-horizontal-relative:page;mso-position-vertical-relative:paragraph;z-index:-699352" coordorigin="1394,784" coordsize="8600,10355">
            <v:rect style="position:absolute;left:1402;top:791;width:8585;height:10339" filled="true" fillcolor="#ffffff" stroked="false">
              <v:fill type="solid"/>
            </v:rect>
            <v:rect style="position:absolute;left:1402;top:791;width:8585;height:10339" filled="false" stroked="true" strokeweight=".730032pt" strokecolor="#000000"/>
            <v:shape style="position:absolute;left:4199;top:893;width:1717;height:194" type="#_x0000_t202" filled="false" stroked="false">
              <v:textbox inset="0,0,0,0">
                <w:txbxContent>
                  <w:p>
                    <w:pPr>
                      <w:spacing w:line="194" w:lineRule="exact" w:before="0"/>
                      <w:ind w:left="0" w:right="0" w:firstLine="0"/>
                      <w:jc w:val="left"/>
                      <w:rPr>
                        <w:sz w:val="19"/>
                      </w:rPr>
                    </w:pPr>
                    <w:r>
                      <w:rPr>
                        <w:sz w:val="19"/>
                      </w:rPr>
                      <w:t>Dependent Variable</w:t>
                    </w:r>
                  </w:p>
                </w:txbxContent>
              </v:textbox>
              <w10:wrap type="none"/>
            </v:shape>
            <v:shape style="position:absolute;left:7154;top:893;width:316;height:194" type="#_x0000_t202" filled="false" stroked="false">
              <v:textbox inset="0,0,0,0">
                <w:txbxContent>
                  <w:p>
                    <w:pPr>
                      <w:spacing w:line="194" w:lineRule="exact" w:before="0"/>
                      <w:ind w:left="0" w:right="-11" w:firstLine="0"/>
                      <w:jc w:val="left"/>
                      <w:rPr>
                        <w:sz w:val="19"/>
                      </w:rPr>
                    </w:pPr>
                    <w:r>
                      <w:rPr>
                        <w:sz w:val="19"/>
                      </w:rPr>
                      <w:t>ITR</w:t>
                    </w:r>
                  </w:p>
                </w:txbxContent>
              </v:textbox>
              <w10:wrap type="none"/>
            </v:shape>
            <v:shape style="position:absolute;left:5051;top:1311;width:1732;height:194" type="#_x0000_t202" filled="false" stroked="false">
              <v:textbox inset="0,0,0,0">
                <w:txbxContent>
                  <w:p>
                    <w:pPr>
                      <w:spacing w:line="194" w:lineRule="exact" w:before="0"/>
                      <w:ind w:left="0" w:right="0" w:firstLine="0"/>
                      <w:jc w:val="left"/>
                      <w:rPr>
                        <w:sz w:val="19"/>
                      </w:rPr>
                    </w:pPr>
                    <w:r>
                      <w:rPr>
                        <w:sz w:val="19"/>
                      </w:rPr>
                      <w:t>Análisis de varianza</w:t>
                    </w:r>
                  </w:p>
                </w:txbxContent>
              </v:textbox>
              <w10:wrap type="none"/>
            </v:shape>
            <v:shape style="position:absolute;left:2848;top:4241;width:886;height:194" type="#_x0000_t202" filled="false" stroked="false">
              <v:textbox inset="0,0,0,0">
                <w:txbxContent>
                  <w:p>
                    <w:pPr>
                      <w:spacing w:line="194" w:lineRule="exact" w:before="0"/>
                      <w:ind w:left="0" w:right="0" w:firstLine="0"/>
                      <w:jc w:val="left"/>
                      <w:rPr>
                        <w:sz w:val="19"/>
                      </w:rPr>
                    </w:pPr>
                    <w:r>
                      <w:rPr>
                        <w:sz w:val="19"/>
                      </w:rPr>
                      <w:t>Root MSE</w:t>
                    </w:r>
                  </w:p>
                </w:txbxContent>
              </v:textbox>
              <w10:wrap type="none"/>
            </v:shape>
            <v:shape style="position:absolute;left:4571;top:4241;width:1045;height:194" type="#_x0000_t202" filled="false" stroked="false">
              <v:textbox inset="0,0,0,0">
                <w:txbxContent>
                  <w:p>
                    <w:pPr>
                      <w:spacing w:line="194" w:lineRule="exact" w:before="0"/>
                      <w:ind w:left="0" w:right="0" w:firstLine="0"/>
                      <w:jc w:val="left"/>
                      <w:rPr>
                        <w:sz w:val="19"/>
                      </w:rPr>
                    </w:pPr>
                    <w:r>
                      <w:rPr>
                        <w:sz w:val="19"/>
                      </w:rPr>
                      <w:t>6.77873E10</w:t>
                    </w:r>
                  </w:p>
                </w:txbxContent>
              </v:textbox>
              <w10:wrap type="none"/>
            </v:shape>
            <v:shape style="position:absolute;left:6511;top:4241;width:828;height:194" type="#_x0000_t202" filled="false" stroked="false">
              <v:textbox inset="0,0,0,0">
                <w:txbxContent>
                  <w:p>
                    <w:pPr>
                      <w:spacing w:line="194" w:lineRule="exact" w:before="0"/>
                      <w:ind w:left="0" w:right="-6" w:firstLine="0"/>
                      <w:jc w:val="left"/>
                      <w:rPr>
                        <w:sz w:val="19"/>
                      </w:rPr>
                    </w:pPr>
                    <w:r>
                      <w:rPr>
                        <w:sz w:val="19"/>
                      </w:rPr>
                      <w:t>R-Square</w:t>
                    </w:r>
                  </w:p>
                </w:txbxContent>
              </v:textbox>
              <w10:wrap type="none"/>
            </v:shape>
            <v:shape style="position:absolute;left:7723;top:4241;width:699;height:194" type="#_x0000_t202" filled="false" stroked="false">
              <v:textbox inset="0,0,0,0">
                <w:txbxContent>
                  <w:p>
                    <w:pPr>
                      <w:spacing w:line="194" w:lineRule="exact" w:before="0"/>
                      <w:ind w:left="0" w:right="-8" w:firstLine="0"/>
                      <w:jc w:val="left"/>
                      <w:rPr>
                        <w:sz w:val="19"/>
                      </w:rPr>
                    </w:pPr>
                    <w:r>
                      <w:rPr>
                        <w:sz w:val="19"/>
                      </w:rPr>
                      <w:t>0.94208</w:t>
                    </w:r>
                  </w:p>
                </w:txbxContent>
              </v:textbox>
              <w10:wrap type="none"/>
            </v:shape>
            <v:shape style="position:absolute;left:2848;top:4659;width:1491;height:194" type="#_x0000_t202" filled="false" stroked="false">
              <v:textbox inset="0,0,0,0">
                <w:txbxContent>
                  <w:p>
                    <w:pPr>
                      <w:spacing w:line="194" w:lineRule="exact" w:before="0"/>
                      <w:ind w:left="0" w:right="0" w:firstLine="0"/>
                      <w:jc w:val="left"/>
                      <w:rPr>
                        <w:sz w:val="19"/>
                      </w:rPr>
                    </w:pPr>
                    <w:r>
                      <w:rPr>
                        <w:sz w:val="19"/>
                      </w:rPr>
                      <w:t>Dependent Mean</w:t>
                    </w:r>
                  </w:p>
                </w:txbxContent>
              </v:textbox>
              <w10:wrap type="none"/>
            </v:shape>
            <v:shape style="position:absolute;left:4667;top:4659;width:1047;height:194" type="#_x0000_t202" filled="false" stroked="false">
              <v:textbox inset="0,0,0,0">
                <w:txbxContent>
                  <w:p>
                    <w:pPr>
                      <w:spacing w:line="194" w:lineRule="exact" w:before="0"/>
                      <w:ind w:left="0" w:right="0" w:firstLine="0"/>
                      <w:jc w:val="left"/>
                      <w:rPr>
                        <w:sz w:val="19"/>
                      </w:rPr>
                    </w:pPr>
                    <w:r>
                      <w:rPr>
                        <w:sz w:val="19"/>
                      </w:rPr>
                      <w:t>1.13006E11</w:t>
                    </w:r>
                  </w:p>
                </w:txbxContent>
              </v:textbox>
              <w10:wrap type="none"/>
            </v:shape>
            <v:shape style="position:absolute;left:6511;top:4659;width:776;height:194" type="#_x0000_t202" filled="false" stroked="false">
              <v:textbox inset="0,0,0,0">
                <w:txbxContent>
                  <w:p>
                    <w:pPr>
                      <w:spacing w:line="194" w:lineRule="exact" w:before="0"/>
                      <w:ind w:left="0" w:right="-5" w:firstLine="0"/>
                      <w:jc w:val="left"/>
                      <w:rPr>
                        <w:sz w:val="19"/>
                      </w:rPr>
                    </w:pPr>
                    <w:r>
                      <w:rPr>
                        <w:sz w:val="19"/>
                      </w:rPr>
                      <w:t>Adj R-Sq</w:t>
                    </w:r>
                  </w:p>
                </w:txbxContent>
              </v:textbox>
              <w10:wrap type="none"/>
            </v:shape>
            <v:shape style="position:absolute;left:7668;top:4659;width:701;height:194" type="#_x0000_t202" filled="false" stroked="false">
              <v:textbox inset="0,0,0,0">
                <w:txbxContent>
                  <w:p>
                    <w:pPr>
                      <w:spacing w:line="194" w:lineRule="exact" w:before="0"/>
                      <w:ind w:left="0" w:right="-6" w:firstLine="0"/>
                      <w:jc w:val="left"/>
                      <w:rPr>
                        <w:sz w:val="19"/>
                      </w:rPr>
                    </w:pPr>
                    <w:r>
                      <w:rPr>
                        <w:sz w:val="19"/>
                      </w:rPr>
                      <w:t>0.92037</w:t>
                    </w:r>
                  </w:p>
                </w:txbxContent>
              </v:textbox>
              <w10:wrap type="none"/>
            </v:shape>
            <v:shape style="position:absolute;left:2848;top:5079;width:821;height:194" type="#_x0000_t202" filled="false" stroked="false">
              <v:textbox inset="0,0,0,0">
                <w:txbxContent>
                  <w:p>
                    <w:pPr>
                      <w:spacing w:line="194" w:lineRule="exact" w:before="0"/>
                      <w:ind w:left="0" w:right="-2" w:firstLine="0"/>
                      <w:jc w:val="left"/>
                      <w:rPr>
                        <w:sz w:val="19"/>
                      </w:rPr>
                    </w:pPr>
                    <w:r>
                      <w:rPr>
                        <w:sz w:val="19"/>
                      </w:rPr>
                      <w:t>Coeff Var</w:t>
                    </w:r>
                  </w:p>
                </w:txbxContent>
              </v:textbox>
              <w10:wrap type="none"/>
            </v:shape>
            <v:shape style="position:absolute;left:4460;top:5079;width:810;height:194" type="#_x0000_t202" filled="false" stroked="false">
              <v:textbox inset="0,0,0,0">
                <w:txbxContent>
                  <w:p>
                    <w:pPr>
                      <w:spacing w:line="194" w:lineRule="exact" w:before="0"/>
                      <w:ind w:left="0" w:right="-3" w:firstLine="0"/>
                      <w:jc w:val="left"/>
                      <w:rPr>
                        <w:sz w:val="19"/>
                      </w:rPr>
                    </w:pPr>
                    <w:r>
                      <w:rPr>
                        <w:sz w:val="19"/>
                      </w:rPr>
                      <w:t>59.98549</w:t>
                    </w:r>
                  </w:p>
                </w:txbxContent>
              </v:textbox>
              <w10:wrap type="none"/>
            </v:shape>
            <v:shape style="position:absolute;left:4350;top:5917;width:2393;height:194" type="#_x0000_t202" filled="false" stroked="false">
              <v:textbox inset="0,0,0,0">
                <w:txbxContent>
                  <w:p>
                    <w:pPr>
                      <w:spacing w:line="194" w:lineRule="exact" w:before="0"/>
                      <w:ind w:left="0" w:right="-11" w:firstLine="0"/>
                      <w:jc w:val="left"/>
                      <w:rPr>
                        <w:sz w:val="19"/>
                      </w:rPr>
                    </w:pPr>
                    <w:r>
                      <w:rPr>
                        <w:sz w:val="19"/>
                      </w:rPr>
                      <w:t>Estimadores de</w:t>
                    </w:r>
                    <w:r>
                      <w:rPr>
                        <w:spacing w:val="50"/>
                        <w:sz w:val="19"/>
                      </w:rPr>
                      <w:t> </w:t>
                    </w:r>
                    <w:r>
                      <w:rPr>
                        <w:sz w:val="19"/>
                      </w:rPr>
                      <w:t>parámetros</w:t>
                    </w:r>
                  </w:p>
                </w:txbxContent>
              </v:textbox>
              <w10:wrap type="none"/>
            </v:shape>
            <w10:wrap type="none"/>
          </v:group>
        </w:pict>
      </w:r>
      <w:r>
        <w:rPr/>
        <w:t>Cuadro 3. Análisis de varianza de la ITR en</w:t>
      </w:r>
      <w:r>
        <w:rPr>
          <w:spacing w:val="59"/>
        </w:rPr>
        <w:t> </w:t>
      </w:r>
      <w:r>
        <w:rPr/>
        <w:t>México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2"/>
        </w:rPr>
      </w:pPr>
    </w:p>
    <w:tbl>
      <w:tblPr>
        <w:tblW w:w="0" w:type="auto"/>
        <w:jc w:val="left"/>
        <w:tblInd w:w="104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83"/>
        <w:gridCol w:w="492"/>
        <w:gridCol w:w="1479"/>
        <w:gridCol w:w="1741"/>
        <w:gridCol w:w="1079"/>
        <w:gridCol w:w="807"/>
      </w:tblGrid>
      <w:tr>
        <w:trPr>
          <w:trHeight w:val="1246" w:hRule="exact"/>
        </w:trPr>
        <w:tc>
          <w:tcPr>
            <w:tcW w:w="1483" w:type="dxa"/>
          </w:tcPr>
          <w:p>
            <w:pPr>
              <w:pStyle w:val="TableParagraph"/>
              <w:spacing w:before="9"/>
              <w:jc w:val="left"/>
              <w:rPr>
                <w:b/>
                <w:sz w:val="25"/>
              </w:rPr>
            </w:pPr>
          </w:p>
          <w:p>
            <w:pPr>
              <w:pStyle w:val="TableParagraph"/>
              <w:spacing w:line="420" w:lineRule="atLeast" w:before="1"/>
              <w:ind w:left="35" w:right="836"/>
              <w:jc w:val="left"/>
              <w:rPr>
                <w:sz w:val="19"/>
              </w:rPr>
            </w:pPr>
            <w:r>
              <w:rPr>
                <w:sz w:val="19"/>
              </w:rPr>
              <w:t>Fuente Model</w:t>
            </w:r>
          </w:p>
        </w:tc>
        <w:tc>
          <w:tcPr>
            <w:tcW w:w="492" w:type="dxa"/>
          </w:tcPr>
          <w:p>
            <w:pPr>
              <w:pStyle w:val="TableParagraph"/>
              <w:spacing w:before="9"/>
              <w:jc w:val="left"/>
              <w:rPr>
                <w:b/>
                <w:sz w:val="25"/>
              </w:rPr>
            </w:pPr>
          </w:p>
          <w:p>
            <w:pPr>
              <w:pStyle w:val="TableParagraph"/>
              <w:spacing w:line="420" w:lineRule="atLeast" w:before="1"/>
              <w:ind w:left="216" w:right="36" w:hanging="34"/>
              <w:jc w:val="left"/>
              <w:rPr>
                <w:sz w:val="19"/>
              </w:rPr>
            </w:pPr>
            <w:r>
              <w:rPr>
                <w:sz w:val="19"/>
              </w:rPr>
              <w:t>DF 6</w:t>
            </w:r>
          </w:p>
        </w:tc>
        <w:tc>
          <w:tcPr>
            <w:tcW w:w="1479" w:type="dxa"/>
          </w:tcPr>
          <w:p>
            <w:pPr>
              <w:pStyle w:val="TableParagraph"/>
              <w:spacing w:line="460" w:lineRule="auto" w:before="79"/>
              <w:ind w:left="276" w:right="268" w:firstLine="154"/>
              <w:jc w:val="left"/>
              <w:rPr>
                <w:sz w:val="19"/>
              </w:rPr>
            </w:pPr>
            <w:r>
              <w:rPr>
                <w:sz w:val="19"/>
              </w:rPr>
              <w:t>Suma de cuadrados</w:t>
            </w:r>
          </w:p>
          <w:p>
            <w:pPr>
              <w:pStyle w:val="TableParagraph"/>
              <w:spacing w:before="6"/>
              <w:ind w:left="106" w:right="268"/>
              <w:jc w:val="left"/>
              <w:rPr>
                <w:sz w:val="19"/>
              </w:rPr>
            </w:pPr>
            <w:r>
              <w:rPr>
                <w:sz w:val="19"/>
              </w:rPr>
              <w:t>1.196E24</w:t>
            </w:r>
          </w:p>
        </w:tc>
        <w:tc>
          <w:tcPr>
            <w:tcW w:w="1741" w:type="dxa"/>
          </w:tcPr>
          <w:p>
            <w:pPr>
              <w:pStyle w:val="TableParagraph"/>
              <w:spacing w:before="79"/>
              <w:ind w:left="272"/>
              <w:jc w:val="left"/>
              <w:rPr>
                <w:sz w:val="19"/>
              </w:rPr>
            </w:pPr>
            <w:r>
              <w:rPr>
                <w:sz w:val="19"/>
              </w:rPr>
              <w:t>Cuadrado</w:t>
            </w:r>
          </w:p>
          <w:p>
            <w:pPr>
              <w:pStyle w:val="TableParagraph"/>
              <w:spacing w:line="420" w:lineRule="atLeast" w:before="0"/>
              <w:ind w:left="435" w:hanging="27"/>
              <w:jc w:val="left"/>
              <w:rPr>
                <w:sz w:val="19"/>
              </w:rPr>
            </w:pPr>
            <w:r>
              <w:rPr>
                <w:sz w:val="19"/>
              </w:rPr>
              <w:t>de la media 1.993E23</w:t>
            </w:r>
          </w:p>
        </w:tc>
        <w:tc>
          <w:tcPr>
            <w:tcW w:w="1079" w:type="dxa"/>
          </w:tcPr>
          <w:p>
            <w:pPr>
              <w:pStyle w:val="TableParagraph"/>
              <w:spacing w:before="9"/>
              <w:jc w:val="left"/>
              <w:rPr>
                <w:b/>
                <w:sz w:val="25"/>
              </w:rPr>
            </w:pPr>
          </w:p>
          <w:p>
            <w:pPr>
              <w:pStyle w:val="TableParagraph"/>
              <w:spacing w:line="420" w:lineRule="atLeast" w:before="1"/>
              <w:ind w:left="338" w:right="109" w:hanging="12"/>
              <w:jc w:val="left"/>
              <w:rPr>
                <w:sz w:val="19"/>
              </w:rPr>
            </w:pPr>
            <w:r>
              <w:rPr>
                <w:sz w:val="19"/>
              </w:rPr>
              <w:t>F-Valor 43.38</w:t>
            </w:r>
          </w:p>
        </w:tc>
        <w:tc>
          <w:tcPr>
            <w:tcW w:w="807" w:type="dxa"/>
          </w:tcPr>
          <w:p>
            <w:pPr>
              <w:pStyle w:val="TableParagraph"/>
              <w:spacing w:before="0"/>
              <w:jc w:val="left"/>
              <w:rPr>
                <w:b/>
                <w:sz w:val="18"/>
              </w:rPr>
            </w:pPr>
          </w:p>
          <w:p>
            <w:pPr>
              <w:pStyle w:val="TableParagraph"/>
              <w:spacing w:before="4"/>
              <w:jc w:val="left"/>
              <w:rPr>
                <w:b/>
                <w:sz w:val="25"/>
              </w:rPr>
            </w:pPr>
          </w:p>
          <w:p>
            <w:pPr>
              <w:pStyle w:val="TableParagraph"/>
              <w:spacing w:before="0"/>
              <w:ind w:left="119"/>
              <w:jc w:val="left"/>
              <w:rPr>
                <w:sz w:val="19"/>
              </w:rPr>
            </w:pPr>
            <w:r>
              <w:rPr>
                <w:sz w:val="19"/>
              </w:rPr>
              <w:t>Pr &gt; F</w:t>
            </w:r>
          </w:p>
          <w:p>
            <w:pPr>
              <w:pStyle w:val="TableParagraph"/>
              <w:spacing w:before="6"/>
              <w:jc w:val="left"/>
              <w:rPr>
                <w:b/>
                <w:sz w:val="17"/>
              </w:rPr>
            </w:pPr>
          </w:p>
          <w:p>
            <w:pPr>
              <w:pStyle w:val="TableParagraph"/>
              <w:spacing w:before="0"/>
              <w:ind w:left="176"/>
              <w:jc w:val="left"/>
              <w:rPr>
                <w:sz w:val="19"/>
              </w:rPr>
            </w:pPr>
            <w:r>
              <w:rPr>
                <w:sz w:val="19"/>
              </w:rPr>
              <w:t>&lt;.0001</w:t>
            </w:r>
          </w:p>
        </w:tc>
      </w:tr>
      <w:tr>
        <w:trPr>
          <w:trHeight w:val="418" w:hRule="exact"/>
        </w:trPr>
        <w:tc>
          <w:tcPr>
            <w:tcW w:w="1483" w:type="dxa"/>
          </w:tcPr>
          <w:p>
            <w:pPr>
              <w:pStyle w:val="TableParagraph"/>
              <w:spacing w:before="90"/>
              <w:ind w:left="35" w:right="836"/>
              <w:jc w:val="left"/>
              <w:rPr>
                <w:sz w:val="19"/>
              </w:rPr>
            </w:pPr>
            <w:r>
              <w:rPr>
                <w:sz w:val="19"/>
              </w:rPr>
              <w:t>Error</w:t>
            </w:r>
          </w:p>
        </w:tc>
        <w:tc>
          <w:tcPr>
            <w:tcW w:w="492" w:type="dxa"/>
          </w:tcPr>
          <w:p>
            <w:pPr>
              <w:pStyle w:val="TableParagraph"/>
              <w:spacing w:before="90"/>
              <w:ind w:left="118" w:right="36"/>
              <w:jc w:val="left"/>
              <w:rPr>
                <w:sz w:val="19"/>
              </w:rPr>
            </w:pPr>
            <w:r>
              <w:rPr>
                <w:sz w:val="19"/>
              </w:rPr>
              <w:t>16</w:t>
            </w:r>
          </w:p>
        </w:tc>
        <w:tc>
          <w:tcPr>
            <w:tcW w:w="1479" w:type="dxa"/>
          </w:tcPr>
          <w:p>
            <w:pPr>
              <w:pStyle w:val="TableParagraph"/>
              <w:spacing w:before="90"/>
              <w:ind w:left="115" w:right="268"/>
              <w:jc w:val="left"/>
              <w:rPr>
                <w:sz w:val="19"/>
              </w:rPr>
            </w:pPr>
            <w:r>
              <w:rPr>
                <w:sz w:val="19"/>
              </w:rPr>
              <w:t>7.352E22</w:t>
            </w:r>
          </w:p>
        </w:tc>
        <w:tc>
          <w:tcPr>
            <w:tcW w:w="1741" w:type="dxa"/>
          </w:tcPr>
          <w:p>
            <w:pPr>
              <w:pStyle w:val="TableParagraph"/>
              <w:spacing w:before="90"/>
              <w:ind w:left="392"/>
              <w:jc w:val="left"/>
              <w:rPr>
                <w:sz w:val="19"/>
              </w:rPr>
            </w:pPr>
            <w:r>
              <w:rPr>
                <w:sz w:val="19"/>
              </w:rPr>
              <w:t>4.595E21</w:t>
            </w:r>
          </w:p>
        </w:tc>
        <w:tc>
          <w:tcPr>
            <w:tcW w:w="1079" w:type="dxa"/>
          </w:tcPr>
          <w:p>
            <w:pPr/>
          </w:p>
        </w:tc>
        <w:tc>
          <w:tcPr>
            <w:tcW w:w="807" w:type="dxa"/>
          </w:tcPr>
          <w:p>
            <w:pPr/>
          </w:p>
        </w:tc>
      </w:tr>
      <w:tr>
        <w:trPr>
          <w:trHeight w:val="406" w:hRule="exact"/>
        </w:trPr>
        <w:tc>
          <w:tcPr>
            <w:tcW w:w="1483" w:type="dxa"/>
          </w:tcPr>
          <w:p>
            <w:pPr>
              <w:pStyle w:val="TableParagraph"/>
              <w:spacing w:before="90"/>
              <w:ind w:left="35"/>
              <w:jc w:val="left"/>
              <w:rPr>
                <w:sz w:val="19"/>
              </w:rPr>
            </w:pPr>
            <w:r>
              <w:rPr>
                <w:sz w:val="19"/>
              </w:rPr>
              <w:t>Corrected Total</w:t>
            </w:r>
          </w:p>
        </w:tc>
        <w:tc>
          <w:tcPr>
            <w:tcW w:w="492" w:type="dxa"/>
          </w:tcPr>
          <w:p>
            <w:pPr>
              <w:pStyle w:val="TableParagraph"/>
              <w:spacing w:before="90"/>
              <w:ind w:left="106" w:right="36"/>
              <w:jc w:val="left"/>
              <w:rPr>
                <w:sz w:val="19"/>
              </w:rPr>
            </w:pPr>
            <w:r>
              <w:rPr>
                <w:sz w:val="19"/>
              </w:rPr>
              <w:t>22</w:t>
            </w:r>
          </w:p>
        </w:tc>
        <w:tc>
          <w:tcPr>
            <w:tcW w:w="1479" w:type="dxa"/>
          </w:tcPr>
          <w:p>
            <w:pPr>
              <w:pStyle w:val="TableParagraph"/>
              <w:spacing w:before="90"/>
              <w:ind w:left="49" w:right="268"/>
              <w:jc w:val="left"/>
              <w:rPr>
                <w:sz w:val="19"/>
              </w:rPr>
            </w:pPr>
            <w:r>
              <w:rPr>
                <w:sz w:val="19"/>
              </w:rPr>
              <w:t>1.215E24</w:t>
            </w:r>
          </w:p>
        </w:tc>
        <w:tc>
          <w:tcPr>
            <w:tcW w:w="1741" w:type="dxa"/>
          </w:tcPr>
          <w:p>
            <w:pPr/>
          </w:p>
        </w:tc>
        <w:tc>
          <w:tcPr>
            <w:tcW w:w="1079" w:type="dxa"/>
          </w:tcPr>
          <w:p>
            <w:pPr/>
          </w:p>
        </w:tc>
        <w:tc>
          <w:tcPr>
            <w:tcW w:w="807" w:type="dxa"/>
          </w:tcPr>
          <w:p>
            <w:pP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0"/>
        </w:rPr>
      </w:pPr>
    </w:p>
    <w:tbl>
      <w:tblPr>
        <w:tblW w:w="0" w:type="auto"/>
        <w:jc w:val="left"/>
        <w:tblInd w:w="104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90"/>
        <w:gridCol w:w="749"/>
        <w:gridCol w:w="1689"/>
        <w:gridCol w:w="1199"/>
        <w:gridCol w:w="1104"/>
        <w:gridCol w:w="894"/>
      </w:tblGrid>
      <w:tr>
        <w:trPr>
          <w:trHeight w:val="406" w:hRule="exact"/>
        </w:trPr>
        <w:tc>
          <w:tcPr>
            <w:tcW w:w="1739" w:type="dxa"/>
            <w:gridSpan w:val="2"/>
          </w:tcPr>
          <w:p>
            <w:pPr/>
          </w:p>
        </w:tc>
        <w:tc>
          <w:tcPr>
            <w:tcW w:w="1689" w:type="dxa"/>
          </w:tcPr>
          <w:p>
            <w:pPr>
              <w:pStyle w:val="TableParagraph"/>
              <w:spacing w:before="79"/>
              <w:ind w:left="284"/>
              <w:jc w:val="left"/>
              <w:rPr>
                <w:sz w:val="19"/>
              </w:rPr>
            </w:pPr>
            <w:r>
              <w:rPr>
                <w:sz w:val="19"/>
              </w:rPr>
              <w:t>Estimadores</w:t>
            </w:r>
          </w:p>
        </w:tc>
        <w:tc>
          <w:tcPr>
            <w:tcW w:w="1199" w:type="dxa"/>
          </w:tcPr>
          <w:p>
            <w:pPr>
              <w:pStyle w:val="TableParagraph"/>
              <w:spacing w:before="79"/>
              <w:ind w:left="271"/>
              <w:jc w:val="left"/>
              <w:rPr>
                <w:sz w:val="19"/>
              </w:rPr>
            </w:pPr>
            <w:r>
              <w:rPr>
                <w:sz w:val="19"/>
              </w:rPr>
              <w:t>Error</w:t>
            </w:r>
          </w:p>
        </w:tc>
        <w:tc>
          <w:tcPr>
            <w:tcW w:w="1999" w:type="dxa"/>
            <w:gridSpan w:val="2"/>
          </w:tcPr>
          <w:p>
            <w:pPr/>
          </w:p>
        </w:tc>
      </w:tr>
      <w:tr>
        <w:trPr>
          <w:trHeight w:val="406" w:hRule="exact"/>
        </w:trPr>
        <w:tc>
          <w:tcPr>
            <w:tcW w:w="990" w:type="dxa"/>
          </w:tcPr>
          <w:p>
            <w:pPr>
              <w:pStyle w:val="TableParagraph"/>
              <w:spacing w:before="90"/>
              <w:ind w:left="35"/>
              <w:jc w:val="left"/>
              <w:rPr>
                <w:sz w:val="19"/>
              </w:rPr>
            </w:pPr>
            <w:r>
              <w:rPr>
                <w:sz w:val="19"/>
              </w:rPr>
              <w:t>Variable</w:t>
            </w:r>
          </w:p>
        </w:tc>
        <w:tc>
          <w:tcPr>
            <w:tcW w:w="749" w:type="dxa"/>
          </w:tcPr>
          <w:p>
            <w:pPr>
              <w:pStyle w:val="TableParagraph"/>
              <w:spacing w:before="90"/>
              <w:ind w:left="244"/>
              <w:jc w:val="left"/>
              <w:rPr>
                <w:sz w:val="19"/>
              </w:rPr>
            </w:pPr>
            <w:r>
              <w:rPr>
                <w:sz w:val="19"/>
              </w:rPr>
              <w:t>DF</w:t>
            </w:r>
          </w:p>
        </w:tc>
        <w:tc>
          <w:tcPr>
            <w:tcW w:w="1689" w:type="dxa"/>
          </w:tcPr>
          <w:p>
            <w:pPr>
              <w:pStyle w:val="TableParagraph"/>
              <w:spacing w:before="90"/>
              <w:ind w:left="244"/>
              <w:jc w:val="left"/>
              <w:rPr>
                <w:sz w:val="19"/>
              </w:rPr>
            </w:pPr>
            <w:r>
              <w:rPr>
                <w:sz w:val="19"/>
              </w:rPr>
              <w:t>de parámetros</w:t>
            </w:r>
          </w:p>
        </w:tc>
        <w:tc>
          <w:tcPr>
            <w:tcW w:w="1199" w:type="dxa"/>
          </w:tcPr>
          <w:p>
            <w:pPr>
              <w:pStyle w:val="TableParagraph"/>
              <w:spacing w:before="90"/>
              <w:ind w:left="190"/>
              <w:jc w:val="left"/>
              <w:rPr>
                <w:sz w:val="19"/>
              </w:rPr>
            </w:pPr>
            <w:r>
              <w:rPr>
                <w:sz w:val="19"/>
              </w:rPr>
              <w:t>estándar</w:t>
            </w:r>
          </w:p>
        </w:tc>
        <w:tc>
          <w:tcPr>
            <w:tcW w:w="1104" w:type="dxa"/>
          </w:tcPr>
          <w:p>
            <w:pPr>
              <w:pStyle w:val="TableParagraph"/>
              <w:spacing w:before="90"/>
              <w:ind w:left="258"/>
              <w:jc w:val="left"/>
              <w:rPr>
                <w:sz w:val="19"/>
              </w:rPr>
            </w:pPr>
            <w:r>
              <w:rPr>
                <w:sz w:val="19"/>
              </w:rPr>
              <w:t>Valor t</w:t>
            </w:r>
          </w:p>
        </w:tc>
        <w:tc>
          <w:tcPr>
            <w:tcW w:w="894" w:type="dxa"/>
          </w:tcPr>
          <w:p>
            <w:pPr>
              <w:pStyle w:val="TableParagraph"/>
              <w:spacing w:before="90"/>
              <w:ind w:left="286"/>
              <w:jc w:val="left"/>
              <w:rPr>
                <w:sz w:val="19"/>
              </w:rPr>
            </w:pPr>
            <w:r>
              <w:rPr>
                <w:sz w:val="19"/>
              </w:rPr>
              <w:t>Pr &gt; |t|</w:t>
            </w:r>
          </w:p>
        </w:tc>
      </w:tr>
    </w:tbl>
    <w:p>
      <w:pPr>
        <w:pStyle w:val="BodyText"/>
        <w:rPr>
          <w:b/>
          <w:sz w:val="20"/>
        </w:rPr>
      </w:pPr>
    </w:p>
    <w:p>
      <w:pPr>
        <w:pStyle w:val="BodyText"/>
        <w:spacing w:before="6"/>
        <w:rPr>
          <w:b/>
          <w:sz w:val="18"/>
        </w:rPr>
      </w:pPr>
    </w:p>
    <w:tbl>
      <w:tblPr>
        <w:tblW w:w="0" w:type="auto"/>
        <w:jc w:val="left"/>
        <w:tblInd w:w="96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86"/>
        <w:gridCol w:w="276"/>
        <w:gridCol w:w="435"/>
        <w:gridCol w:w="1576"/>
        <w:gridCol w:w="1497"/>
        <w:gridCol w:w="1106"/>
        <w:gridCol w:w="1028"/>
      </w:tblGrid>
      <w:tr>
        <w:trPr>
          <w:trHeight w:val="405" w:hRule="exact"/>
        </w:trPr>
        <w:tc>
          <w:tcPr>
            <w:tcW w:w="986" w:type="dxa"/>
          </w:tcPr>
          <w:p>
            <w:pPr>
              <w:pStyle w:val="TableParagraph"/>
              <w:spacing w:before="79"/>
              <w:ind w:left="114"/>
              <w:jc w:val="left"/>
              <w:rPr>
                <w:sz w:val="19"/>
              </w:rPr>
            </w:pPr>
            <w:r>
              <w:rPr>
                <w:sz w:val="19"/>
              </w:rPr>
              <w:t>Intercept</w:t>
            </w:r>
          </w:p>
        </w:tc>
        <w:tc>
          <w:tcPr>
            <w:tcW w:w="276" w:type="dxa"/>
          </w:tcPr>
          <w:p>
            <w:pPr/>
          </w:p>
        </w:tc>
        <w:tc>
          <w:tcPr>
            <w:tcW w:w="435" w:type="dxa"/>
          </w:tcPr>
          <w:p>
            <w:pPr>
              <w:pStyle w:val="TableParagraph"/>
              <w:spacing w:before="79"/>
              <w:ind w:left="100"/>
              <w:jc w:val="left"/>
              <w:rPr>
                <w:sz w:val="19"/>
              </w:rPr>
            </w:pPr>
            <w:r>
              <w:rPr>
                <w:w w:val="101"/>
                <w:sz w:val="19"/>
              </w:rPr>
              <w:t>1</w:t>
            </w:r>
          </w:p>
        </w:tc>
        <w:tc>
          <w:tcPr>
            <w:tcW w:w="1576" w:type="dxa"/>
          </w:tcPr>
          <w:p>
            <w:pPr>
              <w:pStyle w:val="TableParagraph"/>
              <w:spacing w:before="79"/>
              <w:ind w:right="309"/>
              <w:rPr>
                <w:sz w:val="19"/>
              </w:rPr>
            </w:pPr>
            <w:r>
              <w:rPr>
                <w:sz w:val="19"/>
              </w:rPr>
              <w:t>-2.68E11</w:t>
            </w:r>
          </w:p>
        </w:tc>
        <w:tc>
          <w:tcPr>
            <w:tcW w:w="1497" w:type="dxa"/>
          </w:tcPr>
          <w:p>
            <w:pPr>
              <w:pStyle w:val="TableParagraph"/>
              <w:spacing w:before="79"/>
              <w:ind w:left="293"/>
              <w:jc w:val="left"/>
              <w:rPr>
                <w:sz w:val="19"/>
              </w:rPr>
            </w:pPr>
            <w:r>
              <w:rPr>
                <w:sz w:val="19"/>
              </w:rPr>
              <w:t>4.12E11</w:t>
            </w:r>
          </w:p>
        </w:tc>
        <w:tc>
          <w:tcPr>
            <w:tcW w:w="1106" w:type="dxa"/>
          </w:tcPr>
          <w:p>
            <w:pPr>
              <w:pStyle w:val="TableParagraph"/>
              <w:spacing w:before="79"/>
              <w:ind w:left="168"/>
              <w:jc w:val="left"/>
              <w:rPr>
                <w:sz w:val="19"/>
              </w:rPr>
            </w:pPr>
            <w:r>
              <w:rPr>
                <w:sz w:val="19"/>
              </w:rPr>
              <w:t>-0.65</w:t>
            </w:r>
          </w:p>
        </w:tc>
        <w:tc>
          <w:tcPr>
            <w:tcW w:w="1028" w:type="dxa"/>
          </w:tcPr>
          <w:p>
            <w:pPr>
              <w:pStyle w:val="TableParagraph"/>
              <w:spacing w:before="79"/>
              <w:ind w:right="116"/>
              <w:rPr>
                <w:sz w:val="19"/>
              </w:rPr>
            </w:pPr>
            <w:r>
              <w:rPr>
                <w:sz w:val="19"/>
              </w:rPr>
              <w:t>0.5249</w:t>
            </w:r>
          </w:p>
        </w:tc>
      </w:tr>
      <w:tr>
        <w:trPr>
          <w:trHeight w:val="411" w:hRule="exact"/>
        </w:trPr>
        <w:tc>
          <w:tcPr>
            <w:tcW w:w="986" w:type="dxa"/>
          </w:tcPr>
          <w:p>
            <w:pPr>
              <w:pStyle w:val="TableParagraph"/>
              <w:spacing w:before="93"/>
              <w:ind w:left="35"/>
              <w:jc w:val="left"/>
              <w:rPr>
                <w:sz w:val="17"/>
              </w:rPr>
            </w:pPr>
            <w:r>
              <w:rPr>
                <w:w w:val="105"/>
                <w:sz w:val="17"/>
              </w:rPr>
              <w:t>TC</w:t>
            </w:r>
          </w:p>
        </w:tc>
        <w:tc>
          <w:tcPr>
            <w:tcW w:w="276" w:type="dxa"/>
          </w:tcPr>
          <w:p>
            <w:pPr/>
          </w:p>
        </w:tc>
        <w:tc>
          <w:tcPr>
            <w:tcW w:w="435" w:type="dxa"/>
          </w:tcPr>
          <w:p>
            <w:pPr>
              <w:pStyle w:val="TableParagraph"/>
              <w:spacing w:before="93"/>
              <w:ind w:left="30"/>
              <w:jc w:val="left"/>
              <w:rPr>
                <w:sz w:val="17"/>
              </w:rPr>
            </w:pPr>
            <w:r>
              <w:rPr>
                <w:w w:val="102"/>
                <w:sz w:val="17"/>
              </w:rPr>
              <w:t>1</w:t>
            </w:r>
          </w:p>
        </w:tc>
        <w:tc>
          <w:tcPr>
            <w:tcW w:w="1576" w:type="dxa"/>
          </w:tcPr>
          <w:p>
            <w:pPr>
              <w:pStyle w:val="TableParagraph"/>
              <w:spacing w:before="93"/>
              <w:ind w:right="264"/>
              <w:rPr>
                <w:sz w:val="17"/>
              </w:rPr>
            </w:pPr>
            <w:r>
              <w:rPr>
                <w:sz w:val="17"/>
              </w:rPr>
              <w:t>1.0917E8</w:t>
            </w:r>
          </w:p>
        </w:tc>
        <w:tc>
          <w:tcPr>
            <w:tcW w:w="1497" w:type="dxa"/>
          </w:tcPr>
          <w:p>
            <w:pPr>
              <w:pStyle w:val="TableParagraph"/>
              <w:spacing w:before="93"/>
              <w:ind w:left="413"/>
              <w:jc w:val="left"/>
              <w:rPr>
                <w:sz w:val="17"/>
              </w:rPr>
            </w:pPr>
            <w:r>
              <w:rPr>
                <w:w w:val="105"/>
                <w:sz w:val="17"/>
              </w:rPr>
              <w:t>98061651</w:t>
            </w:r>
          </w:p>
        </w:tc>
        <w:tc>
          <w:tcPr>
            <w:tcW w:w="1106" w:type="dxa"/>
          </w:tcPr>
          <w:p>
            <w:pPr>
              <w:pStyle w:val="TableParagraph"/>
              <w:spacing w:before="93"/>
              <w:ind w:right="279"/>
              <w:rPr>
                <w:sz w:val="17"/>
              </w:rPr>
            </w:pPr>
            <w:r>
              <w:rPr>
                <w:sz w:val="17"/>
              </w:rPr>
              <w:t>1.11</w:t>
            </w:r>
          </w:p>
        </w:tc>
        <w:tc>
          <w:tcPr>
            <w:tcW w:w="1028" w:type="dxa"/>
          </w:tcPr>
          <w:p>
            <w:pPr>
              <w:pStyle w:val="TableParagraph"/>
              <w:spacing w:before="93"/>
              <w:ind w:right="42"/>
              <w:rPr>
                <w:sz w:val="17"/>
              </w:rPr>
            </w:pPr>
            <w:r>
              <w:rPr>
                <w:sz w:val="17"/>
              </w:rPr>
              <w:t>0.2820</w:t>
            </w:r>
          </w:p>
        </w:tc>
      </w:tr>
      <w:tr>
        <w:trPr>
          <w:trHeight w:val="426" w:hRule="exact"/>
        </w:trPr>
        <w:tc>
          <w:tcPr>
            <w:tcW w:w="986" w:type="dxa"/>
          </w:tcPr>
          <w:p>
            <w:pPr>
              <w:pStyle w:val="TableParagraph"/>
              <w:spacing w:before="107"/>
              <w:ind w:left="35"/>
              <w:jc w:val="left"/>
              <w:rPr>
                <w:sz w:val="17"/>
              </w:rPr>
            </w:pPr>
            <w:r>
              <w:rPr>
                <w:w w:val="105"/>
                <w:sz w:val="17"/>
              </w:rPr>
              <w:t>TI</w:t>
            </w:r>
          </w:p>
        </w:tc>
        <w:tc>
          <w:tcPr>
            <w:tcW w:w="276" w:type="dxa"/>
          </w:tcPr>
          <w:p>
            <w:pPr>
              <w:pStyle w:val="TableParagraph"/>
              <w:spacing w:before="107"/>
              <w:ind w:right="45"/>
              <w:rPr>
                <w:sz w:val="17"/>
              </w:rPr>
            </w:pPr>
            <w:r>
              <w:rPr>
                <w:w w:val="102"/>
                <w:sz w:val="17"/>
              </w:rPr>
              <w:t>1</w:t>
            </w:r>
          </w:p>
        </w:tc>
        <w:tc>
          <w:tcPr>
            <w:tcW w:w="435" w:type="dxa"/>
          </w:tcPr>
          <w:p>
            <w:pPr/>
          </w:p>
        </w:tc>
        <w:tc>
          <w:tcPr>
            <w:tcW w:w="1576" w:type="dxa"/>
          </w:tcPr>
          <w:p>
            <w:pPr>
              <w:pStyle w:val="TableParagraph"/>
              <w:spacing w:before="107"/>
              <w:ind w:left="459"/>
              <w:jc w:val="left"/>
              <w:rPr>
                <w:sz w:val="17"/>
              </w:rPr>
            </w:pPr>
            <w:r>
              <w:rPr>
                <w:w w:val="105"/>
                <w:sz w:val="17"/>
              </w:rPr>
              <w:t>-5.041E9</w:t>
            </w:r>
          </w:p>
        </w:tc>
        <w:tc>
          <w:tcPr>
            <w:tcW w:w="1497" w:type="dxa"/>
          </w:tcPr>
          <w:p>
            <w:pPr>
              <w:pStyle w:val="TableParagraph"/>
              <w:spacing w:before="107"/>
              <w:ind w:right="166"/>
              <w:rPr>
                <w:sz w:val="17"/>
              </w:rPr>
            </w:pPr>
            <w:r>
              <w:rPr>
                <w:sz w:val="17"/>
              </w:rPr>
              <w:t>9.1319E9</w:t>
            </w:r>
          </w:p>
        </w:tc>
        <w:tc>
          <w:tcPr>
            <w:tcW w:w="1106" w:type="dxa"/>
          </w:tcPr>
          <w:p>
            <w:pPr>
              <w:pStyle w:val="TableParagraph"/>
              <w:spacing w:before="107"/>
              <w:ind w:right="269"/>
              <w:rPr>
                <w:sz w:val="17"/>
              </w:rPr>
            </w:pPr>
            <w:r>
              <w:rPr>
                <w:sz w:val="17"/>
              </w:rPr>
              <w:t>-0.55</w:t>
            </w:r>
          </w:p>
        </w:tc>
        <w:tc>
          <w:tcPr>
            <w:tcW w:w="1028" w:type="dxa"/>
          </w:tcPr>
          <w:p>
            <w:pPr>
              <w:pStyle w:val="TableParagraph"/>
              <w:spacing w:before="107"/>
              <w:ind w:right="33"/>
              <w:rPr>
                <w:sz w:val="17"/>
              </w:rPr>
            </w:pPr>
            <w:r>
              <w:rPr>
                <w:sz w:val="17"/>
              </w:rPr>
              <w:t>0.5886</w:t>
            </w:r>
          </w:p>
        </w:tc>
      </w:tr>
      <w:tr>
        <w:trPr>
          <w:trHeight w:val="426" w:hRule="exact"/>
        </w:trPr>
        <w:tc>
          <w:tcPr>
            <w:tcW w:w="986" w:type="dxa"/>
          </w:tcPr>
          <w:p>
            <w:pPr>
              <w:pStyle w:val="TableParagraph"/>
              <w:spacing w:before="108"/>
              <w:ind w:left="35"/>
              <w:jc w:val="left"/>
              <w:rPr>
                <w:sz w:val="17"/>
              </w:rPr>
            </w:pPr>
            <w:r>
              <w:rPr>
                <w:w w:val="105"/>
                <w:sz w:val="17"/>
              </w:rPr>
              <w:t>GTR</w:t>
            </w:r>
          </w:p>
        </w:tc>
        <w:tc>
          <w:tcPr>
            <w:tcW w:w="276" w:type="dxa"/>
          </w:tcPr>
          <w:p>
            <w:pPr>
              <w:pStyle w:val="TableParagraph"/>
              <w:spacing w:before="108"/>
              <w:ind w:right="28"/>
              <w:rPr>
                <w:sz w:val="17"/>
              </w:rPr>
            </w:pPr>
            <w:r>
              <w:rPr>
                <w:w w:val="102"/>
                <w:sz w:val="17"/>
              </w:rPr>
              <w:t>1</w:t>
            </w:r>
          </w:p>
        </w:tc>
        <w:tc>
          <w:tcPr>
            <w:tcW w:w="435" w:type="dxa"/>
          </w:tcPr>
          <w:p>
            <w:pPr/>
          </w:p>
        </w:tc>
        <w:tc>
          <w:tcPr>
            <w:tcW w:w="1576" w:type="dxa"/>
          </w:tcPr>
          <w:p>
            <w:pPr>
              <w:pStyle w:val="TableParagraph"/>
              <w:spacing w:before="108"/>
              <w:ind w:left="459"/>
              <w:jc w:val="left"/>
              <w:rPr>
                <w:sz w:val="17"/>
              </w:rPr>
            </w:pPr>
            <w:r>
              <w:rPr>
                <w:w w:val="105"/>
                <w:sz w:val="17"/>
              </w:rPr>
              <w:t>-0.76614</w:t>
            </w:r>
          </w:p>
        </w:tc>
        <w:tc>
          <w:tcPr>
            <w:tcW w:w="1497" w:type="dxa"/>
          </w:tcPr>
          <w:p>
            <w:pPr>
              <w:pStyle w:val="TableParagraph"/>
              <w:spacing w:before="108"/>
              <w:ind w:right="185"/>
              <w:rPr>
                <w:sz w:val="17"/>
              </w:rPr>
            </w:pPr>
            <w:r>
              <w:rPr>
                <w:sz w:val="17"/>
              </w:rPr>
              <w:t>1.983653</w:t>
            </w:r>
          </w:p>
        </w:tc>
        <w:tc>
          <w:tcPr>
            <w:tcW w:w="1106" w:type="dxa"/>
          </w:tcPr>
          <w:p>
            <w:pPr>
              <w:pStyle w:val="TableParagraph"/>
              <w:spacing w:before="108"/>
              <w:ind w:right="269"/>
              <w:rPr>
                <w:sz w:val="17"/>
              </w:rPr>
            </w:pPr>
            <w:r>
              <w:rPr>
                <w:sz w:val="17"/>
              </w:rPr>
              <w:t>-0.39</w:t>
            </w:r>
          </w:p>
        </w:tc>
        <w:tc>
          <w:tcPr>
            <w:tcW w:w="1028" w:type="dxa"/>
          </w:tcPr>
          <w:p>
            <w:pPr>
              <w:pStyle w:val="TableParagraph"/>
              <w:spacing w:before="108"/>
              <w:ind w:right="33"/>
              <w:rPr>
                <w:sz w:val="17"/>
              </w:rPr>
            </w:pPr>
            <w:r>
              <w:rPr>
                <w:sz w:val="17"/>
              </w:rPr>
              <w:t>0.7044</w:t>
            </w:r>
          </w:p>
        </w:tc>
      </w:tr>
      <w:tr>
        <w:trPr>
          <w:trHeight w:val="426" w:hRule="exact"/>
        </w:trPr>
        <w:tc>
          <w:tcPr>
            <w:tcW w:w="986" w:type="dxa"/>
          </w:tcPr>
          <w:p>
            <w:pPr>
              <w:pStyle w:val="TableParagraph"/>
              <w:spacing w:before="107"/>
              <w:ind w:left="37"/>
              <w:jc w:val="left"/>
              <w:rPr>
                <w:sz w:val="17"/>
              </w:rPr>
            </w:pPr>
            <w:r>
              <w:rPr>
                <w:w w:val="105"/>
                <w:sz w:val="17"/>
              </w:rPr>
              <w:t>PIBR</w:t>
            </w:r>
          </w:p>
        </w:tc>
        <w:tc>
          <w:tcPr>
            <w:tcW w:w="276" w:type="dxa"/>
          </w:tcPr>
          <w:p>
            <w:pPr>
              <w:pStyle w:val="TableParagraph"/>
              <w:spacing w:before="107"/>
              <w:ind w:right="35"/>
              <w:rPr>
                <w:sz w:val="17"/>
              </w:rPr>
            </w:pPr>
            <w:r>
              <w:rPr>
                <w:w w:val="102"/>
                <w:sz w:val="17"/>
              </w:rPr>
              <w:t>1</w:t>
            </w:r>
          </w:p>
        </w:tc>
        <w:tc>
          <w:tcPr>
            <w:tcW w:w="435" w:type="dxa"/>
          </w:tcPr>
          <w:p>
            <w:pPr/>
          </w:p>
        </w:tc>
        <w:tc>
          <w:tcPr>
            <w:tcW w:w="1576" w:type="dxa"/>
          </w:tcPr>
          <w:p>
            <w:pPr>
              <w:pStyle w:val="TableParagraph"/>
              <w:spacing w:before="107"/>
              <w:ind w:left="308"/>
              <w:jc w:val="left"/>
              <w:rPr>
                <w:sz w:val="17"/>
              </w:rPr>
            </w:pPr>
            <w:r>
              <w:rPr>
                <w:w w:val="105"/>
                <w:sz w:val="17"/>
              </w:rPr>
              <w:t>1.206862</w:t>
            </w:r>
          </w:p>
        </w:tc>
        <w:tc>
          <w:tcPr>
            <w:tcW w:w="1497" w:type="dxa"/>
          </w:tcPr>
          <w:p>
            <w:pPr>
              <w:pStyle w:val="TableParagraph"/>
              <w:spacing w:before="107"/>
              <w:ind w:left="413"/>
              <w:jc w:val="left"/>
              <w:rPr>
                <w:sz w:val="17"/>
              </w:rPr>
            </w:pPr>
            <w:r>
              <w:rPr>
                <w:w w:val="105"/>
                <w:sz w:val="17"/>
              </w:rPr>
              <w:t>2.718979</w:t>
            </w:r>
          </w:p>
        </w:tc>
        <w:tc>
          <w:tcPr>
            <w:tcW w:w="1106" w:type="dxa"/>
          </w:tcPr>
          <w:p>
            <w:pPr>
              <w:pStyle w:val="TableParagraph"/>
              <w:spacing w:before="107"/>
              <w:ind w:right="278"/>
              <w:rPr>
                <w:sz w:val="17"/>
              </w:rPr>
            </w:pPr>
            <w:r>
              <w:rPr>
                <w:sz w:val="17"/>
              </w:rPr>
              <w:t>0.44</w:t>
            </w:r>
          </w:p>
        </w:tc>
        <w:tc>
          <w:tcPr>
            <w:tcW w:w="1028" w:type="dxa"/>
          </w:tcPr>
          <w:p>
            <w:pPr>
              <w:pStyle w:val="TableParagraph"/>
              <w:spacing w:before="107"/>
              <w:ind w:right="90"/>
              <w:rPr>
                <w:sz w:val="17"/>
              </w:rPr>
            </w:pPr>
            <w:r>
              <w:rPr>
                <w:sz w:val="17"/>
              </w:rPr>
              <w:t>0.6631</w:t>
            </w:r>
          </w:p>
        </w:tc>
      </w:tr>
      <w:tr>
        <w:trPr>
          <w:trHeight w:val="426" w:hRule="exact"/>
        </w:trPr>
        <w:tc>
          <w:tcPr>
            <w:tcW w:w="986" w:type="dxa"/>
          </w:tcPr>
          <w:p>
            <w:pPr>
              <w:pStyle w:val="TableParagraph"/>
              <w:spacing w:before="108"/>
              <w:ind w:left="35"/>
              <w:jc w:val="left"/>
              <w:rPr>
                <w:sz w:val="17"/>
              </w:rPr>
            </w:pPr>
            <w:r>
              <w:rPr>
                <w:w w:val="105"/>
                <w:sz w:val="17"/>
              </w:rPr>
              <w:t>INF</w:t>
            </w:r>
          </w:p>
        </w:tc>
        <w:tc>
          <w:tcPr>
            <w:tcW w:w="276" w:type="dxa"/>
          </w:tcPr>
          <w:p>
            <w:pPr>
              <w:pStyle w:val="TableParagraph"/>
              <w:spacing w:before="108"/>
              <w:ind w:right="64"/>
              <w:rPr>
                <w:sz w:val="17"/>
              </w:rPr>
            </w:pPr>
            <w:r>
              <w:rPr>
                <w:w w:val="102"/>
                <w:sz w:val="17"/>
              </w:rPr>
              <w:t>1</w:t>
            </w:r>
          </w:p>
        </w:tc>
        <w:tc>
          <w:tcPr>
            <w:tcW w:w="435" w:type="dxa"/>
          </w:tcPr>
          <w:p>
            <w:pPr/>
          </w:p>
        </w:tc>
        <w:tc>
          <w:tcPr>
            <w:tcW w:w="1576" w:type="dxa"/>
          </w:tcPr>
          <w:p>
            <w:pPr>
              <w:pStyle w:val="TableParagraph"/>
              <w:spacing w:before="108"/>
              <w:ind w:left="278"/>
              <w:jc w:val="left"/>
              <w:rPr>
                <w:sz w:val="17"/>
              </w:rPr>
            </w:pPr>
            <w:r>
              <w:rPr>
                <w:w w:val="105"/>
                <w:sz w:val="17"/>
              </w:rPr>
              <w:t>3.839E9</w:t>
            </w:r>
          </w:p>
        </w:tc>
        <w:tc>
          <w:tcPr>
            <w:tcW w:w="1497" w:type="dxa"/>
          </w:tcPr>
          <w:p>
            <w:pPr>
              <w:pStyle w:val="TableParagraph"/>
              <w:spacing w:before="108"/>
              <w:ind w:left="365"/>
              <w:jc w:val="left"/>
              <w:rPr>
                <w:sz w:val="17"/>
              </w:rPr>
            </w:pPr>
            <w:r>
              <w:rPr>
                <w:w w:val="105"/>
                <w:sz w:val="17"/>
              </w:rPr>
              <w:t>4.2917E9</w:t>
            </w:r>
          </w:p>
        </w:tc>
        <w:tc>
          <w:tcPr>
            <w:tcW w:w="1106" w:type="dxa"/>
          </w:tcPr>
          <w:p>
            <w:pPr>
              <w:pStyle w:val="TableParagraph"/>
              <w:spacing w:before="108"/>
              <w:ind w:right="279"/>
              <w:rPr>
                <w:sz w:val="17"/>
              </w:rPr>
            </w:pPr>
            <w:r>
              <w:rPr>
                <w:sz w:val="17"/>
              </w:rPr>
              <w:t>0.89</w:t>
            </w:r>
          </w:p>
        </w:tc>
        <w:tc>
          <w:tcPr>
            <w:tcW w:w="1028" w:type="dxa"/>
          </w:tcPr>
          <w:p>
            <w:pPr>
              <w:pStyle w:val="TableParagraph"/>
              <w:spacing w:before="108"/>
              <w:ind w:right="90"/>
              <w:rPr>
                <w:sz w:val="17"/>
              </w:rPr>
            </w:pPr>
            <w:r>
              <w:rPr>
                <w:sz w:val="17"/>
              </w:rPr>
              <w:t>0.3843</w:t>
            </w:r>
          </w:p>
        </w:tc>
      </w:tr>
      <w:tr>
        <w:trPr>
          <w:trHeight w:val="400" w:hRule="exact"/>
        </w:trPr>
        <w:tc>
          <w:tcPr>
            <w:tcW w:w="986" w:type="dxa"/>
          </w:tcPr>
          <w:p>
            <w:pPr>
              <w:pStyle w:val="TableParagraph"/>
              <w:spacing w:before="107"/>
              <w:ind w:left="37"/>
              <w:jc w:val="left"/>
              <w:rPr>
                <w:sz w:val="17"/>
              </w:rPr>
            </w:pPr>
            <w:r>
              <w:rPr>
                <w:w w:val="105"/>
                <w:sz w:val="17"/>
              </w:rPr>
              <w:t>RETR</w:t>
            </w:r>
          </w:p>
        </w:tc>
        <w:tc>
          <w:tcPr>
            <w:tcW w:w="276" w:type="dxa"/>
          </w:tcPr>
          <w:p>
            <w:pPr>
              <w:pStyle w:val="TableParagraph"/>
              <w:spacing w:before="107"/>
              <w:ind w:right="64"/>
              <w:rPr>
                <w:sz w:val="17"/>
              </w:rPr>
            </w:pPr>
            <w:r>
              <w:rPr>
                <w:w w:val="102"/>
                <w:sz w:val="17"/>
              </w:rPr>
              <w:t>1</w:t>
            </w:r>
          </w:p>
        </w:tc>
        <w:tc>
          <w:tcPr>
            <w:tcW w:w="435" w:type="dxa"/>
          </w:tcPr>
          <w:p>
            <w:pPr/>
          </w:p>
        </w:tc>
        <w:tc>
          <w:tcPr>
            <w:tcW w:w="1576" w:type="dxa"/>
          </w:tcPr>
          <w:p>
            <w:pPr>
              <w:pStyle w:val="TableParagraph"/>
              <w:spacing w:before="107"/>
              <w:ind w:left="226"/>
              <w:jc w:val="left"/>
              <w:rPr>
                <w:sz w:val="17"/>
              </w:rPr>
            </w:pPr>
            <w:r>
              <w:rPr>
                <w:w w:val="105"/>
                <w:sz w:val="17"/>
              </w:rPr>
              <w:t>3.330466</w:t>
            </w:r>
          </w:p>
        </w:tc>
        <w:tc>
          <w:tcPr>
            <w:tcW w:w="1497" w:type="dxa"/>
          </w:tcPr>
          <w:p>
            <w:pPr>
              <w:pStyle w:val="TableParagraph"/>
              <w:spacing w:before="107"/>
              <w:ind w:left="266"/>
              <w:jc w:val="left"/>
              <w:rPr>
                <w:sz w:val="17"/>
              </w:rPr>
            </w:pPr>
            <w:r>
              <w:rPr>
                <w:w w:val="105"/>
                <w:sz w:val="17"/>
              </w:rPr>
              <w:t>1.442948</w:t>
            </w:r>
          </w:p>
        </w:tc>
        <w:tc>
          <w:tcPr>
            <w:tcW w:w="1106" w:type="dxa"/>
          </w:tcPr>
          <w:p>
            <w:pPr>
              <w:pStyle w:val="TableParagraph"/>
              <w:spacing w:before="107"/>
              <w:ind w:right="279"/>
              <w:rPr>
                <w:sz w:val="17"/>
              </w:rPr>
            </w:pPr>
            <w:r>
              <w:rPr>
                <w:sz w:val="17"/>
              </w:rPr>
              <w:t>2.31</w:t>
            </w:r>
          </w:p>
        </w:tc>
        <w:tc>
          <w:tcPr>
            <w:tcW w:w="1028" w:type="dxa"/>
          </w:tcPr>
          <w:p>
            <w:pPr>
              <w:pStyle w:val="TableParagraph"/>
              <w:spacing w:before="107"/>
              <w:ind w:left="271"/>
              <w:jc w:val="left"/>
              <w:rPr>
                <w:sz w:val="17"/>
              </w:rPr>
            </w:pPr>
            <w:r>
              <w:rPr>
                <w:w w:val="105"/>
                <w:sz w:val="17"/>
              </w:rPr>
              <w:t>0.0347</w:t>
            </w:r>
          </w:p>
        </w:tc>
      </w:tr>
    </w:tbl>
    <w:p>
      <w:pPr>
        <w:pStyle w:val="BodyText"/>
        <w:rPr>
          <w:b/>
          <w:sz w:val="22"/>
        </w:rPr>
      </w:pPr>
    </w:p>
    <w:p>
      <w:pPr>
        <w:pStyle w:val="BodyText"/>
        <w:rPr>
          <w:b/>
          <w:sz w:val="22"/>
        </w:rPr>
      </w:pPr>
    </w:p>
    <w:p>
      <w:pPr>
        <w:pStyle w:val="BodyText"/>
        <w:rPr>
          <w:b/>
          <w:sz w:val="22"/>
        </w:rPr>
      </w:pPr>
    </w:p>
    <w:p>
      <w:pPr>
        <w:spacing w:before="149"/>
        <w:ind w:left="121" w:right="690" w:firstLine="0"/>
        <w:jc w:val="left"/>
        <w:rPr>
          <w:sz w:val="23"/>
        </w:rPr>
      </w:pPr>
      <w:r>
        <w:rPr>
          <w:sz w:val="21"/>
        </w:rPr>
        <w:t>Fuente: Elaborado en base a la salida de  SAS</w:t>
      </w:r>
      <w:r>
        <w:rPr>
          <w:sz w:val="23"/>
        </w:rPr>
        <w:t>.</w:t>
      </w:r>
    </w:p>
    <w:p>
      <w:pPr>
        <w:spacing w:after="0"/>
        <w:jc w:val="left"/>
        <w:rPr>
          <w:sz w:val="23"/>
        </w:rPr>
        <w:sectPr>
          <w:pgSz w:w="11900" w:h="16840"/>
          <w:pgMar w:header="0" w:footer="1679" w:top="1600" w:bottom="1860" w:left="1280" w:right="1280"/>
        </w:sectPr>
      </w:pPr>
    </w:p>
    <w:p>
      <w:pPr>
        <w:pStyle w:val="BodyText"/>
        <w:rPr>
          <w:sz w:val="20"/>
        </w:rPr>
      </w:pPr>
    </w:p>
    <w:p>
      <w:pPr>
        <w:pStyle w:val="BodyText"/>
        <w:spacing w:before="2"/>
        <w:rPr>
          <w:sz w:val="20"/>
        </w:rPr>
      </w:pPr>
    </w:p>
    <w:p>
      <w:pPr>
        <w:pStyle w:val="BodyText"/>
        <w:spacing w:line="379" w:lineRule="auto" w:before="74"/>
        <w:ind w:left="101" w:right="104"/>
        <w:jc w:val="both"/>
      </w:pPr>
      <w:r>
        <w:rPr/>
        <w:t>El análisis presentado para ésta ecuación de la inversión total real de México (ITR </w:t>
      </w:r>
      <w:r>
        <w:rPr>
          <w:rFonts w:ascii="Times New Roman" w:hAnsi="Times New Roman"/>
          <w:i/>
          <w:position w:val="-5"/>
          <w:sz w:val="13"/>
        </w:rPr>
        <w:t>t </w:t>
      </w:r>
      <w:r>
        <w:rPr/>
        <w:t>), tiene un valor de F de 43.38 el cual es significativo en el modelo  planteado,  obteniéndose una probabilidad de error mínimo de 0.0001, por otro lado, se tiene que el coeficiente de determinación ( </w:t>
      </w:r>
      <w:r>
        <w:rPr>
          <w:rFonts w:ascii="Times New Roman" w:hAnsi="Times New Roman"/>
          <w:i/>
        </w:rPr>
        <w:t>R </w:t>
      </w:r>
      <w:r>
        <w:rPr>
          <w:rFonts w:ascii="Times New Roman" w:hAnsi="Times New Roman"/>
          <w:position w:val="10"/>
          <w:sz w:val="13"/>
        </w:rPr>
        <w:t>2 </w:t>
      </w:r>
      <w:r>
        <w:rPr/>
        <w:t>) es igual a 0.94208, es decir, que la ecuación es explicada en un 94%, lo cual resulta altamente</w:t>
      </w:r>
      <w:r>
        <w:rPr>
          <w:spacing w:val="62"/>
        </w:rPr>
        <w:t> </w:t>
      </w:r>
      <w:r>
        <w:rPr/>
        <w:t>significativo.</w:t>
      </w:r>
    </w:p>
    <w:p>
      <w:pPr>
        <w:pStyle w:val="BodyText"/>
        <w:spacing w:before="10"/>
        <w:rPr>
          <w:sz w:val="18"/>
        </w:rPr>
      </w:pPr>
    </w:p>
    <w:p>
      <w:pPr>
        <w:pStyle w:val="BodyText"/>
        <w:spacing w:line="403" w:lineRule="auto"/>
        <w:ind w:left="101" w:right="105"/>
        <w:jc w:val="both"/>
      </w:pPr>
      <w:r>
        <w:rPr/>
        <w:t>Los coeficientes de regresión que no son significativos en la ecuación son: TI </w:t>
      </w:r>
      <w:r>
        <w:rPr>
          <w:rFonts w:ascii="Times New Roman" w:hAnsi="Times New Roman"/>
          <w:i/>
          <w:position w:val="-5"/>
          <w:sz w:val="14"/>
        </w:rPr>
        <w:t>t </w:t>
      </w:r>
      <w:r>
        <w:rPr/>
        <w:t>, GR </w:t>
      </w:r>
      <w:r>
        <w:rPr>
          <w:rFonts w:ascii="Times New Roman" w:hAnsi="Times New Roman"/>
          <w:i/>
          <w:position w:val="-5"/>
          <w:sz w:val="14"/>
        </w:rPr>
        <w:t>t </w:t>
      </w:r>
      <w:r>
        <w:rPr/>
        <w:t>, PIBR </w:t>
      </w:r>
      <w:r>
        <w:rPr>
          <w:rFonts w:ascii="Times New Roman" w:hAnsi="Times New Roman"/>
          <w:i/>
          <w:position w:val="-5"/>
          <w:sz w:val="14"/>
        </w:rPr>
        <w:t>t </w:t>
      </w:r>
      <w:r>
        <w:rPr/>
        <w:t>e INF </w:t>
      </w:r>
      <w:r>
        <w:rPr>
          <w:rFonts w:ascii="Times New Roman" w:hAnsi="Times New Roman"/>
          <w:i/>
          <w:position w:val="-5"/>
          <w:sz w:val="14"/>
        </w:rPr>
        <w:t>t </w:t>
      </w:r>
      <w:r>
        <w:rPr/>
        <w:t>, con una probabilidad de fallo de 0.2820, 0.5886,  0.7044,  0.6631,  y 0.3843 respectivamente, por el contrario las variables que son significantes  para  explicar el modelo son el TC </w:t>
      </w:r>
      <w:r>
        <w:rPr>
          <w:rFonts w:ascii="Times New Roman" w:hAnsi="Times New Roman"/>
          <w:i/>
          <w:position w:val="-5"/>
          <w:sz w:val="14"/>
        </w:rPr>
        <w:t>t  </w:t>
      </w:r>
      <w:r>
        <w:rPr/>
        <w:t>con probabilidad de acierto de 0.718 y una probabilidad   de falló mínima de 0.2820; las RER </w:t>
      </w:r>
      <w:r>
        <w:rPr>
          <w:rFonts w:ascii="Times New Roman" w:hAnsi="Times New Roman"/>
          <w:i/>
          <w:position w:val="-5"/>
          <w:sz w:val="14"/>
        </w:rPr>
        <w:t>t   </w:t>
      </w:r>
      <w:r>
        <w:rPr/>
        <w:t>que explican la ecuación ITR </w:t>
      </w:r>
      <w:r>
        <w:rPr>
          <w:rFonts w:ascii="Times New Roman" w:hAnsi="Times New Roman"/>
          <w:i/>
          <w:position w:val="-5"/>
          <w:sz w:val="14"/>
        </w:rPr>
        <w:t>t    </w:t>
      </w:r>
      <w:r>
        <w:rPr/>
        <w:t>en</w:t>
      </w:r>
      <w:r>
        <w:rPr>
          <w:spacing w:val="8"/>
        </w:rPr>
        <w:t> </w:t>
      </w:r>
      <w:r>
        <w:rPr/>
        <w:t>0.9653.</w:t>
      </w:r>
    </w:p>
    <w:p>
      <w:pPr>
        <w:pStyle w:val="Heading4"/>
        <w:spacing w:before="172"/>
        <w:jc w:val="both"/>
      </w:pPr>
      <w:r>
        <w:rPr/>
        <w:t>Tasa de desempleo abierto en México (U </w:t>
      </w:r>
      <w:r>
        <w:rPr>
          <w:rFonts w:ascii="Times New Roman" w:hAnsi="Times New Roman"/>
          <w:b w:val="0"/>
          <w:i/>
          <w:position w:val="-5"/>
          <w:sz w:val="13"/>
        </w:rPr>
        <w:t>t  </w:t>
      </w:r>
      <w:r>
        <w:rPr/>
        <w:t>).</w:t>
      </w:r>
    </w:p>
    <w:p>
      <w:pPr>
        <w:pStyle w:val="BodyText"/>
        <w:spacing w:before="2"/>
        <w:rPr>
          <w:b/>
          <w:sz w:val="31"/>
        </w:rPr>
      </w:pPr>
    </w:p>
    <w:p>
      <w:pPr>
        <w:pStyle w:val="BodyText"/>
        <w:spacing w:line="364" w:lineRule="auto"/>
        <w:ind w:left="101" w:right="105"/>
        <w:jc w:val="both"/>
      </w:pPr>
      <w:r>
        <w:rPr/>
        <w:t>Dentro del modelo planteado se tiene que la ecuación cuatro es la de la tasa de desempleo en México, la cual presenta los siguientes resultados, cuadro  4.</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6"/>
        <w:rPr>
          <w:sz w:val="18"/>
        </w:rPr>
      </w:pPr>
    </w:p>
    <w:p>
      <w:pPr>
        <w:pStyle w:val="Heading4"/>
        <w:spacing w:before="74"/>
        <w:ind w:left="2072" w:right="690"/>
      </w:pPr>
      <w:r>
        <w:rPr/>
        <w:pict>
          <v:shape style="position:absolute;margin-left:70.079926pt;margin-top:24.686161pt;width:429.25pt;height:364.7pt;mso-position-horizontal-relative:page;mso-position-vertical-relative:paragraph;z-index:-699328"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2"/>
                    <w:rPr>
                      <w:sz w:val="21"/>
                    </w:rPr>
                  </w:pPr>
                </w:p>
                <w:p>
                  <w:pPr>
                    <w:pStyle w:val="BodyText"/>
                  </w:pPr>
                  <w:r>
                    <w:rPr/>
                    <w:t>Fuente: Elaborado en base a la salida de</w:t>
                  </w:r>
                  <w:r>
                    <w:rPr>
                      <w:spacing w:val="56"/>
                    </w:rPr>
                    <w:t> </w:t>
                  </w:r>
                  <w:r>
                    <w:rPr/>
                    <w:t>SAS.</w:t>
                  </w:r>
                </w:p>
              </w:txbxContent>
            </v:textbox>
            <w10:wrap type="none"/>
          </v:shape>
        </w:pict>
      </w:r>
      <w:r>
        <w:rPr/>
        <w:pict>
          <v:group style="position:absolute;margin-left:69.705002pt;margin-top:24.311161pt;width:430pt;height:365.55pt;mso-position-horizontal-relative:page;mso-position-vertical-relative:paragraph;z-index:-699304" coordorigin="1394,486" coordsize="8600,7311">
            <v:rect style="position:absolute;left:1402;top:494;width:8585;height:7294" filled="true" fillcolor="#ffffff" stroked="false">
              <v:fill type="solid"/>
            </v:rect>
            <v:rect style="position:absolute;left:1402;top:494;width:8585;height:7296" filled="false" stroked="true" strokeweight=".730032pt" strokecolor="#000000"/>
            <w10:wrap type="none"/>
          </v:group>
        </w:pict>
      </w:r>
      <w:r>
        <w:rPr/>
        <w:t>Cuadro 4. Análisis de varianza del U en</w:t>
      </w:r>
      <w:r>
        <w:rPr>
          <w:spacing w:val="55"/>
        </w:rPr>
        <w:t> </w:t>
      </w:r>
      <w:r>
        <w:rPr/>
        <w:t>México</w:t>
      </w:r>
    </w:p>
    <w:p>
      <w:pPr>
        <w:pStyle w:val="BodyText"/>
        <w:spacing w:before="2"/>
        <w:rPr>
          <w:b/>
          <w:sz w:val="13"/>
        </w:rPr>
      </w:pPr>
    </w:p>
    <w:tbl>
      <w:tblPr>
        <w:tblW w:w="0" w:type="auto"/>
        <w:jc w:val="left"/>
        <w:tblInd w:w="75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20"/>
        <w:gridCol w:w="732"/>
        <w:gridCol w:w="1740"/>
        <w:gridCol w:w="1236"/>
      </w:tblGrid>
      <w:tr>
        <w:trPr>
          <w:trHeight w:val="737" w:hRule="exact"/>
        </w:trPr>
        <w:tc>
          <w:tcPr>
            <w:tcW w:w="4052" w:type="dxa"/>
            <w:gridSpan w:val="2"/>
          </w:tcPr>
          <w:p>
            <w:pPr>
              <w:pStyle w:val="TableParagraph"/>
              <w:spacing w:before="86"/>
              <w:ind w:left="2312"/>
              <w:jc w:val="left"/>
              <w:rPr>
                <w:sz w:val="15"/>
              </w:rPr>
            </w:pPr>
            <w:r>
              <w:rPr>
                <w:w w:val="105"/>
                <w:sz w:val="15"/>
              </w:rPr>
              <w:t>Dependent Variable</w:t>
            </w:r>
          </w:p>
          <w:p>
            <w:pPr>
              <w:pStyle w:val="TableParagraph"/>
              <w:spacing w:before="4"/>
              <w:jc w:val="left"/>
              <w:rPr>
                <w:b/>
                <w:sz w:val="17"/>
              </w:rPr>
            </w:pPr>
          </w:p>
          <w:p>
            <w:pPr>
              <w:pStyle w:val="TableParagraph"/>
              <w:spacing w:before="0"/>
              <w:ind w:left="1723"/>
              <w:jc w:val="left"/>
              <w:rPr>
                <w:sz w:val="15"/>
              </w:rPr>
            </w:pPr>
            <w:r>
              <w:rPr>
                <w:w w:val="105"/>
                <w:sz w:val="15"/>
              </w:rPr>
              <w:t>Análisis de varianza</w:t>
            </w:r>
          </w:p>
        </w:tc>
        <w:tc>
          <w:tcPr>
            <w:tcW w:w="2976" w:type="dxa"/>
            <w:gridSpan w:val="2"/>
          </w:tcPr>
          <w:p>
            <w:pPr>
              <w:pStyle w:val="TableParagraph"/>
              <w:spacing w:before="86"/>
              <w:ind w:left="363"/>
              <w:jc w:val="left"/>
              <w:rPr>
                <w:sz w:val="15"/>
              </w:rPr>
            </w:pPr>
            <w:r>
              <w:rPr>
                <w:w w:val="104"/>
                <w:sz w:val="15"/>
              </w:rPr>
              <w:t>U</w:t>
            </w:r>
          </w:p>
        </w:tc>
      </w:tr>
      <w:tr>
        <w:trPr>
          <w:trHeight w:val="749" w:hRule="exact"/>
        </w:trPr>
        <w:tc>
          <w:tcPr>
            <w:tcW w:w="3320" w:type="dxa"/>
          </w:tcPr>
          <w:p>
            <w:pPr>
              <w:pStyle w:val="TableParagraph"/>
              <w:spacing w:before="95"/>
              <w:ind w:right="381"/>
              <w:rPr>
                <w:sz w:val="15"/>
              </w:rPr>
            </w:pPr>
            <w:r>
              <w:rPr>
                <w:w w:val="105"/>
                <w:sz w:val="15"/>
              </w:rPr>
              <w:t>Suma de</w:t>
            </w:r>
          </w:p>
          <w:p>
            <w:pPr>
              <w:pStyle w:val="TableParagraph"/>
              <w:spacing w:before="6"/>
              <w:jc w:val="left"/>
              <w:rPr>
                <w:b/>
                <w:sz w:val="17"/>
              </w:rPr>
            </w:pPr>
          </w:p>
          <w:p>
            <w:pPr>
              <w:pStyle w:val="TableParagraph"/>
              <w:tabs>
                <w:tab w:pos="1551" w:val="left" w:leader="none"/>
                <w:tab w:pos="2311" w:val="left" w:leader="none"/>
              </w:tabs>
              <w:spacing w:before="0"/>
              <w:ind w:left="157"/>
              <w:jc w:val="left"/>
              <w:rPr>
                <w:sz w:val="15"/>
              </w:rPr>
            </w:pPr>
            <w:r>
              <w:rPr>
                <w:w w:val="105"/>
                <w:sz w:val="15"/>
              </w:rPr>
              <w:t>Fuente</w:t>
              <w:tab/>
              <w:t>DF</w:t>
              <w:tab/>
              <w:t>cuadrados</w:t>
            </w:r>
          </w:p>
        </w:tc>
        <w:tc>
          <w:tcPr>
            <w:tcW w:w="2472" w:type="dxa"/>
            <w:gridSpan w:val="2"/>
          </w:tcPr>
          <w:p>
            <w:pPr>
              <w:pStyle w:val="TableParagraph"/>
              <w:spacing w:before="95"/>
              <w:ind w:left="394"/>
              <w:jc w:val="left"/>
              <w:rPr>
                <w:sz w:val="15"/>
              </w:rPr>
            </w:pPr>
            <w:r>
              <w:rPr>
                <w:w w:val="105"/>
                <w:sz w:val="15"/>
              </w:rPr>
              <w:t>Cuadrado</w:t>
            </w:r>
          </w:p>
          <w:p>
            <w:pPr>
              <w:pStyle w:val="TableParagraph"/>
              <w:spacing w:before="6"/>
              <w:jc w:val="left"/>
              <w:rPr>
                <w:b/>
                <w:sz w:val="17"/>
              </w:rPr>
            </w:pPr>
          </w:p>
          <w:p>
            <w:pPr>
              <w:pStyle w:val="TableParagraph"/>
              <w:tabs>
                <w:tab w:pos="1795" w:val="left" w:leader="none"/>
              </w:tabs>
              <w:spacing w:before="0"/>
              <w:ind w:left="394"/>
              <w:jc w:val="left"/>
              <w:rPr>
                <w:sz w:val="15"/>
              </w:rPr>
            </w:pPr>
            <w:r>
              <w:rPr>
                <w:w w:val="105"/>
                <w:sz w:val="15"/>
              </w:rPr>
              <w:t>de</w:t>
            </w:r>
            <w:r>
              <w:rPr>
                <w:spacing w:val="-5"/>
                <w:w w:val="105"/>
                <w:sz w:val="15"/>
              </w:rPr>
              <w:t> </w:t>
            </w:r>
            <w:r>
              <w:rPr>
                <w:w w:val="105"/>
                <w:sz w:val="15"/>
              </w:rPr>
              <w:t>la</w:t>
            </w:r>
            <w:r>
              <w:rPr>
                <w:spacing w:val="-5"/>
                <w:w w:val="105"/>
                <w:sz w:val="15"/>
              </w:rPr>
              <w:t> </w:t>
            </w:r>
            <w:r>
              <w:rPr>
                <w:w w:val="105"/>
                <w:sz w:val="15"/>
              </w:rPr>
              <w:t>media</w:t>
              <w:tab/>
              <w:t>F-Valor</w:t>
            </w:r>
          </w:p>
        </w:tc>
        <w:tc>
          <w:tcPr>
            <w:tcW w:w="1236" w:type="dxa"/>
          </w:tcPr>
          <w:p>
            <w:pPr>
              <w:pStyle w:val="TableParagraph"/>
              <w:spacing w:before="0"/>
              <w:jc w:val="left"/>
              <w:rPr>
                <w:b/>
                <w:sz w:val="16"/>
              </w:rPr>
            </w:pPr>
          </w:p>
          <w:p>
            <w:pPr>
              <w:pStyle w:val="TableParagraph"/>
              <w:spacing w:before="0"/>
              <w:jc w:val="left"/>
              <w:rPr>
                <w:b/>
                <w:sz w:val="16"/>
              </w:rPr>
            </w:pPr>
          </w:p>
          <w:p>
            <w:pPr>
              <w:pStyle w:val="TableParagraph"/>
              <w:spacing w:before="101"/>
              <w:ind w:right="79"/>
              <w:rPr>
                <w:sz w:val="15"/>
              </w:rPr>
            </w:pPr>
            <w:r>
              <w:rPr>
                <w:w w:val="105"/>
                <w:sz w:val="15"/>
              </w:rPr>
              <w:t>Pr &gt; F</w:t>
            </w:r>
          </w:p>
        </w:tc>
      </w:tr>
      <w:tr>
        <w:trPr>
          <w:trHeight w:val="373" w:hRule="exact"/>
        </w:trPr>
        <w:tc>
          <w:tcPr>
            <w:tcW w:w="3320" w:type="dxa"/>
          </w:tcPr>
          <w:p>
            <w:pPr>
              <w:pStyle w:val="TableParagraph"/>
              <w:tabs>
                <w:tab w:pos="1618" w:val="left" w:leader="none"/>
                <w:tab w:pos="2312" w:val="left" w:leader="none"/>
              </w:tabs>
              <w:spacing w:before="95"/>
              <w:ind w:left="159"/>
              <w:jc w:val="left"/>
              <w:rPr>
                <w:sz w:val="15"/>
              </w:rPr>
            </w:pPr>
            <w:r>
              <w:rPr>
                <w:w w:val="105"/>
                <w:sz w:val="15"/>
              </w:rPr>
              <w:t>Model</w:t>
              <w:tab/>
              <w:t>4</w:t>
              <w:tab/>
              <w:t>19.58846</w:t>
            </w:r>
          </w:p>
        </w:tc>
        <w:tc>
          <w:tcPr>
            <w:tcW w:w="2472" w:type="dxa"/>
            <w:gridSpan w:val="2"/>
          </w:tcPr>
          <w:p>
            <w:pPr>
              <w:pStyle w:val="TableParagraph"/>
              <w:tabs>
                <w:tab w:pos="1795" w:val="left" w:leader="none"/>
              </w:tabs>
              <w:spacing w:before="95"/>
              <w:ind w:left="394"/>
              <w:jc w:val="left"/>
              <w:rPr>
                <w:sz w:val="15"/>
              </w:rPr>
            </w:pPr>
            <w:r>
              <w:rPr>
                <w:w w:val="105"/>
                <w:sz w:val="15"/>
              </w:rPr>
              <w:t>4.897114</w:t>
              <w:tab/>
              <w:t>3.93</w:t>
            </w:r>
          </w:p>
        </w:tc>
        <w:tc>
          <w:tcPr>
            <w:tcW w:w="1236" w:type="dxa"/>
          </w:tcPr>
          <w:p>
            <w:pPr>
              <w:pStyle w:val="TableParagraph"/>
              <w:spacing w:before="95"/>
              <w:ind w:right="33"/>
              <w:rPr>
                <w:sz w:val="15"/>
              </w:rPr>
            </w:pPr>
            <w:r>
              <w:rPr>
                <w:sz w:val="15"/>
              </w:rPr>
              <w:t>0.0183</w:t>
            </w:r>
          </w:p>
        </w:tc>
      </w:tr>
      <w:tr>
        <w:trPr>
          <w:trHeight w:val="1122" w:hRule="exact"/>
        </w:trPr>
        <w:tc>
          <w:tcPr>
            <w:tcW w:w="3320" w:type="dxa"/>
          </w:tcPr>
          <w:p>
            <w:pPr>
              <w:pStyle w:val="TableParagraph"/>
              <w:tabs>
                <w:tab w:pos="1541" w:val="left" w:leader="none"/>
                <w:tab w:pos="2312" w:val="left" w:leader="none"/>
              </w:tabs>
              <w:spacing w:before="94"/>
              <w:ind w:left="157"/>
              <w:jc w:val="left"/>
              <w:rPr>
                <w:sz w:val="15"/>
              </w:rPr>
            </w:pPr>
            <w:r>
              <w:rPr>
                <w:w w:val="105"/>
                <w:sz w:val="15"/>
              </w:rPr>
              <w:t>Error</w:t>
              <w:tab/>
              <w:t>18</w:t>
              <w:tab/>
              <w:t>22.44262</w:t>
            </w:r>
          </w:p>
          <w:p>
            <w:pPr>
              <w:pStyle w:val="TableParagraph"/>
              <w:spacing w:before="6"/>
              <w:jc w:val="left"/>
              <w:rPr>
                <w:b/>
                <w:sz w:val="17"/>
              </w:rPr>
            </w:pPr>
          </w:p>
          <w:p>
            <w:pPr>
              <w:pStyle w:val="TableParagraph"/>
              <w:tabs>
                <w:tab w:pos="1532" w:val="left" w:leader="none"/>
                <w:tab w:pos="2312" w:val="left" w:leader="none"/>
              </w:tabs>
              <w:spacing w:before="0"/>
              <w:ind w:left="157"/>
              <w:jc w:val="left"/>
              <w:rPr>
                <w:sz w:val="15"/>
              </w:rPr>
            </w:pPr>
            <w:r>
              <w:rPr>
                <w:w w:val="105"/>
                <w:sz w:val="15"/>
              </w:rPr>
              <w:t>Corrected</w:t>
            </w:r>
            <w:r>
              <w:rPr>
                <w:spacing w:val="-8"/>
                <w:w w:val="105"/>
                <w:sz w:val="15"/>
              </w:rPr>
              <w:t> </w:t>
            </w:r>
            <w:r>
              <w:rPr>
                <w:w w:val="105"/>
                <w:sz w:val="15"/>
              </w:rPr>
              <w:t>Total</w:t>
              <w:tab/>
              <w:t>22</w:t>
              <w:tab/>
              <w:t>42.28478</w:t>
            </w:r>
          </w:p>
          <w:p>
            <w:pPr>
              <w:pStyle w:val="TableParagraph"/>
              <w:spacing w:before="6"/>
              <w:jc w:val="left"/>
              <w:rPr>
                <w:b/>
                <w:sz w:val="17"/>
              </w:rPr>
            </w:pPr>
          </w:p>
          <w:p>
            <w:pPr>
              <w:pStyle w:val="TableParagraph"/>
              <w:tabs>
                <w:tab w:pos="2311" w:val="left" w:leader="none"/>
              </w:tabs>
              <w:spacing w:before="0"/>
              <w:ind w:left="548"/>
              <w:jc w:val="left"/>
              <w:rPr>
                <w:sz w:val="15"/>
              </w:rPr>
            </w:pPr>
            <w:r>
              <w:rPr>
                <w:w w:val="105"/>
                <w:sz w:val="15"/>
              </w:rPr>
              <w:t>Root</w:t>
            </w:r>
            <w:r>
              <w:rPr>
                <w:spacing w:val="-4"/>
                <w:w w:val="105"/>
                <w:sz w:val="15"/>
              </w:rPr>
              <w:t> </w:t>
            </w:r>
            <w:r>
              <w:rPr>
                <w:w w:val="105"/>
                <w:sz w:val="15"/>
              </w:rPr>
              <w:t>MSE</w:t>
              <w:tab/>
              <w:t>1.11661</w:t>
            </w:r>
          </w:p>
        </w:tc>
        <w:tc>
          <w:tcPr>
            <w:tcW w:w="2472" w:type="dxa"/>
            <w:gridSpan w:val="2"/>
          </w:tcPr>
          <w:p>
            <w:pPr>
              <w:pStyle w:val="TableParagraph"/>
              <w:spacing w:before="94"/>
              <w:ind w:left="394"/>
              <w:jc w:val="left"/>
              <w:rPr>
                <w:sz w:val="15"/>
              </w:rPr>
            </w:pPr>
            <w:r>
              <w:rPr>
                <w:w w:val="105"/>
                <w:sz w:val="15"/>
              </w:rPr>
              <w:t>1.246812</w:t>
            </w:r>
          </w:p>
          <w:p>
            <w:pPr>
              <w:pStyle w:val="TableParagraph"/>
              <w:spacing w:before="0"/>
              <w:jc w:val="left"/>
              <w:rPr>
                <w:b/>
                <w:sz w:val="16"/>
              </w:rPr>
            </w:pPr>
          </w:p>
          <w:p>
            <w:pPr>
              <w:pStyle w:val="TableParagraph"/>
              <w:spacing w:before="0"/>
              <w:jc w:val="left"/>
              <w:rPr>
                <w:b/>
                <w:sz w:val="16"/>
              </w:rPr>
            </w:pPr>
          </w:p>
          <w:p>
            <w:pPr>
              <w:pStyle w:val="TableParagraph"/>
              <w:spacing w:before="1"/>
              <w:jc w:val="left"/>
              <w:rPr>
                <w:b/>
                <w:sz w:val="18"/>
              </w:rPr>
            </w:pPr>
          </w:p>
          <w:p>
            <w:pPr>
              <w:pStyle w:val="TableParagraph"/>
              <w:tabs>
                <w:tab w:pos="1361" w:val="left" w:leader="none"/>
              </w:tabs>
              <w:spacing w:before="0"/>
              <w:ind w:left="394"/>
              <w:jc w:val="left"/>
              <w:rPr>
                <w:sz w:val="15"/>
              </w:rPr>
            </w:pPr>
            <w:r>
              <w:rPr>
                <w:w w:val="105"/>
                <w:sz w:val="15"/>
              </w:rPr>
              <w:t>R-Square</w:t>
              <w:tab/>
              <w:t>0.46605</w:t>
            </w:r>
          </w:p>
        </w:tc>
        <w:tc>
          <w:tcPr>
            <w:tcW w:w="1236" w:type="dxa"/>
          </w:tcPr>
          <w:p>
            <w:pPr/>
          </w:p>
        </w:tc>
      </w:tr>
      <w:tr>
        <w:trPr>
          <w:trHeight w:val="1495" w:hRule="exact"/>
        </w:trPr>
        <w:tc>
          <w:tcPr>
            <w:tcW w:w="3320" w:type="dxa"/>
          </w:tcPr>
          <w:p>
            <w:pPr>
              <w:pStyle w:val="TableParagraph"/>
              <w:tabs>
                <w:tab w:pos="2312" w:val="left" w:leader="none"/>
              </w:tabs>
              <w:spacing w:before="95"/>
              <w:ind w:left="548"/>
              <w:jc w:val="left"/>
              <w:rPr>
                <w:sz w:val="15"/>
              </w:rPr>
            </w:pPr>
            <w:r>
              <w:rPr>
                <w:w w:val="105"/>
                <w:sz w:val="15"/>
              </w:rPr>
              <w:t>Dependent</w:t>
            </w:r>
            <w:r>
              <w:rPr>
                <w:spacing w:val="-8"/>
                <w:w w:val="105"/>
                <w:sz w:val="15"/>
              </w:rPr>
              <w:t> </w:t>
            </w:r>
            <w:r>
              <w:rPr>
                <w:w w:val="105"/>
                <w:sz w:val="15"/>
              </w:rPr>
              <w:t>Mean</w:t>
              <w:tab/>
              <w:t>4.89770</w:t>
            </w:r>
          </w:p>
          <w:p>
            <w:pPr>
              <w:pStyle w:val="TableParagraph"/>
              <w:spacing w:before="4"/>
              <w:jc w:val="left"/>
              <w:rPr>
                <w:b/>
                <w:sz w:val="17"/>
              </w:rPr>
            </w:pPr>
          </w:p>
          <w:p>
            <w:pPr>
              <w:pStyle w:val="TableParagraph"/>
              <w:tabs>
                <w:tab w:pos="2156" w:val="left" w:leader="none"/>
              </w:tabs>
              <w:spacing w:line="520" w:lineRule="auto" w:before="0"/>
              <w:ind w:left="1152" w:right="161" w:hanging="605"/>
              <w:jc w:val="left"/>
              <w:rPr>
                <w:sz w:val="15"/>
              </w:rPr>
            </w:pPr>
            <w:r>
              <w:rPr>
                <w:w w:val="105"/>
                <w:sz w:val="15"/>
              </w:rPr>
              <w:t>Coeff</w:t>
            </w:r>
            <w:r>
              <w:rPr>
                <w:spacing w:val="-5"/>
                <w:w w:val="105"/>
                <w:sz w:val="15"/>
              </w:rPr>
              <w:t> </w:t>
            </w:r>
            <w:r>
              <w:rPr>
                <w:w w:val="105"/>
                <w:sz w:val="15"/>
              </w:rPr>
              <w:t>Var</w:t>
              <w:tab/>
              <w:t>22.79863 Estimadores  de</w:t>
            </w:r>
            <w:r>
              <w:rPr>
                <w:spacing w:val="14"/>
                <w:w w:val="105"/>
                <w:sz w:val="15"/>
              </w:rPr>
              <w:t> </w:t>
            </w:r>
            <w:r>
              <w:rPr>
                <w:w w:val="105"/>
                <w:sz w:val="15"/>
              </w:rPr>
              <w:t>parámetros</w:t>
            </w:r>
          </w:p>
          <w:p>
            <w:pPr>
              <w:pStyle w:val="TableParagraph"/>
              <w:spacing w:before="6"/>
              <w:ind w:left="1906"/>
              <w:jc w:val="left"/>
              <w:rPr>
                <w:sz w:val="15"/>
              </w:rPr>
            </w:pPr>
            <w:r>
              <w:rPr>
                <w:w w:val="105"/>
                <w:sz w:val="15"/>
              </w:rPr>
              <w:t>Estimadores</w:t>
            </w:r>
          </w:p>
        </w:tc>
        <w:tc>
          <w:tcPr>
            <w:tcW w:w="2472" w:type="dxa"/>
            <w:gridSpan w:val="2"/>
          </w:tcPr>
          <w:p>
            <w:pPr>
              <w:pStyle w:val="TableParagraph"/>
              <w:tabs>
                <w:tab w:pos="1320" w:val="left" w:leader="none"/>
              </w:tabs>
              <w:spacing w:before="95"/>
              <w:ind w:left="394"/>
              <w:jc w:val="left"/>
              <w:rPr>
                <w:sz w:val="15"/>
              </w:rPr>
            </w:pPr>
            <w:r>
              <w:rPr>
                <w:w w:val="105"/>
                <w:sz w:val="15"/>
              </w:rPr>
              <w:t>Adj</w:t>
            </w:r>
            <w:r>
              <w:rPr>
                <w:spacing w:val="-6"/>
                <w:w w:val="105"/>
                <w:sz w:val="15"/>
              </w:rPr>
              <w:t> </w:t>
            </w:r>
            <w:r>
              <w:rPr>
                <w:w w:val="105"/>
                <w:sz w:val="15"/>
              </w:rPr>
              <w:t>R-Sq</w:t>
              <w:tab/>
              <w:t>0.34739</w:t>
            </w:r>
          </w:p>
          <w:p>
            <w:pPr>
              <w:pStyle w:val="TableParagraph"/>
              <w:spacing w:before="0"/>
              <w:jc w:val="left"/>
              <w:rPr>
                <w:b/>
                <w:sz w:val="16"/>
              </w:rPr>
            </w:pPr>
          </w:p>
          <w:p>
            <w:pPr>
              <w:pStyle w:val="TableParagraph"/>
              <w:spacing w:before="0"/>
              <w:jc w:val="left"/>
              <w:rPr>
                <w:b/>
                <w:sz w:val="16"/>
              </w:rPr>
            </w:pPr>
          </w:p>
          <w:p>
            <w:pPr>
              <w:pStyle w:val="TableParagraph"/>
              <w:spacing w:before="0"/>
              <w:jc w:val="left"/>
              <w:rPr>
                <w:b/>
                <w:sz w:val="16"/>
              </w:rPr>
            </w:pPr>
          </w:p>
          <w:p>
            <w:pPr>
              <w:pStyle w:val="TableParagraph"/>
              <w:spacing w:before="0"/>
              <w:jc w:val="left"/>
              <w:rPr>
                <w:b/>
                <w:sz w:val="16"/>
              </w:rPr>
            </w:pPr>
          </w:p>
          <w:p>
            <w:pPr>
              <w:pStyle w:val="TableParagraph"/>
              <w:spacing w:before="5"/>
              <w:jc w:val="left"/>
              <w:rPr>
                <w:b/>
                <w:sz w:val="18"/>
              </w:rPr>
            </w:pPr>
          </w:p>
          <w:p>
            <w:pPr>
              <w:pStyle w:val="TableParagraph"/>
              <w:spacing w:before="0"/>
              <w:ind w:left="393"/>
              <w:jc w:val="left"/>
              <w:rPr>
                <w:sz w:val="15"/>
              </w:rPr>
            </w:pPr>
            <w:r>
              <w:rPr>
                <w:w w:val="105"/>
                <w:sz w:val="15"/>
              </w:rPr>
              <w:t>Error</w:t>
            </w:r>
          </w:p>
        </w:tc>
        <w:tc>
          <w:tcPr>
            <w:tcW w:w="1236" w:type="dxa"/>
          </w:tcPr>
          <w:p>
            <w:pPr/>
          </w:p>
        </w:tc>
      </w:tr>
      <w:tr>
        <w:trPr>
          <w:trHeight w:val="390" w:hRule="exact"/>
        </w:trPr>
        <w:tc>
          <w:tcPr>
            <w:tcW w:w="3320" w:type="dxa"/>
          </w:tcPr>
          <w:p>
            <w:pPr>
              <w:pStyle w:val="TableParagraph"/>
              <w:tabs>
                <w:tab w:pos="1117" w:val="left" w:leader="none"/>
                <w:tab w:pos="1781" w:val="left" w:leader="none"/>
              </w:tabs>
              <w:spacing w:before="93"/>
              <w:ind w:left="157"/>
              <w:jc w:val="left"/>
              <w:rPr>
                <w:rFonts w:ascii="Calibri" w:hAnsi="Calibri"/>
                <w:sz w:val="15"/>
              </w:rPr>
            </w:pPr>
            <w:r>
              <w:rPr>
                <w:w w:val="105"/>
                <w:sz w:val="15"/>
              </w:rPr>
              <w:t>Variable</w:t>
              <w:tab/>
              <w:t>DF</w:t>
              <w:tab/>
              <w:t>de</w:t>
            </w:r>
            <w:r>
              <w:rPr>
                <w:spacing w:val="-9"/>
                <w:w w:val="105"/>
                <w:sz w:val="15"/>
              </w:rPr>
              <w:t> </w:t>
            </w:r>
            <w:r>
              <w:rPr>
                <w:w w:val="105"/>
                <w:sz w:val="15"/>
              </w:rPr>
              <w:t>pará</w:t>
            </w:r>
            <w:r>
              <w:rPr>
                <w:rFonts w:ascii="Calibri" w:hAnsi="Calibri"/>
                <w:w w:val="105"/>
                <w:sz w:val="15"/>
              </w:rPr>
              <w:t>metros</w:t>
            </w:r>
          </w:p>
        </w:tc>
        <w:tc>
          <w:tcPr>
            <w:tcW w:w="2472" w:type="dxa"/>
            <w:gridSpan w:val="2"/>
          </w:tcPr>
          <w:p>
            <w:pPr>
              <w:pStyle w:val="TableParagraph"/>
              <w:tabs>
                <w:tab w:pos="1795" w:val="left" w:leader="none"/>
              </w:tabs>
              <w:spacing w:before="93"/>
              <w:ind w:left="394"/>
              <w:jc w:val="left"/>
              <w:rPr>
                <w:rFonts w:ascii="Calibri" w:hAnsi="Calibri"/>
                <w:sz w:val="15"/>
              </w:rPr>
            </w:pPr>
            <w:r>
              <w:rPr>
                <w:rFonts w:ascii="Calibri" w:hAnsi="Calibri"/>
                <w:w w:val="105"/>
                <w:sz w:val="15"/>
              </w:rPr>
              <w:t>estándar</w:t>
              <w:tab/>
              <w:t>Valor</w:t>
            </w:r>
            <w:r>
              <w:rPr>
                <w:rFonts w:ascii="Calibri" w:hAnsi="Calibri"/>
                <w:spacing w:val="-5"/>
                <w:w w:val="105"/>
                <w:sz w:val="15"/>
              </w:rPr>
              <w:t> </w:t>
            </w:r>
            <w:r>
              <w:rPr>
                <w:rFonts w:ascii="Calibri" w:hAnsi="Calibri"/>
                <w:w w:val="105"/>
                <w:sz w:val="15"/>
              </w:rPr>
              <w:t>t</w:t>
            </w:r>
          </w:p>
        </w:tc>
        <w:tc>
          <w:tcPr>
            <w:tcW w:w="1236" w:type="dxa"/>
          </w:tcPr>
          <w:p>
            <w:pPr>
              <w:pStyle w:val="TableParagraph"/>
              <w:spacing w:before="93"/>
              <w:ind w:left="304"/>
              <w:jc w:val="left"/>
              <w:rPr>
                <w:rFonts w:ascii="Calibri"/>
                <w:sz w:val="15"/>
              </w:rPr>
            </w:pPr>
            <w:r>
              <w:rPr>
                <w:rFonts w:ascii="Calibri"/>
                <w:w w:val="105"/>
                <w:sz w:val="15"/>
              </w:rPr>
              <w:t>Pr &gt; |t|</w:t>
            </w:r>
          </w:p>
        </w:tc>
      </w:tr>
      <w:tr>
        <w:trPr>
          <w:trHeight w:val="398" w:hRule="exact"/>
        </w:trPr>
        <w:tc>
          <w:tcPr>
            <w:tcW w:w="3320" w:type="dxa"/>
          </w:tcPr>
          <w:p>
            <w:pPr>
              <w:pStyle w:val="TableParagraph"/>
              <w:tabs>
                <w:tab w:pos="1112" w:val="left" w:leader="none"/>
                <w:tab w:pos="1787" w:val="left" w:leader="none"/>
              </w:tabs>
              <w:spacing w:before="89"/>
              <w:ind w:left="37"/>
              <w:jc w:val="left"/>
              <w:rPr>
                <w:rFonts w:ascii="Calibri"/>
                <w:sz w:val="15"/>
              </w:rPr>
            </w:pPr>
            <w:r>
              <w:rPr>
                <w:rFonts w:ascii="Calibri"/>
                <w:w w:val="105"/>
                <w:sz w:val="15"/>
              </w:rPr>
              <w:t>Intercept</w:t>
              <w:tab/>
              <w:t>1</w:t>
              <w:tab/>
              <w:t>4.638646</w:t>
            </w:r>
          </w:p>
        </w:tc>
        <w:tc>
          <w:tcPr>
            <w:tcW w:w="2472" w:type="dxa"/>
            <w:gridSpan w:val="2"/>
          </w:tcPr>
          <w:p>
            <w:pPr>
              <w:pStyle w:val="TableParagraph"/>
              <w:tabs>
                <w:tab w:pos="1795" w:val="left" w:leader="none"/>
              </w:tabs>
              <w:spacing w:before="89"/>
              <w:ind w:left="218"/>
              <w:jc w:val="left"/>
              <w:rPr>
                <w:rFonts w:ascii="Calibri"/>
                <w:sz w:val="15"/>
              </w:rPr>
            </w:pPr>
            <w:r>
              <w:rPr>
                <w:rFonts w:ascii="Calibri"/>
                <w:w w:val="105"/>
                <w:sz w:val="15"/>
              </w:rPr>
              <w:t>0.756928</w:t>
              <w:tab/>
              <w:t>6.13</w:t>
            </w:r>
          </w:p>
        </w:tc>
        <w:tc>
          <w:tcPr>
            <w:tcW w:w="1236" w:type="dxa"/>
          </w:tcPr>
          <w:p>
            <w:pPr>
              <w:pStyle w:val="TableParagraph"/>
              <w:spacing w:before="89"/>
              <w:ind w:left="302"/>
              <w:jc w:val="left"/>
              <w:rPr>
                <w:rFonts w:ascii="Calibri"/>
                <w:sz w:val="15"/>
              </w:rPr>
            </w:pPr>
            <w:r>
              <w:rPr>
                <w:rFonts w:ascii="Calibri"/>
                <w:w w:val="105"/>
                <w:sz w:val="15"/>
              </w:rPr>
              <w:t>&lt;.0001</w:t>
            </w:r>
          </w:p>
        </w:tc>
      </w:tr>
      <w:tr>
        <w:trPr>
          <w:trHeight w:val="413" w:hRule="exact"/>
        </w:trPr>
        <w:tc>
          <w:tcPr>
            <w:tcW w:w="3320" w:type="dxa"/>
          </w:tcPr>
          <w:p>
            <w:pPr>
              <w:pStyle w:val="TableParagraph"/>
              <w:tabs>
                <w:tab w:pos="910" w:val="left" w:leader="none"/>
                <w:tab w:pos="1611" w:val="left" w:leader="none"/>
              </w:tabs>
              <w:spacing w:before="101"/>
              <w:ind w:left="35"/>
              <w:jc w:val="left"/>
              <w:rPr>
                <w:rFonts w:ascii="Calibri"/>
                <w:sz w:val="15"/>
              </w:rPr>
            </w:pPr>
            <w:r>
              <w:rPr>
                <w:rFonts w:ascii="Calibri"/>
                <w:w w:val="105"/>
                <w:sz w:val="15"/>
              </w:rPr>
              <w:t>PIBR</w:t>
              <w:tab/>
              <w:t>1</w:t>
              <w:tab/>
              <w:t>1.33E-12</w:t>
            </w:r>
          </w:p>
        </w:tc>
        <w:tc>
          <w:tcPr>
            <w:tcW w:w="2472" w:type="dxa"/>
            <w:gridSpan w:val="2"/>
          </w:tcPr>
          <w:p>
            <w:pPr>
              <w:pStyle w:val="TableParagraph"/>
              <w:tabs>
                <w:tab w:pos="2071" w:val="right" w:leader="none"/>
              </w:tabs>
              <w:spacing w:before="101"/>
              <w:ind w:left="218"/>
              <w:jc w:val="left"/>
              <w:rPr>
                <w:rFonts w:ascii="Calibri"/>
                <w:sz w:val="15"/>
              </w:rPr>
            </w:pPr>
            <w:r>
              <w:rPr>
                <w:rFonts w:ascii="Calibri"/>
                <w:w w:val="105"/>
                <w:sz w:val="15"/>
              </w:rPr>
              <w:t>5.82E-13</w:t>
            </w:r>
            <w:r>
              <w:rPr>
                <w:rFonts w:ascii="Times New Roman"/>
                <w:w w:val="105"/>
                <w:sz w:val="15"/>
              </w:rPr>
              <w:tab/>
            </w:r>
            <w:r>
              <w:rPr>
                <w:rFonts w:ascii="Calibri"/>
                <w:w w:val="105"/>
                <w:sz w:val="15"/>
              </w:rPr>
              <w:t>2.29</w:t>
            </w:r>
          </w:p>
        </w:tc>
        <w:tc>
          <w:tcPr>
            <w:tcW w:w="1236" w:type="dxa"/>
          </w:tcPr>
          <w:p>
            <w:pPr>
              <w:pStyle w:val="TableParagraph"/>
              <w:spacing w:before="101"/>
              <w:ind w:left="199"/>
              <w:jc w:val="left"/>
              <w:rPr>
                <w:rFonts w:ascii="Calibri"/>
                <w:sz w:val="15"/>
              </w:rPr>
            </w:pPr>
            <w:r>
              <w:rPr>
                <w:rFonts w:ascii="Calibri"/>
                <w:w w:val="105"/>
                <w:sz w:val="15"/>
              </w:rPr>
              <w:t>0.0345</w:t>
            </w:r>
          </w:p>
        </w:tc>
      </w:tr>
      <w:tr>
        <w:trPr>
          <w:trHeight w:val="414" w:hRule="exact"/>
        </w:trPr>
        <w:tc>
          <w:tcPr>
            <w:tcW w:w="3320" w:type="dxa"/>
          </w:tcPr>
          <w:p>
            <w:pPr>
              <w:pStyle w:val="TableParagraph"/>
              <w:tabs>
                <w:tab w:pos="910" w:val="left" w:leader="none"/>
                <w:tab w:pos="1611" w:val="left" w:leader="none"/>
              </w:tabs>
              <w:spacing w:before="104"/>
              <w:ind w:left="35"/>
              <w:jc w:val="left"/>
              <w:rPr>
                <w:rFonts w:ascii="Calibri"/>
                <w:sz w:val="15"/>
              </w:rPr>
            </w:pPr>
            <w:r>
              <w:rPr>
                <w:rFonts w:ascii="Calibri"/>
                <w:w w:val="105"/>
                <w:sz w:val="15"/>
              </w:rPr>
              <w:t>S</w:t>
              <w:tab/>
              <w:t>1</w:t>
              <w:tab/>
              <w:t>-0.05079</w:t>
            </w:r>
          </w:p>
        </w:tc>
        <w:tc>
          <w:tcPr>
            <w:tcW w:w="2472" w:type="dxa"/>
            <w:gridSpan w:val="2"/>
          </w:tcPr>
          <w:p>
            <w:pPr>
              <w:pStyle w:val="TableParagraph"/>
              <w:tabs>
                <w:tab w:pos="1094" w:val="left" w:leader="none"/>
                <w:tab w:pos="1740" w:val="left" w:leader="none"/>
              </w:tabs>
              <w:spacing w:before="104"/>
              <w:ind w:left="185"/>
              <w:jc w:val="left"/>
              <w:rPr>
                <w:rFonts w:ascii="Calibri"/>
                <w:sz w:val="15"/>
              </w:rPr>
            </w:pPr>
            <w:r>
              <w:rPr>
                <w:rFonts w:ascii="Calibri"/>
                <w:w w:val="105"/>
                <w:sz w:val="15"/>
              </w:rPr>
              <w:t>0.023876</w:t>
              <w:tab/>
              <w:t>-</w:t>
              <w:tab/>
              <w:t>2.13</w:t>
            </w:r>
          </w:p>
        </w:tc>
        <w:tc>
          <w:tcPr>
            <w:tcW w:w="1236" w:type="dxa"/>
          </w:tcPr>
          <w:p>
            <w:pPr>
              <w:pStyle w:val="TableParagraph"/>
              <w:spacing w:before="104"/>
              <w:ind w:left="235"/>
              <w:jc w:val="left"/>
              <w:rPr>
                <w:rFonts w:ascii="Calibri"/>
                <w:sz w:val="15"/>
              </w:rPr>
            </w:pPr>
            <w:r>
              <w:rPr>
                <w:rFonts w:ascii="Calibri"/>
                <w:w w:val="105"/>
                <w:sz w:val="15"/>
              </w:rPr>
              <w:t>0.0475</w:t>
            </w:r>
          </w:p>
        </w:tc>
      </w:tr>
      <w:tr>
        <w:trPr>
          <w:trHeight w:val="413" w:hRule="exact"/>
        </w:trPr>
        <w:tc>
          <w:tcPr>
            <w:tcW w:w="3320" w:type="dxa"/>
          </w:tcPr>
          <w:p>
            <w:pPr>
              <w:pStyle w:val="TableParagraph"/>
              <w:tabs>
                <w:tab w:pos="910" w:val="left" w:leader="none"/>
                <w:tab w:pos="1515" w:val="left" w:leader="none"/>
              </w:tabs>
              <w:spacing w:before="102"/>
              <w:ind w:left="37"/>
              <w:jc w:val="left"/>
              <w:rPr>
                <w:rFonts w:ascii="Calibri"/>
                <w:sz w:val="15"/>
              </w:rPr>
            </w:pPr>
            <w:r>
              <w:rPr>
                <w:rFonts w:ascii="Calibri"/>
                <w:w w:val="105"/>
                <w:sz w:val="15"/>
              </w:rPr>
              <w:t>INF</w:t>
              <w:tab/>
              <w:t>1</w:t>
              <w:tab/>
              <w:t>0.013457</w:t>
            </w:r>
          </w:p>
        </w:tc>
        <w:tc>
          <w:tcPr>
            <w:tcW w:w="2472" w:type="dxa"/>
            <w:gridSpan w:val="2"/>
          </w:tcPr>
          <w:p>
            <w:pPr>
              <w:pStyle w:val="TableParagraph"/>
              <w:tabs>
                <w:tab w:pos="1704" w:val="left" w:leader="none"/>
              </w:tabs>
              <w:spacing w:before="102"/>
              <w:ind w:left="163"/>
              <w:jc w:val="left"/>
              <w:rPr>
                <w:rFonts w:ascii="Calibri"/>
                <w:sz w:val="15"/>
              </w:rPr>
            </w:pPr>
            <w:r>
              <w:rPr>
                <w:rFonts w:ascii="Calibri"/>
                <w:w w:val="105"/>
                <w:sz w:val="15"/>
              </w:rPr>
              <w:t>0.008869</w:t>
              <w:tab/>
              <w:t>1.52</w:t>
            </w:r>
          </w:p>
        </w:tc>
        <w:tc>
          <w:tcPr>
            <w:tcW w:w="1236" w:type="dxa"/>
          </w:tcPr>
          <w:p>
            <w:pPr>
              <w:pStyle w:val="TableParagraph"/>
              <w:spacing w:before="102"/>
              <w:ind w:left="180"/>
              <w:jc w:val="left"/>
              <w:rPr>
                <w:rFonts w:ascii="Calibri"/>
                <w:sz w:val="15"/>
              </w:rPr>
            </w:pPr>
            <w:r>
              <w:rPr>
                <w:rFonts w:ascii="Calibri"/>
                <w:w w:val="105"/>
                <w:sz w:val="15"/>
              </w:rPr>
              <w:t>0.1466</w:t>
            </w:r>
          </w:p>
        </w:tc>
      </w:tr>
      <w:tr>
        <w:trPr>
          <w:trHeight w:val="385" w:hRule="exact"/>
        </w:trPr>
        <w:tc>
          <w:tcPr>
            <w:tcW w:w="3320" w:type="dxa"/>
          </w:tcPr>
          <w:p>
            <w:pPr>
              <w:pStyle w:val="TableParagraph"/>
              <w:tabs>
                <w:tab w:pos="910" w:val="left" w:leader="none"/>
                <w:tab w:pos="1515" w:val="left" w:leader="none"/>
              </w:tabs>
              <w:spacing w:before="102"/>
              <w:ind w:left="35"/>
              <w:jc w:val="left"/>
              <w:rPr>
                <w:rFonts w:ascii="Calibri"/>
                <w:sz w:val="15"/>
              </w:rPr>
            </w:pPr>
            <w:r>
              <w:rPr>
                <w:rFonts w:ascii="Calibri"/>
                <w:w w:val="105"/>
                <w:sz w:val="15"/>
              </w:rPr>
              <w:t>RETR</w:t>
              <w:tab/>
              <w:t>1</w:t>
              <w:tab/>
              <w:t>1.37E-13</w:t>
            </w:r>
          </w:p>
        </w:tc>
        <w:tc>
          <w:tcPr>
            <w:tcW w:w="2472" w:type="dxa"/>
            <w:gridSpan w:val="2"/>
          </w:tcPr>
          <w:p>
            <w:pPr>
              <w:pStyle w:val="TableParagraph"/>
              <w:tabs>
                <w:tab w:pos="2004" w:val="right" w:leader="none"/>
              </w:tabs>
              <w:spacing w:before="102"/>
              <w:ind w:left="163"/>
              <w:jc w:val="left"/>
              <w:rPr>
                <w:rFonts w:ascii="Calibri"/>
                <w:sz w:val="15"/>
              </w:rPr>
            </w:pPr>
            <w:r>
              <w:rPr>
                <w:rFonts w:ascii="Calibri"/>
                <w:w w:val="105"/>
                <w:sz w:val="15"/>
              </w:rPr>
              <w:t>3.36E-12</w:t>
            </w:r>
            <w:r>
              <w:rPr>
                <w:rFonts w:ascii="Times New Roman"/>
                <w:w w:val="105"/>
                <w:sz w:val="15"/>
              </w:rPr>
              <w:tab/>
            </w:r>
            <w:r>
              <w:rPr>
                <w:rFonts w:ascii="Calibri"/>
                <w:w w:val="105"/>
                <w:sz w:val="15"/>
              </w:rPr>
              <w:t>0.04</w:t>
            </w:r>
          </w:p>
        </w:tc>
        <w:tc>
          <w:tcPr>
            <w:tcW w:w="1236" w:type="dxa"/>
          </w:tcPr>
          <w:p>
            <w:pPr>
              <w:pStyle w:val="TableParagraph"/>
              <w:spacing w:before="102"/>
              <w:ind w:left="165"/>
              <w:jc w:val="left"/>
              <w:rPr>
                <w:rFonts w:ascii="Calibri"/>
                <w:sz w:val="15"/>
              </w:rPr>
            </w:pPr>
            <w:r>
              <w:rPr>
                <w:rFonts w:ascii="Calibri"/>
                <w:w w:val="105"/>
                <w:sz w:val="15"/>
              </w:rPr>
              <w:t>0.9679</w:t>
            </w:r>
          </w:p>
        </w:tc>
      </w:tr>
    </w:tbl>
    <w:p>
      <w:pPr>
        <w:pStyle w:val="BodyText"/>
        <w:rPr>
          <w:b/>
          <w:sz w:val="22"/>
        </w:rPr>
      </w:pPr>
    </w:p>
    <w:p>
      <w:pPr>
        <w:pStyle w:val="BodyText"/>
        <w:spacing w:before="5"/>
        <w:rPr>
          <w:b/>
          <w:sz w:val="18"/>
        </w:rPr>
      </w:pPr>
    </w:p>
    <w:p>
      <w:pPr>
        <w:spacing w:before="1"/>
        <w:ind w:left="121" w:right="0" w:firstLine="0"/>
        <w:jc w:val="both"/>
        <w:rPr>
          <w:sz w:val="23"/>
        </w:rPr>
      </w:pPr>
      <w:r>
        <w:rPr>
          <w:sz w:val="21"/>
        </w:rPr>
        <w:t>Fuente: Elaboración propia con salida de  SAS</w:t>
      </w:r>
      <w:r>
        <w:rPr>
          <w:sz w:val="23"/>
        </w:rPr>
        <w:t>.</w:t>
      </w:r>
    </w:p>
    <w:p>
      <w:pPr>
        <w:pStyle w:val="BodyText"/>
        <w:spacing w:before="8"/>
        <w:rPr>
          <w:sz w:val="28"/>
        </w:rPr>
      </w:pPr>
    </w:p>
    <w:p>
      <w:pPr>
        <w:pStyle w:val="BodyText"/>
        <w:spacing w:line="376" w:lineRule="auto"/>
        <w:ind w:left="121" w:right="103"/>
        <w:jc w:val="both"/>
      </w:pPr>
      <w:r>
        <w:rPr/>
        <w:t>El modelo total es explicado en 46% por las variables incluidas en la ecuación. En  cuanto al estadístico F-Valor = 3.93, se obtiene que su probabilidad de fallo es de 0.0183, por lo que este es significativo del modelo. En lo que concierne a los  coeficientes de regresión existen tres que se consideran significativos para la ecuación dada, éstos son: el PIBR </w:t>
      </w:r>
      <w:r>
        <w:rPr>
          <w:rFonts w:ascii="Times New Roman" w:hAnsi="Times New Roman"/>
          <w:i/>
          <w:position w:val="-5"/>
          <w:sz w:val="14"/>
        </w:rPr>
        <w:t>t </w:t>
      </w:r>
      <w:r>
        <w:rPr/>
        <w:t>con un Valor-t de 2.29 &gt; 1, con una probabilidad de fallo de 0.0345, siendo acertada en 0.9655; el S que tiene un Valor t de -2.13 &gt; 1 y su probabilidad de fallo es de 0.0475; la última variable que es significativa es la inflación con un Valor t de 1.52 &gt; 1 con una probabilidad de acierto en 0.8534. Por el contrario para</w:t>
      </w:r>
      <w:r>
        <w:rPr>
          <w:spacing w:val="47"/>
        </w:rPr>
        <w:t> </w:t>
      </w:r>
      <w:r>
        <w:rPr/>
        <w:t>ésta</w:t>
      </w:r>
      <w:r>
        <w:rPr>
          <w:spacing w:val="47"/>
        </w:rPr>
        <w:t> </w:t>
      </w:r>
      <w:r>
        <w:rPr/>
        <w:t>ecuación</w:t>
      </w:r>
      <w:r>
        <w:rPr>
          <w:spacing w:val="44"/>
        </w:rPr>
        <w:t> </w:t>
      </w:r>
      <w:r>
        <w:rPr/>
        <w:t>la</w:t>
      </w:r>
      <w:r>
        <w:rPr>
          <w:spacing w:val="47"/>
        </w:rPr>
        <w:t> </w:t>
      </w:r>
      <w:r>
        <w:rPr/>
        <w:t>variable</w:t>
      </w:r>
      <w:r>
        <w:rPr>
          <w:spacing w:val="49"/>
        </w:rPr>
        <w:t> </w:t>
      </w:r>
      <w:r>
        <w:rPr/>
        <w:t>que</w:t>
      </w:r>
      <w:r>
        <w:rPr>
          <w:spacing w:val="47"/>
        </w:rPr>
        <w:t> </w:t>
      </w:r>
      <w:r>
        <w:rPr/>
        <w:t>es</w:t>
      </w:r>
      <w:r>
        <w:rPr>
          <w:spacing w:val="48"/>
        </w:rPr>
        <w:t> </w:t>
      </w:r>
      <w:r>
        <w:rPr/>
        <w:t>no</w:t>
      </w:r>
      <w:r>
        <w:rPr>
          <w:spacing w:val="47"/>
        </w:rPr>
        <w:t> </w:t>
      </w:r>
      <w:r>
        <w:rPr/>
        <w:t>significativa</w:t>
      </w:r>
      <w:r>
        <w:rPr>
          <w:spacing w:val="47"/>
        </w:rPr>
        <w:t> </w:t>
      </w:r>
      <w:r>
        <w:rPr/>
        <w:t>corresponde</w:t>
      </w:r>
      <w:r>
        <w:rPr>
          <w:spacing w:val="47"/>
        </w:rPr>
        <w:t> </w:t>
      </w:r>
      <w:r>
        <w:rPr/>
        <w:t>a</w:t>
      </w:r>
      <w:r>
        <w:rPr>
          <w:spacing w:val="44"/>
        </w:rPr>
        <w:t> </w:t>
      </w:r>
      <w:r>
        <w:rPr/>
        <w:t>las</w:t>
      </w:r>
      <w:r>
        <w:rPr>
          <w:spacing w:val="46"/>
        </w:rPr>
        <w:t> </w:t>
      </w:r>
      <w:r>
        <w:rPr/>
        <w:t>RER</w:t>
      </w:r>
      <w:r>
        <w:rPr>
          <w:spacing w:val="-27"/>
        </w:rPr>
        <w:t> </w:t>
      </w:r>
      <w:r>
        <w:rPr>
          <w:rFonts w:ascii="Times New Roman" w:hAnsi="Times New Roman"/>
          <w:i/>
          <w:position w:val="-5"/>
          <w:sz w:val="14"/>
        </w:rPr>
        <w:t>t</w:t>
      </w:r>
      <w:r>
        <w:rPr>
          <w:rFonts w:ascii="Times New Roman" w:hAnsi="Times New Roman"/>
          <w:i/>
          <w:spacing w:val="13"/>
          <w:position w:val="-5"/>
          <w:sz w:val="14"/>
        </w:rPr>
        <w:t> </w:t>
      </w:r>
      <w:r>
        <w:rPr/>
        <w:t>,</w:t>
      </w:r>
      <w:r>
        <w:rPr>
          <w:spacing w:val="47"/>
        </w:rPr>
        <w:t> </w:t>
      </w:r>
      <w:r>
        <w:rPr/>
        <w:t>que</w:t>
      </w:r>
    </w:p>
    <w:p>
      <w:pPr>
        <w:spacing w:after="0" w:line="376" w:lineRule="auto"/>
        <w:jc w:val="both"/>
        <w:sectPr>
          <w:pgSz w:w="11900" w:h="16840"/>
          <w:pgMar w:header="0" w:footer="1679" w:top="1600" w:bottom="1860" w:left="1280" w:right="1280"/>
        </w:sectPr>
      </w:pPr>
    </w:p>
    <w:p>
      <w:pPr>
        <w:pStyle w:val="BodyText"/>
        <w:rPr>
          <w:sz w:val="20"/>
        </w:rPr>
      </w:pPr>
    </w:p>
    <w:p>
      <w:pPr>
        <w:pStyle w:val="BodyText"/>
        <w:spacing w:before="8"/>
        <w:rPr>
          <w:sz w:val="18"/>
        </w:rPr>
      </w:pPr>
    </w:p>
    <w:p>
      <w:pPr>
        <w:pStyle w:val="BodyText"/>
        <w:spacing w:line="364" w:lineRule="auto" w:before="74"/>
        <w:ind w:left="301" w:right="108"/>
        <w:jc w:val="both"/>
      </w:pPr>
      <w:r>
        <w:rPr/>
        <w:t>tienen una alta probabilidad de fallo con el 0.9679 y tan sólo un Valor-t de  0.04, indicando que es un valor que cae en la región de no rechazo en la hipótesis  nula.</w:t>
      </w:r>
    </w:p>
    <w:p>
      <w:pPr>
        <w:pStyle w:val="BodyText"/>
        <w:spacing w:before="2"/>
        <w:rPr>
          <w:sz w:val="19"/>
        </w:rPr>
      </w:pPr>
    </w:p>
    <w:p>
      <w:pPr>
        <w:pStyle w:val="Heading4"/>
        <w:ind w:left="301"/>
        <w:jc w:val="both"/>
      </w:pPr>
      <w:r>
        <w:rPr/>
        <w:t>Remesas familiares totales reales en México (RETR </w:t>
      </w:r>
      <w:r>
        <w:rPr>
          <w:rFonts w:ascii="Times New Roman" w:hAnsi="Times New Roman"/>
          <w:b w:val="0"/>
          <w:i/>
          <w:position w:val="-5"/>
          <w:sz w:val="13"/>
        </w:rPr>
        <w:t>t  </w:t>
      </w:r>
      <w:r>
        <w:rPr/>
        <w:t>).</w:t>
      </w:r>
    </w:p>
    <w:p>
      <w:pPr>
        <w:pStyle w:val="BodyText"/>
        <w:spacing w:before="11"/>
        <w:rPr>
          <w:b/>
          <w:sz w:val="30"/>
        </w:rPr>
      </w:pPr>
    </w:p>
    <w:p>
      <w:pPr>
        <w:pStyle w:val="BodyText"/>
        <w:spacing w:line="386" w:lineRule="auto"/>
        <w:ind w:left="301" w:right="106"/>
        <w:jc w:val="both"/>
      </w:pPr>
      <w:r>
        <w:rPr/>
        <w:t>Finalmente se analiza la quinta ecuación correspondiente a las remesas  familiares totales reales en México (RETR </w:t>
      </w:r>
      <w:r>
        <w:rPr>
          <w:rFonts w:ascii="Times New Roman" w:hAnsi="Times New Roman"/>
          <w:i/>
          <w:position w:val="-5"/>
          <w:sz w:val="13"/>
        </w:rPr>
        <w:t>t </w:t>
      </w:r>
      <w:r>
        <w:rPr/>
        <w:t>), obteniendo los siguientes resultados estadísticos   que arrojó y que se presenta en el cuadro 5, el programa </w:t>
      </w:r>
      <w:r>
        <w:rPr>
          <w:spacing w:val="13"/>
        </w:rPr>
        <w:t> </w:t>
      </w:r>
      <w:r>
        <w:rPr/>
        <w:t>SAS.</w:t>
      </w:r>
    </w:p>
    <w:p>
      <w:pPr>
        <w:pStyle w:val="Heading4"/>
        <w:spacing w:before="171"/>
        <w:ind w:left="1700"/>
      </w:pPr>
      <w:r>
        <w:rPr/>
        <w:pict>
          <v:shape style="position:absolute;margin-left:61.32pt;margin-top:40.096256pt;width:446.05pt;height:404.3pt;mso-position-horizontal-relative:page;mso-position-vertical-relative:paragraph;z-index:-699280"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1"/>
                    <w:rPr>
                      <w:sz w:val="18"/>
                    </w:rPr>
                  </w:pPr>
                </w:p>
                <w:p>
                  <w:pPr>
                    <w:pStyle w:val="BodyText"/>
                    <w:ind w:left="175"/>
                  </w:pPr>
                  <w:r>
                    <w:rPr/>
                    <w:t>Fuente: Elaborado en base a la salida de</w:t>
                  </w:r>
                  <w:r>
                    <w:rPr>
                      <w:spacing w:val="56"/>
                    </w:rPr>
                    <w:t> </w:t>
                  </w:r>
                  <w:r>
                    <w:rPr/>
                    <w:t>SAS.</w:t>
                  </w:r>
                </w:p>
              </w:txbxContent>
            </v:textbox>
            <w10:wrap type="none"/>
          </v:shape>
        </w:pict>
      </w:r>
      <w:r>
        <w:rPr/>
        <w:pict>
          <v:group style="position:absolute;margin-left:60.945pt;margin-top:39.721256pt;width:446.8pt;height:405.05pt;mso-position-horizontal-relative:page;mso-position-vertical-relative:paragraph;z-index:-699256" coordorigin="1219,794" coordsize="8936,8101">
            <v:rect style="position:absolute;left:1226;top:802;width:8921;height:8086" filled="true" fillcolor="#ffffff" stroked="false">
              <v:fill type="solid"/>
            </v:rect>
            <v:rect style="position:absolute;left:1226;top:802;width:8921;height:8086" filled="false" stroked="true" strokeweight=".730032pt" strokecolor="#000000"/>
            <v:shape style="position:absolute;left:1265;top:881;width:8847;height:2108" coordorigin="1265,881" coordsize="8847,2108" path="m1270,886l10106,886m1265,881l1265,2988m10111,881l10111,2988e" filled="false" stroked="true" strokeweight=".48pt" strokecolor="#000000">
              <v:path arrowok="t"/>
            </v:shape>
            <w10:wrap type="none"/>
          </v:group>
        </w:pict>
      </w:r>
      <w:r>
        <w:rPr/>
        <w:t>Cuadro 5. Análisis de varianza de las remesas en  México</w:t>
      </w:r>
    </w:p>
    <w:p>
      <w:pPr>
        <w:pStyle w:val="BodyText"/>
        <w:spacing w:before="9"/>
        <w:rPr>
          <w:b/>
          <w:sz w:val="26"/>
        </w:rPr>
      </w:pPr>
    </w:p>
    <w:tbl>
      <w:tblPr>
        <w:tblW w:w="0" w:type="auto"/>
        <w:jc w:val="left"/>
        <w:tblInd w:w="12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02"/>
        <w:gridCol w:w="656"/>
        <w:gridCol w:w="642"/>
        <w:gridCol w:w="716"/>
        <w:gridCol w:w="902"/>
        <w:gridCol w:w="1428"/>
        <w:gridCol w:w="873"/>
        <w:gridCol w:w="2302"/>
      </w:tblGrid>
      <w:tr>
        <w:trPr>
          <w:trHeight w:val="930" w:hRule="exact"/>
        </w:trPr>
        <w:tc>
          <w:tcPr>
            <w:tcW w:w="8921" w:type="dxa"/>
            <w:gridSpan w:val="8"/>
          </w:tcPr>
          <w:p>
            <w:pPr>
              <w:pStyle w:val="TableParagraph"/>
              <w:spacing w:before="10"/>
              <w:jc w:val="left"/>
              <w:rPr>
                <w:b/>
                <w:sz w:val="14"/>
              </w:rPr>
            </w:pPr>
          </w:p>
          <w:p>
            <w:pPr>
              <w:pStyle w:val="TableParagraph"/>
              <w:tabs>
                <w:tab w:pos="5051" w:val="left" w:leader="none"/>
              </w:tabs>
              <w:spacing w:before="0"/>
              <w:ind w:left="2815"/>
              <w:jc w:val="left"/>
              <w:rPr>
                <w:sz w:val="15"/>
              </w:rPr>
            </w:pPr>
            <w:r>
              <w:rPr>
                <w:w w:val="105"/>
                <w:sz w:val="15"/>
              </w:rPr>
              <w:t>Dependent</w:t>
            </w:r>
            <w:r>
              <w:rPr>
                <w:spacing w:val="-9"/>
                <w:w w:val="105"/>
                <w:sz w:val="15"/>
              </w:rPr>
              <w:t> </w:t>
            </w:r>
            <w:r>
              <w:rPr>
                <w:w w:val="105"/>
                <w:sz w:val="15"/>
              </w:rPr>
              <w:t>Variable</w:t>
              <w:tab/>
              <w:t>RETR</w:t>
            </w:r>
          </w:p>
          <w:p>
            <w:pPr>
              <w:pStyle w:val="TableParagraph"/>
              <w:spacing w:before="4"/>
              <w:jc w:val="left"/>
              <w:rPr>
                <w:b/>
                <w:sz w:val="17"/>
              </w:rPr>
            </w:pPr>
          </w:p>
          <w:p>
            <w:pPr>
              <w:pStyle w:val="TableParagraph"/>
              <w:spacing w:before="0"/>
              <w:ind w:left="3950" w:right="3529"/>
              <w:jc w:val="center"/>
              <w:rPr>
                <w:sz w:val="15"/>
              </w:rPr>
            </w:pPr>
            <w:r>
              <w:rPr>
                <w:w w:val="105"/>
                <w:sz w:val="15"/>
              </w:rPr>
              <w:t>Análisis de varianza</w:t>
            </w:r>
          </w:p>
        </w:tc>
      </w:tr>
      <w:tr>
        <w:trPr>
          <w:trHeight w:val="640" w:hRule="exact"/>
        </w:trPr>
        <w:tc>
          <w:tcPr>
            <w:tcW w:w="2058" w:type="dxa"/>
            <w:gridSpan w:val="2"/>
          </w:tcPr>
          <w:p>
            <w:pPr>
              <w:pStyle w:val="TableParagraph"/>
              <w:spacing w:before="0"/>
              <w:jc w:val="left"/>
              <w:rPr>
                <w:b/>
                <w:sz w:val="16"/>
              </w:rPr>
            </w:pPr>
          </w:p>
          <w:p>
            <w:pPr>
              <w:pStyle w:val="TableParagraph"/>
              <w:spacing w:before="4"/>
              <w:jc w:val="left"/>
              <w:rPr>
                <w:b/>
                <w:sz w:val="15"/>
              </w:rPr>
            </w:pPr>
          </w:p>
          <w:p>
            <w:pPr>
              <w:pStyle w:val="TableParagraph"/>
              <w:spacing w:before="0"/>
              <w:ind w:left="770" w:right="757"/>
              <w:jc w:val="center"/>
              <w:rPr>
                <w:sz w:val="15"/>
              </w:rPr>
            </w:pPr>
            <w:r>
              <w:rPr>
                <w:w w:val="105"/>
                <w:sz w:val="15"/>
              </w:rPr>
              <w:t>Fuente</w:t>
            </w:r>
          </w:p>
        </w:tc>
        <w:tc>
          <w:tcPr>
            <w:tcW w:w="642" w:type="dxa"/>
          </w:tcPr>
          <w:p>
            <w:pPr>
              <w:pStyle w:val="TableParagraph"/>
              <w:spacing w:before="0"/>
              <w:jc w:val="left"/>
              <w:rPr>
                <w:b/>
                <w:sz w:val="16"/>
              </w:rPr>
            </w:pPr>
          </w:p>
          <w:p>
            <w:pPr>
              <w:pStyle w:val="TableParagraph"/>
              <w:spacing w:before="4"/>
              <w:jc w:val="left"/>
              <w:rPr>
                <w:b/>
                <w:sz w:val="15"/>
              </w:rPr>
            </w:pPr>
          </w:p>
          <w:p>
            <w:pPr>
              <w:pStyle w:val="TableParagraph"/>
              <w:spacing w:before="0"/>
              <w:ind w:left="190"/>
              <w:jc w:val="left"/>
              <w:rPr>
                <w:sz w:val="15"/>
              </w:rPr>
            </w:pPr>
            <w:r>
              <w:rPr>
                <w:w w:val="105"/>
                <w:sz w:val="15"/>
              </w:rPr>
              <w:t>DF</w:t>
            </w:r>
          </w:p>
        </w:tc>
        <w:tc>
          <w:tcPr>
            <w:tcW w:w="1617" w:type="dxa"/>
            <w:gridSpan w:val="2"/>
          </w:tcPr>
          <w:p>
            <w:pPr>
              <w:pStyle w:val="TableParagraph"/>
              <w:spacing w:line="159" w:lineRule="exact" w:before="0"/>
              <w:ind w:left="949"/>
              <w:jc w:val="left"/>
              <w:rPr>
                <w:sz w:val="15"/>
              </w:rPr>
            </w:pPr>
            <w:r>
              <w:rPr>
                <w:w w:val="105"/>
                <w:sz w:val="15"/>
              </w:rPr>
              <w:t>Suma de</w:t>
            </w:r>
          </w:p>
          <w:p>
            <w:pPr>
              <w:pStyle w:val="TableParagraph"/>
              <w:spacing w:before="6"/>
              <w:jc w:val="left"/>
              <w:rPr>
                <w:b/>
                <w:sz w:val="17"/>
              </w:rPr>
            </w:pPr>
          </w:p>
          <w:p>
            <w:pPr>
              <w:pStyle w:val="TableParagraph"/>
              <w:spacing w:before="0"/>
              <w:ind w:left="248"/>
              <w:jc w:val="left"/>
              <w:rPr>
                <w:sz w:val="15"/>
              </w:rPr>
            </w:pPr>
            <w:r>
              <w:rPr>
                <w:w w:val="105"/>
                <w:sz w:val="15"/>
              </w:rPr>
              <w:t>cuadrados</w:t>
            </w:r>
          </w:p>
        </w:tc>
        <w:tc>
          <w:tcPr>
            <w:tcW w:w="1428" w:type="dxa"/>
          </w:tcPr>
          <w:p>
            <w:pPr>
              <w:pStyle w:val="TableParagraph"/>
              <w:spacing w:line="159" w:lineRule="exact" w:before="0"/>
              <w:ind w:left="733"/>
              <w:jc w:val="left"/>
              <w:rPr>
                <w:sz w:val="15"/>
              </w:rPr>
            </w:pPr>
            <w:r>
              <w:rPr>
                <w:sz w:val="15"/>
              </w:rPr>
              <w:t>Cuadrado</w:t>
            </w:r>
          </w:p>
          <w:p>
            <w:pPr>
              <w:pStyle w:val="TableParagraph"/>
              <w:spacing w:before="6"/>
              <w:jc w:val="left"/>
              <w:rPr>
                <w:b/>
                <w:sz w:val="17"/>
              </w:rPr>
            </w:pPr>
          </w:p>
          <w:p>
            <w:pPr>
              <w:pStyle w:val="TableParagraph"/>
              <w:spacing w:before="0"/>
              <w:ind w:left="33"/>
              <w:jc w:val="left"/>
              <w:rPr>
                <w:sz w:val="15"/>
              </w:rPr>
            </w:pPr>
            <w:r>
              <w:rPr>
                <w:w w:val="105"/>
                <w:sz w:val="15"/>
              </w:rPr>
              <w:t>de la media</w:t>
            </w:r>
          </w:p>
        </w:tc>
        <w:tc>
          <w:tcPr>
            <w:tcW w:w="873" w:type="dxa"/>
          </w:tcPr>
          <w:p>
            <w:pPr>
              <w:pStyle w:val="TableParagraph"/>
              <w:spacing w:before="0"/>
              <w:jc w:val="left"/>
              <w:rPr>
                <w:b/>
                <w:sz w:val="16"/>
              </w:rPr>
            </w:pPr>
          </w:p>
          <w:p>
            <w:pPr>
              <w:pStyle w:val="TableParagraph"/>
              <w:spacing w:before="4"/>
              <w:jc w:val="left"/>
              <w:rPr>
                <w:b/>
                <w:sz w:val="15"/>
              </w:rPr>
            </w:pPr>
          </w:p>
          <w:p>
            <w:pPr>
              <w:pStyle w:val="TableParagraph"/>
              <w:spacing w:before="0"/>
              <w:ind w:left="7"/>
              <w:jc w:val="left"/>
              <w:rPr>
                <w:sz w:val="15"/>
              </w:rPr>
            </w:pPr>
            <w:r>
              <w:rPr>
                <w:w w:val="105"/>
                <w:sz w:val="15"/>
              </w:rPr>
              <w:t>F-Valor</w:t>
            </w:r>
          </w:p>
        </w:tc>
        <w:tc>
          <w:tcPr>
            <w:tcW w:w="2302" w:type="dxa"/>
          </w:tcPr>
          <w:p>
            <w:pPr>
              <w:pStyle w:val="TableParagraph"/>
              <w:spacing w:before="0"/>
              <w:jc w:val="left"/>
              <w:rPr>
                <w:b/>
                <w:sz w:val="16"/>
              </w:rPr>
            </w:pPr>
          </w:p>
          <w:p>
            <w:pPr>
              <w:pStyle w:val="TableParagraph"/>
              <w:spacing w:before="4"/>
              <w:jc w:val="left"/>
              <w:rPr>
                <w:b/>
                <w:sz w:val="15"/>
              </w:rPr>
            </w:pPr>
          </w:p>
          <w:p>
            <w:pPr>
              <w:pStyle w:val="TableParagraph"/>
              <w:spacing w:before="0"/>
              <w:ind w:left="535"/>
              <w:jc w:val="left"/>
              <w:rPr>
                <w:sz w:val="15"/>
              </w:rPr>
            </w:pPr>
            <w:r>
              <w:rPr>
                <w:w w:val="105"/>
                <w:sz w:val="15"/>
              </w:rPr>
              <w:t>Pr &gt; F</w:t>
            </w:r>
          </w:p>
        </w:tc>
      </w:tr>
      <w:tr>
        <w:trPr>
          <w:trHeight w:val="374" w:hRule="exact"/>
        </w:trPr>
        <w:tc>
          <w:tcPr>
            <w:tcW w:w="2058" w:type="dxa"/>
            <w:gridSpan w:val="2"/>
          </w:tcPr>
          <w:p>
            <w:pPr>
              <w:pStyle w:val="TableParagraph"/>
              <w:spacing w:before="95"/>
              <w:ind w:left="718" w:right="757"/>
              <w:jc w:val="center"/>
              <w:rPr>
                <w:sz w:val="15"/>
              </w:rPr>
            </w:pPr>
            <w:r>
              <w:rPr>
                <w:w w:val="105"/>
                <w:sz w:val="15"/>
              </w:rPr>
              <w:t>Model</w:t>
            </w:r>
          </w:p>
        </w:tc>
        <w:tc>
          <w:tcPr>
            <w:tcW w:w="642" w:type="dxa"/>
          </w:tcPr>
          <w:p>
            <w:pPr>
              <w:pStyle w:val="TableParagraph"/>
              <w:spacing w:before="95"/>
              <w:ind w:left="189"/>
              <w:jc w:val="left"/>
              <w:rPr>
                <w:sz w:val="15"/>
              </w:rPr>
            </w:pPr>
            <w:r>
              <w:rPr>
                <w:w w:val="104"/>
                <w:sz w:val="15"/>
              </w:rPr>
              <w:t>6</w:t>
            </w:r>
          </w:p>
        </w:tc>
        <w:tc>
          <w:tcPr>
            <w:tcW w:w="1617" w:type="dxa"/>
            <w:gridSpan w:val="2"/>
          </w:tcPr>
          <w:p>
            <w:pPr>
              <w:pStyle w:val="TableParagraph"/>
              <w:spacing w:before="95"/>
              <w:ind w:left="248"/>
              <w:jc w:val="left"/>
              <w:rPr>
                <w:sz w:val="15"/>
              </w:rPr>
            </w:pPr>
            <w:r>
              <w:rPr>
                <w:w w:val="105"/>
                <w:sz w:val="15"/>
              </w:rPr>
              <w:t>1.56E23</w:t>
            </w:r>
          </w:p>
        </w:tc>
        <w:tc>
          <w:tcPr>
            <w:tcW w:w="1428" w:type="dxa"/>
          </w:tcPr>
          <w:p>
            <w:pPr>
              <w:pStyle w:val="TableParagraph"/>
              <w:spacing w:before="95"/>
              <w:ind w:left="33"/>
              <w:jc w:val="left"/>
              <w:rPr>
                <w:sz w:val="15"/>
              </w:rPr>
            </w:pPr>
            <w:r>
              <w:rPr>
                <w:w w:val="105"/>
                <w:sz w:val="15"/>
              </w:rPr>
              <w:t>2.601E22</w:t>
            </w:r>
          </w:p>
        </w:tc>
        <w:tc>
          <w:tcPr>
            <w:tcW w:w="873" w:type="dxa"/>
          </w:tcPr>
          <w:p>
            <w:pPr>
              <w:pStyle w:val="TableParagraph"/>
              <w:spacing w:before="95"/>
              <w:ind w:left="7"/>
              <w:jc w:val="left"/>
              <w:rPr>
                <w:sz w:val="15"/>
              </w:rPr>
            </w:pPr>
            <w:r>
              <w:rPr>
                <w:w w:val="105"/>
                <w:sz w:val="15"/>
              </w:rPr>
              <w:t>14.94</w:t>
            </w:r>
          </w:p>
        </w:tc>
        <w:tc>
          <w:tcPr>
            <w:tcW w:w="2302" w:type="dxa"/>
          </w:tcPr>
          <w:p>
            <w:pPr>
              <w:pStyle w:val="TableParagraph"/>
              <w:spacing w:before="95"/>
              <w:ind w:left="535"/>
              <w:jc w:val="left"/>
              <w:rPr>
                <w:sz w:val="15"/>
              </w:rPr>
            </w:pPr>
            <w:r>
              <w:rPr>
                <w:w w:val="105"/>
                <w:sz w:val="15"/>
              </w:rPr>
              <w:t>&lt;.0001</w:t>
            </w:r>
          </w:p>
        </w:tc>
      </w:tr>
      <w:tr>
        <w:trPr>
          <w:trHeight w:val="296" w:hRule="exact"/>
        </w:trPr>
        <w:tc>
          <w:tcPr>
            <w:tcW w:w="2058" w:type="dxa"/>
            <w:gridSpan w:val="2"/>
            <w:tcBorders>
              <w:bottom w:val="single" w:sz="4" w:space="0" w:color="000000"/>
            </w:tcBorders>
          </w:tcPr>
          <w:p>
            <w:pPr>
              <w:pStyle w:val="TableParagraph"/>
              <w:spacing w:before="95"/>
              <w:ind w:left="639" w:right="757"/>
              <w:jc w:val="center"/>
              <w:rPr>
                <w:sz w:val="15"/>
              </w:rPr>
            </w:pPr>
            <w:r>
              <w:rPr>
                <w:w w:val="105"/>
                <w:sz w:val="15"/>
              </w:rPr>
              <w:t>Error</w:t>
            </w:r>
          </w:p>
        </w:tc>
        <w:tc>
          <w:tcPr>
            <w:tcW w:w="642" w:type="dxa"/>
            <w:tcBorders>
              <w:bottom w:val="single" w:sz="4" w:space="0" w:color="000000"/>
            </w:tcBorders>
          </w:tcPr>
          <w:p>
            <w:pPr>
              <w:pStyle w:val="TableParagraph"/>
              <w:spacing w:before="95"/>
              <w:ind w:left="189"/>
              <w:jc w:val="left"/>
              <w:rPr>
                <w:sz w:val="15"/>
              </w:rPr>
            </w:pPr>
            <w:r>
              <w:rPr>
                <w:w w:val="105"/>
                <w:sz w:val="15"/>
              </w:rPr>
              <w:t>16</w:t>
            </w:r>
          </w:p>
        </w:tc>
        <w:tc>
          <w:tcPr>
            <w:tcW w:w="1617" w:type="dxa"/>
            <w:gridSpan w:val="2"/>
            <w:tcBorders>
              <w:bottom w:val="single" w:sz="4" w:space="0" w:color="000000"/>
            </w:tcBorders>
          </w:tcPr>
          <w:p>
            <w:pPr>
              <w:pStyle w:val="TableParagraph"/>
              <w:spacing w:before="95"/>
              <w:ind w:left="248"/>
              <w:jc w:val="left"/>
              <w:rPr>
                <w:sz w:val="15"/>
              </w:rPr>
            </w:pPr>
            <w:r>
              <w:rPr>
                <w:w w:val="105"/>
                <w:sz w:val="15"/>
              </w:rPr>
              <w:t>2.786E22</w:t>
            </w:r>
          </w:p>
        </w:tc>
        <w:tc>
          <w:tcPr>
            <w:tcW w:w="1428" w:type="dxa"/>
            <w:tcBorders>
              <w:bottom w:val="single" w:sz="4" w:space="0" w:color="000000"/>
            </w:tcBorders>
          </w:tcPr>
          <w:p>
            <w:pPr>
              <w:pStyle w:val="TableParagraph"/>
              <w:spacing w:before="95"/>
              <w:ind w:left="33"/>
              <w:jc w:val="left"/>
              <w:rPr>
                <w:sz w:val="15"/>
              </w:rPr>
            </w:pPr>
            <w:r>
              <w:rPr>
                <w:w w:val="105"/>
                <w:sz w:val="15"/>
              </w:rPr>
              <w:t>1.741E21</w:t>
            </w:r>
          </w:p>
        </w:tc>
        <w:tc>
          <w:tcPr>
            <w:tcW w:w="873" w:type="dxa"/>
            <w:tcBorders>
              <w:bottom w:val="single" w:sz="4" w:space="0" w:color="000000"/>
            </w:tcBorders>
          </w:tcPr>
          <w:p>
            <w:pPr/>
          </w:p>
        </w:tc>
        <w:tc>
          <w:tcPr>
            <w:tcW w:w="2302" w:type="dxa"/>
            <w:tcBorders>
              <w:bottom w:val="single" w:sz="4" w:space="0" w:color="000000"/>
            </w:tcBorders>
          </w:tcPr>
          <w:p>
            <w:pPr/>
          </w:p>
        </w:tc>
      </w:tr>
      <w:tr>
        <w:trPr>
          <w:trHeight w:val="591" w:hRule="exact"/>
        </w:trPr>
        <w:tc>
          <w:tcPr>
            <w:tcW w:w="2058" w:type="dxa"/>
            <w:gridSpan w:val="2"/>
            <w:tcBorders>
              <w:top w:val="single" w:sz="4" w:space="0" w:color="000000"/>
            </w:tcBorders>
          </w:tcPr>
          <w:p>
            <w:pPr>
              <w:pStyle w:val="TableParagraph"/>
              <w:jc w:val="left"/>
              <w:rPr>
                <w:b/>
                <w:sz w:val="17"/>
              </w:rPr>
            </w:pPr>
          </w:p>
          <w:p>
            <w:pPr>
              <w:pStyle w:val="TableParagraph"/>
              <w:spacing w:before="0"/>
              <w:ind w:left="794"/>
              <w:jc w:val="left"/>
              <w:rPr>
                <w:sz w:val="15"/>
              </w:rPr>
            </w:pPr>
            <w:r>
              <w:rPr>
                <w:w w:val="105"/>
                <w:sz w:val="15"/>
              </w:rPr>
              <w:t>Corrected Total</w:t>
            </w:r>
          </w:p>
        </w:tc>
        <w:tc>
          <w:tcPr>
            <w:tcW w:w="642" w:type="dxa"/>
            <w:tcBorders>
              <w:top w:val="single" w:sz="4" w:space="0" w:color="000000"/>
            </w:tcBorders>
          </w:tcPr>
          <w:p>
            <w:pPr>
              <w:pStyle w:val="TableParagraph"/>
              <w:jc w:val="left"/>
              <w:rPr>
                <w:b/>
                <w:sz w:val="17"/>
              </w:rPr>
            </w:pPr>
          </w:p>
          <w:p>
            <w:pPr>
              <w:pStyle w:val="TableParagraph"/>
              <w:spacing w:before="0"/>
              <w:ind w:left="190"/>
              <w:jc w:val="left"/>
              <w:rPr>
                <w:sz w:val="15"/>
              </w:rPr>
            </w:pPr>
            <w:r>
              <w:rPr>
                <w:w w:val="105"/>
                <w:sz w:val="15"/>
              </w:rPr>
              <w:t>22</w:t>
            </w:r>
          </w:p>
        </w:tc>
        <w:tc>
          <w:tcPr>
            <w:tcW w:w="1617" w:type="dxa"/>
            <w:gridSpan w:val="2"/>
            <w:tcBorders>
              <w:top w:val="single" w:sz="4" w:space="0" w:color="000000"/>
            </w:tcBorders>
          </w:tcPr>
          <w:p>
            <w:pPr>
              <w:pStyle w:val="TableParagraph"/>
              <w:jc w:val="left"/>
              <w:rPr>
                <w:b/>
                <w:sz w:val="17"/>
              </w:rPr>
            </w:pPr>
          </w:p>
          <w:p>
            <w:pPr>
              <w:pStyle w:val="TableParagraph"/>
              <w:spacing w:before="0"/>
              <w:ind w:left="248"/>
              <w:jc w:val="left"/>
              <w:rPr>
                <w:sz w:val="15"/>
              </w:rPr>
            </w:pPr>
            <w:r>
              <w:rPr>
                <w:w w:val="105"/>
                <w:sz w:val="15"/>
              </w:rPr>
              <w:t>1.717E23</w:t>
            </w:r>
          </w:p>
        </w:tc>
        <w:tc>
          <w:tcPr>
            <w:tcW w:w="1428" w:type="dxa"/>
            <w:tcBorders>
              <w:top w:val="single" w:sz="4" w:space="0" w:color="000000"/>
            </w:tcBorders>
          </w:tcPr>
          <w:p>
            <w:pPr/>
          </w:p>
        </w:tc>
        <w:tc>
          <w:tcPr>
            <w:tcW w:w="873" w:type="dxa"/>
            <w:tcBorders>
              <w:top w:val="single" w:sz="4" w:space="0" w:color="000000"/>
            </w:tcBorders>
          </w:tcPr>
          <w:p>
            <w:pPr/>
          </w:p>
        </w:tc>
        <w:tc>
          <w:tcPr>
            <w:tcW w:w="2302" w:type="dxa"/>
            <w:tcBorders>
              <w:top w:val="single" w:sz="4" w:space="0" w:color="000000"/>
            </w:tcBorders>
          </w:tcPr>
          <w:p>
            <w:pPr/>
          </w:p>
        </w:tc>
      </w:tr>
      <w:tr>
        <w:trPr>
          <w:trHeight w:val="270" w:hRule="exact"/>
        </w:trPr>
        <w:tc>
          <w:tcPr>
            <w:tcW w:w="2700" w:type="dxa"/>
            <w:gridSpan w:val="3"/>
          </w:tcPr>
          <w:p>
            <w:pPr>
              <w:pStyle w:val="TableParagraph"/>
              <w:spacing w:line="159" w:lineRule="exact" w:before="0"/>
              <w:ind w:left="1581"/>
              <w:jc w:val="left"/>
              <w:rPr>
                <w:sz w:val="15"/>
              </w:rPr>
            </w:pPr>
            <w:r>
              <w:rPr>
                <w:w w:val="105"/>
                <w:sz w:val="15"/>
              </w:rPr>
              <w:t>Root MSE</w:t>
            </w:r>
          </w:p>
        </w:tc>
        <w:tc>
          <w:tcPr>
            <w:tcW w:w="3045" w:type="dxa"/>
            <w:gridSpan w:val="3"/>
          </w:tcPr>
          <w:p>
            <w:pPr>
              <w:pStyle w:val="TableParagraph"/>
              <w:tabs>
                <w:tab w:pos="2351" w:val="left" w:leader="none"/>
              </w:tabs>
              <w:spacing w:line="159" w:lineRule="exact" w:before="0"/>
              <w:ind w:left="248"/>
              <w:jc w:val="left"/>
              <w:rPr>
                <w:sz w:val="15"/>
              </w:rPr>
            </w:pPr>
            <w:r>
              <w:rPr>
                <w:w w:val="105"/>
                <w:sz w:val="15"/>
              </w:rPr>
              <w:t>4.17251E10</w:t>
              <w:tab/>
              <w:t>R-Square</w:t>
            </w:r>
          </w:p>
        </w:tc>
        <w:tc>
          <w:tcPr>
            <w:tcW w:w="3175" w:type="dxa"/>
            <w:gridSpan w:val="2"/>
          </w:tcPr>
          <w:p>
            <w:pPr>
              <w:pStyle w:val="TableParagraph"/>
              <w:spacing w:line="159" w:lineRule="exact" w:before="0"/>
              <w:ind w:left="273"/>
              <w:jc w:val="left"/>
              <w:rPr>
                <w:sz w:val="15"/>
              </w:rPr>
            </w:pPr>
            <w:r>
              <w:rPr>
                <w:w w:val="105"/>
                <w:sz w:val="15"/>
              </w:rPr>
              <w:t>0.84852</w:t>
            </w:r>
          </w:p>
        </w:tc>
      </w:tr>
      <w:tr>
        <w:trPr>
          <w:trHeight w:val="398" w:hRule="exact"/>
        </w:trPr>
        <w:tc>
          <w:tcPr>
            <w:tcW w:w="2700" w:type="dxa"/>
            <w:gridSpan w:val="3"/>
          </w:tcPr>
          <w:p>
            <w:pPr>
              <w:pStyle w:val="TableParagraph"/>
              <w:spacing w:before="88"/>
              <w:ind w:left="1547"/>
              <w:jc w:val="left"/>
              <w:rPr>
                <w:rFonts w:ascii="Calibri"/>
                <w:sz w:val="15"/>
              </w:rPr>
            </w:pPr>
            <w:r>
              <w:rPr>
                <w:rFonts w:ascii="Calibri"/>
                <w:w w:val="105"/>
                <w:sz w:val="15"/>
              </w:rPr>
              <w:t>Dependent Mean</w:t>
            </w:r>
          </w:p>
        </w:tc>
        <w:tc>
          <w:tcPr>
            <w:tcW w:w="3045" w:type="dxa"/>
            <w:gridSpan w:val="3"/>
          </w:tcPr>
          <w:p>
            <w:pPr>
              <w:pStyle w:val="TableParagraph"/>
              <w:tabs>
                <w:tab w:pos="2351" w:val="left" w:leader="none"/>
              </w:tabs>
              <w:spacing w:before="88"/>
              <w:ind w:left="239"/>
              <w:jc w:val="left"/>
              <w:rPr>
                <w:rFonts w:ascii="Calibri"/>
                <w:sz w:val="15"/>
              </w:rPr>
            </w:pPr>
            <w:r>
              <w:rPr>
                <w:rFonts w:ascii="Calibri"/>
                <w:w w:val="105"/>
                <w:sz w:val="15"/>
              </w:rPr>
              <w:t>4.88381E10</w:t>
              <w:tab/>
              <w:t>Adj</w:t>
            </w:r>
            <w:r>
              <w:rPr>
                <w:rFonts w:ascii="Calibri"/>
                <w:spacing w:val="-5"/>
                <w:w w:val="105"/>
                <w:sz w:val="15"/>
              </w:rPr>
              <w:t> </w:t>
            </w:r>
            <w:r>
              <w:rPr>
                <w:rFonts w:ascii="Calibri"/>
                <w:w w:val="105"/>
                <w:sz w:val="15"/>
              </w:rPr>
              <w:t>R-Sq</w:t>
            </w:r>
          </w:p>
        </w:tc>
        <w:tc>
          <w:tcPr>
            <w:tcW w:w="3175" w:type="dxa"/>
            <w:gridSpan w:val="2"/>
          </w:tcPr>
          <w:p>
            <w:pPr>
              <w:pStyle w:val="TableParagraph"/>
              <w:spacing w:before="88"/>
              <w:ind w:left="83"/>
              <w:jc w:val="left"/>
              <w:rPr>
                <w:rFonts w:ascii="Calibri"/>
                <w:sz w:val="15"/>
              </w:rPr>
            </w:pPr>
            <w:r>
              <w:rPr>
                <w:rFonts w:ascii="Calibri"/>
                <w:w w:val="105"/>
                <w:sz w:val="15"/>
              </w:rPr>
              <w:t>0.79172</w:t>
            </w:r>
          </w:p>
        </w:tc>
      </w:tr>
      <w:tr>
        <w:trPr>
          <w:trHeight w:val="413" w:hRule="exact"/>
        </w:trPr>
        <w:tc>
          <w:tcPr>
            <w:tcW w:w="2700" w:type="dxa"/>
            <w:gridSpan w:val="3"/>
          </w:tcPr>
          <w:p>
            <w:pPr>
              <w:pStyle w:val="TableParagraph"/>
              <w:spacing w:before="102"/>
              <w:ind w:left="1547"/>
              <w:jc w:val="left"/>
              <w:rPr>
                <w:rFonts w:ascii="Calibri"/>
                <w:sz w:val="15"/>
              </w:rPr>
            </w:pPr>
            <w:r>
              <w:rPr>
                <w:rFonts w:ascii="Calibri"/>
                <w:w w:val="105"/>
                <w:sz w:val="15"/>
              </w:rPr>
              <w:t>Coeff Var</w:t>
            </w:r>
          </w:p>
        </w:tc>
        <w:tc>
          <w:tcPr>
            <w:tcW w:w="3045" w:type="dxa"/>
            <w:gridSpan w:val="3"/>
          </w:tcPr>
          <w:p>
            <w:pPr>
              <w:pStyle w:val="TableParagraph"/>
              <w:spacing w:before="102"/>
              <w:ind w:left="38"/>
              <w:jc w:val="left"/>
              <w:rPr>
                <w:rFonts w:ascii="Calibri"/>
                <w:sz w:val="15"/>
              </w:rPr>
            </w:pPr>
            <w:r>
              <w:rPr>
                <w:rFonts w:ascii="Calibri"/>
                <w:w w:val="105"/>
                <w:sz w:val="15"/>
              </w:rPr>
              <w:t>85.43544</w:t>
            </w:r>
          </w:p>
        </w:tc>
        <w:tc>
          <w:tcPr>
            <w:tcW w:w="3175" w:type="dxa"/>
            <w:gridSpan w:val="2"/>
          </w:tcPr>
          <w:p>
            <w:pPr/>
          </w:p>
        </w:tc>
      </w:tr>
      <w:tr>
        <w:trPr>
          <w:trHeight w:val="413" w:hRule="exact"/>
        </w:trPr>
        <w:tc>
          <w:tcPr>
            <w:tcW w:w="2700" w:type="dxa"/>
            <w:gridSpan w:val="3"/>
          </w:tcPr>
          <w:p>
            <w:pPr/>
          </w:p>
        </w:tc>
        <w:tc>
          <w:tcPr>
            <w:tcW w:w="3045" w:type="dxa"/>
            <w:gridSpan w:val="3"/>
          </w:tcPr>
          <w:p>
            <w:pPr>
              <w:pStyle w:val="TableParagraph"/>
              <w:spacing w:before="102"/>
              <w:ind w:left="884"/>
              <w:jc w:val="left"/>
              <w:rPr>
                <w:rFonts w:ascii="Calibri" w:hAnsi="Calibri"/>
                <w:sz w:val="15"/>
              </w:rPr>
            </w:pPr>
            <w:r>
              <w:rPr>
                <w:rFonts w:ascii="Calibri" w:hAnsi="Calibri"/>
                <w:w w:val="105"/>
                <w:sz w:val="15"/>
              </w:rPr>
              <w:t>Estimadores de parámetros</w:t>
            </w:r>
          </w:p>
        </w:tc>
        <w:tc>
          <w:tcPr>
            <w:tcW w:w="3175" w:type="dxa"/>
            <w:gridSpan w:val="2"/>
          </w:tcPr>
          <w:p>
            <w:pPr/>
          </w:p>
        </w:tc>
      </w:tr>
      <w:tr>
        <w:trPr>
          <w:trHeight w:val="413" w:hRule="exact"/>
        </w:trPr>
        <w:tc>
          <w:tcPr>
            <w:tcW w:w="1402" w:type="dxa"/>
          </w:tcPr>
          <w:p>
            <w:pPr/>
          </w:p>
        </w:tc>
        <w:tc>
          <w:tcPr>
            <w:tcW w:w="656" w:type="dxa"/>
          </w:tcPr>
          <w:p>
            <w:pPr/>
          </w:p>
        </w:tc>
        <w:tc>
          <w:tcPr>
            <w:tcW w:w="1358" w:type="dxa"/>
            <w:gridSpan w:val="2"/>
          </w:tcPr>
          <w:p>
            <w:pPr>
              <w:pStyle w:val="TableParagraph"/>
              <w:spacing w:before="102"/>
              <w:ind w:left="190"/>
              <w:jc w:val="left"/>
              <w:rPr>
                <w:rFonts w:ascii="Calibri"/>
                <w:sz w:val="15"/>
              </w:rPr>
            </w:pPr>
            <w:r>
              <w:rPr>
                <w:rFonts w:ascii="Calibri"/>
                <w:w w:val="105"/>
                <w:sz w:val="15"/>
              </w:rPr>
              <w:t>Estimadores</w:t>
            </w:r>
          </w:p>
        </w:tc>
        <w:tc>
          <w:tcPr>
            <w:tcW w:w="902" w:type="dxa"/>
          </w:tcPr>
          <w:p>
            <w:pPr>
              <w:pStyle w:val="TableParagraph"/>
              <w:spacing w:before="102"/>
              <w:ind w:left="234"/>
              <w:jc w:val="left"/>
              <w:rPr>
                <w:rFonts w:ascii="Calibri"/>
                <w:sz w:val="15"/>
              </w:rPr>
            </w:pPr>
            <w:r>
              <w:rPr>
                <w:rFonts w:ascii="Calibri"/>
                <w:w w:val="105"/>
                <w:sz w:val="15"/>
              </w:rPr>
              <w:t>Error</w:t>
            </w:r>
          </w:p>
        </w:tc>
        <w:tc>
          <w:tcPr>
            <w:tcW w:w="1428" w:type="dxa"/>
          </w:tcPr>
          <w:p>
            <w:pPr/>
          </w:p>
        </w:tc>
        <w:tc>
          <w:tcPr>
            <w:tcW w:w="3175" w:type="dxa"/>
            <w:gridSpan w:val="2"/>
          </w:tcPr>
          <w:p>
            <w:pPr/>
          </w:p>
        </w:tc>
      </w:tr>
      <w:tr>
        <w:trPr>
          <w:trHeight w:val="414" w:hRule="exact"/>
        </w:trPr>
        <w:tc>
          <w:tcPr>
            <w:tcW w:w="1402" w:type="dxa"/>
          </w:tcPr>
          <w:p>
            <w:pPr>
              <w:pStyle w:val="TableParagraph"/>
              <w:spacing w:before="102"/>
              <w:ind w:left="671"/>
              <w:jc w:val="left"/>
              <w:rPr>
                <w:rFonts w:ascii="Calibri"/>
                <w:sz w:val="15"/>
              </w:rPr>
            </w:pPr>
            <w:r>
              <w:rPr>
                <w:rFonts w:ascii="Calibri"/>
                <w:w w:val="105"/>
                <w:sz w:val="15"/>
              </w:rPr>
              <w:t>Variable</w:t>
            </w:r>
          </w:p>
        </w:tc>
        <w:tc>
          <w:tcPr>
            <w:tcW w:w="656" w:type="dxa"/>
          </w:tcPr>
          <w:p>
            <w:pPr>
              <w:pStyle w:val="TableParagraph"/>
              <w:spacing w:before="102"/>
              <w:ind w:left="145"/>
              <w:jc w:val="left"/>
              <w:rPr>
                <w:rFonts w:ascii="Calibri"/>
                <w:sz w:val="15"/>
              </w:rPr>
            </w:pPr>
            <w:r>
              <w:rPr>
                <w:rFonts w:ascii="Calibri"/>
                <w:w w:val="105"/>
                <w:sz w:val="15"/>
              </w:rPr>
              <w:t>DF</w:t>
            </w:r>
          </w:p>
        </w:tc>
        <w:tc>
          <w:tcPr>
            <w:tcW w:w="1358" w:type="dxa"/>
            <w:gridSpan w:val="2"/>
          </w:tcPr>
          <w:p>
            <w:pPr>
              <w:pStyle w:val="TableParagraph"/>
              <w:spacing w:before="102"/>
              <w:ind w:left="190"/>
              <w:jc w:val="left"/>
              <w:rPr>
                <w:rFonts w:ascii="Calibri" w:hAnsi="Calibri"/>
                <w:sz w:val="15"/>
              </w:rPr>
            </w:pPr>
            <w:r>
              <w:rPr>
                <w:rFonts w:ascii="Calibri" w:hAnsi="Calibri"/>
                <w:w w:val="105"/>
                <w:sz w:val="15"/>
              </w:rPr>
              <w:t>de parámetros</w:t>
            </w:r>
          </w:p>
        </w:tc>
        <w:tc>
          <w:tcPr>
            <w:tcW w:w="902" w:type="dxa"/>
          </w:tcPr>
          <w:p>
            <w:pPr>
              <w:pStyle w:val="TableParagraph"/>
              <w:spacing w:before="102"/>
              <w:ind w:left="234"/>
              <w:jc w:val="left"/>
              <w:rPr>
                <w:rFonts w:ascii="Calibri" w:hAnsi="Calibri"/>
                <w:sz w:val="15"/>
              </w:rPr>
            </w:pPr>
            <w:r>
              <w:rPr>
                <w:rFonts w:ascii="Calibri" w:hAnsi="Calibri"/>
                <w:w w:val="105"/>
                <w:sz w:val="15"/>
              </w:rPr>
              <w:t>estándar</w:t>
            </w:r>
          </w:p>
        </w:tc>
        <w:tc>
          <w:tcPr>
            <w:tcW w:w="1428" w:type="dxa"/>
          </w:tcPr>
          <w:p>
            <w:pPr>
              <w:pStyle w:val="TableParagraph"/>
              <w:spacing w:before="102"/>
              <w:ind w:left="734"/>
              <w:jc w:val="left"/>
              <w:rPr>
                <w:rFonts w:ascii="Calibri"/>
                <w:sz w:val="15"/>
              </w:rPr>
            </w:pPr>
            <w:r>
              <w:rPr>
                <w:rFonts w:ascii="Calibri"/>
                <w:w w:val="105"/>
                <w:sz w:val="15"/>
              </w:rPr>
              <w:t>Valor t</w:t>
            </w:r>
          </w:p>
        </w:tc>
        <w:tc>
          <w:tcPr>
            <w:tcW w:w="3175" w:type="dxa"/>
            <w:gridSpan w:val="2"/>
          </w:tcPr>
          <w:p>
            <w:pPr>
              <w:pStyle w:val="TableParagraph"/>
              <w:spacing w:before="102"/>
              <w:ind w:left="707"/>
              <w:jc w:val="left"/>
              <w:rPr>
                <w:rFonts w:ascii="Calibri"/>
                <w:sz w:val="15"/>
              </w:rPr>
            </w:pPr>
            <w:r>
              <w:rPr>
                <w:rFonts w:ascii="Calibri"/>
                <w:w w:val="105"/>
                <w:sz w:val="15"/>
              </w:rPr>
              <w:t>Pr &gt; |t|</w:t>
            </w:r>
          </w:p>
        </w:tc>
      </w:tr>
      <w:tr>
        <w:trPr>
          <w:trHeight w:val="414" w:hRule="exact"/>
        </w:trPr>
        <w:tc>
          <w:tcPr>
            <w:tcW w:w="1402" w:type="dxa"/>
          </w:tcPr>
          <w:p>
            <w:pPr>
              <w:pStyle w:val="TableParagraph"/>
              <w:spacing w:before="104"/>
              <w:ind w:left="674"/>
              <w:jc w:val="left"/>
              <w:rPr>
                <w:rFonts w:ascii="Calibri"/>
                <w:sz w:val="15"/>
              </w:rPr>
            </w:pPr>
            <w:r>
              <w:rPr>
                <w:rFonts w:ascii="Calibri"/>
                <w:w w:val="105"/>
                <w:sz w:val="15"/>
              </w:rPr>
              <w:t>Intercept</w:t>
            </w:r>
          </w:p>
        </w:tc>
        <w:tc>
          <w:tcPr>
            <w:tcW w:w="656" w:type="dxa"/>
          </w:tcPr>
          <w:p>
            <w:pPr>
              <w:pStyle w:val="TableParagraph"/>
              <w:spacing w:before="104"/>
              <w:ind w:left="145"/>
              <w:jc w:val="left"/>
              <w:rPr>
                <w:rFonts w:ascii="Calibri"/>
                <w:sz w:val="15"/>
              </w:rPr>
            </w:pPr>
            <w:r>
              <w:rPr>
                <w:rFonts w:ascii="Calibri"/>
                <w:w w:val="104"/>
                <w:sz w:val="15"/>
              </w:rPr>
              <w:t>1</w:t>
            </w:r>
          </w:p>
        </w:tc>
        <w:tc>
          <w:tcPr>
            <w:tcW w:w="1358" w:type="dxa"/>
            <w:gridSpan w:val="2"/>
          </w:tcPr>
          <w:p>
            <w:pPr>
              <w:pStyle w:val="TableParagraph"/>
              <w:spacing w:before="104"/>
              <w:ind w:left="190"/>
              <w:jc w:val="left"/>
              <w:rPr>
                <w:rFonts w:ascii="Calibri"/>
                <w:sz w:val="15"/>
              </w:rPr>
            </w:pPr>
            <w:r>
              <w:rPr>
                <w:rFonts w:ascii="Calibri"/>
                <w:w w:val="105"/>
                <w:sz w:val="15"/>
              </w:rPr>
              <w:t>3.775E11</w:t>
            </w:r>
          </w:p>
        </w:tc>
        <w:tc>
          <w:tcPr>
            <w:tcW w:w="902" w:type="dxa"/>
          </w:tcPr>
          <w:p>
            <w:pPr>
              <w:pStyle w:val="TableParagraph"/>
              <w:spacing w:before="104"/>
              <w:ind w:left="234"/>
              <w:jc w:val="left"/>
              <w:rPr>
                <w:rFonts w:ascii="Calibri"/>
                <w:sz w:val="15"/>
              </w:rPr>
            </w:pPr>
            <w:r>
              <w:rPr>
                <w:rFonts w:ascii="Calibri"/>
                <w:w w:val="105"/>
                <w:sz w:val="15"/>
              </w:rPr>
              <w:t>7.269E10</w:t>
            </w:r>
          </w:p>
        </w:tc>
        <w:tc>
          <w:tcPr>
            <w:tcW w:w="1428" w:type="dxa"/>
          </w:tcPr>
          <w:p>
            <w:pPr>
              <w:pStyle w:val="TableParagraph"/>
              <w:spacing w:before="104"/>
              <w:ind w:left="770"/>
              <w:jc w:val="left"/>
              <w:rPr>
                <w:rFonts w:ascii="Calibri"/>
                <w:sz w:val="15"/>
              </w:rPr>
            </w:pPr>
            <w:r>
              <w:rPr>
                <w:rFonts w:ascii="Calibri"/>
                <w:w w:val="105"/>
                <w:sz w:val="15"/>
              </w:rPr>
              <w:t>5.19</w:t>
            </w:r>
          </w:p>
        </w:tc>
        <w:tc>
          <w:tcPr>
            <w:tcW w:w="3175" w:type="dxa"/>
            <w:gridSpan w:val="2"/>
          </w:tcPr>
          <w:p>
            <w:pPr>
              <w:pStyle w:val="TableParagraph"/>
              <w:spacing w:before="104"/>
              <w:ind w:left="707"/>
              <w:jc w:val="left"/>
              <w:rPr>
                <w:rFonts w:ascii="Calibri"/>
                <w:sz w:val="15"/>
              </w:rPr>
            </w:pPr>
            <w:r>
              <w:rPr>
                <w:rFonts w:ascii="Calibri"/>
                <w:w w:val="105"/>
                <w:sz w:val="15"/>
              </w:rPr>
              <w:t>&lt;.0001</w:t>
            </w:r>
          </w:p>
        </w:tc>
      </w:tr>
      <w:tr>
        <w:trPr>
          <w:trHeight w:val="413" w:hRule="exact"/>
        </w:trPr>
        <w:tc>
          <w:tcPr>
            <w:tcW w:w="1402" w:type="dxa"/>
          </w:tcPr>
          <w:p>
            <w:pPr>
              <w:pStyle w:val="TableParagraph"/>
              <w:spacing w:before="102"/>
              <w:ind w:left="671"/>
              <w:jc w:val="left"/>
              <w:rPr>
                <w:rFonts w:ascii="Calibri"/>
                <w:sz w:val="15"/>
              </w:rPr>
            </w:pPr>
            <w:r>
              <w:rPr>
                <w:rFonts w:ascii="Calibri"/>
                <w:w w:val="105"/>
                <w:sz w:val="15"/>
              </w:rPr>
              <w:t>TI</w:t>
            </w:r>
          </w:p>
        </w:tc>
        <w:tc>
          <w:tcPr>
            <w:tcW w:w="656" w:type="dxa"/>
          </w:tcPr>
          <w:p>
            <w:pPr>
              <w:pStyle w:val="TableParagraph"/>
              <w:spacing w:before="102"/>
              <w:ind w:left="145"/>
              <w:jc w:val="left"/>
              <w:rPr>
                <w:rFonts w:ascii="Calibri"/>
                <w:sz w:val="15"/>
              </w:rPr>
            </w:pPr>
            <w:r>
              <w:rPr>
                <w:rFonts w:ascii="Calibri"/>
                <w:w w:val="104"/>
                <w:sz w:val="15"/>
              </w:rPr>
              <w:t>1</w:t>
            </w:r>
          </w:p>
        </w:tc>
        <w:tc>
          <w:tcPr>
            <w:tcW w:w="1358" w:type="dxa"/>
            <w:gridSpan w:val="2"/>
          </w:tcPr>
          <w:p>
            <w:pPr>
              <w:pStyle w:val="TableParagraph"/>
              <w:spacing w:before="102"/>
              <w:ind w:left="190"/>
              <w:jc w:val="left"/>
              <w:rPr>
                <w:rFonts w:ascii="Calibri"/>
                <w:sz w:val="15"/>
              </w:rPr>
            </w:pPr>
            <w:r>
              <w:rPr>
                <w:rFonts w:ascii="Calibri"/>
                <w:w w:val="105"/>
                <w:sz w:val="15"/>
              </w:rPr>
              <w:t>-9.292E9</w:t>
            </w:r>
          </w:p>
        </w:tc>
        <w:tc>
          <w:tcPr>
            <w:tcW w:w="902" w:type="dxa"/>
          </w:tcPr>
          <w:p>
            <w:pPr>
              <w:pStyle w:val="TableParagraph"/>
              <w:spacing w:before="102"/>
              <w:ind w:left="234"/>
              <w:jc w:val="left"/>
              <w:rPr>
                <w:rFonts w:ascii="Calibri"/>
                <w:sz w:val="15"/>
              </w:rPr>
            </w:pPr>
            <w:r>
              <w:rPr>
                <w:rFonts w:ascii="Calibri"/>
                <w:w w:val="105"/>
                <w:sz w:val="15"/>
              </w:rPr>
              <w:t>1.6505E9</w:t>
            </w:r>
          </w:p>
        </w:tc>
        <w:tc>
          <w:tcPr>
            <w:tcW w:w="1428" w:type="dxa"/>
          </w:tcPr>
          <w:p>
            <w:pPr>
              <w:pStyle w:val="TableParagraph"/>
              <w:spacing w:before="102"/>
              <w:ind w:left="734"/>
              <w:jc w:val="left"/>
              <w:rPr>
                <w:rFonts w:ascii="Calibri"/>
                <w:sz w:val="15"/>
              </w:rPr>
            </w:pPr>
            <w:r>
              <w:rPr>
                <w:rFonts w:ascii="Calibri"/>
                <w:w w:val="105"/>
                <w:sz w:val="15"/>
              </w:rPr>
              <w:t>-5.63</w:t>
            </w:r>
          </w:p>
        </w:tc>
        <w:tc>
          <w:tcPr>
            <w:tcW w:w="3175" w:type="dxa"/>
            <w:gridSpan w:val="2"/>
          </w:tcPr>
          <w:p>
            <w:pPr>
              <w:pStyle w:val="TableParagraph"/>
              <w:spacing w:before="102"/>
              <w:ind w:left="707"/>
              <w:jc w:val="left"/>
              <w:rPr>
                <w:rFonts w:ascii="Calibri"/>
                <w:sz w:val="15"/>
              </w:rPr>
            </w:pPr>
            <w:r>
              <w:rPr>
                <w:rFonts w:ascii="Calibri"/>
                <w:w w:val="105"/>
                <w:sz w:val="15"/>
              </w:rPr>
              <w:t>&lt;.0001</w:t>
            </w:r>
          </w:p>
        </w:tc>
      </w:tr>
      <w:tr>
        <w:trPr>
          <w:trHeight w:val="414" w:hRule="exact"/>
        </w:trPr>
        <w:tc>
          <w:tcPr>
            <w:tcW w:w="1402" w:type="dxa"/>
          </w:tcPr>
          <w:p>
            <w:pPr>
              <w:pStyle w:val="TableParagraph"/>
              <w:spacing w:before="102"/>
              <w:ind w:left="671"/>
              <w:jc w:val="left"/>
              <w:rPr>
                <w:rFonts w:ascii="Calibri"/>
                <w:sz w:val="15"/>
              </w:rPr>
            </w:pPr>
            <w:r>
              <w:rPr>
                <w:rFonts w:ascii="Calibri"/>
                <w:w w:val="105"/>
                <w:sz w:val="15"/>
              </w:rPr>
              <w:t>TC</w:t>
            </w:r>
          </w:p>
        </w:tc>
        <w:tc>
          <w:tcPr>
            <w:tcW w:w="656" w:type="dxa"/>
          </w:tcPr>
          <w:p>
            <w:pPr>
              <w:pStyle w:val="TableParagraph"/>
              <w:spacing w:before="102"/>
              <w:ind w:left="145"/>
              <w:jc w:val="left"/>
              <w:rPr>
                <w:rFonts w:ascii="Calibri"/>
                <w:sz w:val="15"/>
              </w:rPr>
            </w:pPr>
            <w:r>
              <w:rPr>
                <w:rFonts w:ascii="Calibri"/>
                <w:w w:val="104"/>
                <w:sz w:val="15"/>
              </w:rPr>
              <w:t>1</w:t>
            </w:r>
          </w:p>
        </w:tc>
        <w:tc>
          <w:tcPr>
            <w:tcW w:w="1358" w:type="dxa"/>
            <w:gridSpan w:val="2"/>
          </w:tcPr>
          <w:p>
            <w:pPr>
              <w:pStyle w:val="TableParagraph"/>
              <w:spacing w:before="102"/>
              <w:ind w:left="190"/>
              <w:jc w:val="left"/>
              <w:rPr>
                <w:rFonts w:ascii="Calibri"/>
                <w:sz w:val="15"/>
              </w:rPr>
            </w:pPr>
            <w:r>
              <w:rPr>
                <w:rFonts w:ascii="Calibri"/>
                <w:w w:val="105"/>
                <w:sz w:val="15"/>
              </w:rPr>
              <w:t>-5.34E7</w:t>
            </w:r>
          </w:p>
        </w:tc>
        <w:tc>
          <w:tcPr>
            <w:tcW w:w="902" w:type="dxa"/>
          </w:tcPr>
          <w:p>
            <w:pPr>
              <w:pStyle w:val="TableParagraph"/>
              <w:spacing w:before="102"/>
              <w:ind w:left="234"/>
              <w:jc w:val="left"/>
              <w:rPr>
                <w:rFonts w:ascii="Calibri"/>
                <w:sz w:val="15"/>
              </w:rPr>
            </w:pPr>
            <w:r>
              <w:rPr>
                <w:rFonts w:ascii="Calibri"/>
                <w:w w:val="105"/>
                <w:sz w:val="15"/>
              </w:rPr>
              <w:t>11798241</w:t>
            </w:r>
          </w:p>
        </w:tc>
        <w:tc>
          <w:tcPr>
            <w:tcW w:w="1428" w:type="dxa"/>
          </w:tcPr>
          <w:p>
            <w:pPr>
              <w:pStyle w:val="TableParagraph"/>
              <w:spacing w:before="102"/>
              <w:ind w:left="734"/>
              <w:jc w:val="left"/>
              <w:rPr>
                <w:rFonts w:ascii="Calibri"/>
                <w:sz w:val="15"/>
              </w:rPr>
            </w:pPr>
            <w:r>
              <w:rPr>
                <w:rFonts w:ascii="Calibri"/>
                <w:w w:val="105"/>
                <w:sz w:val="15"/>
              </w:rPr>
              <w:t>-4.53</w:t>
            </w:r>
          </w:p>
        </w:tc>
        <w:tc>
          <w:tcPr>
            <w:tcW w:w="3175" w:type="dxa"/>
            <w:gridSpan w:val="2"/>
          </w:tcPr>
          <w:p>
            <w:pPr>
              <w:pStyle w:val="TableParagraph"/>
              <w:spacing w:before="102"/>
              <w:ind w:left="708"/>
              <w:jc w:val="left"/>
              <w:rPr>
                <w:rFonts w:ascii="Calibri"/>
                <w:sz w:val="15"/>
              </w:rPr>
            </w:pPr>
            <w:r>
              <w:rPr>
                <w:rFonts w:ascii="Calibri"/>
                <w:w w:val="105"/>
                <w:sz w:val="15"/>
              </w:rPr>
              <w:t>0.0003</w:t>
            </w:r>
          </w:p>
        </w:tc>
      </w:tr>
      <w:tr>
        <w:trPr>
          <w:trHeight w:val="414" w:hRule="exact"/>
        </w:trPr>
        <w:tc>
          <w:tcPr>
            <w:tcW w:w="1402" w:type="dxa"/>
          </w:tcPr>
          <w:p>
            <w:pPr>
              <w:pStyle w:val="TableParagraph"/>
              <w:spacing w:before="104"/>
              <w:ind w:left="674"/>
              <w:jc w:val="left"/>
              <w:rPr>
                <w:rFonts w:ascii="Calibri"/>
                <w:sz w:val="15"/>
              </w:rPr>
            </w:pPr>
            <w:r>
              <w:rPr>
                <w:rFonts w:ascii="Calibri"/>
                <w:w w:val="105"/>
                <w:sz w:val="15"/>
              </w:rPr>
              <w:t>INF</w:t>
            </w:r>
          </w:p>
        </w:tc>
        <w:tc>
          <w:tcPr>
            <w:tcW w:w="656" w:type="dxa"/>
          </w:tcPr>
          <w:p>
            <w:pPr>
              <w:pStyle w:val="TableParagraph"/>
              <w:spacing w:before="104"/>
              <w:ind w:left="145"/>
              <w:jc w:val="left"/>
              <w:rPr>
                <w:rFonts w:ascii="Calibri"/>
                <w:sz w:val="15"/>
              </w:rPr>
            </w:pPr>
            <w:r>
              <w:rPr>
                <w:rFonts w:ascii="Calibri"/>
                <w:w w:val="104"/>
                <w:sz w:val="15"/>
              </w:rPr>
              <w:t>1</w:t>
            </w:r>
          </w:p>
        </w:tc>
        <w:tc>
          <w:tcPr>
            <w:tcW w:w="1358" w:type="dxa"/>
            <w:gridSpan w:val="2"/>
          </w:tcPr>
          <w:p>
            <w:pPr>
              <w:pStyle w:val="TableParagraph"/>
              <w:spacing w:before="104"/>
              <w:ind w:left="190"/>
              <w:jc w:val="left"/>
              <w:rPr>
                <w:rFonts w:ascii="Calibri"/>
                <w:sz w:val="15"/>
              </w:rPr>
            </w:pPr>
            <w:r>
              <w:rPr>
                <w:rFonts w:ascii="Calibri"/>
                <w:w w:val="105"/>
                <w:sz w:val="15"/>
              </w:rPr>
              <w:t>4.6158E9</w:t>
            </w:r>
          </w:p>
        </w:tc>
        <w:tc>
          <w:tcPr>
            <w:tcW w:w="902" w:type="dxa"/>
          </w:tcPr>
          <w:p>
            <w:pPr>
              <w:pStyle w:val="TableParagraph"/>
              <w:spacing w:before="104"/>
              <w:ind w:left="234"/>
              <w:jc w:val="left"/>
              <w:rPr>
                <w:rFonts w:ascii="Calibri"/>
                <w:sz w:val="15"/>
              </w:rPr>
            </w:pPr>
            <w:r>
              <w:rPr>
                <w:rFonts w:ascii="Calibri"/>
                <w:w w:val="105"/>
                <w:sz w:val="15"/>
              </w:rPr>
              <w:t>9.8889E8</w:t>
            </w:r>
          </w:p>
        </w:tc>
        <w:tc>
          <w:tcPr>
            <w:tcW w:w="1428" w:type="dxa"/>
          </w:tcPr>
          <w:p>
            <w:pPr>
              <w:pStyle w:val="TableParagraph"/>
              <w:spacing w:before="104"/>
              <w:ind w:left="734"/>
              <w:jc w:val="left"/>
              <w:rPr>
                <w:rFonts w:ascii="Calibri"/>
                <w:sz w:val="15"/>
              </w:rPr>
            </w:pPr>
            <w:r>
              <w:rPr>
                <w:rFonts w:ascii="Calibri"/>
                <w:w w:val="105"/>
                <w:sz w:val="15"/>
              </w:rPr>
              <w:t>4.67</w:t>
            </w:r>
          </w:p>
        </w:tc>
        <w:tc>
          <w:tcPr>
            <w:tcW w:w="3175" w:type="dxa"/>
            <w:gridSpan w:val="2"/>
          </w:tcPr>
          <w:p>
            <w:pPr>
              <w:pStyle w:val="TableParagraph"/>
              <w:spacing w:before="104"/>
              <w:ind w:left="707"/>
              <w:jc w:val="left"/>
              <w:rPr>
                <w:rFonts w:ascii="Calibri"/>
                <w:sz w:val="15"/>
              </w:rPr>
            </w:pPr>
            <w:r>
              <w:rPr>
                <w:rFonts w:ascii="Calibri"/>
                <w:w w:val="105"/>
                <w:sz w:val="15"/>
              </w:rPr>
              <w:t>0.0003</w:t>
            </w:r>
          </w:p>
        </w:tc>
      </w:tr>
      <w:tr>
        <w:trPr>
          <w:trHeight w:val="413" w:hRule="exact"/>
        </w:trPr>
        <w:tc>
          <w:tcPr>
            <w:tcW w:w="1402" w:type="dxa"/>
          </w:tcPr>
          <w:p>
            <w:pPr>
              <w:pStyle w:val="TableParagraph"/>
              <w:spacing w:before="102"/>
              <w:ind w:left="671"/>
              <w:jc w:val="left"/>
              <w:rPr>
                <w:rFonts w:ascii="Calibri"/>
                <w:sz w:val="15"/>
              </w:rPr>
            </w:pPr>
            <w:r>
              <w:rPr>
                <w:rFonts w:ascii="Calibri"/>
                <w:w w:val="104"/>
                <w:sz w:val="15"/>
              </w:rPr>
              <w:t>U</w:t>
            </w:r>
          </w:p>
        </w:tc>
        <w:tc>
          <w:tcPr>
            <w:tcW w:w="656" w:type="dxa"/>
          </w:tcPr>
          <w:p>
            <w:pPr>
              <w:pStyle w:val="TableParagraph"/>
              <w:spacing w:before="102"/>
              <w:ind w:left="145"/>
              <w:jc w:val="left"/>
              <w:rPr>
                <w:rFonts w:ascii="Calibri"/>
                <w:sz w:val="15"/>
              </w:rPr>
            </w:pPr>
            <w:r>
              <w:rPr>
                <w:rFonts w:ascii="Calibri"/>
                <w:w w:val="104"/>
                <w:sz w:val="15"/>
              </w:rPr>
              <w:t>1</w:t>
            </w:r>
          </w:p>
        </w:tc>
        <w:tc>
          <w:tcPr>
            <w:tcW w:w="1358" w:type="dxa"/>
            <w:gridSpan w:val="2"/>
          </w:tcPr>
          <w:p>
            <w:pPr>
              <w:pStyle w:val="TableParagraph"/>
              <w:spacing w:before="102"/>
              <w:ind w:left="190"/>
              <w:jc w:val="left"/>
              <w:rPr>
                <w:rFonts w:ascii="Calibri"/>
                <w:sz w:val="15"/>
              </w:rPr>
            </w:pPr>
            <w:r>
              <w:rPr>
                <w:rFonts w:ascii="Calibri"/>
                <w:w w:val="105"/>
                <w:sz w:val="15"/>
              </w:rPr>
              <w:t>-6.456E9</w:t>
            </w:r>
          </w:p>
        </w:tc>
        <w:tc>
          <w:tcPr>
            <w:tcW w:w="902" w:type="dxa"/>
          </w:tcPr>
          <w:p>
            <w:pPr>
              <w:pStyle w:val="TableParagraph"/>
              <w:spacing w:before="102"/>
              <w:ind w:left="234"/>
              <w:jc w:val="left"/>
              <w:rPr>
                <w:rFonts w:ascii="Calibri"/>
                <w:sz w:val="15"/>
              </w:rPr>
            </w:pPr>
            <w:r>
              <w:rPr>
                <w:rFonts w:ascii="Calibri"/>
                <w:w w:val="105"/>
                <w:sz w:val="15"/>
              </w:rPr>
              <w:t>1.114E10</w:t>
            </w:r>
          </w:p>
        </w:tc>
        <w:tc>
          <w:tcPr>
            <w:tcW w:w="1428" w:type="dxa"/>
          </w:tcPr>
          <w:p>
            <w:pPr>
              <w:pStyle w:val="TableParagraph"/>
              <w:spacing w:before="102"/>
              <w:ind w:left="734"/>
              <w:jc w:val="left"/>
              <w:rPr>
                <w:rFonts w:ascii="Calibri"/>
                <w:sz w:val="15"/>
              </w:rPr>
            </w:pPr>
            <w:r>
              <w:rPr>
                <w:rFonts w:ascii="Calibri"/>
                <w:w w:val="105"/>
                <w:sz w:val="15"/>
              </w:rPr>
              <w:t>-0.58</w:t>
            </w:r>
          </w:p>
        </w:tc>
        <w:tc>
          <w:tcPr>
            <w:tcW w:w="3175" w:type="dxa"/>
            <w:gridSpan w:val="2"/>
          </w:tcPr>
          <w:p>
            <w:pPr>
              <w:pStyle w:val="TableParagraph"/>
              <w:spacing w:before="102"/>
              <w:ind w:left="707"/>
              <w:jc w:val="left"/>
              <w:rPr>
                <w:rFonts w:ascii="Calibri"/>
                <w:sz w:val="15"/>
              </w:rPr>
            </w:pPr>
            <w:r>
              <w:rPr>
                <w:rFonts w:ascii="Calibri"/>
                <w:w w:val="105"/>
                <w:sz w:val="15"/>
              </w:rPr>
              <w:t>0.5703</w:t>
            </w:r>
          </w:p>
        </w:tc>
      </w:tr>
      <w:tr>
        <w:trPr>
          <w:trHeight w:val="413" w:hRule="exact"/>
        </w:trPr>
        <w:tc>
          <w:tcPr>
            <w:tcW w:w="1402" w:type="dxa"/>
          </w:tcPr>
          <w:p>
            <w:pPr>
              <w:pStyle w:val="TableParagraph"/>
              <w:spacing w:before="102"/>
              <w:ind w:left="671"/>
              <w:jc w:val="left"/>
              <w:rPr>
                <w:rFonts w:ascii="Calibri"/>
                <w:sz w:val="15"/>
              </w:rPr>
            </w:pPr>
            <w:r>
              <w:rPr>
                <w:rFonts w:ascii="Calibri"/>
                <w:w w:val="105"/>
                <w:sz w:val="15"/>
              </w:rPr>
              <w:t>PIBR</w:t>
            </w:r>
          </w:p>
        </w:tc>
        <w:tc>
          <w:tcPr>
            <w:tcW w:w="656" w:type="dxa"/>
          </w:tcPr>
          <w:p>
            <w:pPr>
              <w:pStyle w:val="TableParagraph"/>
              <w:spacing w:before="102"/>
              <w:ind w:left="145"/>
              <w:jc w:val="left"/>
              <w:rPr>
                <w:rFonts w:ascii="Calibri"/>
                <w:sz w:val="15"/>
              </w:rPr>
            </w:pPr>
            <w:r>
              <w:rPr>
                <w:rFonts w:ascii="Calibri"/>
                <w:w w:val="104"/>
                <w:sz w:val="15"/>
              </w:rPr>
              <w:t>1</w:t>
            </w:r>
          </w:p>
        </w:tc>
        <w:tc>
          <w:tcPr>
            <w:tcW w:w="1358" w:type="dxa"/>
            <w:gridSpan w:val="2"/>
          </w:tcPr>
          <w:p>
            <w:pPr>
              <w:pStyle w:val="TableParagraph"/>
              <w:spacing w:before="102"/>
              <w:ind w:left="190"/>
              <w:jc w:val="left"/>
              <w:rPr>
                <w:rFonts w:ascii="Calibri"/>
                <w:sz w:val="15"/>
              </w:rPr>
            </w:pPr>
            <w:r>
              <w:rPr>
                <w:rFonts w:ascii="Calibri"/>
                <w:w w:val="105"/>
                <w:sz w:val="15"/>
              </w:rPr>
              <w:t>-0.09004</w:t>
            </w:r>
          </w:p>
        </w:tc>
        <w:tc>
          <w:tcPr>
            <w:tcW w:w="902" w:type="dxa"/>
          </w:tcPr>
          <w:p>
            <w:pPr>
              <w:pStyle w:val="TableParagraph"/>
              <w:spacing w:before="102"/>
              <w:ind w:left="234"/>
              <w:jc w:val="left"/>
              <w:rPr>
                <w:rFonts w:ascii="Calibri"/>
                <w:sz w:val="15"/>
              </w:rPr>
            </w:pPr>
            <w:r>
              <w:rPr>
                <w:rFonts w:ascii="Calibri"/>
                <w:w w:val="105"/>
                <w:sz w:val="15"/>
              </w:rPr>
              <w:t>0.032152</w:t>
            </w:r>
          </w:p>
        </w:tc>
        <w:tc>
          <w:tcPr>
            <w:tcW w:w="1428" w:type="dxa"/>
          </w:tcPr>
          <w:p>
            <w:pPr>
              <w:pStyle w:val="TableParagraph"/>
              <w:spacing w:before="102"/>
              <w:ind w:left="734"/>
              <w:jc w:val="left"/>
              <w:rPr>
                <w:rFonts w:ascii="Calibri"/>
                <w:sz w:val="15"/>
              </w:rPr>
            </w:pPr>
            <w:r>
              <w:rPr>
                <w:rFonts w:ascii="Calibri"/>
                <w:w w:val="105"/>
                <w:sz w:val="15"/>
              </w:rPr>
              <w:t>-2.80</w:t>
            </w:r>
          </w:p>
        </w:tc>
        <w:tc>
          <w:tcPr>
            <w:tcW w:w="3175" w:type="dxa"/>
            <w:gridSpan w:val="2"/>
          </w:tcPr>
          <w:p>
            <w:pPr>
              <w:pStyle w:val="TableParagraph"/>
              <w:spacing w:before="102"/>
              <w:ind w:left="707"/>
              <w:jc w:val="left"/>
              <w:rPr>
                <w:rFonts w:ascii="Calibri"/>
                <w:sz w:val="15"/>
              </w:rPr>
            </w:pPr>
            <w:r>
              <w:rPr>
                <w:rFonts w:ascii="Calibri"/>
                <w:w w:val="105"/>
                <w:sz w:val="15"/>
              </w:rPr>
              <w:t>0.0128</w:t>
            </w:r>
          </w:p>
        </w:tc>
      </w:tr>
      <w:tr>
        <w:trPr>
          <w:trHeight w:val="385" w:hRule="exact"/>
        </w:trPr>
        <w:tc>
          <w:tcPr>
            <w:tcW w:w="1402" w:type="dxa"/>
          </w:tcPr>
          <w:p>
            <w:pPr>
              <w:pStyle w:val="TableParagraph"/>
              <w:spacing w:before="102"/>
              <w:ind w:left="671"/>
              <w:jc w:val="left"/>
              <w:rPr>
                <w:rFonts w:ascii="Calibri"/>
                <w:sz w:val="15"/>
              </w:rPr>
            </w:pPr>
            <w:r>
              <w:rPr>
                <w:rFonts w:ascii="Calibri"/>
                <w:w w:val="104"/>
                <w:sz w:val="15"/>
              </w:rPr>
              <w:t>S</w:t>
            </w:r>
          </w:p>
        </w:tc>
        <w:tc>
          <w:tcPr>
            <w:tcW w:w="656" w:type="dxa"/>
          </w:tcPr>
          <w:p>
            <w:pPr>
              <w:pStyle w:val="TableParagraph"/>
              <w:spacing w:before="102"/>
              <w:ind w:left="145"/>
              <w:jc w:val="left"/>
              <w:rPr>
                <w:rFonts w:ascii="Calibri"/>
                <w:sz w:val="15"/>
              </w:rPr>
            </w:pPr>
            <w:r>
              <w:rPr>
                <w:rFonts w:ascii="Calibri"/>
                <w:w w:val="104"/>
                <w:sz w:val="15"/>
              </w:rPr>
              <w:t>1</w:t>
            </w:r>
          </w:p>
        </w:tc>
        <w:tc>
          <w:tcPr>
            <w:tcW w:w="1358" w:type="dxa"/>
            <w:gridSpan w:val="2"/>
          </w:tcPr>
          <w:p>
            <w:pPr>
              <w:pStyle w:val="TableParagraph"/>
              <w:spacing w:before="102"/>
              <w:ind w:left="190"/>
              <w:jc w:val="left"/>
              <w:rPr>
                <w:rFonts w:ascii="Calibri"/>
                <w:sz w:val="15"/>
              </w:rPr>
            </w:pPr>
            <w:r>
              <w:rPr>
                <w:rFonts w:ascii="Calibri"/>
                <w:w w:val="105"/>
                <w:sz w:val="15"/>
              </w:rPr>
              <w:t>-7.085E9</w:t>
            </w:r>
          </w:p>
        </w:tc>
        <w:tc>
          <w:tcPr>
            <w:tcW w:w="902" w:type="dxa"/>
          </w:tcPr>
          <w:p>
            <w:pPr>
              <w:pStyle w:val="TableParagraph"/>
              <w:spacing w:before="102"/>
              <w:ind w:left="234"/>
              <w:jc w:val="left"/>
              <w:rPr>
                <w:rFonts w:ascii="Calibri"/>
                <w:sz w:val="15"/>
              </w:rPr>
            </w:pPr>
            <w:r>
              <w:rPr>
                <w:rFonts w:ascii="Calibri"/>
                <w:w w:val="105"/>
                <w:sz w:val="15"/>
              </w:rPr>
              <w:t>1.2596E9</w:t>
            </w:r>
          </w:p>
        </w:tc>
        <w:tc>
          <w:tcPr>
            <w:tcW w:w="1428" w:type="dxa"/>
          </w:tcPr>
          <w:p>
            <w:pPr>
              <w:pStyle w:val="TableParagraph"/>
              <w:spacing w:before="102"/>
              <w:ind w:left="734"/>
              <w:jc w:val="left"/>
              <w:rPr>
                <w:rFonts w:ascii="Calibri"/>
                <w:sz w:val="15"/>
              </w:rPr>
            </w:pPr>
            <w:r>
              <w:rPr>
                <w:rFonts w:ascii="Calibri"/>
                <w:w w:val="105"/>
                <w:sz w:val="15"/>
              </w:rPr>
              <w:t>-5.63</w:t>
            </w:r>
          </w:p>
        </w:tc>
        <w:tc>
          <w:tcPr>
            <w:tcW w:w="3175" w:type="dxa"/>
            <w:gridSpan w:val="2"/>
          </w:tcPr>
          <w:p>
            <w:pPr>
              <w:pStyle w:val="TableParagraph"/>
              <w:spacing w:before="102"/>
              <w:ind w:left="707"/>
              <w:jc w:val="left"/>
              <w:rPr>
                <w:rFonts w:ascii="Calibri"/>
                <w:sz w:val="15"/>
              </w:rPr>
            </w:pPr>
            <w:r>
              <w:rPr>
                <w:rFonts w:ascii="Calibri"/>
                <w:w w:val="105"/>
                <w:sz w:val="15"/>
              </w:rPr>
              <w:t>&lt;.0001</w:t>
            </w:r>
          </w:p>
        </w:tc>
      </w:tr>
    </w:tbl>
    <w:p>
      <w:pPr>
        <w:pStyle w:val="BodyText"/>
        <w:rPr>
          <w:b/>
          <w:sz w:val="22"/>
        </w:rPr>
      </w:pPr>
    </w:p>
    <w:p>
      <w:pPr>
        <w:spacing w:before="126"/>
        <w:ind w:left="301" w:right="0" w:firstLine="0"/>
        <w:jc w:val="both"/>
        <w:rPr>
          <w:sz w:val="23"/>
        </w:rPr>
      </w:pPr>
      <w:r>
        <w:rPr>
          <w:sz w:val="21"/>
        </w:rPr>
        <w:t>Fuente: Elaboración propia</w:t>
      </w:r>
      <w:r>
        <w:rPr>
          <w:sz w:val="23"/>
        </w:rPr>
        <w:t>.</w:t>
      </w:r>
    </w:p>
    <w:p>
      <w:pPr>
        <w:spacing w:after="0"/>
        <w:jc w:val="both"/>
        <w:rPr>
          <w:sz w:val="23"/>
        </w:rPr>
        <w:sectPr>
          <w:footerReference w:type="default" r:id="rId498"/>
          <w:pgSz w:w="11900" w:h="16840"/>
          <w:pgMar w:footer="1679" w:header="0" w:top="1600" w:bottom="1860" w:left="1100" w:right="1280"/>
          <w:pgNumType w:start="340"/>
        </w:sectPr>
      </w:pPr>
    </w:p>
    <w:p>
      <w:pPr>
        <w:pStyle w:val="BodyText"/>
        <w:rPr>
          <w:sz w:val="20"/>
        </w:rPr>
      </w:pPr>
    </w:p>
    <w:p>
      <w:pPr>
        <w:pStyle w:val="BodyText"/>
        <w:spacing w:before="8"/>
        <w:rPr>
          <w:sz w:val="18"/>
        </w:rPr>
      </w:pPr>
    </w:p>
    <w:p>
      <w:pPr>
        <w:pStyle w:val="BodyText"/>
        <w:spacing w:line="364" w:lineRule="auto" w:before="74"/>
        <w:ind w:left="101" w:right="105"/>
        <w:jc w:val="both"/>
      </w:pPr>
      <w:r>
        <w:rPr/>
        <w:t>Se observa que el cuadro 5 muestra un estadístico F-Valor = 14.94 presentando una probabilidad de fallo de de 0.0001. En cuanto al coeficiente de determinación de 0.84852, es decir, qué la ecuación es explicada en un</w:t>
      </w:r>
      <w:r>
        <w:rPr>
          <w:spacing w:val="62"/>
        </w:rPr>
        <w:t> </w:t>
      </w:r>
      <w:r>
        <w:rPr/>
        <w:t>84%.</w:t>
      </w:r>
    </w:p>
    <w:p>
      <w:pPr>
        <w:pStyle w:val="BodyText"/>
        <w:spacing w:before="3"/>
        <w:rPr>
          <w:sz w:val="20"/>
        </w:rPr>
      </w:pPr>
    </w:p>
    <w:p>
      <w:pPr>
        <w:pStyle w:val="BodyText"/>
        <w:spacing w:line="386" w:lineRule="auto"/>
        <w:ind w:left="101" w:right="105"/>
        <w:jc w:val="both"/>
      </w:pPr>
      <w:r>
        <w:rPr/>
        <w:t>En lo que corresponde a los coeficientes de regresión, el TI </w:t>
      </w:r>
      <w:r>
        <w:rPr>
          <w:rFonts w:ascii="Times New Roman" w:hAnsi="Times New Roman"/>
          <w:i/>
          <w:position w:val="-5"/>
          <w:sz w:val="14"/>
        </w:rPr>
        <w:t>t </w:t>
      </w:r>
      <w:r>
        <w:rPr/>
        <w:t>y S </w:t>
      </w:r>
      <w:r>
        <w:rPr>
          <w:rFonts w:ascii="Times New Roman" w:hAnsi="Times New Roman"/>
          <w:i/>
          <w:position w:val="-5"/>
          <w:sz w:val="14"/>
        </w:rPr>
        <w:t>t </w:t>
      </w:r>
      <w:r>
        <w:rPr/>
        <w:t>son considerados relevantes en la ecuación por tener una probabilidad de t de 0.0001 con un Valor – t  </w:t>
      </w:r>
      <w:r>
        <w:rPr>
          <w:spacing w:val="54"/>
        </w:rPr>
        <w:t> </w:t>
      </w:r>
      <w:r>
        <w:rPr/>
        <w:t>de</w:t>
      </w:r>
    </w:p>
    <w:p>
      <w:pPr>
        <w:pStyle w:val="BodyText"/>
        <w:spacing w:line="244" w:lineRule="exact"/>
        <w:ind w:left="101"/>
        <w:jc w:val="both"/>
      </w:pPr>
      <w:r>
        <w:rPr/>
        <w:t>-5.63 &gt;1, respectivamente, mientras  que la única variable  que está considerada    como</w:t>
      </w:r>
    </w:p>
    <w:p>
      <w:pPr>
        <w:pStyle w:val="BodyText"/>
        <w:spacing w:line="393" w:lineRule="auto" w:before="141"/>
        <w:ind w:left="101" w:right="109"/>
        <w:jc w:val="both"/>
      </w:pPr>
      <w:r>
        <w:rPr/>
        <w:t>no significativa es el U por no cumplir con la condición Valor t &gt;1;  las  restantes  variables TC </w:t>
      </w:r>
      <w:r>
        <w:rPr>
          <w:rFonts w:ascii="Times New Roman" w:hAnsi="Times New Roman"/>
          <w:i/>
          <w:position w:val="-5"/>
          <w:sz w:val="14"/>
        </w:rPr>
        <w:t>t </w:t>
      </w:r>
      <w:r>
        <w:rPr/>
        <w:t>, INF </w:t>
      </w:r>
      <w:r>
        <w:rPr>
          <w:rFonts w:ascii="Times New Roman" w:hAnsi="Times New Roman"/>
          <w:i/>
          <w:position w:val="-5"/>
          <w:sz w:val="14"/>
        </w:rPr>
        <w:t>t    </w:t>
      </w:r>
      <w:r>
        <w:rPr/>
        <w:t>y PIBR </w:t>
      </w:r>
      <w:r>
        <w:rPr>
          <w:rFonts w:ascii="Times New Roman" w:hAnsi="Times New Roman"/>
          <w:i/>
          <w:position w:val="-5"/>
          <w:sz w:val="14"/>
        </w:rPr>
        <w:t>t   </w:t>
      </w:r>
      <w:r>
        <w:rPr/>
        <w:t>son significativas por ser &gt; a</w:t>
      </w:r>
      <w:r>
        <w:rPr>
          <w:spacing w:val="-39"/>
        </w:rPr>
        <w:t> </w:t>
      </w:r>
      <w:r>
        <w:rPr/>
        <w:t>uno.</w:t>
      </w:r>
    </w:p>
    <w:p>
      <w:pPr>
        <w:pStyle w:val="BodyText"/>
        <w:rPr>
          <w:sz w:val="26"/>
        </w:rPr>
      </w:pPr>
    </w:p>
    <w:p>
      <w:pPr>
        <w:pStyle w:val="BodyText"/>
        <w:rPr>
          <w:sz w:val="26"/>
        </w:rPr>
      </w:pPr>
    </w:p>
    <w:p>
      <w:pPr>
        <w:pStyle w:val="Heading3"/>
        <w:numPr>
          <w:ilvl w:val="1"/>
          <w:numId w:val="29"/>
        </w:numPr>
        <w:tabs>
          <w:tab w:pos="560" w:val="left" w:leader="none"/>
        </w:tabs>
        <w:spacing w:line="240" w:lineRule="auto" w:before="161" w:after="0"/>
        <w:ind w:left="560" w:right="0" w:hanging="459"/>
        <w:jc w:val="both"/>
      </w:pPr>
      <w:r>
        <w:rPr/>
        <w:t>Resultados</w:t>
      </w:r>
      <w:r>
        <w:rPr>
          <w:spacing w:val="21"/>
        </w:rPr>
        <w:t> </w:t>
      </w:r>
      <w:r>
        <w:rPr/>
        <w:t>económicos</w:t>
      </w:r>
    </w:p>
    <w:p>
      <w:pPr>
        <w:pStyle w:val="BodyText"/>
        <w:spacing w:before="1"/>
        <w:rPr>
          <w:b/>
          <w:sz w:val="31"/>
        </w:rPr>
      </w:pPr>
    </w:p>
    <w:p>
      <w:pPr>
        <w:pStyle w:val="BodyText"/>
        <w:spacing w:line="364" w:lineRule="auto"/>
        <w:ind w:left="101" w:right="105"/>
        <w:jc w:val="both"/>
      </w:pPr>
      <w:r>
        <w:rPr/>
        <w:t>El análisis de los coeficientes en su forma estructural  permite apreciar la congruencia  de los estimadores con la relación teórica económica, inmersa en cada </w:t>
      </w:r>
      <w:r>
        <w:rPr>
          <w:spacing w:val="29"/>
        </w:rPr>
        <w:t> </w:t>
      </w:r>
      <w:r>
        <w:rPr/>
        <w:t>ecuación.</w:t>
      </w:r>
    </w:p>
    <w:p>
      <w:pPr>
        <w:pStyle w:val="BodyText"/>
        <w:rPr>
          <w:sz w:val="19"/>
        </w:rPr>
      </w:pPr>
    </w:p>
    <w:p>
      <w:pPr>
        <w:pStyle w:val="Heading4"/>
        <w:jc w:val="both"/>
      </w:pPr>
      <w:r>
        <w:rPr/>
        <w:t>Producto Interno Bruto Real de México (PIBR </w:t>
      </w:r>
      <w:r>
        <w:rPr>
          <w:rFonts w:ascii="Times New Roman" w:hAnsi="Times New Roman"/>
          <w:b w:val="0"/>
          <w:i/>
          <w:position w:val="-5"/>
          <w:sz w:val="13"/>
        </w:rPr>
        <w:t>t  </w:t>
      </w:r>
      <w:r>
        <w:rPr/>
        <w:t>)</w:t>
      </w:r>
    </w:p>
    <w:p>
      <w:pPr>
        <w:pStyle w:val="BodyText"/>
        <w:spacing w:before="11"/>
        <w:rPr>
          <w:b/>
          <w:sz w:val="30"/>
        </w:rPr>
      </w:pPr>
    </w:p>
    <w:p>
      <w:pPr>
        <w:pStyle w:val="BodyText"/>
        <w:spacing w:line="367" w:lineRule="auto"/>
        <w:ind w:left="101" w:right="105"/>
        <w:jc w:val="both"/>
      </w:pPr>
      <w:r>
        <w:rPr/>
        <w:t>Los resultados para la ecuación del producto interno bruto real de México se muestra  por la siguiente</w:t>
      </w:r>
      <w:r>
        <w:rPr>
          <w:spacing w:val="25"/>
        </w:rPr>
        <w:t> </w:t>
      </w:r>
      <w:r>
        <w:rPr/>
        <w:t>condición.</w:t>
      </w:r>
    </w:p>
    <w:p>
      <w:pPr>
        <w:pStyle w:val="BodyText"/>
        <w:rPr>
          <w:sz w:val="20"/>
        </w:rPr>
      </w:pPr>
    </w:p>
    <w:p>
      <w:pPr>
        <w:pStyle w:val="Heading4"/>
        <w:spacing w:line="415" w:lineRule="auto"/>
        <w:ind w:right="1273"/>
        <w:rPr>
          <w:rFonts w:ascii="Times New Roman"/>
          <w:b w:val="0"/>
          <w:i/>
          <w:sz w:val="14"/>
        </w:rPr>
      </w:pPr>
      <w:r>
        <w:rPr/>
        <w:t>PIBR </w:t>
      </w:r>
      <w:r>
        <w:rPr>
          <w:rFonts w:ascii="Times New Roman"/>
          <w:b w:val="0"/>
          <w:i/>
          <w:position w:val="-5"/>
          <w:sz w:val="13"/>
        </w:rPr>
        <w:t>t </w:t>
      </w:r>
      <w:r>
        <w:rPr/>
        <w:t>= - 84700000000 - 0.00498 CTR </w:t>
      </w:r>
      <w:r>
        <w:rPr>
          <w:rFonts w:ascii="Times New Roman"/>
          <w:b w:val="0"/>
          <w:i/>
          <w:position w:val="-5"/>
          <w:sz w:val="14"/>
        </w:rPr>
        <w:t>t </w:t>
      </w:r>
      <w:r>
        <w:rPr/>
        <w:t>- 0.03549 ITR </w:t>
      </w:r>
      <w:r>
        <w:rPr>
          <w:rFonts w:ascii="Times New Roman"/>
          <w:b w:val="0"/>
          <w:i/>
          <w:position w:val="-5"/>
          <w:sz w:val="13"/>
        </w:rPr>
        <w:t>t </w:t>
      </w:r>
      <w:r>
        <w:rPr/>
        <w:t>+ 0.777738 GTR </w:t>
      </w:r>
      <w:r>
        <w:rPr>
          <w:rFonts w:ascii="Times New Roman"/>
          <w:b w:val="0"/>
          <w:i/>
          <w:position w:val="-5"/>
          <w:sz w:val="13"/>
        </w:rPr>
        <w:t>t </w:t>
      </w:r>
      <w:r>
        <w:rPr/>
        <w:t>+ 1.991000 XNTR </w:t>
      </w:r>
      <w:r>
        <w:rPr>
          <w:rFonts w:ascii="Times New Roman"/>
          <w:b w:val="0"/>
          <w:i/>
          <w:position w:val="-5"/>
          <w:sz w:val="13"/>
        </w:rPr>
        <w:t>t    </w:t>
      </w:r>
      <w:r>
        <w:rPr/>
        <w:t>+ 0.434118 RETR </w:t>
      </w:r>
      <w:r>
        <w:rPr>
          <w:rFonts w:ascii="Times New Roman"/>
          <w:b w:val="0"/>
          <w:i/>
          <w:position w:val="-5"/>
          <w:sz w:val="14"/>
        </w:rPr>
        <w:t>t</w:t>
      </w:r>
    </w:p>
    <w:p>
      <w:pPr>
        <w:pStyle w:val="BodyText"/>
        <w:spacing w:line="372" w:lineRule="auto" w:before="169"/>
        <w:ind w:left="101" w:right="105"/>
        <w:jc w:val="both"/>
      </w:pPr>
      <w:r>
        <w:rPr/>
        <w:t>La función estimada del PIBR </w:t>
      </w:r>
      <w:r>
        <w:rPr>
          <w:rFonts w:ascii="Times New Roman" w:hAnsi="Times New Roman"/>
          <w:i/>
          <w:position w:val="-5"/>
          <w:sz w:val="14"/>
        </w:rPr>
        <w:t>t </w:t>
      </w:r>
      <w:r>
        <w:rPr/>
        <w:t>en función del CTR </w:t>
      </w:r>
      <w:r>
        <w:rPr>
          <w:rFonts w:ascii="Times New Roman" w:hAnsi="Times New Roman"/>
          <w:i/>
          <w:position w:val="-5"/>
          <w:sz w:val="14"/>
        </w:rPr>
        <w:t>t  </w:t>
      </w:r>
      <w:r>
        <w:rPr/>
        <w:t>obtuvo signo contrario al esperado, ya que se esperaba una relación directa entre ambas variables, contradiciendo a la  teoría económica de que entre más consumo la producción tiende a incrementarse. De   la misma forma ocurre entre la inversión total real y el producto interno  bruto,  obteniendo signos contrarios a los esperados y contradiciendo a la teoría económica, siendo que al haber mayor inversión, se espera una producción elevada. El gasto tiene  el signo esperado, dentro del circulante que gasta el Estado para infraestructura y  mejora de la población apunta a que el PIB </w:t>
      </w:r>
      <w:r>
        <w:rPr>
          <w:rFonts w:ascii="Times New Roman" w:hAnsi="Times New Roman"/>
          <w:i/>
          <w:position w:val="-5"/>
          <w:sz w:val="14"/>
        </w:rPr>
        <w:t>t           </w:t>
      </w:r>
      <w:r>
        <w:rPr>
          <w:rFonts w:ascii="Times New Roman" w:hAnsi="Times New Roman"/>
          <w:i/>
          <w:spacing w:val="33"/>
          <w:position w:val="-5"/>
          <w:sz w:val="14"/>
        </w:rPr>
        <w:t> </w:t>
      </w:r>
      <w:r>
        <w:rPr/>
        <w:t>se incremente, para seguir produciendo.</w:t>
      </w:r>
    </w:p>
    <w:p>
      <w:pPr>
        <w:spacing w:after="0" w:line="372"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81" w:lineRule="auto" w:before="74"/>
        <w:ind w:left="101" w:right="102"/>
        <w:jc w:val="both"/>
      </w:pPr>
      <w:r>
        <w:rPr/>
        <w:t>Cuando se tiene un balanza comercial positiva, se espera una mayor producción, por lo que al incrementarse las exportaciones netas, tendrá un efecto real en relación al PIBR   </w:t>
      </w:r>
      <w:r>
        <w:rPr>
          <w:rFonts w:ascii="Times New Roman" w:hAnsi="Times New Roman"/>
          <w:i/>
          <w:position w:val="-5"/>
          <w:sz w:val="14"/>
        </w:rPr>
        <w:t>t </w:t>
      </w:r>
      <w:r>
        <w:rPr/>
        <w:t>. Finalmente la relación de las RETR </w:t>
      </w:r>
      <w:r>
        <w:rPr>
          <w:rFonts w:ascii="Times New Roman" w:hAnsi="Times New Roman"/>
          <w:i/>
          <w:position w:val="-5"/>
          <w:sz w:val="14"/>
        </w:rPr>
        <w:t>t </w:t>
      </w:r>
      <w:r>
        <w:rPr/>
        <w:t>, con respecto al PIBR </w:t>
      </w:r>
      <w:r>
        <w:rPr>
          <w:rFonts w:ascii="Times New Roman" w:hAnsi="Times New Roman"/>
          <w:i/>
          <w:position w:val="-5"/>
          <w:sz w:val="14"/>
        </w:rPr>
        <w:t>t </w:t>
      </w:r>
      <w:r>
        <w:rPr/>
        <w:t>, obtuvo la relación esperada.</w:t>
      </w:r>
    </w:p>
    <w:p>
      <w:pPr>
        <w:pStyle w:val="BodyText"/>
        <w:spacing w:before="5"/>
        <w:rPr>
          <w:sz w:val="18"/>
        </w:rPr>
      </w:pPr>
    </w:p>
    <w:p>
      <w:pPr>
        <w:pStyle w:val="Heading4"/>
        <w:jc w:val="both"/>
      </w:pPr>
      <w:r>
        <w:rPr/>
        <w:t>Inflación anual en México (INF </w:t>
      </w:r>
      <w:r>
        <w:rPr>
          <w:rFonts w:ascii="Times New Roman" w:hAnsi="Times New Roman"/>
          <w:b w:val="0"/>
          <w:i/>
          <w:position w:val="-5"/>
          <w:sz w:val="14"/>
        </w:rPr>
        <w:t>t </w:t>
      </w:r>
      <w:r>
        <w:rPr/>
        <w:t>)</w:t>
      </w:r>
    </w:p>
    <w:p>
      <w:pPr>
        <w:pStyle w:val="BodyText"/>
        <w:spacing w:before="11"/>
        <w:rPr>
          <w:b/>
          <w:sz w:val="30"/>
        </w:rPr>
      </w:pPr>
    </w:p>
    <w:p>
      <w:pPr>
        <w:pStyle w:val="BodyText"/>
        <w:spacing w:line="364" w:lineRule="auto"/>
        <w:ind w:left="101" w:right="108"/>
        <w:jc w:val="both"/>
      </w:pPr>
      <w:r>
        <w:rPr/>
        <w:t>Los resultados obtenidos para la ecuación inflación anual de México presentan las siguientes características.</w:t>
      </w:r>
    </w:p>
    <w:p>
      <w:pPr>
        <w:pStyle w:val="BodyText"/>
        <w:spacing w:before="3"/>
        <w:rPr>
          <w:sz w:val="20"/>
        </w:rPr>
      </w:pPr>
    </w:p>
    <w:p>
      <w:pPr>
        <w:pStyle w:val="Heading4"/>
        <w:jc w:val="both"/>
        <w:rPr>
          <w:rFonts w:ascii="Times New Roman" w:hAnsi="Times New Roman"/>
          <w:b w:val="0"/>
          <w:i/>
          <w:sz w:val="14"/>
        </w:rPr>
      </w:pPr>
      <w:r>
        <w:rPr/>
        <w:t>INF = 55.50061 + 5.025087 INPC </w:t>
      </w:r>
      <w:r>
        <w:rPr>
          <w:rFonts w:ascii="Times New Roman" w:hAnsi="Times New Roman"/>
          <w:b w:val="0"/>
          <w:i/>
          <w:position w:val="-5"/>
          <w:sz w:val="14"/>
        </w:rPr>
        <w:t>t   </w:t>
      </w:r>
      <w:r>
        <w:rPr/>
        <w:t>+ 7.571491 U </w:t>
      </w:r>
      <w:r>
        <w:rPr>
          <w:rFonts w:ascii="Times New Roman" w:hAnsi="Times New Roman"/>
          <w:b w:val="0"/>
          <w:i/>
          <w:position w:val="-5"/>
          <w:sz w:val="14"/>
        </w:rPr>
        <w:t>t   </w:t>
      </w:r>
      <w:r>
        <w:rPr/>
        <w:t>– 14.8858 S </w:t>
      </w:r>
      <w:r>
        <w:rPr>
          <w:rFonts w:ascii="Times New Roman" w:hAnsi="Times New Roman"/>
          <w:b w:val="0"/>
          <w:i/>
          <w:position w:val="-5"/>
          <w:sz w:val="14"/>
        </w:rPr>
        <w:t>t   </w:t>
      </w:r>
      <w:r>
        <w:rPr/>
        <w:t>– 351E-13 RETR </w:t>
      </w:r>
      <w:r>
        <w:rPr>
          <w:rFonts w:ascii="Times New Roman" w:hAnsi="Times New Roman"/>
          <w:b w:val="0"/>
          <w:i/>
          <w:position w:val="-5"/>
          <w:sz w:val="14"/>
        </w:rPr>
        <w:t>t</w:t>
      </w:r>
    </w:p>
    <w:p>
      <w:pPr>
        <w:pStyle w:val="BodyText"/>
        <w:spacing w:before="11"/>
        <w:rPr>
          <w:rFonts w:ascii="Times New Roman"/>
          <w:i/>
          <w:sz w:val="30"/>
        </w:rPr>
      </w:pPr>
    </w:p>
    <w:p>
      <w:pPr>
        <w:pStyle w:val="BodyText"/>
        <w:spacing w:line="364" w:lineRule="auto"/>
        <w:ind w:left="101" w:right="105"/>
        <w:jc w:val="both"/>
      </w:pPr>
      <w:r>
        <w:rPr/>
        <w:t>La relación esperada del INPC y la tasa de desempleo abierta en México con respecto   a la inflación anual, obtuvo los signos deseados, sin embargo el salario y las remesas familiares totales reales en México tienen signo contrario al </w:t>
      </w:r>
      <w:r>
        <w:rPr>
          <w:spacing w:val="11"/>
        </w:rPr>
        <w:t> </w:t>
      </w:r>
      <w:r>
        <w:rPr/>
        <w:t>esperado.</w:t>
      </w:r>
    </w:p>
    <w:p>
      <w:pPr>
        <w:pStyle w:val="BodyText"/>
        <w:spacing w:before="3"/>
        <w:rPr>
          <w:sz w:val="20"/>
        </w:rPr>
      </w:pPr>
    </w:p>
    <w:p>
      <w:pPr>
        <w:pStyle w:val="Heading4"/>
        <w:jc w:val="both"/>
        <w:rPr>
          <w:b w:val="0"/>
        </w:rPr>
      </w:pPr>
      <w:r>
        <w:rPr/>
        <w:t>Inversión total real en México (ITR </w:t>
      </w:r>
      <w:r>
        <w:rPr>
          <w:rFonts w:ascii="Times New Roman" w:hAnsi="Times New Roman"/>
          <w:b w:val="0"/>
          <w:i/>
          <w:position w:val="-5"/>
          <w:sz w:val="14"/>
        </w:rPr>
        <w:t>t </w:t>
      </w:r>
      <w:r>
        <w:rPr>
          <w:b w:val="0"/>
        </w:rPr>
        <w:t>)</w:t>
      </w:r>
    </w:p>
    <w:p>
      <w:pPr>
        <w:pStyle w:val="BodyText"/>
        <w:spacing w:before="11"/>
        <w:rPr>
          <w:sz w:val="30"/>
        </w:rPr>
      </w:pPr>
    </w:p>
    <w:p>
      <w:pPr>
        <w:pStyle w:val="BodyText"/>
        <w:spacing w:line="364" w:lineRule="auto"/>
        <w:ind w:left="101" w:right="108"/>
        <w:jc w:val="both"/>
      </w:pPr>
      <w:r>
        <w:rPr/>
        <w:t>La ecuación inversión total real en México, presenta los siguientes resultados obtenidos del sistema estadístico SAS.</w:t>
      </w:r>
    </w:p>
    <w:p>
      <w:pPr>
        <w:pStyle w:val="BodyText"/>
        <w:spacing w:before="3"/>
        <w:rPr>
          <w:sz w:val="20"/>
        </w:rPr>
      </w:pPr>
    </w:p>
    <w:p>
      <w:pPr>
        <w:spacing w:before="0"/>
        <w:ind w:left="101" w:right="0" w:firstLine="0"/>
        <w:jc w:val="both"/>
        <w:rPr>
          <w:rFonts w:ascii="Times New Roman" w:hAnsi="Times New Roman"/>
          <w:i/>
          <w:sz w:val="14"/>
        </w:rPr>
      </w:pPr>
      <w:r>
        <w:rPr>
          <w:b/>
          <w:sz w:val="23"/>
        </w:rPr>
        <w:t>ITR </w:t>
      </w:r>
      <w:r>
        <w:rPr>
          <w:rFonts w:ascii="Times New Roman" w:hAnsi="Times New Roman"/>
          <w:i/>
          <w:position w:val="-5"/>
          <w:sz w:val="14"/>
        </w:rPr>
        <w:t>t </w:t>
      </w:r>
      <w:r>
        <w:rPr>
          <w:sz w:val="23"/>
        </w:rPr>
        <w:t>= - 2.68E11 + 1.0917E8 TC </w:t>
      </w:r>
      <w:r>
        <w:rPr>
          <w:rFonts w:ascii="Times New Roman" w:hAnsi="Times New Roman"/>
          <w:i/>
          <w:position w:val="-5"/>
          <w:sz w:val="14"/>
        </w:rPr>
        <w:t>t   </w:t>
      </w:r>
      <w:r>
        <w:rPr>
          <w:sz w:val="23"/>
        </w:rPr>
        <w:t>– 5.041E9 TI </w:t>
      </w:r>
      <w:r>
        <w:rPr>
          <w:rFonts w:ascii="Times New Roman" w:hAnsi="Times New Roman"/>
          <w:i/>
          <w:position w:val="-5"/>
          <w:sz w:val="14"/>
        </w:rPr>
        <w:t>t   </w:t>
      </w:r>
      <w:r>
        <w:rPr>
          <w:sz w:val="23"/>
        </w:rPr>
        <w:t>– 0.76614 GTR </w:t>
      </w:r>
      <w:r>
        <w:rPr>
          <w:rFonts w:ascii="Times New Roman" w:hAnsi="Times New Roman"/>
          <w:i/>
          <w:position w:val="-5"/>
          <w:sz w:val="14"/>
        </w:rPr>
        <w:t>t   </w:t>
      </w:r>
      <w:r>
        <w:rPr>
          <w:sz w:val="23"/>
        </w:rPr>
        <w:t>+ 1.206862 PIBR </w:t>
      </w:r>
      <w:r>
        <w:rPr>
          <w:rFonts w:ascii="Times New Roman" w:hAnsi="Times New Roman"/>
          <w:i/>
          <w:position w:val="-5"/>
          <w:sz w:val="14"/>
        </w:rPr>
        <w:t>t</w:t>
      </w:r>
    </w:p>
    <w:p>
      <w:pPr>
        <w:pStyle w:val="BodyText"/>
        <w:spacing w:before="193"/>
        <w:ind w:left="867" w:right="102"/>
        <w:rPr>
          <w:rFonts w:ascii="Times New Roman"/>
          <w:i/>
          <w:sz w:val="14"/>
        </w:rPr>
      </w:pPr>
      <w:r>
        <w:rPr/>
        <w:t>+ 3.839E9 INF </w:t>
      </w:r>
      <w:r>
        <w:rPr>
          <w:rFonts w:ascii="Times New Roman"/>
          <w:i/>
          <w:position w:val="-5"/>
          <w:sz w:val="14"/>
        </w:rPr>
        <w:t>t   </w:t>
      </w:r>
      <w:r>
        <w:rPr/>
        <w:t>+ 3.330466 RETR </w:t>
      </w:r>
      <w:r>
        <w:rPr>
          <w:rFonts w:ascii="Times New Roman"/>
          <w:i/>
          <w:position w:val="-5"/>
          <w:sz w:val="14"/>
        </w:rPr>
        <w:t>t</w:t>
      </w:r>
    </w:p>
    <w:p>
      <w:pPr>
        <w:pStyle w:val="BodyText"/>
        <w:spacing w:before="11"/>
        <w:rPr>
          <w:rFonts w:ascii="Times New Roman"/>
          <w:i/>
          <w:sz w:val="30"/>
        </w:rPr>
      </w:pPr>
    </w:p>
    <w:p>
      <w:pPr>
        <w:pStyle w:val="BodyText"/>
        <w:spacing w:line="364" w:lineRule="auto"/>
        <w:ind w:left="101" w:right="104"/>
        <w:jc w:val="both"/>
      </w:pPr>
      <w:r>
        <w:rPr/>
        <w:t>Así que los resultados del tipo de cambio, la tasa de interés, el gasto total real, el producto interno bruto real y las remesas familiares con respecto  a  la  inversión  tuvieron los resultados esperados, mientras que la inflación obtuvo un signo contrario a  lo esperado, por lo que no se cumple la teoría que indica que  un  aumento  en  la inflación tendrá una consecuencia negativa ante la </w:t>
      </w:r>
      <w:r>
        <w:rPr>
          <w:spacing w:val="1"/>
        </w:rPr>
        <w:t> </w:t>
      </w:r>
      <w:r>
        <w:rPr/>
        <w:t>inversión.</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5"/>
        <w:rPr>
          <w:sz w:val="21"/>
        </w:rPr>
      </w:pPr>
    </w:p>
    <w:p>
      <w:pPr>
        <w:pStyle w:val="Heading4"/>
        <w:spacing w:before="74"/>
        <w:jc w:val="both"/>
      </w:pPr>
      <w:r>
        <w:rPr/>
        <w:t>Tasa de desempleo abierto en México (U </w:t>
      </w:r>
      <w:r>
        <w:rPr>
          <w:rFonts w:ascii="Times New Roman" w:hAnsi="Times New Roman"/>
          <w:b w:val="0"/>
          <w:i/>
          <w:position w:val="-5"/>
          <w:sz w:val="14"/>
        </w:rPr>
        <w:t>t </w:t>
      </w:r>
      <w:r>
        <w:rPr/>
        <w:t>)</w:t>
      </w:r>
    </w:p>
    <w:p>
      <w:pPr>
        <w:pStyle w:val="BodyText"/>
        <w:spacing w:before="11"/>
        <w:rPr>
          <w:b/>
          <w:sz w:val="30"/>
        </w:rPr>
      </w:pPr>
    </w:p>
    <w:p>
      <w:pPr>
        <w:pStyle w:val="BodyText"/>
        <w:spacing w:line="364" w:lineRule="auto"/>
        <w:ind w:left="101" w:right="105"/>
        <w:jc w:val="both"/>
      </w:pPr>
      <w:r>
        <w:rPr/>
        <w:t>Mediante los resultados obtenidos en la tasa de desempleo, se ha formulado  la  siguiente forma estructural de la ecuación cuatro, en el modelo  econométrico  ya  descrito con</w:t>
      </w:r>
      <w:r>
        <w:rPr>
          <w:spacing w:val="25"/>
        </w:rPr>
        <w:t> </w:t>
      </w:r>
      <w:r>
        <w:rPr/>
        <w:t>anterioridad.</w:t>
      </w:r>
    </w:p>
    <w:p>
      <w:pPr>
        <w:pStyle w:val="BodyText"/>
        <w:spacing w:before="3"/>
        <w:rPr>
          <w:sz w:val="20"/>
        </w:rPr>
      </w:pPr>
    </w:p>
    <w:p>
      <w:pPr>
        <w:spacing w:before="0"/>
        <w:ind w:left="101" w:right="0" w:firstLine="0"/>
        <w:jc w:val="both"/>
        <w:rPr>
          <w:rFonts w:ascii="Times New Roman"/>
          <w:i/>
          <w:sz w:val="14"/>
        </w:rPr>
      </w:pPr>
      <w:r>
        <w:rPr>
          <w:b/>
          <w:sz w:val="23"/>
        </w:rPr>
        <w:t>U </w:t>
      </w:r>
      <w:r>
        <w:rPr>
          <w:rFonts w:ascii="Times New Roman"/>
          <w:i/>
          <w:position w:val="-5"/>
          <w:sz w:val="14"/>
        </w:rPr>
        <w:t>t   </w:t>
      </w:r>
      <w:r>
        <w:rPr>
          <w:sz w:val="23"/>
        </w:rPr>
        <w:t>= 4.638646 + 1.33E-12 PIBR </w:t>
      </w:r>
      <w:r>
        <w:rPr>
          <w:rFonts w:ascii="Times New Roman"/>
          <w:i/>
          <w:position w:val="-5"/>
          <w:sz w:val="14"/>
        </w:rPr>
        <w:t>t   </w:t>
      </w:r>
      <w:r>
        <w:rPr>
          <w:sz w:val="23"/>
        </w:rPr>
        <w:t>- 0.05079 S </w:t>
      </w:r>
      <w:r>
        <w:rPr>
          <w:rFonts w:ascii="Times New Roman"/>
          <w:i/>
          <w:position w:val="-5"/>
          <w:sz w:val="14"/>
        </w:rPr>
        <w:t>t   </w:t>
      </w:r>
      <w:r>
        <w:rPr>
          <w:sz w:val="23"/>
        </w:rPr>
        <w:t>+ 0.013457 INF </w:t>
      </w:r>
      <w:r>
        <w:rPr>
          <w:rFonts w:ascii="Times New Roman"/>
          <w:i/>
          <w:position w:val="-5"/>
          <w:sz w:val="14"/>
        </w:rPr>
        <w:t>t   </w:t>
      </w:r>
      <w:r>
        <w:rPr>
          <w:sz w:val="23"/>
        </w:rPr>
        <w:t>+ 1.37E-13 RETR </w:t>
      </w:r>
      <w:r>
        <w:rPr>
          <w:rFonts w:ascii="Times New Roman"/>
          <w:i/>
          <w:position w:val="-5"/>
          <w:sz w:val="14"/>
        </w:rPr>
        <w:t>t</w:t>
      </w:r>
    </w:p>
    <w:p>
      <w:pPr>
        <w:pStyle w:val="BodyText"/>
        <w:spacing w:before="10"/>
        <w:rPr>
          <w:rFonts w:ascii="Times New Roman"/>
          <w:i/>
          <w:sz w:val="33"/>
        </w:rPr>
      </w:pPr>
    </w:p>
    <w:p>
      <w:pPr>
        <w:pStyle w:val="BodyText"/>
        <w:spacing w:line="388" w:lineRule="auto"/>
        <w:ind w:left="101" w:right="105"/>
        <w:jc w:val="both"/>
      </w:pPr>
      <w:r>
        <w:rPr/>
        <w:t>Se observa que los resultados esperados con respecto a la INF </w:t>
      </w:r>
      <w:r>
        <w:rPr>
          <w:rFonts w:ascii="Times New Roman" w:hAnsi="Times New Roman"/>
          <w:i/>
          <w:position w:val="-5"/>
          <w:sz w:val="14"/>
        </w:rPr>
        <w:t>t </w:t>
      </w:r>
      <w:r>
        <w:rPr/>
        <w:t>, las RETR </w:t>
      </w:r>
      <w:r>
        <w:rPr>
          <w:rFonts w:ascii="Times New Roman" w:hAnsi="Times New Roman"/>
          <w:i/>
          <w:position w:val="-5"/>
          <w:sz w:val="14"/>
        </w:rPr>
        <w:t>t </w:t>
      </w:r>
      <w:r>
        <w:rPr/>
        <w:t>y el S </w:t>
      </w:r>
      <w:r>
        <w:rPr>
          <w:rFonts w:ascii="Times New Roman" w:hAnsi="Times New Roman"/>
          <w:i/>
          <w:position w:val="-5"/>
          <w:sz w:val="14"/>
        </w:rPr>
        <w:t>t </w:t>
      </w:r>
      <w:r>
        <w:rPr/>
        <w:t>, fueron los deseables con respecto a la teoría antes mencionada, mientras que por otro lado el PIBR </w:t>
      </w:r>
      <w:r>
        <w:rPr>
          <w:rFonts w:ascii="Times New Roman" w:hAnsi="Times New Roman"/>
          <w:i/>
          <w:position w:val="-5"/>
          <w:sz w:val="14"/>
        </w:rPr>
        <w:t>t </w:t>
      </w:r>
      <w:r>
        <w:rPr/>
        <w:t>tiene signo contrario al anhelado, indicando que entre mayor sea el producto interno bruto real en México, el desempleo seguirá  aumentando.</w:t>
      </w:r>
    </w:p>
    <w:p>
      <w:pPr>
        <w:pStyle w:val="BodyText"/>
        <w:rPr>
          <w:sz w:val="22"/>
        </w:rPr>
      </w:pPr>
    </w:p>
    <w:p>
      <w:pPr>
        <w:pStyle w:val="BodyText"/>
        <w:rPr>
          <w:sz w:val="22"/>
        </w:rPr>
      </w:pPr>
    </w:p>
    <w:p>
      <w:pPr>
        <w:pStyle w:val="BodyText"/>
        <w:rPr>
          <w:sz w:val="26"/>
        </w:rPr>
      </w:pPr>
    </w:p>
    <w:p>
      <w:pPr>
        <w:pStyle w:val="Heading4"/>
        <w:jc w:val="both"/>
      </w:pPr>
      <w:r>
        <w:rPr/>
        <w:t>Remesas familiares totales reales en México (RETR </w:t>
      </w:r>
      <w:r>
        <w:rPr>
          <w:rFonts w:ascii="Times New Roman" w:hAnsi="Times New Roman"/>
          <w:b w:val="0"/>
          <w:i/>
          <w:position w:val="-5"/>
          <w:sz w:val="14"/>
        </w:rPr>
        <w:t>t  </w:t>
      </w:r>
      <w:r>
        <w:rPr/>
        <w:t>)</w:t>
      </w:r>
    </w:p>
    <w:p>
      <w:pPr>
        <w:pStyle w:val="BodyText"/>
        <w:spacing w:before="9"/>
        <w:rPr>
          <w:b/>
          <w:sz w:val="30"/>
        </w:rPr>
      </w:pPr>
    </w:p>
    <w:p>
      <w:pPr>
        <w:pStyle w:val="BodyText"/>
        <w:spacing w:line="364" w:lineRule="auto"/>
        <w:ind w:left="101" w:right="108"/>
        <w:jc w:val="both"/>
      </w:pPr>
      <w:r>
        <w:rPr/>
        <w:t>Finalmente la última ecuación formulada, corresponde a las remesas familiares totales reales en México, la cual alojo los siguientes</w:t>
      </w:r>
      <w:r>
        <w:rPr>
          <w:spacing w:val="58"/>
        </w:rPr>
        <w:t> </w:t>
      </w:r>
      <w:r>
        <w:rPr/>
        <w:t>resultados:</w:t>
      </w:r>
    </w:p>
    <w:p>
      <w:pPr>
        <w:pStyle w:val="BodyText"/>
        <w:spacing w:before="3"/>
        <w:rPr>
          <w:sz w:val="20"/>
        </w:rPr>
      </w:pPr>
    </w:p>
    <w:p>
      <w:pPr>
        <w:spacing w:before="0"/>
        <w:ind w:left="101" w:right="0" w:firstLine="0"/>
        <w:jc w:val="both"/>
        <w:rPr>
          <w:rFonts w:ascii="Times New Roman" w:hAnsi="Times New Roman"/>
          <w:i/>
          <w:sz w:val="14"/>
        </w:rPr>
      </w:pPr>
      <w:r>
        <w:rPr>
          <w:b/>
          <w:sz w:val="23"/>
        </w:rPr>
        <w:t>RETR </w:t>
      </w:r>
      <w:r>
        <w:rPr>
          <w:rFonts w:ascii="Times New Roman" w:hAnsi="Times New Roman"/>
          <w:i/>
          <w:position w:val="-5"/>
          <w:sz w:val="14"/>
        </w:rPr>
        <w:t>t   </w:t>
      </w:r>
      <w:r>
        <w:rPr>
          <w:sz w:val="23"/>
        </w:rPr>
        <w:t>= 3.775E11 – 9.292E9 TI </w:t>
      </w:r>
      <w:r>
        <w:rPr>
          <w:rFonts w:ascii="Times New Roman" w:hAnsi="Times New Roman"/>
          <w:i/>
          <w:position w:val="-5"/>
          <w:sz w:val="14"/>
        </w:rPr>
        <w:t>t   </w:t>
      </w:r>
      <w:r>
        <w:rPr>
          <w:sz w:val="23"/>
        </w:rPr>
        <w:t>– 5.34E7 TC </w:t>
      </w:r>
      <w:r>
        <w:rPr>
          <w:rFonts w:ascii="Times New Roman" w:hAnsi="Times New Roman"/>
          <w:i/>
          <w:position w:val="-5"/>
          <w:sz w:val="14"/>
        </w:rPr>
        <w:t>t   </w:t>
      </w:r>
      <w:r>
        <w:rPr>
          <w:sz w:val="23"/>
        </w:rPr>
        <w:t>+ 4.6158E9 INF </w:t>
      </w:r>
      <w:r>
        <w:rPr>
          <w:rFonts w:ascii="Times New Roman" w:hAnsi="Times New Roman"/>
          <w:i/>
          <w:position w:val="-5"/>
          <w:sz w:val="14"/>
        </w:rPr>
        <w:t>t   </w:t>
      </w:r>
      <w:r>
        <w:rPr>
          <w:sz w:val="23"/>
        </w:rPr>
        <w:t>- 6.456E9 U </w:t>
      </w:r>
      <w:r>
        <w:rPr>
          <w:rFonts w:ascii="Times New Roman" w:hAnsi="Times New Roman"/>
          <w:i/>
          <w:position w:val="-5"/>
          <w:sz w:val="14"/>
        </w:rPr>
        <w:t>t</w:t>
      </w:r>
    </w:p>
    <w:p>
      <w:pPr>
        <w:pStyle w:val="BodyText"/>
        <w:spacing w:before="195"/>
        <w:ind w:left="101"/>
        <w:jc w:val="both"/>
        <w:rPr>
          <w:rFonts w:ascii="Times New Roman"/>
          <w:i/>
          <w:sz w:val="14"/>
        </w:rPr>
      </w:pPr>
      <w:r>
        <w:rPr/>
        <w:t>- 0.09004 PIBR </w:t>
      </w:r>
      <w:r>
        <w:rPr>
          <w:rFonts w:ascii="Times New Roman"/>
          <w:i/>
          <w:position w:val="-5"/>
          <w:sz w:val="14"/>
        </w:rPr>
        <w:t>t   </w:t>
      </w:r>
      <w:r>
        <w:rPr/>
        <w:t>- 7.085E9 S </w:t>
      </w:r>
      <w:r>
        <w:rPr>
          <w:rFonts w:ascii="Times New Roman"/>
          <w:i/>
          <w:position w:val="-5"/>
          <w:sz w:val="14"/>
        </w:rPr>
        <w:t>t</w:t>
      </w:r>
    </w:p>
    <w:p>
      <w:pPr>
        <w:pStyle w:val="BodyText"/>
        <w:spacing w:before="8"/>
        <w:rPr>
          <w:rFonts w:ascii="Times New Roman"/>
          <w:i/>
          <w:sz w:val="33"/>
        </w:rPr>
      </w:pPr>
    </w:p>
    <w:p>
      <w:pPr>
        <w:pStyle w:val="BodyText"/>
        <w:spacing w:line="400" w:lineRule="auto"/>
        <w:ind w:left="101" w:right="105"/>
        <w:jc w:val="both"/>
      </w:pPr>
      <w:r>
        <w:rPr/>
        <w:t>Con respecto a la teoría, las variables que presentaron los signos deseados son: INF </w:t>
      </w:r>
      <w:r>
        <w:rPr>
          <w:rFonts w:ascii="Times New Roman" w:hAnsi="Times New Roman"/>
          <w:i/>
          <w:position w:val="-5"/>
          <w:sz w:val="14"/>
        </w:rPr>
        <w:t>t </w:t>
      </w:r>
      <w:r>
        <w:rPr/>
        <w:t>,  U </w:t>
      </w:r>
      <w:r>
        <w:rPr>
          <w:rFonts w:ascii="Times New Roman" w:hAnsi="Times New Roman"/>
          <w:i/>
          <w:position w:val="-5"/>
          <w:sz w:val="14"/>
        </w:rPr>
        <w:t>t </w:t>
      </w:r>
      <w:r>
        <w:rPr/>
        <w:t>, PIBR </w:t>
      </w:r>
      <w:r>
        <w:rPr>
          <w:rFonts w:ascii="Times New Roman" w:hAnsi="Times New Roman"/>
          <w:i/>
          <w:position w:val="-5"/>
          <w:sz w:val="14"/>
        </w:rPr>
        <w:t>t </w:t>
      </w:r>
      <w:r>
        <w:rPr/>
        <w:t>y S </w:t>
      </w:r>
      <w:r>
        <w:rPr>
          <w:rFonts w:ascii="Times New Roman" w:hAnsi="Times New Roman"/>
          <w:i/>
          <w:position w:val="-5"/>
          <w:sz w:val="14"/>
        </w:rPr>
        <w:t>t </w:t>
      </w:r>
      <w:r>
        <w:rPr/>
        <w:t>, con respecto a la variable endógena RETR </w:t>
      </w:r>
      <w:r>
        <w:rPr>
          <w:rFonts w:ascii="Times New Roman" w:hAnsi="Times New Roman"/>
          <w:i/>
          <w:position w:val="-5"/>
          <w:sz w:val="14"/>
        </w:rPr>
        <w:t>t </w:t>
      </w:r>
      <w:r>
        <w:rPr/>
        <w:t>; por otro lado la TI </w:t>
      </w:r>
      <w:r>
        <w:rPr>
          <w:rFonts w:ascii="Times New Roman" w:hAnsi="Times New Roman"/>
          <w:i/>
          <w:position w:val="-5"/>
          <w:sz w:val="14"/>
        </w:rPr>
        <w:t>t </w:t>
      </w:r>
      <w:r>
        <w:rPr/>
        <w:t>no cumple con  la  teoría  esperada,  de  la cual  un  incremento  en la  misma  hará  que</w:t>
      </w:r>
      <w:r>
        <w:rPr>
          <w:spacing w:val="9"/>
        </w:rPr>
        <w:t> </w:t>
      </w:r>
      <w:r>
        <w:rPr/>
        <w:t>los</w:t>
      </w:r>
    </w:p>
    <w:p>
      <w:pPr>
        <w:pStyle w:val="BodyText"/>
        <w:spacing w:line="231" w:lineRule="exact"/>
        <w:ind w:left="101"/>
        <w:jc w:val="both"/>
      </w:pPr>
      <w:r>
        <w:rPr/>
        <w:t>migrantes</w:t>
      </w:r>
      <w:r>
        <w:rPr>
          <w:spacing w:val="59"/>
        </w:rPr>
        <w:t> </w:t>
      </w:r>
      <w:r>
        <w:rPr/>
        <w:t>envíen</w:t>
      </w:r>
      <w:r>
        <w:rPr>
          <w:spacing w:val="55"/>
        </w:rPr>
        <w:t> </w:t>
      </w:r>
      <w:r>
        <w:rPr/>
        <w:t>flujos</w:t>
      </w:r>
      <w:r>
        <w:rPr>
          <w:spacing w:val="56"/>
        </w:rPr>
        <w:t> </w:t>
      </w:r>
      <w:r>
        <w:rPr/>
        <w:t>de</w:t>
      </w:r>
      <w:r>
        <w:rPr>
          <w:spacing w:val="58"/>
        </w:rPr>
        <w:t> </w:t>
      </w:r>
      <w:r>
        <w:rPr/>
        <w:t>remesas</w:t>
      </w:r>
      <w:r>
        <w:rPr>
          <w:spacing w:val="56"/>
        </w:rPr>
        <w:t> </w:t>
      </w:r>
      <w:r>
        <w:rPr/>
        <w:t>cada</w:t>
      </w:r>
      <w:r>
        <w:rPr>
          <w:spacing w:val="55"/>
        </w:rPr>
        <w:t> </w:t>
      </w:r>
      <w:r>
        <w:rPr/>
        <w:t>vez</w:t>
      </w:r>
      <w:r>
        <w:rPr>
          <w:spacing w:val="56"/>
        </w:rPr>
        <w:t> </w:t>
      </w:r>
      <w:r>
        <w:rPr/>
        <w:t>más</w:t>
      </w:r>
      <w:r>
        <w:rPr>
          <w:spacing w:val="56"/>
        </w:rPr>
        <w:t> </w:t>
      </w:r>
      <w:r>
        <w:rPr/>
        <w:t>grandes,</w:t>
      </w:r>
      <w:r>
        <w:rPr>
          <w:spacing w:val="58"/>
        </w:rPr>
        <w:t> </w:t>
      </w:r>
      <w:r>
        <w:rPr/>
        <w:t>de</w:t>
      </w:r>
      <w:r>
        <w:rPr>
          <w:spacing w:val="58"/>
        </w:rPr>
        <w:t> </w:t>
      </w:r>
      <w:r>
        <w:rPr/>
        <w:t>la</w:t>
      </w:r>
      <w:r>
        <w:rPr>
          <w:spacing w:val="55"/>
        </w:rPr>
        <w:t> </w:t>
      </w:r>
      <w:r>
        <w:rPr/>
        <w:t>misma</w:t>
      </w:r>
      <w:r>
        <w:rPr>
          <w:spacing w:val="55"/>
        </w:rPr>
        <w:t> </w:t>
      </w:r>
      <w:r>
        <w:rPr/>
        <w:t>forma</w:t>
      </w:r>
      <w:r>
        <w:rPr>
          <w:spacing w:val="55"/>
        </w:rPr>
        <w:t> </w:t>
      </w:r>
      <w:r>
        <w:rPr/>
        <w:t>se</w:t>
      </w:r>
    </w:p>
    <w:p>
      <w:pPr>
        <w:pStyle w:val="BodyText"/>
        <w:spacing w:line="386" w:lineRule="auto" w:before="170"/>
        <w:ind w:left="101" w:right="105"/>
        <w:jc w:val="both"/>
      </w:pPr>
      <w:r>
        <w:rPr/>
        <w:t>esperaba que un incremento en el TC </w:t>
      </w:r>
      <w:r>
        <w:rPr>
          <w:rFonts w:ascii="Times New Roman" w:hAnsi="Times New Roman"/>
          <w:i/>
          <w:position w:val="-5"/>
          <w:sz w:val="14"/>
        </w:rPr>
        <w:t>t </w:t>
      </w:r>
      <w:r>
        <w:rPr/>
        <w:t>traería un incremento  en  las  RETR </w:t>
      </w:r>
      <w:r>
        <w:rPr>
          <w:rFonts w:ascii="Times New Roman" w:hAnsi="Times New Roman"/>
          <w:i/>
          <w:position w:val="-5"/>
          <w:sz w:val="14"/>
        </w:rPr>
        <w:t>t </w:t>
      </w:r>
      <w:r>
        <w:rPr/>
        <w:t>,  ocurriendo lo</w:t>
      </w:r>
      <w:r>
        <w:rPr>
          <w:spacing w:val="23"/>
        </w:rPr>
        <w:t> </w:t>
      </w:r>
      <w:r>
        <w:rPr/>
        <w:t>contrario.</w:t>
      </w:r>
    </w:p>
    <w:p>
      <w:pPr>
        <w:spacing w:after="0" w:line="386" w:lineRule="auto"/>
        <w:jc w:val="both"/>
        <w:sectPr>
          <w:pgSz w:w="11900" w:h="16840"/>
          <w:pgMar w:header="0" w:footer="1679" w:top="1600" w:bottom="1860" w:left="1300" w:right="1280"/>
        </w:sectPr>
      </w:pPr>
    </w:p>
    <w:p>
      <w:pPr>
        <w:pStyle w:val="BodyText"/>
        <w:rPr>
          <w:sz w:val="20"/>
        </w:rPr>
      </w:pPr>
    </w:p>
    <w:p>
      <w:pPr>
        <w:pStyle w:val="BodyText"/>
        <w:spacing w:before="6"/>
        <w:rPr>
          <w:sz w:val="18"/>
        </w:rPr>
      </w:pPr>
    </w:p>
    <w:p>
      <w:pPr>
        <w:pStyle w:val="Heading4"/>
        <w:spacing w:before="74"/>
        <w:ind w:left="699" w:right="150"/>
      </w:pPr>
      <w:r>
        <w:rPr/>
        <w:t>Cuadro 6. Resumen de elasticidades obtenidas para el modelo  propuesto</w:t>
      </w:r>
    </w:p>
    <w:p>
      <w:pPr>
        <w:pStyle w:val="BodyText"/>
        <w:spacing w:before="10" w:after="1"/>
        <w:rPr>
          <w:b/>
          <w:sz w:val="28"/>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61"/>
        <w:gridCol w:w="4661"/>
      </w:tblGrid>
      <w:tr>
        <w:trPr>
          <w:trHeight w:val="607" w:hRule="exact"/>
        </w:trPr>
        <w:tc>
          <w:tcPr>
            <w:tcW w:w="9322" w:type="dxa"/>
            <w:gridSpan w:val="2"/>
          </w:tcPr>
          <w:p>
            <w:pPr>
              <w:pStyle w:val="TableParagraph"/>
              <w:ind w:left="100"/>
              <w:jc w:val="left"/>
              <w:rPr>
                <w:sz w:val="23"/>
              </w:rPr>
            </w:pPr>
            <w:r>
              <w:rPr>
                <w:sz w:val="23"/>
              </w:rPr>
              <w:t>Elasticidades</w:t>
            </w:r>
          </w:p>
        </w:tc>
      </w:tr>
      <w:tr>
        <w:trPr>
          <w:trHeight w:val="703" w:hRule="exact"/>
        </w:trPr>
        <w:tc>
          <w:tcPr>
            <w:tcW w:w="4661" w:type="dxa"/>
          </w:tcPr>
          <w:p>
            <w:pPr>
              <w:pStyle w:val="TableParagraph"/>
              <w:spacing w:line="236" w:lineRule="exact" w:before="10"/>
              <w:ind w:left="127" w:right="100"/>
              <w:jc w:val="left"/>
              <w:rPr>
                <w:b/>
                <w:sz w:val="23"/>
              </w:rPr>
            </w:pPr>
            <w:r>
              <w:rPr>
                <w:rFonts w:ascii="Symbol" w:hAnsi="Symbol"/>
                <w:sz w:val="24"/>
              </w:rPr>
              <w:t></w:t>
            </w:r>
            <w:r>
              <w:rPr>
                <w:rFonts w:ascii="Times New Roman" w:hAnsi="Times New Roman"/>
                <w:sz w:val="24"/>
              </w:rPr>
              <w:t> </w:t>
            </w:r>
            <w:r>
              <w:rPr>
                <w:rFonts w:ascii="Times New Roman" w:hAnsi="Times New Roman"/>
                <w:i/>
                <w:position w:val="10"/>
                <w:sz w:val="13"/>
              </w:rPr>
              <w:t>PIBR   </w:t>
            </w:r>
            <w:r>
              <w:rPr>
                <w:rFonts w:ascii="Symbol" w:hAnsi="Symbol"/>
                <w:sz w:val="23"/>
              </w:rPr>
              <w:t></w:t>
            </w:r>
            <w:r>
              <w:rPr>
                <w:rFonts w:ascii="Times New Roman" w:hAnsi="Times New Roman"/>
                <w:sz w:val="23"/>
              </w:rPr>
              <w:t>  </w:t>
            </w:r>
            <w:r>
              <w:rPr>
                <w:b/>
                <w:sz w:val="23"/>
              </w:rPr>
              <w:t>-0.000,000,000,000,022</w:t>
            </w:r>
          </w:p>
          <w:p>
            <w:pPr>
              <w:pStyle w:val="TableParagraph"/>
              <w:spacing w:line="91" w:lineRule="exact" w:before="0"/>
              <w:ind w:left="256" w:right="100"/>
              <w:jc w:val="left"/>
              <w:rPr>
                <w:rFonts w:ascii="Times New Roman"/>
                <w:i/>
                <w:sz w:val="13"/>
              </w:rPr>
            </w:pPr>
            <w:r>
              <w:rPr>
                <w:rFonts w:ascii="Times New Roman"/>
                <w:i/>
                <w:w w:val="105"/>
                <w:sz w:val="13"/>
              </w:rPr>
              <w:t>CTR</w:t>
            </w:r>
          </w:p>
        </w:tc>
        <w:tc>
          <w:tcPr>
            <w:tcW w:w="4661" w:type="dxa"/>
          </w:tcPr>
          <w:p>
            <w:pPr>
              <w:pStyle w:val="TableParagraph"/>
              <w:spacing w:line="248" w:lineRule="exact" w:before="8"/>
              <w:ind w:left="124" w:right="100"/>
              <w:jc w:val="left"/>
              <w:rPr>
                <w:b/>
                <w:sz w:val="23"/>
              </w:rPr>
            </w:pPr>
            <w:r>
              <w:rPr>
                <w:rFonts w:ascii="Symbol" w:hAnsi="Symbol"/>
                <w:sz w:val="25"/>
              </w:rPr>
              <w:t></w:t>
            </w:r>
            <w:r>
              <w:rPr>
                <w:rFonts w:ascii="Times New Roman" w:hAnsi="Times New Roman"/>
                <w:sz w:val="25"/>
              </w:rPr>
              <w:t> </w:t>
            </w:r>
            <w:r>
              <w:rPr>
                <w:rFonts w:ascii="Times New Roman" w:hAnsi="Times New Roman"/>
                <w:i/>
                <w:position w:val="11"/>
                <w:sz w:val="13"/>
              </w:rPr>
              <w:t>PIBR   </w:t>
            </w:r>
            <w:r>
              <w:rPr>
                <w:rFonts w:ascii="Symbol" w:hAnsi="Symbol"/>
                <w:sz w:val="23"/>
              </w:rPr>
              <w:t></w:t>
            </w:r>
            <w:r>
              <w:rPr>
                <w:rFonts w:ascii="Times New Roman" w:hAnsi="Times New Roman"/>
                <w:sz w:val="23"/>
              </w:rPr>
              <w:t>  </w:t>
            </w:r>
            <w:r>
              <w:rPr>
                <w:b/>
                <w:sz w:val="23"/>
              </w:rPr>
              <w:t>0.043</w:t>
            </w:r>
          </w:p>
          <w:p>
            <w:pPr>
              <w:pStyle w:val="TableParagraph"/>
              <w:spacing w:line="91" w:lineRule="exact" w:before="0"/>
              <w:ind w:left="261" w:right="100"/>
              <w:jc w:val="left"/>
              <w:rPr>
                <w:rFonts w:ascii="Times New Roman"/>
                <w:i/>
                <w:sz w:val="13"/>
              </w:rPr>
            </w:pPr>
            <w:r>
              <w:rPr>
                <w:rFonts w:ascii="Times New Roman"/>
                <w:i/>
                <w:w w:val="105"/>
                <w:sz w:val="13"/>
              </w:rPr>
              <w:t>RETR</w:t>
            </w:r>
          </w:p>
        </w:tc>
      </w:tr>
      <w:tr>
        <w:trPr>
          <w:trHeight w:val="706" w:hRule="exact"/>
        </w:trPr>
        <w:tc>
          <w:tcPr>
            <w:tcW w:w="4661" w:type="dxa"/>
          </w:tcPr>
          <w:p>
            <w:pPr>
              <w:pStyle w:val="TableParagraph"/>
              <w:spacing w:line="248" w:lineRule="exact" w:before="10"/>
              <w:ind w:left="127" w:right="100"/>
              <w:jc w:val="left"/>
              <w:rPr>
                <w:b/>
                <w:sz w:val="23"/>
              </w:rPr>
            </w:pPr>
            <w:r>
              <w:rPr>
                <w:rFonts w:ascii="Symbol" w:hAnsi="Symbol"/>
                <w:sz w:val="25"/>
              </w:rPr>
              <w:t></w:t>
            </w:r>
            <w:r>
              <w:rPr>
                <w:rFonts w:ascii="Times New Roman" w:hAnsi="Times New Roman"/>
                <w:sz w:val="25"/>
              </w:rPr>
              <w:t> </w:t>
            </w:r>
            <w:r>
              <w:rPr>
                <w:rFonts w:ascii="Times New Roman" w:hAnsi="Times New Roman"/>
                <w:i/>
                <w:position w:val="11"/>
                <w:sz w:val="13"/>
              </w:rPr>
              <w:t>PIBR   </w:t>
            </w:r>
            <w:r>
              <w:rPr>
                <w:rFonts w:ascii="Symbol" w:hAnsi="Symbol"/>
                <w:sz w:val="23"/>
              </w:rPr>
              <w:t></w:t>
            </w:r>
            <w:r>
              <w:rPr>
                <w:rFonts w:ascii="Times New Roman" w:hAnsi="Times New Roman"/>
                <w:spacing w:val="50"/>
                <w:sz w:val="23"/>
              </w:rPr>
              <w:t> </w:t>
            </w:r>
            <w:r>
              <w:rPr>
                <w:b/>
                <w:sz w:val="23"/>
              </w:rPr>
              <w:t>-0.2305</w:t>
            </w:r>
          </w:p>
          <w:p>
            <w:pPr>
              <w:pStyle w:val="TableParagraph"/>
              <w:spacing w:line="91" w:lineRule="exact" w:before="0"/>
              <w:ind w:left="263" w:right="100"/>
              <w:jc w:val="left"/>
              <w:rPr>
                <w:rFonts w:ascii="Times New Roman"/>
                <w:i/>
                <w:sz w:val="13"/>
              </w:rPr>
            </w:pPr>
            <w:r>
              <w:rPr>
                <w:rFonts w:ascii="Times New Roman"/>
                <w:i/>
                <w:w w:val="105"/>
                <w:sz w:val="13"/>
              </w:rPr>
              <w:t>ITR</w:t>
            </w:r>
          </w:p>
        </w:tc>
        <w:tc>
          <w:tcPr>
            <w:tcW w:w="4661" w:type="dxa"/>
          </w:tcPr>
          <w:p>
            <w:pPr>
              <w:pStyle w:val="TableParagraph"/>
              <w:spacing w:line="236" w:lineRule="exact" w:before="13"/>
              <w:ind w:left="124" w:right="100"/>
              <w:jc w:val="left"/>
              <w:rPr>
                <w:b/>
                <w:sz w:val="23"/>
              </w:rPr>
            </w:pPr>
            <w:r>
              <w:rPr>
                <w:rFonts w:ascii="Symbol" w:hAnsi="Symbol"/>
                <w:sz w:val="24"/>
              </w:rPr>
              <w:t></w:t>
            </w:r>
            <w:r>
              <w:rPr>
                <w:rFonts w:ascii="Times New Roman" w:hAnsi="Times New Roman"/>
                <w:sz w:val="24"/>
              </w:rPr>
              <w:t> </w:t>
            </w:r>
            <w:r>
              <w:rPr>
                <w:rFonts w:ascii="Times New Roman" w:hAnsi="Times New Roman"/>
                <w:i/>
                <w:position w:val="10"/>
                <w:sz w:val="13"/>
              </w:rPr>
              <w:t>PIBR   </w:t>
            </w:r>
            <w:r>
              <w:rPr>
                <w:rFonts w:ascii="Symbol" w:hAnsi="Symbol"/>
                <w:sz w:val="23"/>
              </w:rPr>
              <w:t></w:t>
            </w:r>
            <w:r>
              <w:rPr>
                <w:rFonts w:ascii="Times New Roman" w:hAnsi="Times New Roman"/>
                <w:sz w:val="23"/>
              </w:rPr>
              <w:t>   </w:t>
            </w:r>
            <w:r>
              <w:rPr>
                <w:b/>
                <w:sz w:val="23"/>
              </w:rPr>
              <w:t>0.9540</w:t>
            </w:r>
          </w:p>
          <w:p>
            <w:pPr>
              <w:pStyle w:val="TableParagraph"/>
              <w:spacing w:line="91" w:lineRule="exact" w:before="0"/>
              <w:ind w:left="254" w:right="100"/>
              <w:jc w:val="left"/>
              <w:rPr>
                <w:rFonts w:ascii="Times New Roman"/>
                <w:i/>
                <w:sz w:val="13"/>
              </w:rPr>
            </w:pPr>
            <w:r>
              <w:rPr>
                <w:rFonts w:ascii="Times New Roman"/>
                <w:i/>
                <w:w w:val="105"/>
                <w:sz w:val="13"/>
              </w:rPr>
              <w:t>GTR</w:t>
            </w:r>
          </w:p>
        </w:tc>
      </w:tr>
      <w:tr>
        <w:trPr>
          <w:trHeight w:val="742" w:hRule="exact"/>
        </w:trPr>
        <w:tc>
          <w:tcPr>
            <w:tcW w:w="4661" w:type="dxa"/>
          </w:tcPr>
          <w:p>
            <w:pPr>
              <w:pStyle w:val="TableParagraph"/>
              <w:spacing w:line="236" w:lineRule="exact" w:before="10"/>
              <w:ind w:left="127" w:right="100"/>
              <w:jc w:val="left"/>
              <w:rPr>
                <w:b/>
                <w:sz w:val="23"/>
              </w:rPr>
            </w:pPr>
            <w:r>
              <w:rPr>
                <w:rFonts w:ascii="Symbol" w:hAnsi="Symbol"/>
                <w:sz w:val="24"/>
              </w:rPr>
              <w:t></w:t>
            </w:r>
            <w:r>
              <w:rPr>
                <w:rFonts w:ascii="Times New Roman" w:hAnsi="Times New Roman"/>
                <w:sz w:val="24"/>
              </w:rPr>
              <w:t> </w:t>
            </w:r>
            <w:r>
              <w:rPr>
                <w:rFonts w:ascii="Times New Roman" w:hAnsi="Times New Roman"/>
                <w:i/>
                <w:position w:val="10"/>
                <w:sz w:val="13"/>
              </w:rPr>
              <w:t>PIBR    </w:t>
            </w:r>
            <w:r>
              <w:rPr>
                <w:rFonts w:ascii="Symbol" w:hAnsi="Symbol"/>
                <w:sz w:val="23"/>
              </w:rPr>
              <w:t></w:t>
            </w:r>
            <w:r>
              <w:rPr>
                <w:rFonts w:ascii="Times New Roman" w:hAnsi="Times New Roman"/>
                <w:sz w:val="23"/>
              </w:rPr>
              <w:t> </w:t>
            </w:r>
            <w:r>
              <w:rPr>
                <w:b/>
                <w:sz w:val="23"/>
              </w:rPr>
              <w:t>0.2426</w:t>
            </w:r>
          </w:p>
          <w:p>
            <w:pPr>
              <w:pStyle w:val="TableParagraph"/>
              <w:spacing w:line="91" w:lineRule="exact" w:before="0"/>
              <w:ind w:left="268" w:right="100"/>
              <w:jc w:val="left"/>
              <w:rPr>
                <w:rFonts w:ascii="Times New Roman"/>
                <w:i/>
                <w:sz w:val="13"/>
              </w:rPr>
            </w:pPr>
            <w:r>
              <w:rPr>
                <w:rFonts w:ascii="Times New Roman"/>
                <w:i/>
                <w:w w:val="105"/>
                <w:sz w:val="13"/>
              </w:rPr>
              <w:t>XNTR</w:t>
            </w:r>
          </w:p>
        </w:tc>
        <w:tc>
          <w:tcPr>
            <w:tcW w:w="4661" w:type="dxa"/>
          </w:tcPr>
          <w:p>
            <w:pPr>
              <w:pStyle w:val="TableParagraph"/>
              <w:spacing w:line="267" w:lineRule="exact" w:before="0"/>
              <w:ind w:left="124" w:right="100"/>
              <w:jc w:val="left"/>
              <w:rPr>
                <w:b/>
                <w:sz w:val="23"/>
              </w:rPr>
            </w:pPr>
            <w:r>
              <w:rPr>
                <w:rFonts w:ascii="Symbol" w:hAnsi="Symbol"/>
                <w:position w:val="10"/>
                <w:sz w:val="25"/>
              </w:rPr>
              <w:t></w:t>
            </w:r>
            <w:r>
              <w:rPr>
                <w:rFonts w:ascii="Times New Roman" w:hAnsi="Times New Roman"/>
                <w:position w:val="10"/>
                <w:sz w:val="25"/>
              </w:rPr>
              <w:t> </w:t>
            </w:r>
            <w:r>
              <w:rPr>
                <w:rFonts w:ascii="Times New Roman" w:hAnsi="Times New Roman"/>
                <w:i/>
                <w:position w:val="20"/>
                <w:sz w:val="13"/>
              </w:rPr>
              <w:t>INF      </w:t>
            </w:r>
            <w:r>
              <w:rPr>
                <w:rFonts w:ascii="Symbol" w:hAnsi="Symbol"/>
                <w:position w:val="10"/>
                <w:sz w:val="23"/>
              </w:rPr>
              <w:t></w:t>
            </w:r>
            <w:r>
              <w:rPr>
                <w:rFonts w:ascii="Times New Roman" w:hAnsi="Times New Roman"/>
                <w:position w:val="10"/>
                <w:sz w:val="23"/>
              </w:rPr>
              <w:t> </w:t>
            </w:r>
            <w:r>
              <w:rPr>
                <w:b/>
                <w:sz w:val="23"/>
              </w:rPr>
              <w:t>-0.045</w:t>
            </w:r>
          </w:p>
          <w:p>
            <w:pPr>
              <w:pStyle w:val="TableParagraph"/>
              <w:spacing w:line="75" w:lineRule="exact" w:before="0"/>
              <w:ind w:left="261" w:right="100"/>
              <w:jc w:val="left"/>
              <w:rPr>
                <w:rFonts w:ascii="Times New Roman"/>
                <w:i/>
                <w:sz w:val="13"/>
              </w:rPr>
            </w:pPr>
            <w:r>
              <w:rPr>
                <w:rFonts w:ascii="Times New Roman"/>
                <w:i/>
                <w:w w:val="105"/>
                <w:sz w:val="13"/>
              </w:rPr>
              <w:t>RETR</w:t>
            </w:r>
          </w:p>
        </w:tc>
      </w:tr>
      <w:tr>
        <w:trPr>
          <w:trHeight w:val="754" w:hRule="exact"/>
        </w:trPr>
        <w:tc>
          <w:tcPr>
            <w:tcW w:w="4661" w:type="dxa"/>
          </w:tcPr>
          <w:p>
            <w:pPr>
              <w:pStyle w:val="TableParagraph"/>
              <w:spacing w:line="214" w:lineRule="exact" w:before="12"/>
              <w:ind w:left="127" w:right="100"/>
              <w:jc w:val="left"/>
              <w:rPr>
                <w:rFonts w:ascii="Symbol" w:hAnsi="Symbol"/>
                <w:sz w:val="23"/>
              </w:rPr>
            </w:pPr>
            <w:r>
              <w:rPr>
                <w:rFonts w:ascii="Symbol" w:hAnsi="Symbol"/>
                <w:position w:val="-10"/>
                <w:sz w:val="24"/>
              </w:rPr>
              <w:t></w:t>
            </w:r>
            <w:r>
              <w:rPr>
                <w:rFonts w:ascii="Times New Roman" w:hAnsi="Times New Roman"/>
                <w:position w:val="-10"/>
                <w:sz w:val="24"/>
              </w:rPr>
              <w:t> </w:t>
            </w:r>
            <w:r>
              <w:rPr>
                <w:rFonts w:ascii="Times New Roman" w:hAnsi="Times New Roman"/>
                <w:i/>
                <w:sz w:val="13"/>
              </w:rPr>
              <w:t>INF   </w:t>
            </w:r>
            <w:r>
              <w:rPr>
                <w:rFonts w:ascii="Symbol" w:hAnsi="Symbol"/>
                <w:position w:val="-10"/>
                <w:sz w:val="23"/>
              </w:rPr>
              <w:t></w:t>
            </w:r>
          </w:p>
          <w:p>
            <w:pPr>
              <w:pStyle w:val="TableParagraph"/>
              <w:tabs>
                <w:tab w:pos="1430" w:val="right" w:leader="none"/>
              </w:tabs>
              <w:spacing w:line="184" w:lineRule="exact" w:before="0"/>
              <w:ind w:left="247"/>
              <w:jc w:val="left"/>
              <w:rPr>
                <w:b/>
                <w:sz w:val="23"/>
              </w:rPr>
            </w:pPr>
            <w:r>
              <w:rPr>
                <w:rFonts w:ascii="Times New Roman"/>
                <w:i/>
                <w:w w:val="105"/>
                <w:position w:val="6"/>
                <w:sz w:val="13"/>
              </w:rPr>
              <w:t>U</w:t>
            </w:r>
            <w:r>
              <w:rPr>
                <w:b/>
                <w:w w:val="105"/>
                <w:sz w:val="23"/>
              </w:rPr>
              <w:tab/>
              <w:t>1.009</w:t>
            </w:r>
          </w:p>
        </w:tc>
        <w:tc>
          <w:tcPr>
            <w:tcW w:w="4661" w:type="dxa"/>
          </w:tcPr>
          <w:p>
            <w:pPr>
              <w:pStyle w:val="TableParagraph"/>
              <w:spacing w:line="214" w:lineRule="exact" w:before="12"/>
              <w:ind w:left="124" w:right="100"/>
              <w:jc w:val="left"/>
              <w:rPr>
                <w:rFonts w:ascii="Symbol" w:hAnsi="Symbol"/>
                <w:sz w:val="23"/>
              </w:rPr>
            </w:pPr>
            <w:r>
              <w:rPr>
                <w:rFonts w:ascii="Symbol" w:hAnsi="Symbol"/>
                <w:position w:val="-10"/>
                <w:sz w:val="24"/>
              </w:rPr>
              <w:t></w:t>
            </w:r>
            <w:r>
              <w:rPr>
                <w:rFonts w:ascii="Times New Roman" w:hAnsi="Times New Roman"/>
                <w:position w:val="-10"/>
                <w:sz w:val="24"/>
              </w:rPr>
              <w:t> </w:t>
            </w:r>
            <w:r>
              <w:rPr>
                <w:rFonts w:ascii="Times New Roman" w:hAnsi="Times New Roman"/>
                <w:i/>
                <w:sz w:val="13"/>
              </w:rPr>
              <w:t>INF     </w:t>
            </w:r>
            <w:r>
              <w:rPr>
                <w:rFonts w:ascii="Symbol" w:hAnsi="Symbol"/>
                <w:position w:val="-10"/>
                <w:sz w:val="23"/>
              </w:rPr>
              <w:t></w:t>
            </w:r>
          </w:p>
          <w:p>
            <w:pPr>
              <w:pStyle w:val="TableParagraph"/>
              <w:tabs>
                <w:tab w:pos="1557" w:val="right" w:leader="none"/>
              </w:tabs>
              <w:spacing w:line="184" w:lineRule="exact" w:before="0"/>
              <w:ind w:left="261"/>
              <w:jc w:val="left"/>
              <w:rPr>
                <w:b/>
                <w:sz w:val="23"/>
              </w:rPr>
            </w:pPr>
            <w:r>
              <w:rPr>
                <w:rFonts w:ascii="Times New Roman"/>
                <w:i/>
                <w:w w:val="105"/>
                <w:position w:val="6"/>
                <w:sz w:val="13"/>
              </w:rPr>
              <w:t>INPC</w:t>
            </w:r>
            <w:r>
              <w:rPr>
                <w:b/>
                <w:w w:val="105"/>
                <w:sz w:val="23"/>
              </w:rPr>
              <w:tab/>
              <w:t>6.1213</w:t>
            </w:r>
          </w:p>
        </w:tc>
      </w:tr>
      <w:tr>
        <w:trPr>
          <w:trHeight w:val="754" w:hRule="exact"/>
        </w:trPr>
        <w:tc>
          <w:tcPr>
            <w:tcW w:w="4661" w:type="dxa"/>
          </w:tcPr>
          <w:p>
            <w:pPr>
              <w:pStyle w:val="TableParagraph"/>
              <w:spacing w:line="219" w:lineRule="exact"/>
              <w:ind w:left="127" w:right="100"/>
              <w:jc w:val="left"/>
              <w:rPr>
                <w:rFonts w:ascii="Symbol" w:hAnsi="Symbol"/>
                <w:sz w:val="23"/>
              </w:rPr>
            </w:pPr>
            <w:r>
              <w:rPr>
                <w:rFonts w:ascii="Symbol" w:hAnsi="Symbol"/>
                <w:position w:val="-9"/>
                <w:sz w:val="24"/>
              </w:rPr>
              <w:t></w:t>
            </w:r>
            <w:r>
              <w:rPr>
                <w:rFonts w:ascii="Times New Roman" w:hAnsi="Times New Roman"/>
                <w:position w:val="-9"/>
                <w:sz w:val="24"/>
              </w:rPr>
              <w:t> </w:t>
            </w:r>
            <w:r>
              <w:rPr>
                <w:rFonts w:ascii="Times New Roman" w:hAnsi="Times New Roman"/>
                <w:i/>
                <w:sz w:val="13"/>
              </w:rPr>
              <w:t>INF   </w:t>
            </w:r>
            <w:r>
              <w:rPr>
                <w:rFonts w:ascii="Symbol" w:hAnsi="Symbol"/>
                <w:position w:val="-9"/>
                <w:sz w:val="23"/>
              </w:rPr>
              <w:t></w:t>
            </w:r>
          </w:p>
          <w:p>
            <w:pPr>
              <w:pStyle w:val="TableParagraph"/>
              <w:tabs>
                <w:tab w:pos="782" w:val="left" w:leader="none"/>
              </w:tabs>
              <w:spacing w:line="189" w:lineRule="exact" w:before="0"/>
              <w:ind w:left="261" w:right="100"/>
              <w:jc w:val="left"/>
              <w:rPr>
                <w:b/>
                <w:sz w:val="23"/>
              </w:rPr>
            </w:pPr>
            <w:r>
              <w:rPr>
                <w:rFonts w:ascii="Times New Roman"/>
                <w:i/>
                <w:position w:val="6"/>
                <w:sz w:val="13"/>
              </w:rPr>
              <w:t>S</w:t>
              <w:tab/>
            </w:r>
            <w:r>
              <w:rPr>
                <w:sz w:val="23"/>
              </w:rPr>
              <w:t>-</w:t>
            </w:r>
            <w:r>
              <w:rPr>
                <w:b/>
                <w:sz w:val="23"/>
              </w:rPr>
              <w:t>7.6356</w:t>
            </w:r>
          </w:p>
        </w:tc>
        <w:tc>
          <w:tcPr>
            <w:tcW w:w="4661" w:type="dxa"/>
          </w:tcPr>
          <w:p>
            <w:pPr>
              <w:pStyle w:val="TableParagraph"/>
              <w:spacing w:line="219" w:lineRule="exact"/>
              <w:ind w:left="124" w:right="100"/>
              <w:jc w:val="left"/>
              <w:rPr>
                <w:rFonts w:ascii="Symbol" w:hAnsi="Symbol"/>
                <w:sz w:val="23"/>
              </w:rPr>
            </w:pPr>
            <w:r>
              <w:rPr>
                <w:rFonts w:ascii="Symbol" w:hAnsi="Symbol"/>
                <w:position w:val="-9"/>
                <w:sz w:val="24"/>
              </w:rPr>
              <w:t></w:t>
            </w:r>
            <w:r>
              <w:rPr>
                <w:rFonts w:ascii="Times New Roman" w:hAnsi="Times New Roman"/>
                <w:position w:val="-9"/>
                <w:sz w:val="24"/>
              </w:rPr>
              <w:t> </w:t>
            </w:r>
            <w:r>
              <w:rPr>
                <w:rFonts w:ascii="Times New Roman" w:hAnsi="Times New Roman"/>
                <w:i/>
                <w:sz w:val="13"/>
              </w:rPr>
              <w:t>ITR  </w:t>
            </w:r>
            <w:r>
              <w:rPr>
                <w:rFonts w:ascii="Symbol" w:hAnsi="Symbol"/>
                <w:position w:val="-9"/>
                <w:sz w:val="23"/>
              </w:rPr>
              <w:t></w:t>
            </w:r>
          </w:p>
          <w:p>
            <w:pPr>
              <w:pStyle w:val="TableParagraph"/>
              <w:tabs>
                <w:tab w:pos="746" w:val="left" w:leader="none"/>
              </w:tabs>
              <w:spacing w:line="189" w:lineRule="exact" w:before="0"/>
              <w:ind w:left="249" w:right="100"/>
              <w:jc w:val="left"/>
              <w:rPr>
                <w:b/>
                <w:sz w:val="23"/>
              </w:rPr>
            </w:pPr>
            <w:r>
              <w:rPr>
                <w:rFonts w:ascii="Times New Roman"/>
                <w:i/>
                <w:position w:val="6"/>
                <w:sz w:val="13"/>
              </w:rPr>
              <w:t>TC</w:t>
              <w:tab/>
            </w:r>
            <w:r>
              <w:rPr>
                <w:b/>
                <w:sz w:val="23"/>
              </w:rPr>
              <w:t>0.6894</w:t>
            </w:r>
          </w:p>
        </w:tc>
      </w:tr>
      <w:tr>
        <w:trPr>
          <w:trHeight w:val="756" w:hRule="exact"/>
        </w:trPr>
        <w:tc>
          <w:tcPr>
            <w:tcW w:w="4661" w:type="dxa"/>
          </w:tcPr>
          <w:p>
            <w:pPr>
              <w:pStyle w:val="TableParagraph"/>
              <w:spacing w:line="267" w:lineRule="exact" w:before="0"/>
              <w:ind w:left="127" w:right="100"/>
              <w:jc w:val="left"/>
              <w:rPr>
                <w:b/>
                <w:sz w:val="23"/>
              </w:rPr>
            </w:pPr>
            <w:r>
              <w:rPr>
                <w:rFonts w:ascii="Symbol" w:hAnsi="Symbol"/>
                <w:position w:val="10"/>
                <w:sz w:val="25"/>
              </w:rPr>
              <w:t></w:t>
            </w:r>
            <w:r>
              <w:rPr>
                <w:rFonts w:ascii="Times New Roman" w:hAnsi="Times New Roman"/>
                <w:position w:val="10"/>
                <w:sz w:val="25"/>
              </w:rPr>
              <w:t> </w:t>
            </w:r>
            <w:r>
              <w:rPr>
                <w:rFonts w:ascii="Times New Roman" w:hAnsi="Times New Roman"/>
                <w:i/>
                <w:position w:val="20"/>
                <w:sz w:val="13"/>
              </w:rPr>
              <w:t>ITR   </w:t>
            </w:r>
            <w:r>
              <w:rPr>
                <w:rFonts w:ascii="Symbol" w:hAnsi="Symbol"/>
                <w:position w:val="10"/>
                <w:sz w:val="23"/>
              </w:rPr>
              <w:t></w:t>
            </w:r>
            <w:r>
              <w:rPr>
                <w:rFonts w:ascii="Times New Roman" w:hAnsi="Times New Roman"/>
                <w:position w:val="10"/>
                <w:sz w:val="23"/>
              </w:rPr>
              <w:t> </w:t>
            </w:r>
            <w:r>
              <w:rPr>
                <w:b/>
                <w:sz w:val="23"/>
              </w:rPr>
              <w:t>-1.2710</w:t>
            </w:r>
          </w:p>
          <w:p>
            <w:pPr>
              <w:pStyle w:val="TableParagraph"/>
              <w:spacing w:line="75" w:lineRule="exact" w:before="0"/>
              <w:ind w:left="251" w:right="100"/>
              <w:jc w:val="left"/>
              <w:rPr>
                <w:rFonts w:ascii="Times New Roman"/>
                <w:i/>
                <w:sz w:val="13"/>
              </w:rPr>
            </w:pPr>
            <w:r>
              <w:rPr>
                <w:rFonts w:ascii="Times New Roman"/>
                <w:i/>
                <w:w w:val="105"/>
                <w:sz w:val="13"/>
              </w:rPr>
              <w:t>TI</w:t>
            </w:r>
          </w:p>
        </w:tc>
        <w:tc>
          <w:tcPr>
            <w:tcW w:w="4661" w:type="dxa"/>
          </w:tcPr>
          <w:p>
            <w:pPr>
              <w:pStyle w:val="TableParagraph"/>
              <w:spacing w:line="214" w:lineRule="exact" w:before="12"/>
              <w:ind w:left="124" w:right="100"/>
              <w:jc w:val="left"/>
              <w:rPr>
                <w:rFonts w:ascii="Symbol" w:hAnsi="Symbol"/>
                <w:sz w:val="23"/>
              </w:rPr>
            </w:pPr>
            <w:r>
              <w:rPr>
                <w:rFonts w:ascii="Symbol" w:hAnsi="Symbol"/>
                <w:position w:val="-10"/>
                <w:sz w:val="24"/>
              </w:rPr>
              <w:t></w:t>
            </w:r>
            <w:r>
              <w:rPr>
                <w:rFonts w:ascii="Times New Roman" w:hAnsi="Times New Roman"/>
                <w:position w:val="-10"/>
                <w:sz w:val="24"/>
              </w:rPr>
              <w:t> </w:t>
            </w:r>
            <w:r>
              <w:rPr>
                <w:rFonts w:ascii="Times New Roman" w:hAnsi="Times New Roman"/>
                <w:i/>
                <w:sz w:val="13"/>
              </w:rPr>
              <w:t>ITR   </w:t>
            </w:r>
            <w:r>
              <w:rPr>
                <w:rFonts w:ascii="Symbol" w:hAnsi="Symbol"/>
                <w:position w:val="-10"/>
                <w:sz w:val="23"/>
              </w:rPr>
              <w:t></w:t>
            </w:r>
          </w:p>
          <w:p>
            <w:pPr>
              <w:pStyle w:val="TableParagraph"/>
              <w:tabs>
                <w:tab w:pos="782" w:val="left" w:leader="none"/>
              </w:tabs>
              <w:spacing w:line="184" w:lineRule="exact" w:before="0"/>
              <w:ind w:left="254" w:right="100"/>
              <w:jc w:val="left"/>
              <w:rPr>
                <w:b/>
                <w:sz w:val="23"/>
              </w:rPr>
            </w:pPr>
            <w:r>
              <w:rPr>
                <w:rFonts w:ascii="Times New Roman"/>
                <w:i/>
                <w:w w:val="105"/>
                <w:position w:val="6"/>
                <w:sz w:val="13"/>
              </w:rPr>
              <w:t>GTR</w:t>
              <w:tab/>
            </w:r>
            <w:r>
              <w:rPr>
                <w:b/>
                <w:w w:val="105"/>
                <w:sz w:val="23"/>
              </w:rPr>
              <w:t>-4.0771</w:t>
            </w:r>
          </w:p>
        </w:tc>
      </w:tr>
      <w:tr>
        <w:trPr>
          <w:trHeight w:val="751" w:hRule="exact"/>
        </w:trPr>
        <w:tc>
          <w:tcPr>
            <w:tcW w:w="4661" w:type="dxa"/>
          </w:tcPr>
          <w:p>
            <w:pPr>
              <w:pStyle w:val="TableParagraph"/>
              <w:spacing w:line="265" w:lineRule="exact" w:before="0"/>
              <w:ind w:left="127" w:right="100"/>
              <w:jc w:val="left"/>
              <w:rPr>
                <w:b/>
                <w:sz w:val="23"/>
              </w:rPr>
            </w:pPr>
            <w:r>
              <w:rPr>
                <w:rFonts w:ascii="Symbol" w:hAnsi="Symbol"/>
                <w:position w:val="10"/>
                <w:sz w:val="25"/>
              </w:rPr>
              <w:t></w:t>
            </w:r>
            <w:r>
              <w:rPr>
                <w:rFonts w:ascii="Times New Roman" w:hAnsi="Times New Roman"/>
                <w:position w:val="10"/>
                <w:sz w:val="25"/>
              </w:rPr>
              <w:t> </w:t>
            </w:r>
            <w:r>
              <w:rPr>
                <w:rFonts w:ascii="Times New Roman" w:hAnsi="Times New Roman"/>
                <w:i/>
                <w:position w:val="20"/>
                <w:sz w:val="13"/>
              </w:rPr>
              <w:t>ITR     </w:t>
            </w:r>
            <w:r>
              <w:rPr>
                <w:rFonts w:ascii="Symbol" w:hAnsi="Symbol"/>
                <w:position w:val="10"/>
                <w:sz w:val="23"/>
              </w:rPr>
              <w:t></w:t>
            </w:r>
            <w:r>
              <w:rPr>
                <w:rFonts w:ascii="Times New Roman" w:hAnsi="Times New Roman"/>
                <w:position w:val="10"/>
                <w:sz w:val="23"/>
              </w:rPr>
              <w:t> </w:t>
            </w:r>
            <w:r>
              <w:rPr>
                <w:b/>
                <w:sz w:val="23"/>
              </w:rPr>
              <w:t>5.2353</w:t>
            </w:r>
          </w:p>
          <w:p>
            <w:pPr>
              <w:pStyle w:val="TableParagraph"/>
              <w:spacing w:line="75" w:lineRule="exact" w:before="0"/>
              <w:ind w:left="256" w:right="100"/>
              <w:jc w:val="left"/>
              <w:rPr>
                <w:rFonts w:ascii="Times New Roman"/>
                <w:i/>
                <w:sz w:val="13"/>
              </w:rPr>
            </w:pPr>
            <w:r>
              <w:rPr>
                <w:rFonts w:ascii="Times New Roman"/>
                <w:i/>
                <w:w w:val="105"/>
                <w:sz w:val="13"/>
              </w:rPr>
              <w:t>PIBR</w:t>
            </w:r>
          </w:p>
        </w:tc>
        <w:tc>
          <w:tcPr>
            <w:tcW w:w="4661" w:type="dxa"/>
          </w:tcPr>
          <w:p>
            <w:pPr>
              <w:pStyle w:val="TableParagraph"/>
              <w:spacing w:line="215" w:lineRule="exact" w:before="10"/>
              <w:ind w:left="124" w:right="100"/>
              <w:jc w:val="left"/>
              <w:rPr>
                <w:rFonts w:ascii="Symbol" w:hAnsi="Symbol"/>
                <w:sz w:val="23"/>
              </w:rPr>
            </w:pPr>
            <w:r>
              <w:rPr>
                <w:rFonts w:ascii="Symbol" w:hAnsi="Symbol"/>
                <w:position w:val="-10"/>
                <w:sz w:val="24"/>
              </w:rPr>
              <w:t></w:t>
            </w:r>
            <w:r>
              <w:rPr>
                <w:rFonts w:ascii="Times New Roman" w:hAnsi="Times New Roman"/>
                <w:position w:val="-10"/>
                <w:sz w:val="24"/>
              </w:rPr>
              <w:t> </w:t>
            </w:r>
            <w:r>
              <w:rPr>
                <w:rFonts w:ascii="Times New Roman" w:hAnsi="Times New Roman"/>
                <w:i/>
                <w:sz w:val="13"/>
              </w:rPr>
              <w:t>ITR   </w:t>
            </w:r>
            <w:r>
              <w:rPr>
                <w:rFonts w:ascii="Symbol" w:hAnsi="Symbol"/>
                <w:position w:val="-10"/>
                <w:sz w:val="23"/>
              </w:rPr>
              <w:t></w:t>
            </w:r>
          </w:p>
          <w:p>
            <w:pPr>
              <w:pStyle w:val="TableParagraph"/>
              <w:tabs>
                <w:tab w:pos="758" w:val="left" w:leader="none"/>
              </w:tabs>
              <w:spacing w:line="186" w:lineRule="exact" w:before="0"/>
              <w:ind w:left="261" w:right="100"/>
              <w:jc w:val="left"/>
              <w:rPr>
                <w:b/>
                <w:sz w:val="23"/>
              </w:rPr>
            </w:pPr>
            <w:r>
              <w:rPr>
                <w:rFonts w:ascii="Times New Roman"/>
                <w:i/>
                <w:w w:val="105"/>
                <w:position w:val="6"/>
                <w:sz w:val="13"/>
              </w:rPr>
              <w:t>INF</w:t>
              <w:tab/>
            </w:r>
            <w:r>
              <w:rPr>
                <w:b/>
                <w:w w:val="105"/>
                <w:sz w:val="23"/>
              </w:rPr>
              <w:t>1.2757</w:t>
            </w:r>
          </w:p>
        </w:tc>
      </w:tr>
      <w:tr>
        <w:trPr>
          <w:trHeight w:val="744" w:hRule="exact"/>
        </w:trPr>
        <w:tc>
          <w:tcPr>
            <w:tcW w:w="4661" w:type="dxa"/>
          </w:tcPr>
          <w:p>
            <w:pPr>
              <w:pStyle w:val="TableParagraph"/>
              <w:spacing w:line="268" w:lineRule="exact" w:before="1"/>
              <w:ind w:left="127" w:right="100"/>
              <w:jc w:val="left"/>
              <w:rPr>
                <w:b/>
                <w:sz w:val="23"/>
              </w:rPr>
            </w:pPr>
            <w:r>
              <w:rPr>
                <w:rFonts w:ascii="Symbol" w:hAnsi="Symbol"/>
                <w:position w:val="10"/>
                <w:sz w:val="25"/>
              </w:rPr>
              <w:t></w:t>
            </w:r>
            <w:r>
              <w:rPr>
                <w:rFonts w:ascii="Times New Roman" w:hAnsi="Times New Roman"/>
                <w:position w:val="10"/>
                <w:sz w:val="25"/>
              </w:rPr>
              <w:t> </w:t>
            </w:r>
            <w:r>
              <w:rPr>
                <w:rFonts w:ascii="Times New Roman" w:hAnsi="Times New Roman"/>
                <w:i/>
                <w:position w:val="20"/>
                <w:sz w:val="13"/>
              </w:rPr>
              <w:t>ITR     </w:t>
            </w:r>
            <w:r>
              <w:rPr>
                <w:rFonts w:ascii="Symbol" w:hAnsi="Symbol"/>
                <w:position w:val="10"/>
                <w:sz w:val="23"/>
              </w:rPr>
              <w:t></w:t>
            </w:r>
            <w:r>
              <w:rPr>
                <w:rFonts w:ascii="Times New Roman" w:hAnsi="Times New Roman"/>
                <w:position w:val="10"/>
                <w:sz w:val="23"/>
              </w:rPr>
              <w:t> </w:t>
            </w:r>
            <w:r>
              <w:rPr>
                <w:b/>
                <w:sz w:val="23"/>
              </w:rPr>
              <w:t>1.4472</w:t>
            </w:r>
          </w:p>
          <w:p>
            <w:pPr>
              <w:pStyle w:val="TableParagraph"/>
              <w:spacing w:line="75" w:lineRule="exact" w:before="0"/>
              <w:ind w:left="254" w:right="100"/>
              <w:jc w:val="left"/>
              <w:rPr>
                <w:rFonts w:ascii="Times New Roman"/>
                <w:i/>
                <w:sz w:val="13"/>
              </w:rPr>
            </w:pPr>
            <w:r>
              <w:rPr>
                <w:rFonts w:ascii="Times New Roman"/>
                <w:i/>
                <w:w w:val="105"/>
                <w:sz w:val="13"/>
              </w:rPr>
              <w:t>RETR</w:t>
            </w:r>
          </w:p>
        </w:tc>
        <w:tc>
          <w:tcPr>
            <w:tcW w:w="4661" w:type="dxa"/>
          </w:tcPr>
          <w:p>
            <w:pPr>
              <w:pStyle w:val="TableParagraph"/>
              <w:tabs>
                <w:tab w:pos="659" w:val="left" w:leader="none"/>
              </w:tabs>
              <w:spacing w:line="268" w:lineRule="exact" w:before="1"/>
              <w:ind w:left="124" w:right="100"/>
              <w:jc w:val="left"/>
              <w:rPr>
                <w:b/>
                <w:sz w:val="23"/>
              </w:rPr>
            </w:pPr>
            <w:r>
              <w:rPr>
                <w:rFonts w:ascii="Symbol" w:hAnsi="Symbol"/>
                <w:position w:val="10"/>
                <w:sz w:val="25"/>
              </w:rPr>
              <w:t></w:t>
            </w:r>
            <w:r>
              <w:rPr>
                <w:rFonts w:ascii="Times New Roman" w:hAnsi="Times New Roman"/>
                <w:spacing w:val="-38"/>
                <w:position w:val="10"/>
                <w:sz w:val="25"/>
              </w:rPr>
              <w:t> </w:t>
            </w:r>
            <w:r>
              <w:rPr>
                <w:rFonts w:ascii="Times New Roman" w:hAnsi="Times New Roman"/>
                <w:i/>
                <w:position w:val="20"/>
                <w:sz w:val="13"/>
              </w:rPr>
              <w:t>U</w:t>
              <w:tab/>
            </w:r>
            <w:r>
              <w:rPr>
                <w:rFonts w:ascii="Symbol" w:hAnsi="Symbol"/>
                <w:position w:val="10"/>
                <w:sz w:val="23"/>
              </w:rPr>
              <w:t></w:t>
            </w:r>
            <w:r>
              <w:rPr>
                <w:rFonts w:ascii="Times New Roman" w:hAnsi="Times New Roman"/>
                <w:spacing w:val="-16"/>
                <w:position w:val="10"/>
                <w:sz w:val="23"/>
              </w:rPr>
              <w:t> </w:t>
            </w:r>
            <w:r>
              <w:rPr>
                <w:b/>
                <w:sz w:val="23"/>
              </w:rPr>
              <w:t>0.0013</w:t>
            </w:r>
          </w:p>
          <w:p>
            <w:pPr>
              <w:pStyle w:val="TableParagraph"/>
              <w:spacing w:line="75" w:lineRule="exact" w:before="0"/>
              <w:ind w:left="251" w:right="100"/>
              <w:jc w:val="left"/>
              <w:rPr>
                <w:rFonts w:ascii="Times New Roman"/>
                <w:i/>
                <w:sz w:val="13"/>
              </w:rPr>
            </w:pPr>
            <w:r>
              <w:rPr>
                <w:rFonts w:ascii="Times New Roman"/>
                <w:i/>
                <w:w w:val="105"/>
                <w:sz w:val="13"/>
              </w:rPr>
              <w:t>RETR</w:t>
            </w:r>
          </w:p>
        </w:tc>
      </w:tr>
      <w:tr>
        <w:trPr>
          <w:trHeight w:val="754" w:hRule="exact"/>
        </w:trPr>
        <w:tc>
          <w:tcPr>
            <w:tcW w:w="4661" w:type="dxa"/>
          </w:tcPr>
          <w:p>
            <w:pPr>
              <w:pStyle w:val="TableParagraph"/>
              <w:tabs>
                <w:tab w:pos="631" w:val="left" w:leader="none"/>
              </w:tabs>
              <w:spacing w:line="265" w:lineRule="exact" w:before="0"/>
              <w:ind w:left="127" w:right="100"/>
              <w:jc w:val="left"/>
              <w:rPr>
                <w:b/>
                <w:sz w:val="23"/>
              </w:rPr>
            </w:pPr>
            <w:r>
              <w:rPr>
                <w:rFonts w:ascii="Symbol" w:hAnsi="Symbol"/>
                <w:position w:val="10"/>
                <w:sz w:val="25"/>
              </w:rPr>
              <w:t></w:t>
            </w:r>
            <w:r>
              <w:rPr>
                <w:rFonts w:ascii="Times New Roman" w:hAnsi="Times New Roman"/>
                <w:spacing w:val="-38"/>
                <w:position w:val="10"/>
                <w:sz w:val="25"/>
              </w:rPr>
              <w:t> </w:t>
            </w:r>
            <w:r>
              <w:rPr>
                <w:rFonts w:ascii="Times New Roman" w:hAnsi="Times New Roman"/>
                <w:i/>
                <w:position w:val="20"/>
                <w:sz w:val="13"/>
              </w:rPr>
              <w:t>U</w:t>
              <w:tab/>
            </w:r>
            <w:r>
              <w:rPr>
                <w:rFonts w:ascii="Symbol" w:hAnsi="Symbol"/>
                <w:position w:val="10"/>
                <w:sz w:val="23"/>
              </w:rPr>
              <w:t></w:t>
            </w:r>
            <w:r>
              <w:rPr>
                <w:rFonts w:ascii="Times New Roman" w:hAnsi="Times New Roman"/>
                <w:spacing w:val="-4"/>
                <w:position w:val="10"/>
                <w:sz w:val="23"/>
              </w:rPr>
              <w:t> </w:t>
            </w:r>
            <w:r>
              <w:rPr>
                <w:b/>
                <w:sz w:val="23"/>
              </w:rPr>
              <w:t>0.1302</w:t>
            </w:r>
          </w:p>
          <w:p>
            <w:pPr>
              <w:pStyle w:val="TableParagraph"/>
              <w:spacing w:line="75" w:lineRule="exact" w:before="0"/>
              <w:ind w:left="254" w:right="100"/>
              <w:jc w:val="left"/>
              <w:rPr>
                <w:rFonts w:ascii="Times New Roman"/>
                <w:i/>
                <w:sz w:val="13"/>
              </w:rPr>
            </w:pPr>
            <w:r>
              <w:rPr>
                <w:rFonts w:ascii="Times New Roman"/>
                <w:i/>
                <w:w w:val="105"/>
                <w:sz w:val="13"/>
              </w:rPr>
              <w:t>PIBR</w:t>
            </w:r>
          </w:p>
        </w:tc>
        <w:tc>
          <w:tcPr>
            <w:tcW w:w="4661" w:type="dxa"/>
          </w:tcPr>
          <w:p>
            <w:pPr>
              <w:pStyle w:val="TableParagraph"/>
              <w:spacing w:line="217" w:lineRule="exact" w:before="6"/>
              <w:ind w:left="124" w:right="100"/>
              <w:jc w:val="left"/>
              <w:rPr>
                <w:rFonts w:ascii="Symbol" w:hAnsi="Symbol"/>
                <w:sz w:val="23"/>
              </w:rPr>
            </w:pPr>
            <w:r>
              <w:rPr>
                <w:rFonts w:ascii="Symbol" w:hAnsi="Symbol"/>
                <w:sz w:val="24"/>
              </w:rPr>
              <w:t></w:t>
            </w:r>
            <w:r>
              <w:rPr>
                <w:rFonts w:ascii="Times New Roman" w:hAnsi="Times New Roman"/>
                <w:sz w:val="24"/>
              </w:rPr>
              <w:t> </w:t>
            </w:r>
            <w:r>
              <w:rPr>
                <w:rFonts w:ascii="Times New Roman" w:hAnsi="Times New Roman"/>
                <w:i/>
                <w:position w:val="11"/>
                <w:sz w:val="13"/>
              </w:rPr>
              <w:t>U </w:t>
            </w:r>
            <w:r>
              <w:rPr>
                <w:rFonts w:ascii="Symbol" w:hAnsi="Symbol"/>
                <w:sz w:val="23"/>
              </w:rPr>
              <w:t></w:t>
            </w:r>
          </w:p>
          <w:p>
            <w:pPr>
              <w:pStyle w:val="TableParagraph"/>
              <w:tabs>
                <w:tab w:pos="623" w:val="left" w:leader="none"/>
              </w:tabs>
              <w:spacing w:line="188" w:lineRule="exact" w:before="0"/>
              <w:ind w:left="249" w:right="100"/>
              <w:jc w:val="left"/>
              <w:rPr>
                <w:b/>
                <w:sz w:val="23"/>
              </w:rPr>
            </w:pPr>
            <w:r>
              <w:rPr>
                <w:rFonts w:ascii="Times New Roman"/>
                <w:i/>
                <w:w w:val="105"/>
                <w:position w:val="6"/>
                <w:sz w:val="13"/>
              </w:rPr>
              <w:t>S</w:t>
              <w:tab/>
            </w:r>
            <w:r>
              <w:rPr>
                <w:b/>
                <w:w w:val="105"/>
                <w:sz w:val="23"/>
              </w:rPr>
              <w:t>-0.1954</w:t>
            </w:r>
          </w:p>
        </w:tc>
      </w:tr>
      <w:tr>
        <w:trPr>
          <w:trHeight w:val="752" w:hRule="exact"/>
        </w:trPr>
        <w:tc>
          <w:tcPr>
            <w:tcW w:w="4661" w:type="dxa"/>
            <w:tcBorders>
              <w:bottom w:val="single" w:sz="3" w:space="0" w:color="000000"/>
            </w:tcBorders>
          </w:tcPr>
          <w:p>
            <w:pPr>
              <w:pStyle w:val="TableParagraph"/>
              <w:tabs>
                <w:tab w:pos="563" w:val="left" w:leader="none"/>
              </w:tabs>
              <w:spacing w:line="216" w:lineRule="exact" w:before="8"/>
              <w:ind w:left="127" w:right="100"/>
              <w:jc w:val="left"/>
              <w:rPr>
                <w:rFonts w:ascii="Symbol" w:hAnsi="Symbol"/>
                <w:sz w:val="23"/>
              </w:rPr>
            </w:pPr>
            <w:r>
              <w:rPr>
                <w:rFonts w:ascii="Symbol" w:hAnsi="Symbol"/>
                <w:sz w:val="24"/>
              </w:rPr>
              <w:t></w:t>
            </w:r>
            <w:r>
              <w:rPr>
                <w:rFonts w:ascii="Times New Roman" w:hAnsi="Times New Roman"/>
                <w:spacing w:val="-33"/>
                <w:sz w:val="24"/>
              </w:rPr>
              <w:t> </w:t>
            </w:r>
            <w:r>
              <w:rPr>
                <w:rFonts w:ascii="Times New Roman" w:hAnsi="Times New Roman"/>
                <w:i/>
                <w:position w:val="11"/>
                <w:sz w:val="13"/>
              </w:rPr>
              <w:t>U</w:t>
              <w:tab/>
            </w:r>
            <w:r>
              <w:rPr>
                <w:rFonts w:ascii="Symbol" w:hAnsi="Symbol"/>
                <w:sz w:val="23"/>
              </w:rPr>
              <w:t></w:t>
            </w:r>
          </w:p>
          <w:p>
            <w:pPr>
              <w:pStyle w:val="TableParagraph"/>
              <w:tabs>
                <w:tab w:pos="722" w:val="left" w:leader="none"/>
              </w:tabs>
              <w:spacing w:line="187" w:lineRule="exact" w:before="0"/>
              <w:ind w:left="254" w:right="100"/>
              <w:jc w:val="left"/>
              <w:rPr>
                <w:b/>
                <w:sz w:val="23"/>
              </w:rPr>
            </w:pPr>
            <w:r>
              <w:rPr>
                <w:rFonts w:ascii="Times New Roman"/>
                <w:i/>
                <w:w w:val="105"/>
                <w:position w:val="6"/>
                <w:sz w:val="13"/>
              </w:rPr>
              <w:t>INF</w:t>
              <w:tab/>
            </w:r>
            <w:r>
              <w:rPr>
                <w:b/>
                <w:w w:val="105"/>
                <w:sz w:val="23"/>
              </w:rPr>
              <w:t>0.1009</w:t>
            </w:r>
          </w:p>
        </w:tc>
        <w:tc>
          <w:tcPr>
            <w:tcW w:w="4661" w:type="dxa"/>
            <w:tcBorders>
              <w:bottom w:val="single" w:sz="3" w:space="0" w:color="000000"/>
            </w:tcBorders>
          </w:tcPr>
          <w:p>
            <w:pPr>
              <w:pStyle w:val="TableParagraph"/>
              <w:spacing w:line="214" w:lineRule="exact" w:before="12"/>
              <w:ind w:left="124" w:right="100"/>
              <w:jc w:val="left"/>
              <w:rPr>
                <w:rFonts w:ascii="Symbol" w:hAnsi="Symbol"/>
                <w:sz w:val="23"/>
              </w:rPr>
            </w:pPr>
            <w:r>
              <w:rPr>
                <w:rFonts w:ascii="Symbol" w:hAnsi="Symbol"/>
                <w:position w:val="-10"/>
                <w:sz w:val="24"/>
              </w:rPr>
              <w:t></w:t>
            </w:r>
            <w:r>
              <w:rPr>
                <w:rFonts w:ascii="Times New Roman" w:hAnsi="Times New Roman"/>
                <w:position w:val="-10"/>
                <w:sz w:val="24"/>
              </w:rPr>
              <w:t> </w:t>
            </w:r>
            <w:r>
              <w:rPr>
                <w:rFonts w:ascii="Times New Roman" w:hAnsi="Times New Roman"/>
                <w:i/>
                <w:sz w:val="13"/>
              </w:rPr>
              <w:t>RETR   </w:t>
            </w:r>
            <w:r>
              <w:rPr>
                <w:rFonts w:ascii="Symbol" w:hAnsi="Symbol"/>
                <w:position w:val="-10"/>
                <w:sz w:val="23"/>
              </w:rPr>
              <w:t></w:t>
            </w:r>
          </w:p>
          <w:p>
            <w:pPr>
              <w:pStyle w:val="TableParagraph"/>
              <w:tabs>
                <w:tab w:pos="880" w:val="left" w:leader="none"/>
              </w:tabs>
              <w:spacing w:line="184" w:lineRule="exact" w:before="0"/>
              <w:ind w:left="249" w:right="100"/>
              <w:jc w:val="left"/>
              <w:rPr>
                <w:b/>
                <w:sz w:val="23"/>
              </w:rPr>
            </w:pPr>
            <w:r>
              <w:rPr>
                <w:rFonts w:ascii="Times New Roman"/>
                <w:i/>
                <w:w w:val="105"/>
                <w:position w:val="6"/>
                <w:sz w:val="13"/>
              </w:rPr>
              <w:t>TC</w:t>
              <w:tab/>
            </w:r>
            <w:r>
              <w:rPr>
                <w:w w:val="105"/>
                <w:sz w:val="23"/>
              </w:rPr>
              <w:t>-</w:t>
            </w:r>
            <w:r>
              <w:rPr>
                <w:b/>
                <w:w w:val="105"/>
                <w:sz w:val="23"/>
              </w:rPr>
              <w:t>0.7760</w:t>
            </w:r>
          </w:p>
        </w:tc>
      </w:tr>
      <w:tr>
        <w:trPr>
          <w:trHeight w:val="755" w:hRule="exact"/>
        </w:trPr>
        <w:tc>
          <w:tcPr>
            <w:tcW w:w="4661" w:type="dxa"/>
            <w:tcBorders>
              <w:top w:val="single" w:sz="3" w:space="0" w:color="000000"/>
            </w:tcBorders>
          </w:tcPr>
          <w:p>
            <w:pPr>
              <w:pStyle w:val="TableParagraph"/>
              <w:spacing w:line="214" w:lineRule="exact" w:before="15"/>
              <w:ind w:left="127" w:right="100"/>
              <w:jc w:val="left"/>
              <w:rPr>
                <w:rFonts w:ascii="Symbol" w:hAnsi="Symbol"/>
                <w:sz w:val="23"/>
              </w:rPr>
            </w:pPr>
            <w:r>
              <w:rPr>
                <w:rFonts w:ascii="Symbol" w:hAnsi="Symbol"/>
                <w:position w:val="-10"/>
                <w:sz w:val="24"/>
              </w:rPr>
              <w:t></w:t>
            </w:r>
            <w:r>
              <w:rPr>
                <w:rFonts w:ascii="Times New Roman" w:hAnsi="Times New Roman"/>
                <w:position w:val="-10"/>
                <w:sz w:val="24"/>
              </w:rPr>
              <w:t> </w:t>
            </w:r>
            <w:r>
              <w:rPr>
                <w:rFonts w:ascii="Times New Roman" w:hAnsi="Times New Roman"/>
                <w:i/>
                <w:sz w:val="13"/>
              </w:rPr>
              <w:t>RETR   </w:t>
            </w:r>
            <w:r>
              <w:rPr>
                <w:rFonts w:ascii="Symbol" w:hAnsi="Symbol"/>
                <w:position w:val="-10"/>
                <w:sz w:val="23"/>
              </w:rPr>
              <w:t></w:t>
            </w:r>
          </w:p>
          <w:p>
            <w:pPr>
              <w:pStyle w:val="TableParagraph"/>
              <w:tabs>
                <w:tab w:pos="880" w:val="left" w:leader="none"/>
              </w:tabs>
              <w:spacing w:line="184" w:lineRule="exact" w:before="0"/>
              <w:ind w:left="247" w:right="100"/>
              <w:jc w:val="left"/>
              <w:rPr>
                <w:b/>
                <w:sz w:val="23"/>
              </w:rPr>
            </w:pPr>
            <w:r>
              <w:rPr>
                <w:rFonts w:ascii="Times New Roman"/>
                <w:i/>
                <w:w w:val="105"/>
                <w:position w:val="6"/>
                <w:sz w:val="13"/>
              </w:rPr>
              <w:t>U</w:t>
              <w:tab/>
            </w:r>
            <w:r>
              <w:rPr>
                <w:b/>
                <w:w w:val="105"/>
                <w:sz w:val="23"/>
              </w:rPr>
              <w:t>-0.6579</w:t>
            </w:r>
          </w:p>
        </w:tc>
        <w:tc>
          <w:tcPr>
            <w:tcW w:w="4661" w:type="dxa"/>
            <w:tcBorders>
              <w:top w:val="single" w:sz="3" w:space="0" w:color="000000"/>
            </w:tcBorders>
          </w:tcPr>
          <w:p>
            <w:pPr>
              <w:pStyle w:val="TableParagraph"/>
              <w:spacing w:line="268" w:lineRule="exact" w:before="1"/>
              <w:ind w:left="124" w:right="100"/>
              <w:jc w:val="left"/>
              <w:rPr>
                <w:b/>
                <w:sz w:val="23"/>
              </w:rPr>
            </w:pPr>
            <w:r>
              <w:rPr>
                <w:rFonts w:ascii="Symbol" w:hAnsi="Symbol"/>
                <w:position w:val="10"/>
                <w:sz w:val="25"/>
              </w:rPr>
              <w:t></w:t>
            </w:r>
            <w:r>
              <w:rPr>
                <w:rFonts w:ascii="Times New Roman" w:hAnsi="Times New Roman"/>
                <w:position w:val="10"/>
                <w:sz w:val="25"/>
              </w:rPr>
              <w:t> </w:t>
            </w:r>
            <w:r>
              <w:rPr>
                <w:rFonts w:ascii="Times New Roman" w:hAnsi="Times New Roman"/>
                <w:i/>
                <w:position w:val="20"/>
                <w:sz w:val="13"/>
              </w:rPr>
              <w:t>RETR   </w:t>
            </w:r>
            <w:r>
              <w:rPr>
                <w:rFonts w:ascii="Symbol" w:hAnsi="Symbol"/>
                <w:position w:val="10"/>
                <w:sz w:val="23"/>
              </w:rPr>
              <w:t></w:t>
            </w:r>
            <w:r>
              <w:rPr>
                <w:rFonts w:ascii="Times New Roman" w:hAnsi="Times New Roman"/>
                <w:position w:val="10"/>
                <w:sz w:val="23"/>
              </w:rPr>
              <w:t> </w:t>
            </w:r>
            <w:r>
              <w:rPr>
                <w:b/>
                <w:sz w:val="23"/>
              </w:rPr>
              <w:t>-0.8988</w:t>
            </w:r>
          </w:p>
          <w:p>
            <w:pPr>
              <w:pStyle w:val="TableParagraph"/>
              <w:spacing w:line="75" w:lineRule="exact" w:before="0"/>
              <w:ind w:left="261" w:right="100"/>
              <w:jc w:val="left"/>
              <w:rPr>
                <w:rFonts w:ascii="Times New Roman"/>
                <w:i/>
                <w:sz w:val="13"/>
              </w:rPr>
            </w:pPr>
            <w:r>
              <w:rPr>
                <w:rFonts w:ascii="Times New Roman"/>
                <w:i/>
                <w:w w:val="105"/>
                <w:sz w:val="13"/>
              </w:rPr>
              <w:t>PIBR</w:t>
            </w:r>
          </w:p>
        </w:tc>
      </w:tr>
      <w:tr>
        <w:trPr>
          <w:trHeight w:val="754" w:hRule="exact"/>
        </w:trPr>
        <w:tc>
          <w:tcPr>
            <w:tcW w:w="4661" w:type="dxa"/>
          </w:tcPr>
          <w:p>
            <w:pPr>
              <w:pStyle w:val="TableParagraph"/>
              <w:spacing w:line="267" w:lineRule="exact" w:before="0"/>
              <w:ind w:left="127" w:right="100"/>
              <w:jc w:val="left"/>
              <w:rPr>
                <w:b/>
                <w:sz w:val="23"/>
              </w:rPr>
            </w:pPr>
            <w:r>
              <w:rPr>
                <w:rFonts w:ascii="Symbol" w:hAnsi="Symbol"/>
                <w:position w:val="10"/>
                <w:sz w:val="25"/>
              </w:rPr>
              <w:t></w:t>
            </w:r>
            <w:r>
              <w:rPr>
                <w:rFonts w:ascii="Times New Roman" w:hAnsi="Times New Roman"/>
                <w:position w:val="10"/>
                <w:sz w:val="25"/>
              </w:rPr>
              <w:t> </w:t>
            </w:r>
            <w:r>
              <w:rPr>
                <w:rFonts w:ascii="Times New Roman" w:hAnsi="Times New Roman"/>
                <w:i/>
                <w:position w:val="20"/>
                <w:sz w:val="13"/>
              </w:rPr>
              <w:t>RETR   </w:t>
            </w:r>
            <w:r>
              <w:rPr>
                <w:rFonts w:ascii="Symbol" w:hAnsi="Symbol"/>
                <w:position w:val="10"/>
                <w:sz w:val="23"/>
              </w:rPr>
              <w:t></w:t>
            </w:r>
            <w:r>
              <w:rPr>
                <w:rFonts w:ascii="Times New Roman" w:hAnsi="Times New Roman"/>
                <w:position w:val="10"/>
                <w:sz w:val="23"/>
              </w:rPr>
              <w:t> </w:t>
            </w:r>
            <w:r>
              <w:rPr>
                <w:b/>
                <w:sz w:val="23"/>
              </w:rPr>
              <w:t>-5.3916</w:t>
            </w:r>
          </w:p>
          <w:p>
            <w:pPr>
              <w:pStyle w:val="TableParagraph"/>
              <w:spacing w:line="75" w:lineRule="exact" w:before="0"/>
              <w:ind w:left="251" w:right="100"/>
              <w:jc w:val="left"/>
              <w:rPr>
                <w:rFonts w:ascii="Times New Roman"/>
                <w:i/>
                <w:sz w:val="13"/>
              </w:rPr>
            </w:pPr>
            <w:r>
              <w:rPr>
                <w:rFonts w:ascii="Times New Roman"/>
                <w:i/>
                <w:w w:val="105"/>
                <w:sz w:val="13"/>
              </w:rPr>
              <w:t>TI</w:t>
            </w:r>
          </w:p>
        </w:tc>
        <w:tc>
          <w:tcPr>
            <w:tcW w:w="4661" w:type="dxa"/>
          </w:tcPr>
          <w:p>
            <w:pPr>
              <w:pStyle w:val="TableParagraph"/>
              <w:spacing w:line="219" w:lineRule="exact"/>
              <w:ind w:left="124" w:right="100"/>
              <w:jc w:val="left"/>
              <w:rPr>
                <w:rFonts w:ascii="Symbol" w:hAnsi="Symbol"/>
                <w:sz w:val="23"/>
              </w:rPr>
            </w:pPr>
            <w:r>
              <w:rPr>
                <w:rFonts w:ascii="Symbol" w:hAnsi="Symbol"/>
                <w:position w:val="-9"/>
                <w:sz w:val="24"/>
              </w:rPr>
              <w:t></w:t>
            </w:r>
            <w:r>
              <w:rPr>
                <w:rFonts w:ascii="Times New Roman" w:hAnsi="Times New Roman"/>
                <w:position w:val="-9"/>
                <w:sz w:val="24"/>
              </w:rPr>
              <w:t> </w:t>
            </w:r>
            <w:r>
              <w:rPr>
                <w:rFonts w:ascii="Times New Roman" w:hAnsi="Times New Roman"/>
                <w:i/>
                <w:sz w:val="13"/>
              </w:rPr>
              <w:t>RETR   </w:t>
            </w:r>
            <w:r>
              <w:rPr>
                <w:rFonts w:ascii="Symbol" w:hAnsi="Symbol"/>
                <w:position w:val="-9"/>
                <w:sz w:val="23"/>
              </w:rPr>
              <w:t></w:t>
            </w:r>
          </w:p>
          <w:p>
            <w:pPr>
              <w:pStyle w:val="TableParagraph"/>
              <w:tabs>
                <w:tab w:pos="880" w:val="left" w:leader="none"/>
              </w:tabs>
              <w:spacing w:line="189" w:lineRule="exact" w:before="0"/>
              <w:ind w:left="261" w:right="100"/>
              <w:jc w:val="left"/>
              <w:rPr>
                <w:b/>
                <w:sz w:val="23"/>
              </w:rPr>
            </w:pPr>
            <w:r>
              <w:rPr>
                <w:rFonts w:ascii="Times New Roman"/>
                <w:i/>
                <w:position w:val="6"/>
                <w:sz w:val="13"/>
              </w:rPr>
              <w:t>INF</w:t>
              <w:tab/>
            </w:r>
            <w:r>
              <w:rPr>
                <w:b/>
                <w:sz w:val="23"/>
              </w:rPr>
              <w:t>3.5297</w:t>
            </w:r>
          </w:p>
        </w:tc>
      </w:tr>
      <w:tr>
        <w:trPr>
          <w:trHeight w:val="756" w:hRule="exact"/>
        </w:trPr>
        <w:tc>
          <w:tcPr>
            <w:tcW w:w="9322" w:type="dxa"/>
            <w:gridSpan w:val="2"/>
          </w:tcPr>
          <w:p>
            <w:pPr>
              <w:pStyle w:val="TableParagraph"/>
              <w:spacing w:line="214" w:lineRule="exact" w:before="12"/>
              <w:ind w:left="127"/>
              <w:jc w:val="left"/>
              <w:rPr>
                <w:rFonts w:ascii="Symbol" w:hAnsi="Symbol"/>
                <w:sz w:val="23"/>
              </w:rPr>
            </w:pPr>
            <w:r>
              <w:rPr>
                <w:rFonts w:ascii="Symbol" w:hAnsi="Symbol"/>
                <w:position w:val="-10"/>
                <w:sz w:val="24"/>
              </w:rPr>
              <w:t></w:t>
            </w:r>
            <w:r>
              <w:rPr>
                <w:rFonts w:ascii="Times New Roman" w:hAnsi="Times New Roman"/>
                <w:position w:val="-10"/>
                <w:sz w:val="24"/>
              </w:rPr>
              <w:t> </w:t>
            </w:r>
            <w:r>
              <w:rPr>
                <w:rFonts w:ascii="Times New Roman" w:hAnsi="Times New Roman"/>
                <w:i/>
                <w:sz w:val="13"/>
              </w:rPr>
              <w:t>RETR   </w:t>
            </w:r>
            <w:r>
              <w:rPr>
                <w:rFonts w:ascii="Symbol" w:hAnsi="Symbol"/>
                <w:position w:val="-10"/>
                <w:sz w:val="23"/>
              </w:rPr>
              <w:t></w:t>
            </w:r>
          </w:p>
          <w:p>
            <w:pPr>
              <w:pStyle w:val="TableParagraph"/>
              <w:tabs>
                <w:tab w:pos="880" w:val="left" w:leader="none"/>
              </w:tabs>
              <w:spacing w:line="184" w:lineRule="exact" w:before="0"/>
              <w:ind w:left="261"/>
              <w:jc w:val="left"/>
              <w:rPr>
                <w:b/>
                <w:sz w:val="23"/>
              </w:rPr>
            </w:pPr>
            <w:r>
              <w:rPr>
                <w:rFonts w:ascii="Times New Roman"/>
                <w:i/>
                <w:w w:val="105"/>
                <w:position w:val="6"/>
                <w:sz w:val="13"/>
              </w:rPr>
              <w:t>S</w:t>
              <w:tab/>
            </w:r>
            <w:r>
              <w:rPr>
                <w:b/>
                <w:w w:val="105"/>
                <w:sz w:val="23"/>
              </w:rPr>
              <w:t>-2.7791</w:t>
            </w:r>
          </w:p>
        </w:tc>
      </w:tr>
    </w:tbl>
    <w:p>
      <w:pPr>
        <w:spacing w:before="0"/>
        <w:ind w:left="221" w:right="150" w:firstLine="0"/>
        <w:jc w:val="left"/>
        <w:rPr>
          <w:sz w:val="21"/>
        </w:rPr>
      </w:pPr>
      <w:r>
        <w:rPr>
          <w:sz w:val="21"/>
        </w:rPr>
        <w:t>Fuente: Elaboración propia</w:t>
      </w:r>
    </w:p>
    <w:p>
      <w:pPr>
        <w:spacing w:after="0"/>
        <w:jc w:val="left"/>
        <w:rPr>
          <w:sz w:val="21"/>
        </w:rPr>
        <w:sectPr>
          <w:pgSz w:w="11900" w:h="16840"/>
          <w:pgMar w:header="0" w:footer="1679" w:top="1600" w:bottom="1860" w:left="1180" w:right="1160"/>
        </w:sectPr>
      </w:pPr>
    </w:p>
    <w:p>
      <w:pPr>
        <w:pStyle w:val="BodyText"/>
        <w:rPr>
          <w:sz w:val="20"/>
        </w:rPr>
      </w:pPr>
    </w:p>
    <w:p>
      <w:pPr>
        <w:pStyle w:val="BodyText"/>
        <w:spacing w:before="8"/>
        <w:rPr>
          <w:sz w:val="18"/>
        </w:rPr>
      </w:pPr>
    </w:p>
    <w:p>
      <w:pPr>
        <w:pStyle w:val="BodyText"/>
        <w:spacing w:line="364" w:lineRule="auto" w:before="74"/>
        <w:ind w:left="101" w:right="104"/>
        <w:jc w:val="both"/>
      </w:pPr>
      <w:r>
        <w:rPr/>
        <w:t>El análisis de las elasticidades, de acuerdo al cuadro 6 para todo modelo, es  considerado como un concepto </w:t>
      </w:r>
      <w:r>
        <w:rPr>
          <w:i/>
        </w:rPr>
        <w:t>ceteris paribus</w:t>
      </w:r>
      <w:r>
        <w:rPr/>
        <w:t>, es decir cuando una variable predeterminada sufre alguna variación, inmediatamente la variable endógena tendrá algún cambio ya sea positivo o negativo, además de que los demás factores deben permanecen</w:t>
      </w:r>
      <w:r>
        <w:rPr>
          <w:spacing w:val="30"/>
        </w:rPr>
        <w:t> </w:t>
      </w:r>
      <w:r>
        <w:rPr/>
        <w:t>constantes.</w:t>
      </w:r>
    </w:p>
    <w:p>
      <w:pPr>
        <w:pStyle w:val="BodyText"/>
        <w:spacing w:before="4"/>
        <w:rPr>
          <w:sz w:val="17"/>
        </w:rPr>
      </w:pPr>
    </w:p>
    <w:p>
      <w:pPr>
        <w:spacing w:line="364" w:lineRule="auto" w:before="0"/>
        <w:ind w:left="101" w:right="105" w:firstLine="0"/>
        <w:jc w:val="both"/>
        <w:rPr>
          <w:i/>
          <w:sz w:val="23"/>
        </w:rPr>
      </w:pPr>
      <w:r>
        <w:rPr>
          <w:sz w:val="23"/>
        </w:rPr>
        <w:t>Con esto, se calcularon las elasticidades con el objetivo de cuantificar los efectos establecidos en las relaciones funcionales que componen el modelo econométrico planteado. Este tipo de elasticidades son conocidas como </w:t>
      </w:r>
      <w:r>
        <w:rPr>
          <w:i/>
          <w:sz w:val="23"/>
        </w:rPr>
        <w:t>elasticidades de corto plazo </w:t>
      </w:r>
      <w:r>
        <w:rPr>
          <w:i/>
          <w:sz w:val="23"/>
        </w:rPr>
        <w:t>que se muestran en el cuadro 1.</w:t>
      </w:r>
    </w:p>
    <w:p>
      <w:pPr>
        <w:pStyle w:val="BodyText"/>
        <w:spacing w:before="6"/>
        <w:rPr>
          <w:i/>
          <w:sz w:val="17"/>
        </w:rPr>
      </w:pPr>
    </w:p>
    <w:p>
      <w:pPr>
        <w:pStyle w:val="BodyText"/>
        <w:spacing w:line="364" w:lineRule="auto"/>
        <w:ind w:left="101" w:right="102"/>
        <w:jc w:val="both"/>
      </w:pPr>
      <w:r>
        <w:rPr/>
        <w:t>En la ecuación del producto interno bruto, que se muestra en el cuadro 13, las variables que explican el modelo planteado con el 99% de exactitud son las siguientes: la  inversión real, el gasto real y las exportaciones netas reales;  puesto que el consumo  real y las remesas reales son inelásticas. Todos estos resultados muestran que </w:t>
      </w:r>
      <w:r>
        <w:rPr>
          <w:spacing w:val="2"/>
        </w:rPr>
        <w:t>la </w:t>
      </w:r>
      <w:r>
        <w:rPr/>
        <w:t>elasticidad de PIBR con respecto a ITR es de -0.23, lo que sugiere que si la inversión total real aumenta 1%, en promedio, el Producto Interno Bruto real  de  México  disminuirá en 0.23%. En consecuencia el PIBR es sensible a los cambios en  la  Inversión Total real del país. Ésta es una razón por la que los gobernantes siguen muy de cerca los cambios en la Inversión Total Real; por otro lado la elasticidad de PIBR   con respecto a GR es de 0.95, lo que apunta que si el gasto total real que tiene México se incrementa en 1%, en promedio, el Producto Interno Bruto real del país se  incrementa en 0.95%. En consecuencia el PIBR es sensible a los cambios en el Gasto Gubernamental Total de</w:t>
      </w:r>
      <w:r>
        <w:rPr>
          <w:spacing w:val="34"/>
        </w:rPr>
        <w:t> </w:t>
      </w:r>
      <w:r>
        <w:rPr/>
        <w:t>México.</w:t>
      </w:r>
    </w:p>
    <w:p>
      <w:pPr>
        <w:pStyle w:val="BodyText"/>
        <w:spacing w:before="4"/>
        <w:rPr>
          <w:sz w:val="17"/>
        </w:rPr>
      </w:pPr>
    </w:p>
    <w:p>
      <w:pPr>
        <w:pStyle w:val="BodyText"/>
        <w:spacing w:line="364" w:lineRule="auto"/>
        <w:ind w:left="101" w:right="105"/>
        <w:jc w:val="both"/>
      </w:pPr>
      <w:r>
        <w:rPr/>
        <w:t>En el cuadro 3, se muestra que el desempleo es una variable elástica, el  Índice  Nacional de Precios y Cotizaciones al igual que el salario tienen una relación muy elástica, mientras que la variable remesas es inelástica con respecto a la inflación; esto quiere decir que la elasticidad de INF con respecto U es de 1.009, lo que sugiere que si el desempleo se incrementa en 10%, en promedio, la inflación aumentara en 10.09%, este comportamiento se debe a que la población que se encuentra desempleada busca ocuparse   en   actividades   que   ayuden   al   sostenimiento   de   él   y   sus</w:t>
      </w:r>
      <w:r>
        <w:rPr>
          <w:spacing w:val="51"/>
        </w:rPr>
        <w:t> </w:t>
      </w:r>
      <w:r>
        <w:rPr/>
        <w:t>familiares,</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encontrándolo principalmente en trabajos informales, lo que provoca flujos de dinero   que al conjuntarse con la demanda de bienes y servicios se incrementan los </w:t>
      </w:r>
      <w:r>
        <w:rPr>
          <w:spacing w:val="28"/>
        </w:rPr>
        <w:t> </w:t>
      </w:r>
      <w:r>
        <w:rPr/>
        <w:t>precios.</w:t>
      </w:r>
    </w:p>
    <w:p>
      <w:pPr>
        <w:pStyle w:val="BodyText"/>
        <w:spacing w:before="9"/>
      </w:pPr>
    </w:p>
    <w:p>
      <w:pPr>
        <w:pStyle w:val="BodyText"/>
        <w:spacing w:line="364" w:lineRule="auto"/>
        <w:ind w:left="101" w:right="104" w:firstLine="64"/>
        <w:jc w:val="both"/>
      </w:pPr>
      <w:r>
        <w:rPr/>
        <w:pict>
          <v:shape style="position:absolute;margin-left:506.639801pt;margin-top:-1.790339pt;width:3.45pt;height:6.85pt;mso-position-horizontal-relative:page;mso-position-vertical-relative:paragraph;z-index:-699232" type="#_x0000_t202" filled="false" stroked="false">
            <v:textbox inset="0,0,0,0">
              <w:txbxContent>
                <w:p>
                  <w:pPr>
                    <w:spacing w:line="137" w:lineRule="exact" w:before="0"/>
                    <w:ind w:left="0" w:right="0" w:firstLine="0"/>
                    <w:jc w:val="left"/>
                    <w:rPr>
                      <w:rFonts w:ascii="Times New Roman"/>
                      <w:sz w:val="13"/>
                    </w:rPr>
                  </w:pPr>
                  <w:r>
                    <w:rPr>
                      <w:rFonts w:ascii="Times New Roman"/>
                      <w:w w:val="105"/>
                      <w:sz w:val="13"/>
                    </w:rPr>
                    <w:t>2</w:t>
                  </w:r>
                </w:p>
              </w:txbxContent>
            </v:textbox>
            <w10:wrap type="none"/>
          </v:shape>
        </w:pict>
      </w:r>
      <w:r>
        <w:rPr/>
        <w:t>La ecuación Inversión Total Real que se muestra en el cuadro 3, obtuvo una R de 0.94%, dando como resultados que la variable TC es elástica, el TI, GTR, PIBR, INF Y RETR sean muy elásticas, lo que quiere decir que la elasticidad de ITR con respecto a TC es de 0.68, lo que sugiere que si el Tipo de Cambio en México se incrementa 10%,  la inversión total real se incrementara en 6.8%. En consecuencia la ITR es sensible a   los cambios ocurridos del TC. Ésta es una razón por la en el país se toman políticas de estabilización para que el Tipo de cambio no se</w:t>
      </w:r>
      <w:r>
        <w:rPr>
          <w:spacing w:val="61"/>
        </w:rPr>
        <w:t> </w:t>
      </w:r>
      <w:r>
        <w:rPr/>
        <w:t>dispare.</w:t>
      </w:r>
    </w:p>
    <w:p>
      <w:pPr>
        <w:pStyle w:val="BodyText"/>
        <w:spacing w:before="4"/>
        <w:rPr>
          <w:sz w:val="17"/>
        </w:rPr>
      </w:pPr>
    </w:p>
    <w:p>
      <w:pPr>
        <w:pStyle w:val="BodyText"/>
        <w:spacing w:line="364" w:lineRule="auto"/>
        <w:ind w:left="101" w:right="105"/>
        <w:jc w:val="both"/>
      </w:pPr>
      <w:r>
        <w:rPr/>
        <w:t>Por otro lado, la elasticidad de la ITR con respecto a la TI es de -1.27, lo que propone que si la Tasa de Interés se incrementa en 10%, la ITR disminuirá en casi 12.7. </w:t>
      </w:r>
      <w:r>
        <w:rPr>
          <w:spacing w:val="2"/>
        </w:rPr>
        <w:t>En </w:t>
      </w:r>
      <w:r>
        <w:rPr/>
        <w:t>consecuencia la Inversión Total Real, es muy sensible a la variación de la TI. Ésta es una razón por la que se enfatiza en mantener una tasa de interés baja y atraer nuevos inversionistas en el</w:t>
      </w:r>
      <w:r>
        <w:rPr>
          <w:spacing w:val="27"/>
        </w:rPr>
        <w:t> </w:t>
      </w:r>
      <w:r>
        <w:rPr/>
        <w:t>país.</w:t>
      </w:r>
    </w:p>
    <w:p>
      <w:pPr>
        <w:pStyle w:val="BodyText"/>
        <w:spacing w:before="4"/>
        <w:rPr>
          <w:sz w:val="17"/>
        </w:rPr>
      </w:pPr>
    </w:p>
    <w:p>
      <w:pPr>
        <w:pStyle w:val="BodyText"/>
        <w:spacing w:line="364" w:lineRule="auto"/>
        <w:ind w:left="101" w:right="105"/>
        <w:jc w:val="both"/>
      </w:pPr>
      <w:r>
        <w:rPr/>
        <w:t>El cuadro 3 muestra los resultados obtenidos para la ecuación cinco que corresponde    al desempleo del modelo econométrico planteado, con todo esto se tiene que la elasticidad U con respecto al PIBR es de 0.13, lo que sugiere que el PIBR  se  incrementa en 1%, en promedio, el desempleo aumentara en 0.13%. En consecuencia  el desempleo es sensible a los cambios en el PIBR. Ésta es una razón por la que una producción muy alta, traerá consigo cambios que perjudican a la población interpretándose esto en despidos con mayor presencia en el </w:t>
      </w:r>
      <w:r>
        <w:rPr>
          <w:spacing w:val="5"/>
        </w:rPr>
        <w:t> </w:t>
      </w:r>
      <w:r>
        <w:rPr/>
        <w:t>país.</w:t>
      </w:r>
    </w:p>
    <w:p>
      <w:pPr>
        <w:pStyle w:val="BodyText"/>
        <w:spacing w:before="4"/>
        <w:rPr>
          <w:sz w:val="17"/>
        </w:rPr>
      </w:pPr>
    </w:p>
    <w:p>
      <w:pPr>
        <w:pStyle w:val="BodyText"/>
        <w:spacing w:line="364" w:lineRule="auto"/>
        <w:ind w:left="101" w:right="103"/>
        <w:jc w:val="both"/>
      </w:pPr>
      <w:r>
        <w:rPr/>
        <w:t>Otra variable muy interesante concierne al salario, pues la elasticidad U con respecto a  S es de -0.19, lo que propone que el Salario al incrementarse en 10%, en promedio, el desempleo disminuirá en 1.9%, puesto que los salarios tienden a ser muy elevados, la población se desplaza a donde tengan una  mayor percepción salarial, generando que  las plantas productivas se amplíen o bien se instalen en esos lugares y requieran de mano de obra que esta ansiosa por trabajar ante esos </w:t>
      </w:r>
      <w:r>
        <w:rPr>
          <w:spacing w:val="8"/>
        </w:rPr>
        <w:t> </w:t>
      </w:r>
      <w:r>
        <w:rPr/>
        <w:t>salarios.</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10"/>
        <w:rPr>
          <w:sz w:val="19"/>
        </w:rPr>
      </w:pPr>
    </w:p>
    <w:p>
      <w:pPr>
        <w:pStyle w:val="BodyText"/>
        <w:spacing w:line="364" w:lineRule="auto" w:before="135"/>
        <w:ind w:left="101" w:right="103"/>
        <w:jc w:val="both"/>
      </w:pPr>
      <w:r>
        <w:rPr/>
        <w:pict>
          <v:shape style="position:absolute;margin-left:351.479858pt;margin-top:5.004565pt;width:3.4pt;height:6.8pt;mso-position-horizontal-relative:page;mso-position-vertical-relative:paragraph;z-index:-699208" type="#_x0000_t202" filled="false" stroked="false">
            <v:textbox inset="0,0,0,0">
              <w:txbxContent>
                <w:p>
                  <w:pPr>
                    <w:spacing w:line="136" w:lineRule="exact" w:before="0"/>
                    <w:ind w:left="0" w:right="0" w:firstLine="0"/>
                    <w:jc w:val="left"/>
                    <w:rPr>
                      <w:rFonts w:ascii="Times New Roman"/>
                      <w:sz w:val="13"/>
                    </w:rPr>
                  </w:pPr>
                  <w:r>
                    <w:rPr>
                      <w:rFonts w:ascii="Times New Roman"/>
                      <w:w w:val="104"/>
                      <w:sz w:val="13"/>
                    </w:rPr>
                    <w:t>2</w:t>
                  </w:r>
                </w:p>
              </w:txbxContent>
            </v:textbox>
            <w10:wrap type="none"/>
          </v:shape>
        </w:pict>
      </w:r>
      <w:r>
        <w:rPr/>
        <w:t>Con los resultados del cuadro 3, se obtuvo una R de 0.84 indicando que el error estocástico es de tan sólo 0.16, esta ecuación es la que muestra como es la relación de las remesas con respecto a TC, TI, U, INF, PIBR, y S, siendo las seis variables que explican el modelo en 84%, así tenemos que la elasticidad RETR con respecto a TC es de -0.77, lo que propone que si el Tipo de cambio se incrementa en 10%, en promedio, las remesas familiares totales reales tendrán una disminución de 7.7%. En  consecuencia las RETR son sensibles a los cambios ocurrentes en la tasa de cambio, razón por la que debe haber una mayor información para los remitentes, puesto que en teoría a ellos les conviene enviar sus remesas cuando el tipo de  cambio  es  más elevado y no lo</w:t>
      </w:r>
      <w:r>
        <w:rPr>
          <w:spacing w:val="30"/>
        </w:rPr>
        <w:t> </w:t>
      </w:r>
      <w:r>
        <w:rPr/>
        <w:t>contrario.</w:t>
      </w:r>
    </w:p>
    <w:p>
      <w:pPr>
        <w:pStyle w:val="BodyText"/>
        <w:rPr>
          <w:sz w:val="22"/>
        </w:rPr>
      </w:pPr>
    </w:p>
    <w:p>
      <w:pPr>
        <w:pStyle w:val="BodyText"/>
        <w:rPr>
          <w:sz w:val="22"/>
        </w:rPr>
      </w:pPr>
    </w:p>
    <w:p>
      <w:pPr>
        <w:pStyle w:val="BodyText"/>
        <w:spacing w:before="2"/>
        <w:rPr>
          <w:sz w:val="28"/>
        </w:rPr>
      </w:pPr>
    </w:p>
    <w:p>
      <w:pPr>
        <w:pStyle w:val="Heading2"/>
        <w:numPr>
          <w:ilvl w:val="1"/>
          <w:numId w:val="28"/>
        </w:numPr>
        <w:tabs>
          <w:tab w:pos="539" w:val="left" w:leader="none"/>
        </w:tabs>
        <w:spacing w:line="240" w:lineRule="auto" w:before="0" w:after="0"/>
        <w:ind w:left="538" w:right="0" w:hanging="437"/>
        <w:jc w:val="both"/>
      </w:pPr>
      <w:r>
        <w:rPr/>
        <w:t>CONCLUSIONES</w:t>
      </w:r>
    </w:p>
    <w:p>
      <w:pPr>
        <w:pStyle w:val="BodyText"/>
        <w:rPr>
          <w:b/>
          <w:sz w:val="30"/>
        </w:rPr>
      </w:pPr>
    </w:p>
    <w:p>
      <w:pPr>
        <w:pStyle w:val="BodyText"/>
        <w:spacing w:before="11"/>
        <w:rPr>
          <w:b/>
          <w:sz w:val="32"/>
        </w:rPr>
      </w:pPr>
    </w:p>
    <w:p>
      <w:pPr>
        <w:pStyle w:val="BodyText"/>
        <w:spacing w:line="364" w:lineRule="auto"/>
        <w:ind w:left="101" w:right="105"/>
        <w:jc w:val="both"/>
      </w:pPr>
      <w:r>
        <w:rPr/>
        <w:t>El presente trabajo es una aproximación teórica al problema de la migración en México desde el punto de vista de la pérdida del recurso humano done el estado y la sociedad absorben el costo económico de la formación de dicho recurso por un lado y por el otro de la captación de recursos económicos por la mayoría de los estados que ven con buenos ojos el hecho que exista tal flujo de divisas que quisieran magnificar y que en este trabajo se ha tratado de modelar el comportamiento de las variables que desde nuestro punto de vista explican dicho modelo.</w:t>
      </w:r>
    </w:p>
    <w:p>
      <w:pPr>
        <w:pStyle w:val="BodyText"/>
        <w:rPr>
          <w:sz w:val="22"/>
        </w:rPr>
      </w:pPr>
    </w:p>
    <w:p>
      <w:pPr>
        <w:pStyle w:val="BodyText"/>
        <w:rPr>
          <w:sz w:val="22"/>
        </w:rPr>
      </w:pPr>
    </w:p>
    <w:p>
      <w:pPr>
        <w:pStyle w:val="BodyText"/>
        <w:spacing w:before="2"/>
        <w:rPr>
          <w:sz w:val="28"/>
        </w:rPr>
      </w:pPr>
    </w:p>
    <w:p>
      <w:pPr>
        <w:pStyle w:val="Heading2"/>
        <w:numPr>
          <w:ilvl w:val="1"/>
          <w:numId w:val="28"/>
        </w:numPr>
        <w:tabs>
          <w:tab w:pos="452" w:val="left" w:leader="none"/>
        </w:tabs>
        <w:spacing w:line="240" w:lineRule="auto" w:before="0" w:after="0"/>
        <w:ind w:left="451" w:right="0" w:hanging="350"/>
        <w:jc w:val="both"/>
      </w:pPr>
      <w:r>
        <w:rPr/>
        <w:t>REFERENCIAS</w:t>
      </w:r>
      <w:r>
        <w:rPr>
          <w:spacing w:val="16"/>
        </w:rPr>
        <w:t> </w:t>
      </w:r>
      <w:r>
        <w:rPr/>
        <w:t>BIBLIOGRÁFICAS</w:t>
      </w:r>
    </w:p>
    <w:p>
      <w:pPr>
        <w:pStyle w:val="BodyText"/>
        <w:rPr>
          <w:b/>
          <w:sz w:val="30"/>
        </w:rPr>
      </w:pPr>
    </w:p>
    <w:p>
      <w:pPr>
        <w:pStyle w:val="BodyText"/>
        <w:spacing w:before="8"/>
        <w:rPr>
          <w:b/>
          <w:sz w:val="32"/>
        </w:rPr>
      </w:pPr>
    </w:p>
    <w:p>
      <w:pPr>
        <w:pStyle w:val="ListParagraph"/>
        <w:numPr>
          <w:ilvl w:val="2"/>
          <w:numId w:val="28"/>
        </w:numPr>
        <w:tabs>
          <w:tab w:pos="803" w:val="left" w:leader="none"/>
        </w:tabs>
        <w:spacing w:line="364" w:lineRule="auto" w:before="1" w:after="0"/>
        <w:ind w:left="802" w:right="105" w:hanging="350"/>
        <w:jc w:val="both"/>
        <w:rPr>
          <w:sz w:val="23"/>
        </w:rPr>
      </w:pPr>
      <w:r>
        <w:rPr>
          <w:sz w:val="23"/>
        </w:rPr>
        <w:t>Alba, Francisco, </w:t>
      </w:r>
      <w:r>
        <w:rPr>
          <w:i/>
          <w:sz w:val="23"/>
        </w:rPr>
        <w:t>Integración económica y políticas de migración: un consenso en </w:t>
      </w:r>
      <w:r>
        <w:rPr>
          <w:i/>
          <w:sz w:val="23"/>
        </w:rPr>
        <w:t>revisión</w:t>
      </w:r>
      <w:r>
        <w:rPr>
          <w:sz w:val="23"/>
        </w:rPr>
        <w:t>, en: Rodolfo Tuirán, coordinador, </w:t>
      </w:r>
      <w:r>
        <w:rPr>
          <w:i/>
          <w:sz w:val="23"/>
        </w:rPr>
        <w:t>Migración México-Estados Unidos, </w:t>
      </w:r>
      <w:r>
        <w:rPr>
          <w:i/>
          <w:sz w:val="23"/>
        </w:rPr>
        <w:t>Presente y Futuro, </w:t>
      </w:r>
      <w:r>
        <w:rPr>
          <w:sz w:val="23"/>
        </w:rPr>
        <w:t>Consejo Nacional de Población (CONAPO), México. </w:t>
      </w:r>
      <w:r>
        <w:rPr>
          <w:spacing w:val="23"/>
          <w:sz w:val="23"/>
        </w:rPr>
        <w:t> </w:t>
      </w:r>
      <w:r>
        <w:rPr>
          <w:sz w:val="23"/>
        </w:rPr>
        <w:t>2003.</w:t>
      </w:r>
    </w:p>
    <w:p>
      <w:pPr>
        <w:spacing w:after="0" w:line="364" w:lineRule="auto"/>
        <w:jc w:val="both"/>
        <w:rPr>
          <w:sz w:val="23"/>
        </w:rPr>
        <w:sectPr>
          <w:pgSz w:w="11900" w:h="16840"/>
          <w:pgMar w:header="0" w:footer="1679" w:top="1600" w:bottom="1860" w:left="1300" w:right="1280"/>
        </w:sectPr>
      </w:pPr>
    </w:p>
    <w:p>
      <w:pPr>
        <w:pStyle w:val="BodyText"/>
        <w:rPr>
          <w:sz w:val="20"/>
        </w:rPr>
      </w:pPr>
    </w:p>
    <w:p>
      <w:pPr>
        <w:pStyle w:val="BodyText"/>
        <w:spacing w:before="6"/>
        <w:rPr>
          <w:sz w:val="18"/>
        </w:rPr>
      </w:pPr>
    </w:p>
    <w:p>
      <w:pPr>
        <w:pStyle w:val="ListParagraph"/>
        <w:numPr>
          <w:ilvl w:val="2"/>
          <w:numId w:val="28"/>
        </w:numPr>
        <w:tabs>
          <w:tab w:pos="463" w:val="left" w:leader="none"/>
        </w:tabs>
        <w:spacing w:line="364" w:lineRule="auto" w:before="74" w:after="0"/>
        <w:ind w:left="462" w:right="103" w:hanging="350"/>
        <w:jc w:val="both"/>
        <w:rPr>
          <w:sz w:val="23"/>
        </w:rPr>
      </w:pPr>
      <w:r>
        <w:rPr>
          <w:sz w:val="23"/>
        </w:rPr>
        <w:t>Arroyo, Alejandre Jesús, Salvador Berumen Sandoval</w:t>
      </w:r>
      <w:r>
        <w:rPr>
          <w:i/>
          <w:sz w:val="23"/>
        </w:rPr>
        <w:t>, La ley de población y la </w:t>
      </w:r>
      <w:r>
        <w:rPr>
          <w:i/>
          <w:sz w:val="23"/>
        </w:rPr>
        <w:t>migración de mexicanos a Estados Unidos, </w:t>
      </w:r>
      <w:r>
        <w:rPr>
          <w:sz w:val="23"/>
        </w:rPr>
        <w:t>División de Economía y Sociedad, Universidad de Guadalajara.</w:t>
      </w:r>
      <w:r>
        <w:rPr>
          <w:spacing w:val="36"/>
          <w:sz w:val="23"/>
        </w:rPr>
        <w:t> </w:t>
      </w:r>
      <w:r>
        <w:rPr>
          <w:sz w:val="23"/>
        </w:rPr>
        <w:t>2000.</w:t>
      </w:r>
    </w:p>
    <w:p>
      <w:pPr>
        <w:pStyle w:val="BodyText"/>
        <w:spacing w:before="4"/>
        <w:rPr>
          <w:sz w:val="17"/>
        </w:rPr>
      </w:pPr>
    </w:p>
    <w:p>
      <w:pPr>
        <w:pStyle w:val="ListParagraph"/>
        <w:numPr>
          <w:ilvl w:val="2"/>
          <w:numId w:val="28"/>
        </w:numPr>
        <w:tabs>
          <w:tab w:pos="463" w:val="left" w:leader="none"/>
        </w:tabs>
        <w:spacing w:line="364" w:lineRule="auto" w:before="0" w:after="0"/>
        <w:ind w:left="462" w:right="103" w:hanging="350"/>
        <w:jc w:val="both"/>
        <w:rPr>
          <w:sz w:val="23"/>
        </w:rPr>
      </w:pPr>
      <w:r>
        <w:rPr>
          <w:sz w:val="23"/>
        </w:rPr>
        <w:t>Arroyo Alejandre Jesús, Berumen Sandoval Salvador; </w:t>
      </w:r>
      <w:r>
        <w:rPr>
          <w:i/>
          <w:sz w:val="23"/>
        </w:rPr>
        <w:t>Efectos subregionales de </w:t>
      </w:r>
      <w:r>
        <w:rPr>
          <w:i/>
          <w:sz w:val="23"/>
        </w:rPr>
        <w:t>las remesas de emigrantes mexicanos en Estados Unidos</w:t>
      </w:r>
      <w:r>
        <w:rPr>
          <w:sz w:val="23"/>
        </w:rPr>
        <w:t>; Comercio Exterior, 2000.</w:t>
      </w:r>
    </w:p>
    <w:p>
      <w:pPr>
        <w:pStyle w:val="BodyText"/>
        <w:spacing w:before="4"/>
        <w:rPr>
          <w:sz w:val="17"/>
        </w:rPr>
      </w:pPr>
    </w:p>
    <w:p>
      <w:pPr>
        <w:pStyle w:val="ListParagraph"/>
        <w:numPr>
          <w:ilvl w:val="2"/>
          <w:numId w:val="28"/>
        </w:numPr>
        <w:tabs>
          <w:tab w:pos="463" w:val="left" w:leader="none"/>
        </w:tabs>
        <w:spacing w:line="364" w:lineRule="auto" w:before="0" w:after="0"/>
        <w:ind w:left="462" w:right="103" w:hanging="350"/>
        <w:jc w:val="both"/>
        <w:rPr>
          <w:sz w:val="23"/>
        </w:rPr>
      </w:pPr>
      <w:r>
        <w:rPr>
          <w:sz w:val="23"/>
        </w:rPr>
        <w:t>Arroyo, Jesús, Rodolfo García Zamora, </w:t>
      </w:r>
      <w:r>
        <w:rPr>
          <w:i/>
          <w:sz w:val="23"/>
        </w:rPr>
        <w:t>Remesas y crecimiento económico y </w:t>
      </w:r>
      <w:r>
        <w:rPr>
          <w:i/>
          <w:sz w:val="23"/>
        </w:rPr>
        <w:t>regional: propuestas para la formulación de políticas públicas</w:t>
      </w:r>
      <w:r>
        <w:rPr>
          <w:sz w:val="23"/>
        </w:rPr>
        <w:t>,  en:  Rodolfo  Tuirán, coordinador, </w:t>
      </w:r>
      <w:r>
        <w:rPr>
          <w:i/>
          <w:sz w:val="23"/>
        </w:rPr>
        <w:t>Migración México-Estados Unidos, Presente y Futuro, </w:t>
      </w:r>
      <w:r>
        <w:rPr>
          <w:sz w:val="23"/>
        </w:rPr>
        <w:t>Consejo Nacional de Población, (CONAPO), México.  2003.</w:t>
      </w:r>
    </w:p>
    <w:p>
      <w:pPr>
        <w:pStyle w:val="ListParagraph"/>
        <w:numPr>
          <w:ilvl w:val="2"/>
          <w:numId w:val="28"/>
        </w:numPr>
        <w:tabs>
          <w:tab w:pos="463" w:val="left" w:leader="none"/>
        </w:tabs>
        <w:spacing w:line="240" w:lineRule="auto" w:before="197" w:after="0"/>
        <w:ind w:left="462" w:right="0" w:hanging="351"/>
        <w:jc w:val="left"/>
        <w:rPr>
          <w:sz w:val="23"/>
        </w:rPr>
      </w:pPr>
      <w:r>
        <w:rPr>
          <w:sz w:val="23"/>
        </w:rPr>
        <w:t>Banxico, </w:t>
      </w:r>
      <w:r>
        <w:rPr>
          <w:i/>
          <w:sz w:val="23"/>
        </w:rPr>
        <w:t>Indicadores Económicos</w:t>
      </w:r>
      <w:r>
        <w:rPr>
          <w:sz w:val="23"/>
        </w:rPr>
        <w:t>, Carpeta Electrónica, México, </w:t>
      </w:r>
      <w:r>
        <w:rPr>
          <w:spacing w:val="14"/>
          <w:sz w:val="23"/>
        </w:rPr>
        <w:t> </w:t>
      </w:r>
      <w:r>
        <w:rPr>
          <w:sz w:val="23"/>
        </w:rPr>
        <w:t>2001.</w:t>
      </w:r>
    </w:p>
    <w:p>
      <w:pPr>
        <w:pStyle w:val="BodyText"/>
        <w:spacing w:before="11"/>
        <w:rPr>
          <w:sz w:val="28"/>
        </w:rPr>
      </w:pPr>
    </w:p>
    <w:p>
      <w:pPr>
        <w:pStyle w:val="ListParagraph"/>
        <w:numPr>
          <w:ilvl w:val="2"/>
          <w:numId w:val="28"/>
        </w:numPr>
        <w:tabs>
          <w:tab w:pos="463" w:val="left" w:leader="none"/>
        </w:tabs>
        <w:spacing w:line="240" w:lineRule="auto" w:before="0" w:after="0"/>
        <w:ind w:left="462" w:right="0" w:hanging="351"/>
        <w:jc w:val="left"/>
        <w:rPr>
          <w:sz w:val="23"/>
        </w:rPr>
      </w:pPr>
      <w:r>
        <w:rPr>
          <w:sz w:val="23"/>
        </w:rPr>
        <w:t>Banco Mundial, </w:t>
      </w:r>
      <w:r>
        <w:rPr>
          <w:i/>
          <w:sz w:val="23"/>
        </w:rPr>
        <w:t>News Release</w:t>
      </w:r>
      <w:r>
        <w:rPr>
          <w:sz w:val="23"/>
        </w:rPr>
        <w:t>.</w:t>
      </w:r>
      <w:r>
        <w:rPr>
          <w:spacing w:val="44"/>
          <w:sz w:val="23"/>
        </w:rPr>
        <w:t> </w:t>
      </w:r>
      <w:r>
        <w:rPr>
          <w:sz w:val="23"/>
        </w:rPr>
        <w:t>2006</w:t>
      </w:r>
    </w:p>
    <w:p>
      <w:pPr>
        <w:pStyle w:val="BodyText"/>
        <w:spacing w:before="11"/>
        <w:rPr>
          <w:sz w:val="28"/>
        </w:rPr>
      </w:pPr>
    </w:p>
    <w:p>
      <w:pPr>
        <w:pStyle w:val="ListParagraph"/>
        <w:numPr>
          <w:ilvl w:val="2"/>
          <w:numId w:val="28"/>
        </w:numPr>
        <w:tabs>
          <w:tab w:pos="463" w:val="left" w:leader="none"/>
        </w:tabs>
        <w:spacing w:line="240" w:lineRule="auto" w:before="0" w:after="0"/>
        <w:ind w:left="462" w:right="0" w:hanging="351"/>
        <w:jc w:val="left"/>
        <w:rPr>
          <w:sz w:val="23"/>
        </w:rPr>
      </w:pPr>
      <w:r>
        <w:rPr>
          <w:sz w:val="23"/>
        </w:rPr>
        <w:t>Banco de México.</w:t>
      </w:r>
      <w:r>
        <w:rPr>
          <w:spacing w:val="27"/>
          <w:sz w:val="23"/>
        </w:rPr>
        <w:t> </w:t>
      </w:r>
      <w:r>
        <w:rPr>
          <w:sz w:val="23"/>
        </w:rPr>
        <w:t>2007.</w:t>
      </w:r>
    </w:p>
    <w:p>
      <w:pPr>
        <w:pStyle w:val="BodyText"/>
        <w:spacing w:before="8"/>
        <w:rPr>
          <w:sz w:val="28"/>
        </w:rPr>
      </w:pPr>
    </w:p>
    <w:p>
      <w:pPr>
        <w:pStyle w:val="ListParagraph"/>
        <w:numPr>
          <w:ilvl w:val="2"/>
          <w:numId w:val="28"/>
        </w:numPr>
        <w:tabs>
          <w:tab w:pos="463" w:val="left" w:leader="none"/>
        </w:tabs>
        <w:spacing w:line="367" w:lineRule="auto" w:before="0" w:after="0"/>
        <w:ind w:left="462" w:right="105" w:hanging="351"/>
        <w:jc w:val="both"/>
        <w:rPr>
          <w:sz w:val="23"/>
        </w:rPr>
      </w:pPr>
      <w:r>
        <w:rPr>
          <w:sz w:val="23"/>
        </w:rPr>
        <w:t>Becerril, Andrea, </w:t>
      </w:r>
      <w:r>
        <w:rPr>
          <w:i/>
          <w:sz w:val="23"/>
        </w:rPr>
        <w:t>Exige el Senado a Fox protestar por el Programa de  </w:t>
      </w:r>
      <w:r>
        <w:rPr>
          <w:i/>
          <w:sz w:val="23"/>
        </w:rPr>
        <w:t>Repatriación Lateral</w:t>
      </w:r>
      <w:r>
        <w:rPr>
          <w:sz w:val="23"/>
        </w:rPr>
        <w:t>, </w:t>
      </w:r>
      <w:r>
        <w:rPr>
          <w:i/>
          <w:sz w:val="23"/>
        </w:rPr>
        <w:t>La Jornada, </w:t>
      </w:r>
      <w:r>
        <w:rPr>
          <w:sz w:val="23"/>
        </w:rPr>
        <w:t>México, 26 de septiembre, 2003 p. </w:t>
      </w:r>
      <w:r>
        <w:rPr>
          <w:spacing w:val="14"/>
          <w:sz w:val="23"/>
        </w:rPr>
        <w:t> </w:t>
      </w:r>
      <w:r>
        <w:rPr>
          <w:sz w:val="23"/>
        </w:rPr>
        <w:t>21.</w:t>
      </w:r>
    </w:p>
    <w:p>
      <w:pPr>
        <w:pStyle w:val="ListParagraph"/>
        <w:numPr>
          <w:ilvl w:val="2"/>
          <w:numId w:val="28"/>
        </w:numPr>
        <w:tabs>
          <w:tab w:pos="463" w:val="left" w:leader="none"/>
        </w:tabs>
        <w:spacing w:line="364" w:lineRule="auto" w:before="197" w:after="0"/>
        <w:ind w:left="462" w:right="105" w:hanging="351"/>
        <w:jc w:val="both"/>
        <w:rPr>
          <w:sz w:val="23"/>
        </w:rPr>
      </w:pPr>
      <w:r>
        <w:rPr>
          <w:sz w:val="23"/>
        </w:rPr>
        <w:t>Bellizia Mónica, “Medio Oeste”, en: </w:t>
      </w:r>
      <w:r>
        <w:rPr>
          <w:i/>
          <w:sz w:val="23"/>
        </w:rPr>
        <w:t>Serie de estudios sobre el Mercado Hispano </w:t>
      </w:r>
      <w:r>
        <w:rPr>
          <w:i/>
          <w:sz w:val="23"/>
        </w:rPr>
        <w:t>de Estados Unidos, </w:t>
      </w:r>
      <w:r>
        <w:rPr>
          <w:sz w:val="23"/>
        </w:rPr>
        <w:t>Fundación Solidaridad Mexicano-Americana, S.C. </w:t>
      </w:r>
      <w:r>
        <w:rPr>
          <w:spacing w:val="21"/>
          <w:sz w:val="23"/>
        </w:rPr>
        <w:t> </w:t>
      </w:r>
      <w:r>
        <w:rPr>
          <w:sz w:val="23"/>
        </w:rPr>
        <w:t>2003.</w:t>
      </w:r>
    </w:p>
    <w:p>
      <w:pPr>
        <w:pStyle w:val="BodyText"/>
        <w:spacing w:before="6"/>
        <w:rPr>
          <w:sz w:val="17"/>
        </w:rPr>
      </w:pPr>
    </w:p>
    <w:p>
      <w:pPr>
        <w:pStyle w:val="ListParagraph"/>
        <w:numPr>
          <w:ilvl w:val="2"/>
          <w:numId w:val="28"/>
        </w:numPr>
        <w:tabs>
          <w:tab w:pos="463" w:val="left" w:leader="none"/>
        </w:tabs>
        <w:spacing w:line="364" w:lineRule="auto" w:before="0" w:after="0"/>
        <w:ind w:left="462" w:right="107" w:hanging="351"/>
        <w:jc w:val="both"/>
        <w:rPr>
          <w:sz w:val="23"/>
        </w:rPr>
      </w:pPr>
      <w:r>
        <w:rPr>
          <w:sz w:val="23"/>
        </w:rPr>
        <w:t>Bustamante, Jorge, </w:t>
      </w:r>
      <w:r>
        <w:rPr>
          <w:i/>
          <w:sz w:val="23"/>
        </w:rPr>
        <w:t>Mercados laborales internacionales: tres propuestas</w:t>
      </w:r>
      <w:r>
        <w:rPr>
          <w:sz w:val="23"/>
        </w:rPr>
        <w:t>, en: Rodolfo Tuirán coordinador, </w:t>
      </w:r>
      <w:r>
        <w:rPr>
          <w:i/>
          <w:sz w:val="23"/>
        </w:rPr>
        <w:t>Migración México-Estados Unidos, Presente y  </w:t>
      </w:r>
      <w:r>
        <w:rPr>
          <w:i/>
          <w:sz w:val="23"/>
        </w:rPr>
        <w:t>Futuro, </w:t>
      </w:r>
      <w:r>
        <w:rPr>
          <w:sz w:val="23"/>
        </w:rPr>
        <w:t>Consejo Nacional de Población (CONAPO), México. </w:t>
      </w:r>
      <w:r>
        <w:rPr>
          <w:spacing w:val="8"/>
          <w:sz w:val="23"/>
        </w:rPr>
        <w:t> </w:t>
      </w:r>
      <w:r>
        <w:rPr>
          <w:sz w:val="23"/>
        </w:rPr>
        <w:t>2003.</w:t>
      </w:r>
    </w:p>
    <w:p>
      <w:pPr>
        <w:pStyle w:val="BodyText"/>
        <w:spacing w:before="6"/>
        <w:rPr>
          <w:sz w:val="17"/>
        </w:rPr>
      </w:pPr>
    </w:p>
    <w:p>
      <w:pPr>
        <w:pStyle w:val="ListParagraph"/>
        <w:numPr>
          <w:ilvl w:val="2"/>
          <w:numId w:val="28"/>
        </w:numPr>
        <w:tabs>
          <w:tab w:pos="463" w:val="left" w:leader="none"/>
        </w:tabs>
        <w:spacing w:line="364" w:lineRule="auto" w:before="0" w:after="0"/>
        <w:ind w:left="462" w:right="103" w:hanging="351"/>
        <w:jc w:val="both"/>
        <w:rPr>
          <w:sz w:val="23"/>
        </w:rPr>
      </w:pPr>
      <w:r>
        <w:rPr>
          <w:sz w:val="23"/>
        </w:rPr>
        <w:t>Canales, Alejandro I., </w:t>
      </w:r>
      <w:r>
        <w:rPr>
          <w:i/>
          <w:sz w:val="23"/>
        </w:rPr>
        <w:t>Remesas e Inversión Productiva en Comunidades de alta </w:t>
      </w:r>
      <w:r>
        <w:rPr>
          <w:i/>
          <w:sz w:val="23"/>
        </w:rPr>
        <w:t>migración, </w:t>
      </w:r>
      <w:r>
        <w:rPr>
          <w:sz w:val="23"/>
        </w:rPr>
        <w:t>Universidad de Guadalajara, Centro Universitario de Ciencias Económicas Administrativas, Departamento Estudios Regionales - INESER, México, mayo</w:t>
      </w:r>
      <w:r>
        <w:rPr>
          <w:spacing w:val="20"/>
          <w:sz w:val="23"/>
        </w:rPr>
        <w:t> </w:t>
      </w:r>
      <w:r>
        <w:rPr>
          <w:sz w:val="23"/>
        </w:rPr>
        <w:t>2003.</w:t>
      </w:r>
    </w:p>
    <w:p>
      <w:pPr>
        <w:spacing w:after="0" w:line="364" w:lineRule="auto"/>
        <w:jc w:val="both"/>
        <w:rPr>
          <w:sz w:val="23"/>
        </w:rPr>
        <w:sectPr>
          <w:pgSz w:w="11900" w:h="16840"/>
          <w:pgMar w:header="0" w:footer="1679" w:top="1600" w:bottom="1860" w:left="1640" w:right="1280"/>
        </w:sectPr>
      </w:pPr>
    </w:p>
    <w:p>
      <w:pPr>
        <w:pStyle w:val="BodyText"/>
        <w:rPr>
          <w:sz w:val="20"/>
        </w:rPr>
      </w:pPr>
    </w:p>
    <w:p>
      <w:pPr>
        <w:pStyle w:val="BodyText"/>
        <w:spacing w:before="6"/>
        <w:rPr>
          <w:sz w:val="18"/>
        </w:rPr>
      </w:pPr>
    </w:p>
    <w:p>
      <w:pPr>
        <w:pStyle w:val="ListParagraph"/>
        <w:numPr>
          <w:ilvl w:val="2"/>
          <w:numId w:val="28"/>
        </w:numPr>
        <w:tabs>
          <w:tab w:pos="463" w:val="left" w:leader="none"/>
        </w:tabs>
        <w:spacing w:line="364" w:lineRule="auto" w:before="74" w:after="0"/>
        <w:ind w:left="462" w:right="108" w:hanging="350"/>
        <w:jc w:val="both"/>
        <w:rPr>
          <w:sz w:val="23"/>
        </w:rPr>
      </w:pPr>
      <w:r>
        <w:rPr>
          <w:sz w:val="23"/>
        </w:rPr>
        <w:t>Consejo Nacional de Población, </w:t>
      </w:r>
      <w:r>
        <w:rPr>
          <w:i/>
          <w:sz w:val="23"/>
        </w:rPr>
        <w:t>Boletín de Migración Internacional 1</w:t>
      </w:r>
      <w:r>
        <w:rPr>
          <w:sz w:val="23"/>
        </w:rPr>
        <w:t>: </w:t>
      </w:r>
      <w:r>
        <w:rPr>
          <w:i/>
          <w:sz w:val="23"/>
        </w:rPr>
        <w:t>Nuevas </w:t>
      </w:r>
      <w:r>
        <w:rPr>
          <w:i/>
          <w:sz w:val="23"/>
        </w:rPr>
        <w:t>orientaciones del flujo migratorio laboral México-Estados Unidos</w:t>
      </w:r>
      <w:r>
        <w:rPr>
          <w:sz w:val="23"/>
        </w:rPr>
        <w:t>, México, mayo, 1997.</w:t>
      </w:r>
    </w:p>
    <w:p>
      <w:pPr>
        <w:pStyle w:val="BodyText"/>
        <w:spacing w:before="4"/>
        <w:rPr>
          <w:sz w:val="17"/>
        </w:rPr>
      </w:pPr>
    </w:p>
    <w:p>
      <w:pPr>
        <w:pStyle w:val="ListParagraph"/>
        <w:numPr>
          <w:ilvl w:val="2"/>
          <w:numId w:val="28"/>
        </w:numPr>
        <w:tabs>
          <w:tab w:pos="463" w:val="left" w:leader="none"/>
        </w:tabs>
        <w:spacing w:line="364" w:lineRule="auto" w:before="0" w:after="0"/>
        <w:ind w:left="462" w:right="103" w:hanging="350"/>
        <w:jc w:val="both"/>
        <w:rPr>
          <w:sz w:val="23"/>
        </w:rPr>
      </w:pPr>
      <w:r>
        <w:rPr>
          <w:sz w:val="23"/>
        </w:rPr>
        <w:t>Consejo Nacional de Población, </w:t>
      </w:r>
      <w:r>
        <w:rPr>
          <w:i/>
          <w:sz w:val="23"/>
        </w:rPr>
        <w:t>Boletín de Migración Internacional 2</w:t>
      </w:r>
      <w:r>
        <w:rPr>
          <w:sz w:val="23"/>
        </w:rPr>
        <w:t>: </w:t>
      </w:r>
      <w:r>
        <w:rPr>
          <w:i/>
          <w:sz w:val="23"/>
        </w:rPr>
        <w:t>Migración </w:t>
      </w:r>
      <w:r>
        <w:rPr>
          <w:i/>
          <w:sz w:val="23"/>
        </w:rPr>
        <w:t>indocumentada a los Estados Unidos; devoluciones realizadas por la patrulla</w:t>
      </w:r>
      <w:r>
        <w:rPr>
          <w:sz w:val="23"/>
        </w:rPr>
        <w:t>, México, julio-agosto,</w:t>
      </w:r>
      <w:r>
        <w:rPr>
          <w:spacing w:val="27"/>
          <w:sz w:val="23"/>
        </w:rPr>
        <w:t> </w:t>
      </w:r>
      <w:r>
        <w:rPr>
          <w:sz w:val="23"/>
        </w:rPr>
        <w:t>1997.</w:t>
      </w:r>
    </w:p>
    <w:p>
      <w:pPr>
        <w:pStyle w:val="BodyText"/>
        <w:spacing w:before="4"/>
        <w:rPr>
          <w:sz w:val="17"/>
        </w:rPr>
      </w:pPr>
    </w:p>
    <w:p>
      <w:pPr>
        <w:pStyle w:val="ListParagraph"/>
        <w:numPr>
          <w:ilvl w:val="2"/>
          <w:numId w:val="28"/>
        </w:numPr>
        <w:tabs>
          <w:tab w:pos="463" w:val="left" w:leader="none"/>
        </w:tabs>
        <w:spacing w:line="364" w:lineRule="auto" w:before="0" w:after="0"/>
        <w:ind w:left="462" w:right="105" w:hanging="351"/>
        <w:jc w:val="both"/>
        <w:rPr>
          <w:sz w:val="23"/>
        </w:rPr>
      </w:pPr>
      <w:r>
        <w:rPr>
          <w:sz w:val="23"/>
        </w:rPr>
        <w:t>Conapo, Secretaría del Trabajo y Previsión Social y El Colegio de la Frontera Norte, </w:t>
      </w:r>
      <w:r>
        <w:rPr>
          <w:i/>
          <w:sz w:val="23"/>
        </w:rPr>
        <w:t>Encuesta sobre Migración en la Frontera Norte de México, 1995</w:t>
      </w:r>
      <w:r>
        <w:rPr>
          <w:sz w:val="23"/>
        </w:rPr>
        <w:t>, Tijuana, México,</w:t>
      </w:r>
      <w:r>
        <w:rPr>
          <w:spacing w:val="13"/>
          <w:sz w:val="23"/>
        </w:rPr>
        <w:t> </w:t>
      </w:r>
      <w:r>
        <w:rPr>
          <w:sz w:val="23"/>
        </w:rPr>
        <w:t>1998.</w:t>
      </w:r>
    </w:p>
    <w:p>
      <w:pPr>
        <w:pStyle w:val="ListParagraph"/>
        <w:numPr>
          <w:ilvl w:val="2"/>
          <w:numId w:val="28"/>
        </w:numPr>
        <w:tabs>
          <w:tab w:pos="463" w:val="left" w:leader="none"/>
        </w:tabs>
        <w:spacing w:line="240" w:lineRule="auto" w:before="197" w:after="0"/>
        <w:ind w:left="462" w:right="0" w:hanging="350"/>
        <w:jc w:val="left"/>
        <w:rPr>
          <w:sz w:val="23"/>
        </w:rPr>
      </w:pPr>
      <w:r>
        <w:rPr>
          <w:sz w:val="23"/>
        </w:rPr>
        <w:t>Damodar N. Gujarati. </w:t>
      </w:r>
      <w:r>
        <w:rPr>
          <w:i/>
          <w:sz w:val="23"/>
        </w:rPr>
        <w:t>Econometría. McGaw Hill.</w:t>
      </w:r>
      <w:r>
        <w:rPr>
          <w:i/>
          <w:spacing w:val="59"/>
          <w:sz w:val="23"/>
        </w:rPr>
        <w:t> </w:t>
      </w:r>
      <w:r>
        <w:rPr>
          <w:sz w:val="23"/>
        </w:rPr>
        <w:t>2003.</w:t>
      </w:r>
    </w:p>
    <w:p>
      <w:pPr>
        <w:pStyle w:val="BodyText"/>
        <w:spacing w:before="11"/>
        <w:rPr>
          <w:sz w:val="28"/>
        </w:rPr>
      </w:pPr>
    </w:p>
    <w:p>
      <w:pPr>
        <w:pStyle w:val="ListParagraph"/>
        <w:numPr>
          <w:ilvl w:val="2"/>
          <w:numId w:val="28"/>
        </w:numPr>
        <w:tabs>
          <w:tab w:pos="463" w:val="left" w:leader="none"/>
        </w:tabs>
        <w:spacing w:line="364" w:lineRule="auto" w:before="0" w:after="0"/>
        <w:ind w:left="462" w:right="103" w:hanging="350"/>
        <w:jc w:val="both"/>
        <w:rPr>
          <w:sz w:val="23"/>
        </w:rPr>
      </w:pPr>
      <w:r>
        <w:rPr>
          <w:sz w:val="23"/>
        </w:rPr>
        <w:t>Donald F. Ferry, Steven R. Wilson. </w:t>
      </w:r>
      <w:r>
        <w:rPr>
          <w:i/>
          <w:sz w:val="23"/>
        </w:rPr>
        <w:t>Remesas de inmigrantes. 2005. moneda de </w:t>
      </w:r>
      <w:r>
        <w:rPr>
          <w:i/>
          <w:sz w:val="23"/>
        </w:rPr>
        <w:t>cambio económico y social</w:t>
      </w:r>
      <w:r>
        <w:rPr>
          <w:sz w:val="23"/>
        </w:rPr>
        <w:t>. Banco Interamericano de Desarrollo. The </w:t>
      </w:r>
      <w:r>
        <w:rPr>
          <w:spacing w:val="2"/>
          <w:sz w:val="23"/>
        </w:rPr>
        <w:t>Word </w:t>
      </w:r>
      <w:r>
        <w:rPr>
          <w:sz w:val="23"/>
        </w:rPr>
        <w:t>Express, Inc.</w:t>
      </w:r>
      <w:r>
        <w:rPr>
          <w:spacing w:val="19"/>
          <w:sz w:val="23"/>
        </w:rPr>
        <w:t> </w:t>
      </w:r>
      <w:r>
        <w:rPr>
          <w:sz w:val="23"/>
        </w:rPr>
        <w:t>2005.</w:t>
      </w:r>
    </w:p>
    <w:p>
      <w:pPr>
        <w:pStyle w:val="BodyText"/>
        <w:spacing w:before="4"/>
        <w:rPr>
          <w:sz w:val="17"/>
        </w:rPr>
      </w:pPr>
    </w:p>
    <w:p>
      <w:pPr>
        <w:pStyle w:val="ListParagraph"/>
        <w:numPr>
          <w:ilvl w:val="2"/>
          <w:numId w:val="28"/>
        </w:numPr>
        <w:tabs>
          <w:tab w:pos="463" w:val="left" w:leader="none"/>
        </w:tabs>
        <w:spacing w:line="364" w:lineRule="auto" w:before="0" w:after="0"/>
        <w:ind w:left="462" w:right="105" w:hanging="350"/>
        <w:jc w:val="both"/>
        <w:rPr>
          <w:sz w:val="23"/>
        </w:rPr>
      </w:pPr>
      <w:r>
        <w:rPr>
          <w:sz w:val="23"/>
        </w:rPr>
        <w:t>Douglas S. Massey. </w:t>
      </w:r>
      <w:r>
        <w:rPr>
          <w:i/>
          <w:sz w:val="23"/>
        </w:rPr>
        <w:t>Teoría sobre la migración internacional: una reseña y </w:t>
      </w:r>
      <w:r>
        <w:rPr>
          <w:i/>
          <w:sz w:val="23"/>
        </w:rPr>
        <w:t>evaluación. En: Migraciones y mercados de trabajo</w:t>
      </w:r>
      <w:r>
        <w:rPr>
          <w:sz w:val="23"/>
        </w:rPr>
        <w:t>. UAM, UNAM  y  Plaza  Valdés. México, D.F.</w:t>
      </w:r>
      <w:r>
        <w:rPr>
          <w:spacing w:val="26"/>
          <w:sz w:val="23"/>
        </w:rPr>
        <w:t> </w:t>
      </w:r>
      <w:r>
        <w:rPr>
          <w:sz w:val="23"/>
        </w:rPr>
        <w:t>2000.</w:t>
      </w:r>
    </w:p>
    <w:p>
      <w:pPr>
        <w:pStyle w:val="BodyText"/>
        <w:spacing w:before="10"/>
        <w:rPr>
          <w:sz w:val="25"/>
        </w:rPr>
      </w:pPr>
    </w:p>
    <w:p>
      <w:pPr>
        <w:pStyle w:val="ListParagraph"/>
        <w:numPr>
          <w:ilvl w:val="2"/>
          <w:numId w:val="28"/>
        </w:numPr>
        <w:tabs>
          <w:tab w:pos="463" w:val="left" w:leader="none"/>
        </w:tabs>
        <w:spacing w:line="364" w:lineRule="auto" w:before="0" w:after="0"/>
        <w:ind w:left="462" w:right="301" w:hanging="350"/>
        <w:jc w:val="both"/>
        <w:rPr>
          <w:sz w:val="23"/>
        </w:rPr>
      </w:pPr>
      <w:r>
        <w:rPr>
          <w:sz w:val="23"/>
        </w:rPr>
        <w:t>El-Sakka, Mohammed. </w:t>
      </w:r>
      <w:r>
        <w:rPr>
          <w:i/>
          <w:sz w:val="23"/>
        </w:rPr>
        <w:t>Una perspectiva de las remesas en Medio Oriente y el </w:t>
      </w:r>
      <w:r>
        <w:rPr>
          <w:i/>
          <w:sz w:val="23"/>
        </w:rPr>
        <w:t>norte de África</w:t>
      </w:r>
      <w:r>
        <w:rPr>
          <w:sz w:val="23"/>
        </w:rPr>
        <w:t>. Banco Interamericano de Desarrollo. The Word Express, Inc. 2005</w:t>
      </w:r>
    </w:p>
    <w:p>
      <w:pPr>
        <w:pStyle w:val="BodyText"/>
        <w:spacing w:before="4"/>
        <w:rPr>
          <w:sz w:val="17"/>
        </w:rPr>
      </w:pPr>
    </w:p>
    <w:p>
      <w:pPr>
        <w:pStyle w:val="ListParagraph"/>
        <w:numPr>
          <w:ilvl w:val="2"/>
          <w:numId w:val="28"/>
        </w:numPr>
        <w:tabs>
          <w:tab w:pos="463" w:val="left" w:leader="none"/>
        </w:tabs>
        <w:spacing w:line="364" w:lineRule="auto" w:before="0" w:after="0"/>
        <w:ind w:left="462" w:right="105" w:hanging="351"/>
        <w:jc w:val="both"/>
        <w:rPr>
          <w:i/>
          <w:sz w:val="23"/>
        </w:rPr>
      </w:pPr>
      <w:r>
        <w:rPr>
          <w:sz w:val="23"/>
        </w:rPr>
        <w:t>Hernández-Coss, Raúl. </w:t>
      </w:r>
      <w:r>
        <w:rPr>
          <w:i/>
          <w:sz w:val="23"/>
        </w:rPr>
        <w:t>Lecciones sobre el cambio de  sistemas  de </w:t>
      </w:r>
      <w:r>
        <w:rPr>
          <w:i/>
          <w:sz w:val="23"/>
        </w:rPr>
        <w:t>transferencias</w:t>
      </w:r>
      <w:r>
        <w:rPr>
          <w:i/>
          <w:spacing w:val="20"/>
          <w:sz w:val="23"/>
        </w:rPr>
        <w:t> </w:t>
      </w:r>
      <w:r>
        <w:rPr>
          <w:i/>
          <w:sz w:val="23"/>
        </w:rPr>
        <w:t>informales</w:t>
      </w:r>
      <w:r>
        <w:rPr>
          <w:i/>
          <w:spacing w:val="26"/>
          <w:sz w:val="23"/>
        </w:rPr>
        <w:t> </w:t>
      </w:r>
      <w:r>
        <w:rPr>
          <w:i/>
          <w:sz w:val="23"/>
        </w:rPr>
        <w:t>a</w:t>
      </w:r>
      <w:r>
        <w:rPr>
          <w:i/>
          <w:spacing w:val="22"/>
          <w:sz w:val="23"/>
        </w:rPr>
        <w:t> </w:t>
      </w:r>
      <w:r>
        <w:rPr>
          <w:i/>
          <w:sz w:val="23"/>
        </w:rPr>
        <w:t>formales</w:t>
      </w:r>
      <w:r>
        <w:rPr>
          <w:i/>
          <w:spacing w:val="26"/>
          <w:sz w:val="23"/>
        </w:rPr>
        <w:t> </w:t>
      </w:r>
      <w:r>
        <w:rPr>
          <w:i/>
          <w:sz w:val="23"/>
        </w:rPr>
        <w:t>en</w:t>
      </w:r>
      <w:r>
        <w:rPr>
          <w:i/>
          <w:spacing w:val="25"/>
          <w:sz w:val="23"/>
        </w:rPr>
        <w:t> </w:t>
      </w:r>
      <w:r>
        <w:rPr>
          <w:i/>
          <w:sz w:val="23"/>
        </w:rPr>
        <w:t>el</w:t>
      </w:r>
      <w:r>
        <w:rPr>
          <w:i/>
          <w:spacing w:val="26"/>
          <w:sz w:val="23"/>
        </w:rPr>
        <w:t> </w:t>
      </w:r>
      <w:r>
        <w:rPr>
          <w:i/>
          <w:sz w:val="23"/>
        </w:rPr>
        <w:t>corredor</w:t>
      </w:r>
      <w:r>
        <w:rPr>
          <w:i/>
          <w:spacing w:val="24"/>
          <w:sz w:val="23"/>
        </w:rPr>
        <w:t> </w:t>
      </w:r>
      <w:r>
        <w:rPr>
          <w:i/>
          <w:sz w:val="23"/>
        </w:rPr>
        <w:t>de</w:t>
      </w:r>
      <w:r>
        <w:rPr>
          <w:i/>
          <w:spacing w:val="25"/>
          <w:sz w:val="23"/>
        </w:rPr>
        <w:t> </w:t>
      </w:r>
      <w:r>
        <w:rPr>
          <w:i/>
          <w:sz w:val="23"/>
        </w:rPr>
        <w:t>remesas</w:t>
      </w:r>
      <w:r>
        <w:rPr>
          <w:i/>
          <w:spacing w:val="24"/>
          <w:sz w:val="23"/>
        </w:rPr>
        <w:t> </w:t>
      </w:r>
      <w:r>
        <w:rPr>
          <w:i/>
          <w:sz w:val="23"/>
        </w:rPr>
        <w:t>Estados</w:t>
      </w:r>
      <w:r>
        <w:rPr>
          <w:i/>
          <w:spacing w:val="20"/>
          <w:sz w:val="23"/>
        </w:rPr>
        <w:t> </w:t>
      </w:r>
      <w:r>
        <w:rPr>
          <w:i/>
          <w:sz w:val="23"/>
        </w:rPr>
        <w:t>Unidos</w:t>
      </w:r>
    </w:p>
    <w:p>
      <w:pPr>
        <w:pStyle w:val="BodyText"/>
        <w:spacing w:before="2"/>
        <w:ind w:left="462"/>
      </w:pPr>
      <w:r>
        <w:rPr>
          <w:i/>
        </w:rPr>
        <w:t>– México</w:t>
      </w:r>
      <w:r>
        <w:rPr/>
        <w:t>. Banco Mundial. Washington, D.C.</w:t>
      </w:r>
      <w:r>
        <w:rPr>
          <w:spacing w:val="56"/>
        </w:rPr>
        <w:t> </w:t>
      </w:r>
      <w:r>
        <w:rPr/>
        <w:t>2004.</w:t>
      </w:r>
    </w:p>
    <w:p>
      <w:pPr>
        <w:pStyle w:val="BodyText"/>
        <w:spacing w:before="11"/>
        <w:rPr>
          <w:sz w:val="28"/>
        </w:rPr>
      </w:pPr>
    </w:p>
    <w:p>
      <w:pPr>
        <w:pStyle w:val="ListParagraph"/>
        <w:numPr>
          <w:ilvl w:val="2"/>
          <w:numId w:val="28"/>
        </w:numPr>
        <w:tabs>
          <w:tab w:pos="463" w:val="left" w:leader="none"/>
        </w:tabs>
        <w:spacing w:line="367" w:lineRule="auto" w:before="0" w:after="0"/>
        <w:ind w:left="462" w:right="108" w:hanging="351"/>
        <w:jc w:val="both"/>
        <w:rPr>
          <w:sz w:val="23"/>
        </w:rPr>
      </w:pPr>
      <w:r>
        <w:rPr>
          <w:sz w:val="23"/>
        </w:rPr>
        <w:t>Intriligator Michael D. </w:t>
      </w:r>
      <w:r>
        <w:rPr>
          <w:i/>
          <w:sz w:val="23"/>
        </w:rPr>
        <w:t>Modelos Econométricos, Técnicas y aplicaciones</w:t>
      </w:r>
      <w:r>
        <w:rPr>
          <w:sz w:val="23"/>
        </w:rPr>
        <w:t>. Fondo   de Cultura Económica. México, D. F.</w:t>
      </w:r>
      <w:r>
        <w:rPr>
          <w:spacing w:val="49"/>
          <w:sz w:val="23"/>
        </w:rPr>
        <w:t> </w:t>
      </w:r>
      <w:r>
        <w:rPr>
          <w:sz w:val="23"/>
        </w:rPr>
        <w:t>1990.</w:t>
      </w:r>
    </w:p>
    <w:p>
      <w:pPr>
        <w:pStyle w:val="ListParagraph"/>
        <w:numPr>
          <w:ilvl w:val="2"/>
          <w:numId w:val="28"/>
        </w:numPr>
        <w:tabs>
          <w:tab w:pos="463" w:val="left" w:leader="none"/>
        </w:tabs>
        <w:spacing w:line="240" w:lineRule="auto" w:before="194" w:after="0"/>
        <w:ind w:left="462" w:right="0" w:hanging="350"/>
        <w:jc w:val="left"/>
        <w:rPr>
          <w:sz w:val="23"/>
        </w:rPr>
      </w:pPr>
      <w:r>
        <w:rPr>
          <w:sz w:val="23"/>
        </w:rPr>
        <w:t>Lianos, Theodore P. y Glytsos, Nicholas. </w:t>
      </w:r>
      <w:r>
        <w:rPr>
          <w:i/>
          <w:sz w:val="23"/>
        </w:rPr>
        <w:t>Las Remesas en Europa. </w:t>
      </w:r>
      <w:r>
        <w:rPr>
          <w:sz w:val="23"/>
        </w:rPr>
        <w:t>BID. </w:t>
      </w:r>
      <w:r>
        <w:rPr>
          <w:spacing w:val="25"/>
          <w:sz w:val="23"/>
        </w:rPr>
        <w:t> </w:t>
      </w:r>
      <w:r>
        <w:rPr>
          <w:sz w:val="23"/>
        </w:rPr>
        <w:t>2005.</w:t>
      </w:r>
    </w:p>
    <w:p>
      <w:pPr>
        <w:spacing w:after="0" w:line="240" w:lineRule="auto"/>
        <w:jc w:val="left"/>
        <w:rPr>
          <w:sz w:val="23"/>
        </w:rPr>
        <w:sectPr>
          <w:pgSz w:w="11900" w:h="16840"/>
          <w:pgMar w:header="0" w:footer="1679" w:top="1600" w:bottom="1860" w:left="1640" w:right="1280"/>
        </w:sectPr>
      </w:pPr>
    </w:p>
    <w:p>
      <w:pPr>
        <w:pStyle w:val="BodyText"/>
        <w:rPr>
          <w:sz w:val="20"/>
        </w:rPr>
      </w:pPr>
    </w:p>
    <w:p>
      <w:pPr>
        <w:pStyle w:val="BodyText"/>
        <w:spacing w:before="6"/>
        <w:rPr>
          <w:sz w:val="18"/>
        </w:rPr>
      </w:pPr>
    </w:p>
    <w:p>
      <w:pPr>
        <w:pStyle w:val="ListParagraph"/>
        <w:numPr>
          <w:ilvl w:val="2"/>
          <w:numId w:val="28"/>
        </w:numPr>
        <w:tabs>
          <w:tab w:pos="463" w:val="left" w:leader="none"/>
        </w:tabs>
        <w:spacing w:line="364" w:lineRule="auto" w:before="74" w:after="0"/>
        <w:ind w:left="462" w:right="105" w:hanging="350"/>
        <w:jc w:val="left"/>
        <w:rPr>
          <w:sz w:val="23"/>
        </w:rPr>
      </w:pPr>
      <w:r>
        <w:rPr>
          <w:sz w:val="23"/>
        </w:rPr>
        <w:t>Martin, P.L. The Unfinished Store: </w:t>
      </w:r>
      <w:r>
        <w:rPr>
          <w:i/>
          <w:sz w:val="23"/>
        </w:rPr>
        <w:t>Turkish Labour Migration to Western Europe. </w:t>
      </w:r>
      <w:r>
        <w:rPr>
          <w:i/>
          <w:sz w:val="23"/>
        </w:rPr>
        <w:t>Geneva: International Labour  Organization</w:t>
      </w:r>
      <w:r>
        <w:rPr>
          <w:sz w:val="23"/>
        </w:rPr>
        <w:t>.</w:t>
      </w:r>
      <w:r>
        <w:rPr>
          <w:spacing w:val="54"/>
          <w:sz w:val="23"/>
        </w:rPr>
        <w:t> </w:t>
      </w:r>
      <w:r>
        <w:rPr>
          <w:sz w:val="23"/>
        </w:rPr>
        <w:t>1995.</w:t>
      </w:r>
    </w:p>
    <w:p>
      <w:pPr>
        <w:pStyle w:val="BodyText"/>
        <w:spacing w:before="4"/>
        <w:rPr>
          <w:sz w:val="17"/>
        </w:rPr>
      </w:pPr>
    </w:p>
    <w:p>
      <w:pPr>
        <w:pStyle w:val="ListParagraph"/>
        <w:numPr>
          <w:ilvl w:val="2"/>
          <w:numId w:val="28"/>
        </w:numPr>
        <w:tabs>
          <w:tab w:pos="463" w:val="left" w:leader="none"/>
        </w:tabs>
        <w:spacing w:line="369" w:lineRule="auto" w:before="0" w:after="0"/>
        <w:ind w:left="462" w:right="105" w:hanging="350"/>
        <w:jc w:val="left"/>
        <w:rPr>
          <w:sz w:val="23"/>
        </w:rPr>
      </w:pPr>
      <w:r>
        <w:rPr>
          <w:sz w:val="23"/>
        </w:rPr>
        <w:t>Murono, Alexis Frances. </w:t>
      </w:r>
      <w:r>
        <w:rPr>
          <w:i/>
          <w:sz w:val="23"/>
        </w:rPr>
        <w:t>History of the Japanese Inmigrantes in Peru</w:t>
      </w:r>
      <w:r>
        <w:rPr>
          <w:sz w:val="23"/>
        </w:rPr>
        <w:t>.  En Peruvian Japanese Internment. Wake Forest University. </w:t>
      </w:r>
      <w:r>
        <w:rPr>
          <w:spacing w:val="3"/>
          <w:sz w:val="23"/>
        </w:rPr>
        <w:t> </w:t>
      </w:r>
      <w:r>
        <w:rPr>
          <w:sz w:val="23"/>
        </w:rPr>
        <w:t>2002.</w:t>
      </w:r>
    </w:p>
    <w:p>
      <w:pPr>
        <w:pStyle w:val="ListParagraph"/>
        <w:numPr>
          <w:ilvl w:val="2"/>
          <w:numId w:val="28"/>
        </w:numPr>
        <w:tabs>
          <w:tab w:pos="463" w:val="left" w:leader="none"/>
        </w:tabs>
        <w:spacing w:line="240" w:lineRule="auto" w:before="192" w:after="0"/>
        <w:ind w:left="462" w:right="0" w:hanging="350"/>
        <w:jc w:val="left"/>
        <w:rPr>
          <w:sz w:val="23"/>
        </w:rPr>
      </w:pPr>
      <w:r>
        <w:rPr>
          <w:sz w:val="23"/>
        </w:rPr>
        <w:t>Samuelson, Paul A., Nordhaus, William D. </w:t>
      </w:r>
      <w:r>
        <w:rPr>
          <w:i/>
          <w:sz w:val="23"/>
        </w:rPr>
        <w:t>Economía</w:t>
      </w:r>
      <w:r>
        <w:rPr>
          <w:sz w:val="23"/>
        </w:rPr>
        <w:t>. MacGrawHill. </w:t>
      </w:r>
      <w:r>
        <w:rPr>
          <w:spacing w:val="18"/>
          <w:sz w:val="23"/>
        </w:rPr>
        <w:t> </w:t>
      </w:r>
      <w:r>
        <w:rPr>
          <w:sz w:val="23"/>
        </w:rPr>
        <w:t>2002</w:t>
      </w:r>
    </w:p>
    <w:p>
      <w:pPr>
        <w:pStyle w:val="BodyText"/>
        <w:spacing w:before="8"/>
        <w:rPr>
          <w:sz w:val="28"/>
        </w:rPr>
      </w:pPr>
    </w:p>
    <w:p>
      <w:pPr>
        <w:pStyle w:val="ListParagraph"/>
        <w:numPr>
          <w:ilvl w:val="2"/>
          <w:numId w:val="28"/>
        </w:numPr>
        <w:tabs>
          <w:tab w:pos="463" w:val="left" w:leader="none"/>
        </w:tabs>
        <w:spacing w:line="364" w:lineRule="auto" w:before="0" w:after="0"/>
        <w:ind w:left="462" w:right="105" w:hanging="350"/>
        <w:jc w:val="left"/>
        <w:rPr>
          <w:sz w:val="23"/>
        </w:rPr>
      </w:pPr>
      <w:r>
        <w:rPr>
          <w:sz w:val="23"/>
        </w:rPr>
        <w:t>Sergio Bendixen y Erin St. Onge. </w:t>
      </w:r>
      <w:r>
        <w:rPr>
          <w:i/>
          <w:sz w:val="23"/>
        </w:rPr>
        <w:t>Remesas de Estados Unidos y Japón  a  </w:t>
      </w:r>
      <w:r>
        <w:rPr>
          <w:i/>
          <w:sz w:val="23"/>
        </w:rPr>
        <w:t>América Latina: análisis de encuestas</w:t>
      </w:r>
      <w:r>
        <w:rPr>
          <w:sz w:val="23"/>
        </w:rPr>
        <w:t>. BID.</w:t>
      </w:r>
      <w:r>
        <w:rPr>
          <w:spacing w:val="52"/>
          <w:sz w:val="23"/>
        </w:rPr>
        <w:t> </w:t>
      </w:r>
      <w:r>
        <w:rPr>
          <w:sz w:val="23"/>
        </w:rPr>
        <w:t>2005.</w:t>
      </w:r>
    </w:p>
    <w:p>
      <w:pPr>
        <w:pStyle w:val="BodyText"/>
        <w:spacing w:before="4"/>
        <w:rPr>
          <w:sz w:val="17"/>
        </w:rPr>
      </w:pPr>
    </w:p>
    <w:p>
      <w:pPr>
        <w:pStyle w:val="ListParagraph"/>
        <w:numPr>
          <w:ilvl w:val="2"/>
          <w:numId w:val="28"/>
        </w:numPr>
        <w:tabs>
          <w:tab w:pos="463" w:val="left" w:leader="none"/>
        </w:tabs>
        <w:spacing w:line="240" w:lineRule="auto" w:before="0" w:after="0"/>
        <w:ind w:left="462" w:right="0" w:hanging="350"/>
        <w:jc w:val="left"/>
        <w:rPr>
          <w:sz w:val="23"/>
        </w:rPr>
      </w:pPr>
      <w:r>
        <w:rPr>
          <w:sz w:val="23"/>
        </w:rPr>
        <w:t>Zeller, Manfred. </w:t>
      </w:r>
      <w:r>
        <w:rPr>
          <w:i/>
          <w:sz w:val="23"/>
        </w:rPr>
        <w:t>Models of Rural Finance Institutions</w:t>
      </w:r>
      <w:r>
        <w:rPr>
          <w:sz w:val="23"/>
        </w:rPr>
        <w:t>.</w:t>
      </w:r>
      <w:r>
        <w:rPr>
          <w:spacing w:val="62"/>
          <w:sz w:val="23"/>
        </w:rPr>
        <w:t> </w:t>
      </w:r>
      <w:r>
        <w:rPr>
          <w:sz w:val="23"/>
        </w:rPr>
        <w:t>2003.</w:t>
      </w:r>
    </w:p>
    <w:p>
      <w:pPr>
        <w:spacing w:after="0" w:line="240" w:lineRule="auto"/>
        <w:jc w:val="left"/>
        <w:rPr>
          <w:sz w:val="23"/>
        </w:rPr>
        <w:sectPr>
          <w:footerReference w:type="default" r:id="rId499"/>
          <w:pgSz w:w="11900" w:h="16840"/>
          <w:pgMar w:footer="1676" w:header="0" w:top="1600" w:bottom="1860" w:left="1640" w:right="1280"/>
          <w:pgNumType w:start="350"/>
        </w:sectPr>
      </w:pPr>
    </w:p>
    <w:p>
      <w:pPr>
        <w:pStyle w:val="BodyText"/>
        <w:rPr>
          <w:sz w:val="20"/>
        </w:rPr>
      </w:pPr>
    </w:p>
    <w:p>
      <w:pPr>
        <w:pStyle w:val="BodyText"/>
        <w:spacing w:before="6"/>
        <w:rPr>
          <w:sz w:val="19"/>
        </w:rPr>
      </w:pPr>
    </w:p>
    <w:p>
      <w:pPr>
        <w:pStyle w:val="Heading1"/>
        <w:numPr>
          <w:ilvl w:val="3"/>
          <w:numId w:val="28"/>
        </w:numPr>
        <w:tabs>
          <w:tab w:pos="1520" w:val="left" w:leader="none"/>
        </w:tabs>
        <w:spacing w:line="360" w:lineRule="auto" w:before="55" w:after="0"/>
        <w:ind w:left="1275" w:right="510" w:hanging="339"/>
        <w:jc w:val="left"/>
      </w:pPr>
      <w:r>
        <w:rPr/>
        <w:t>LAS REMESAS EN </w:t>
      </w:r>
      <w:r>
        <w:rPr>
          <w:spacing w:val="3"/>
        </w:rPr>
        <w:t>LA </w:t>
      </w:r>
      <w:r>
        <w:rPr/>
        <w:t>DISMINUCIÓN DE </w:t>
      </w:r>
      <w:r>
        <w:rPr>
          <w:spacing w:val="3"/>
        </w:rPr>
        <w:t>LA </w:t>
      </w:r>
      <w:r>
        <w:rPr/>
        <w:t>POBREZA EN TEOTIHUACÁN, ESTADO</w:t>
      </w:r>
      <w:r>
        <w:rPr>
          <w:spacing w:val="-5"/>
        </w:rPr>
        <w:t> </w:t>
      </w:r>
      <w:r>
        <w:rPr/>
        <w:t>DE</w:t>
      </w:r>
    </w:p>
    <w:p>
      <w:pPr>
        <w:spacing w:before="9"/>
        <w:ind w:left="951" w:right="537" w:firstLine="0"/>
        <w:jc w:val="center"/>
        <w:rPr>
          <w:b/>
          <w:sz w:val="35"/>
        </w:rPr>
      </w:pPr>
      <w:r>
        <w:rPr>
          <w:b/>
          <w:sz w:val="35"/>
        </w:rPr>
        <w:t>MÉXICO</w:t>
      </w:r>
    </w:p>
    <w:p>
      <w:pPr>
        <w:pStyle w:val="BodyText"/>
        <w:spacing w:before="10"/>
        <w:rPr>
          <w:b/>
          <w:sz w:val="34"/>
        </w:rPr>
      </w:pPr>
    </w:p>
    <w:p>
      <w:pPr>
        <w:pStyle w:val="Heading4"/>
        <w:ind w:left="251" w:right="537"/>
        <w:jc w:val="center"/>
      </w:pPr>
      <w:r>
        <w:rPr/>
        <w:t>Esther Figueroa Hernández</w:t>
      </w:r>
    </w:p>
    <w:p>
      <w:pPr>
        <w:spacing w:before="140"/>
        <w:ind w:left="251" w:right="537" w:firstLine="0"/>
        <w:jc w:val="center"/>
        <w:rPr>
          <w:sz w:val="19"/>
        </w:rPr>
      </w:pPr>
      <w:r>
        <w:rPr>
          <w:sz w:val="19"/>
        </w:rPr>
        <w:t>Universidad Autônoma del Estado de México.   </w:t>
      </w:r>
      <w:hyperlink r:id="rId17">
        <w:r>
          <w:rPr>
            <w:sz w:val="19"/>
          </w:rPr>
          <w:t>esfigue_3@yahoo.com.mx</w:t>
        </w:r>
      </w:hyperlink>
    </w:p>
    <w:p>
      <w:pPr>
        <w:pStyle w:val="BodyText"/>
        <w:spacing w:before="1"/>
        <w:rPr>
          <w:sz w:val="20"/>
        </w:rPr>
      </w:pPr>
    </w:p>
    <w:p>
      <w:pPr>
        <w:pStyle w:val="Heading4"/>
        <w:ind w:left="252" w:right="537"/>
        <w:jc w:val="center"/>
      </w:pPr>
      <w:r>
        <w:rPr/>
        <w:t>Gerónimo Barrios Puente</w:t>
      </w:r>
    </w:p>
    <w:p>
      <w:pPr>
        <w:spacing w:before="142"/>
        <w:ind w:left="251" w:right="537" w:firstLine="0"/>
        <w:jc w:val="center"/>
        <w:rPr>
          <w:sz w:val="19"/>
        </w:rPr>
      </w:pPr>
      <w:r>
        <w:rPr>
          <w:sz w:val="19"/>
        </w:rPr>
        <w:t>Universidad  Autônoma  Chapingo, </w:t>
      </w:r>
      <w:hyperlink r:id="rId139">
        <w:r>
          <w:rPr>
            <w:sz w:val="19"/>
          </w:rPr>
          <w:t>gbarrios@yahoo.com.mx</w:t>
        </w:r>
      </w:hyperlink>
    </w:p>
    <w:p>
      <w:pPr>
        <w:pStyle w:val="BodyText"/>
        <w:spacing w:before="10"/>
        <w:rPr>
          <w:sz w:val="19"/>
        </w:rPr>
      </w:pPr>
    </w:p>
    <w:p>
      <w:pPr>
        <w:pStyle w:val="Heading4"/>
        <w:ind w:left="247" w:right="537"/>
        <w:jc w:val="center"/>
      </w:pPr>
      <w:r>
        <w:rPr/>
        <w:t>Francisco Pérez Soto</w:t>
      </w:r>
    </w:p>
    <w:p>
      <w:pPr>
        <w:spacing w:before="142"/>
        <w:ind w:left="253" w:right="537" w:firstLine="0"/>
        <w:jc w:val="center"/>
        <w:rPr>
          <w:sz w:val="19"/>
        </w:rPr>
      </w:pPr>
      <w:r>
        <w:rPr>
          <w:sz w:val="19"/>
        </w:rPr>
        <w:t>Universidad  Autônoma  Chapingo, </w:t>
      </w:r>
      <w:hyperlink r:id="rId19">
        <w:r>
          <w:rPr>
            <w:sz w:val="19"/>
          </w:rPr>
          <w:t>perezsotof@hotmail.com</w:t>
        </w:r>
      </w:hyperlink>
    </w:p>
    <w:p>
      <w:pPr>
        <w:pStyle w:val="BodyText"/>
        <w:spacing w:before="10"/>
        <w:rPr>
          <w:sz w:val="19"/>
        </w:rPr>
      </w:pPr>
    </w:p>
    <w:p>
      <w:pPr>
        <w:pStyle w:val="Heading4"/>
        <w:ind w:left="253" w:right="537"/>
        <w:jc w:val="center"/>
      </w:pPr>
      <w:r>
        <w:rPr/>
        <w:t>Orsohe Ramírez Abarca</w:t>
      </w:r>
    </w:p>
    <w:p>
      <w:pPr>
        <w:spacing w:before="142"/>
        <w:ind w:left="255" w:right="537" w:firstLine="0"/>
        <w:jc w:val="center"/>
        <w:rPr>
          <w:sz w:val="19"/>
        </w:rPr>
      </w:pPr>
      <w:r>
        <w:rPr>
          <w:sz w:val="19"/>
        </w:rPr>
        <w:t>Universidad Autônoma Del Estado de México.   </w:t>
      </w:r>
      <w:hyperlink r:id="rId18">
        <w:r>
          <w:rPr>
            <w:sz w:val="19"/>
          </w:rPr>
          <w:t>orsohe@yahoo.com</w:t>
        </w:r>
      </w:hyperlink>
    </w:p>
    <w:p>
      <w:pPr>
        <w:pStyle w:val="BodyText"/>
        <w:spacing w:before="1"/>
        <w:rPr>
          <w:sz w:val="20"/>
        </w:rPr>
      </w:pPr>
    </w:p>
    <w:p>
      <w:pPr>
        <w:pStyle w:val="Heading4"/>
        <w:ind w:left="3003" w:right="102"/>
      </w:pPr>
      <w:r>
        <w:rPr/>
        <w:t>Luis Enrique Espinosa Torres</w:t>
      </w:r>
    </w:p>
    <w:p>
      <w:pPr>
        <w:pStyle w:val="BodyText"/>
        <w:spacing w:before="11"/>
        <w:rPr>
          <w:b/>
          <w:sz w:val="20"/>
        </w:rPr>
      </w:pPr>
    </w:p>
    <w:p>
      <w:pPr>
        <w:spacing w:before="0"/>
        <w:ind w:left="1349" w:right="102" w:firstLine="0"/>
        <w:jc w:val="left"/>
        <w:rPr>
          <w:sz w:val="19"/>
        </w:rPr>
      </w:pPr>
      <w:r>
        <w:rPr>
          <w:sz w:val="19"/>
        </w:rPr>
        <w:t>Universidad Autônoma del Estado de México.   </w:t>
      </w:r>
      <w:hyperlink r:id="rId500">
        <w:r>
          <w:rPr>
            <w:sz w:val="19"/>
          </w:rPr>
          <w:t>luiespinosatorres@yahoo.com</w:t>
        </w:r>
      </w:hyperlink>
    </w:p>
    <w:p>
      <w:pPr>
        <w:pStyle w:val="BodyText"/>
        <w:rPr>
          <w:sz w:val="18"/>
        </w:rPr>
      </w:pPr>
    </w:p>
    <w:p>
      <w:pPr>
        <w:pStyle w:val="BodyText"/>
        <w:rPr>
          <w:sz w:val="18"/>
        </w:rPr>
      </w:pPr>
    </w:p>
    <w:p>
      <w:pPr>
        <w:pStyle w:val="BodyText"/>
        <w:rPr>
          <w:sz w:val="18"/>
        </w:rPr>
      </w:pPr>
    </w:p>
    <w:p>
      <w:pPr>
        <w:pStyle w:val="BodyText"/>
        <w:spacing w:before="9"/>
        <w:rPr>
          <w:sz w:val="17"/>
        </w:rPr>
      </w:pPr>
    </w:p>
    <w:p>
      <w:pPr>
        <w:spacing w:before="0"/>
        <w:ind w:left="101" w:right="0" w:firstLine="0"/>
        <w:jc w:val="both"/>
        <w:rPr>
          <w:b/>
          <w:sz w:val="31"/>
        </w:rPr>
      </w:pPr>
      <w:r>
        <w:rPr>
          <w:b/>
          <w:sz w:val="31"/>
        </w:rPr>
        <w:t>I. INTRODUCCIÓN</w:t>
      </w:r>
    </w:p>
    <w:p>
      <w:pPr>
        <w:pStyle w:val="BodyText"/>
        <w:spacing w:before="10"/>
        <w:rPr>
          <w:b/>
          <w:sz w:val="32"/>
        </w:rPr>
      </w:pPr>
    </w:p>
    <w:p>
      <w:pPr>
        <w:pStyle w:val="BodyText"/>
        <w:spacing w:line="364" w:lineRule="auto"/>
        <w:ind w:left="101" w:right="383"/>
        <w:jc w:val="both"/>
      </w:pPr>
      <w:r>
        <w:rPr/>
        <w:t>La migración es considerada una alternativa de salida que ofrece a  aquellas  personas desempleadas nuevas oportunidades de financiamiento y la posibilidad de mejorar la calidad de vida de sus familias. Actualmente, la finalidad de los movimientos migratorios no se ha modificado, pues aún sigue siendo la pobreza, marginación, desempleo, los bajos salarios, los factores que han influido a la  población que se encuentra en situaciones de nivel de ingresos bajos y en condiciones de vida difíciles. Bajo estas circunstancias una salida a este problema    es la migración, siendo los Estados Unidos el principal captador de mano de obra, la cual recibe en el vecino país un salario más alto en relación al obtenido en su país    de origen, por ello se ven en la necesidad de buscar un empleo para  su  sostenimiento y contribución al gasto familiar; el cual lo consiguen emigrando, ya sea de forma legal o</w:t>
      </w:r>
      <w:r>
        <w:rPr>
          <w:spacing w:val="23"/>
        </w:rPr>
        <w:t> </w:t>
      </w:r>
      <w:r>
        <w:rPr/>
        <w:t>ilegal.</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386" w:firstLine="55"/>
        <w:jc w:val="both"/>
      </w:pPr>
      <w:r>
        <w:rPr/>
        <w:t>El fenómeno migratorio que se está dando en México es un reflejo de la estructura política-económica del país que no ha sido capaz de equilibrar la oferta laboral, por   lo que a consecuencia de ello han aumentado los índices de migración y esto se ve reflejado en el crecimiento de las remesas percibidas en </w:t>
      </w:r>
      <w:r>
        <w:rPr>
          <w:spacing w:val="9"/>
        </w:rPr>
        <w:t> </w:t>
      </w:r>
      <w:r>
        <w:rPr/>
        <w:t>México.</w:t>
      </w:r>
    </w:p>
    <w:p>
      <w:pPr>
        <w:pStyle w:val="BodyText"/>
        <w:rPr>
          <w:sz w:val="24"/>
        </w:rPr>
      </w:pPr>
    </w:p>
    <w:p>
      <w:pPr>
        <w:pStyle w:val="BodyText"/>
        <w:spacing w:line="364" w:lineRule="auto"/>
        <w:ind w:left="101" w:right="383"/>
        <w:jc w:val="both"/>
      </w:pPr>
      <w:r>
        <w:rPr/>
        <w:t>Actualmente, el panorama del desempleo no ha cambiado, ya que la población económicamente activa sufre un proceso lento de integración a la actividad económica, teniendo que desplazarse fuera del país en busca de oportunidades. Los salarios bajos en México son una característica peculiar de la asimetría entre México  y Estados Unidos, en lo que respecta a la proporción del PIB per cápita guarda una relación de 1:6. El ingreso percibido es uno de los principales factores que los motiva a</w:t>
      </w:r>
      <w:r>
        <w:rPr>
          <w:spacing w:val="9"/>
        </w:rPr>
        <w:t> </w:t>
      </w:r>
      <w:r>
        <w:rPr/>
        <w:t>emigrar.</w:t>
      </w:r>
    </w:p>
    <w:p>
      <w:pPr>
        <w:pStyle w:val="BodyText"/>
        <w:spacing w:before="2"/>
        <w:rPr>
          <w:sz w:val="24"/>
        </w:rPr>
      </w:pPr>
    </w:p>
    <w:p>
      <w:pPr>
        <w:pStyle w:val="BodyText"/>
        <w:spacing w:line="364" w:lineRule="auto"/>
        <w:ind w:left="101" w:right="383"/>
        <w:jc w:val="both"/>
      </w:pPr>
      <w:r>
        <w:rPr/>
        <w:t>En 2006, el mismo organismo calculó en unos 400 mil el número de individuos que, ante la falta de oportunidades de educación y empleo bien remunerado, decidieron viajar al exterior. La migración de mexicanos aumentó en 2007, periodo en que poco más de 559 mil personas salieron del país, la mayoría hacia Estados  Unidos,  aseguró el Consejo Nacional de Población (CONAPO). También señaló que durante 2007 la población creció en 106.3 millones de individuos, lo que significó que se tuvieran 2.02 millones de nacimientos. La tasa de crecimiento total del país durante   el año, se estimó en 0.89%, con una tasa global de fecundidad de 2.19 hijos por mujer, algo mayor al reemplazo generacional. Lo anterior implica, que cada pareja tiene un número de hijos superior al que los remplazará en la pirámide de </w:t>
      </w:r>
      <w:r>
        <w:rPr>
          <w:spacing w:val="34"/>
        </w:rPr>
        <w:t> </w:t>
      </w:r>
      <w:r>
        <w:rPr/>
        <w:t>población.</w:t>
      </w:r>
    </w:p>
    <w:p>
      <w:pPr>
        <w:pStyle w:val="BodyText"/>
        <w:spacing w:before="2"/>
        <w:rPr>
          <w:sz w:val="24"/>
        </w:rPr>
      </w:pPr>
    </w:p>
    <w:p>
      <w:pPr>
        <w:pStyle w:val="BodyText"/>
        <w:spacing w:line="364" w:lineRule="auto"/>
        <w:ind w:left="101" w:right="383"/>
        <w:jc w:val="both"/>
      </w:pPr>
      <w:r>
        <w:rPr/>
        <w:t>El modelo actual económico neoliberal ha tenido un crecimiento económico pobre, como resultado de su ineficacia ha provocado que los 60 millones de pobres mexicanos que ganan entre uno y dos salarios diarios, los cuales día a día reclaman mejores niveles de vida, el cual fue implementado desde el sexenio de Miguel de la Madrid Hurtado, ha traído como consecuencia 40 millones de mexicanos que viven  en pobreza extrema que no obtienen ni un salario para satisfacer sus necesidades mínimas de</w:t>
      </w:r>
      <w:r>
        <w:rPr>
          <w:spacing w:val="28"/>
        </w:rPr>
        <w:t> </w:t>
      </w:r>
      <w:r>
        <w:rPr/>
        <w:t>subsistencia.</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382"/>
        <w:jc w:val="both"/>
      </w:pPr>
      <w:r>
        <w:rPr/>
        <w:t>Para el caso de México es importante destacar que aproximadamente el 52% de los migrantes son de la región tradicional (Michoacán, Jalisco, Estado de México y Guanajuato), el 23% del norte, mientras que el 15% del centro, y el 10%  de  entidades del sur del país. Esto datos muestran como la migración se ha convertido en un problema social por la falta de oportunidades laborales de los millones que buscan un empleo digno y bien remunerado. En los últimos años, la participación de las mujeres migrantes en el ámbito laboral se ha incrementado en 50% aproximadamente, la mayor parte de estas mujeres se integran a actividades administrativas y el 23% se emplea en el área de ventas debido a que las mujeres tienen mayor nivel académico (INEGI,</w:t>
      </w:r>
      <w:r>
        <w:rPr>
          <w:spacing w:val="53"/>
        </w:rPr>
        <w:t> </w:t>
      </w:r>
      <w:r>
        <w:rPr/>
        <w:t>2006).</w:t>
      </w:r>
    </w:p>
    <w:p>
      <w:pPr>
        <w:pStyle w:val="BodyText"/>
        <w:spacing w:before="10"/>
        <w:rPr>
          <w:sz w:val="20"/>
        </w:rPr>
      </w:pPr>
    </w:p>
    <w:p>
      <w:pPr>
        <w:pStyle w:val="BodyText"/>
        <w:spacing w:line="364" w:lineRule="auto"/>
        <w:ind w:left="101" w:right="384"/>
        <w:jc w:val="both"/>
      </w:pPr>
      <w:r>
        <w:rPr/>
        <w:t>Con respecto a la oferta de trabajo, otras causas que promueven la migración son: la diferencia de salarios entre la economías de origen y de destino, la falta de opciones de trabajo en el país expulsor, los beneficios económicos de las remesas de los emigrantes en su país de origen y la existencia de redes de emigrantes de las zonas expulsoras en el extranjero.</w:t>
      </w:r>
    </w:p>
    <w:p>
      <w:pPr>
        <w:pStyle w:val="BodyText"/>
        <w:spacing w:before="9"/>
        <w:rPr>
          <w:sz w:val="24"/>
        </w:rPr>
      </w:pPr>
    </w:p>
    <w:p>
      <w:pPr>
        <w:pStyle w:val="BodyText"/>
        <w:spacing w:line="364" w:lineRule="auto" w:before="1"/>
        <w:ind w:left="101" w:right="386"/>
        <w:jc w:val="both"/>
      </w:pPr>
      <w:r>
        <w:rPr/>
        <w:t>Las remesas asumen en la actualidad una gran importancia para el funcionamiento  de la economía, generan estabilidad macroeconómica, social y política, así como un mayor nivel de bienestar en los hogares receptores. En muchos países de tradición migratoria internacional, el beneficio más directo y cuantificable de la migración </w:t>
      </w:r>
      <w:r>
        <w:rPr>
          <w:spacing w:val="2"/>
        </w:rPr>
        <w:t>lo </w:t>
      </w:r>
      <w:r>
        <w:rPr/>
        <w:t>constituyen las remesas, es decir, las transferencias de ingreso monetario y no monetario que los migrantes internacionales realizan desde los países de destino a sus países de</w:t>
      </w:r>
      <w:r>
        <w:rPr>
          <w:spacing w:val="22"/>
        </w:rPr>
        <w:t> </w:t>
      </w:r>
      <w:r>
        <w:rPr/>
        <w:t>origen.</w:t>
      </w:r>
    </w:p>
    <w:p>
      <w:pPr>
        <w:pStyle w:val="BodyText"/>
        <w:rPr>
          <w:sz w:val="22"/>
        </w:rPr>
      </w:pPr>
    </w:p>
    <w:p>
      <w:pPr>
        <w:pStyle w:val="BodyText"/>
        <w:spacing w:line="364" w:lineRule="auto" w:before="155"/>
        <w:ind w:left="101" w:right="383"/>
        <w:jc w:val="both"/>
      </w:pPr>
      <w:r>
        <w:rPr/>
        <w:t>Las remesas han crecido en los últimos años en forma paralela con la magnitud creciente de la migración internacional. Sus dimensiones absolutas y relativas están alcanzando niveles cada vez más significativos. El ingreso de remesas se ha convertido en la segunda fuente de divisas para el país  después  de  las exportaciones de petróleo crudo. Un segundo impacto de las remesas se genera en  el mercado interno. Las remesas tienen un fuerte impacto en el consumo, pues   según   estimaciones   del   Banco   de   México,   el   ingreso   de   las   remesas</w:t>
      </w:r>
      <w:r>
        <w:rPr>
          <w:spacing w:val="42"/>
        </w:rPr>
        <w:t> </w:t>
      </w:r>
      <w:r>
        <w:rPr/>
        <w:t>está</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383"/>
        <w:jc w:val="both"/>
      </w:pPr>
      <w:r>
        <w:rPr/>
        <w:t>beneficiando al 25% de los hogares con menores ingresos del país. Y de estos ingresos dichos hogares destinan, 8 de cada diez dólares al consumo familiar, esto es, para cubrir sus necesidades básicas (alimentación, renta y </w:t>
      </w:r>
      <w:r>
        <w:rPr>
          <w:spacing w:val="15"/>
        </w:rPr>
        <w:t> </w:t>
      </w:r>
      <w:r>
        <w:rPr/>
        <w:t>salud).</w:t>
      </w:r>
    </w:p>
    <w:p>
      <w:pPr>
        <w:pStyle w:val="BodyText"/>
        <w:rPr>
          <w:sz w:val="22"/>
        </w:rPr>
      </w:pPr>
    </w:p>
    <w:p>
      <w:pPr>
        <w:pStyle w:val="BodyText"/>
        <w:tabs>
          <w:tab w:pos="1788" w:val="left" w:leader="none"/>
          <w:tab w:pos="2578" w:val="left" w:leader="none"/>
          <w:tab w:pos="3538" w:val="left" w:leader="none"/>
          <w:tab w:pos="4196" w:val="left" w:leader="none"/>
          <w:tab w:pos="5338" w:val="left" w:leader="none"/>
          <w:tab w:pos="6623" w:val="left" w:leader="none"/>
          <w:tab w:pos="7709" w:val="left" w:leader="none"/>
          <w:tab w:pos="8295" w:val="left" w:leader="none"/>
        </w:tabs>
        <w:spacing w:line="364" w:lineRule="auto" w:before="155"/>
        <w:ind w:left="101" w:right="383"/>
      </w:pPr>
      <w:r>
        <w:rPr/>
        <w:t>Manuel Orozco, de la Organización Diálogo Interamericano, dijo que  en  general habrá reducciones en el envío de remesas para 2009 en parte por el creciente desempleo en Estados Unidos y el  ambiente antiinmigrante.  Indicó,  sin embargo, que en México la situación es particularmente diferente al resto de la región por el mayor acceso de los inmigrantes a los servicios bancarios que les proporciona herramientas</w:t>
        <w:tab/>
        <w:t>para</w:t>
        <w:tab/>
        <w:t>enviar</w:t>
        <w:tab/>
        <w:t>por</w:t>
        <w:tab/>
        <w:t>ejemplo</w:t>
        <w:tab/>
        <w:t>mediante</w:t>
        <w:tab/>
        <w:t>tarjetas</w:t>
        <w:tab/>
        <w:t>de</w:t>
        <w:tab/>
        <w:t>débito (</w:t>
      </w:r>
      <w:hyperlink r:id="rId501">
        <w:r>
          <w:rPr/>
          <w:t>http://www.informador.com.mx/economia/2008/53179/6/bm-descarta-caida-abrupta-</w:t>
        </w:r>
      </w:hyperlink>
      <w:r>
        <w:rPr/>
        <w:t> de-remesas-a-mexico.htm).</w:t>
      </w:r>
    </w:p>
    <w:p>
      <w:pPr>
        <w:pStyle w:val="BodyText"/>
        <w:rPr>
          <w:sz w:val="22"/>
        </w:rPr>
      </w:pPr>
    </w:p>
    <w:p>
      <w:pPr>
        <w:pStyle w:val="BodyText"/>
        <w:spacing w:line="364" w:lineRule="auto" w:before="155"/>
        <w:ind w:left="101" w:right="383"/>
        <w:jc w:val="both"/>
      </w:pPr>
      <w:r>
        <w:rPr/>
        <w:t>Los envíos ascendieron a 69 mil 200 millones de dólares en 2008, un aumento de apenas 0.9% respecto a 2007, pese a que cayeron 2% en el último trimestre del año pasado, indicó el Banco Interamericano de Desarrollo (BID). El presidente del BID, Luis Alberto Moreno, señaló que la institución estima que las remesas a América Latina caerán en 2009 por primera vez desde que el organismo hace un seguimiento de los envíos a la región. Aunque no existen estadísticas  actualizadas,  Moreno señaló que sólo en el mes de enero de 2009 las remesas cayeron entre 11 y  13%.</w:t>
      </w:r>
    </w:p>
    <w:p>
      <w:pPr>
        <w:pStyle w:val="BodyText"/>
        <w:spacing w:before="10"/>
        <w:rPr>
          <w:sz w:val="20"/>
        </w:rPr>
      </w:pPr>
    </w:p>
    <w:p>
      <w:pPr>
        <w:pStyle w:val="BodyText"/>
        <w:spacing w:line="364" w:lineRule="auto"/>
        <w:ind w:left="101" w:right="383"/>
        <w:jc w:val="both"/>
      </w:pPr>
      <w:r>
        <w:rPr/>
        <w:t>En este sentido, el objetivo del presente trabajo de investigación fue  analizar  la función que cumplen las remesas en la disminución de la pobreza de los  hogares  que las reciben en Teotihuacán, Estado de</w:t>
      </w:r>
      <w:r>
        <w:rPr>
          <w:spacing w:val="55"/>
        </w:rPr>
        <w:t> </w:t>
      </w:r>
      <w:r>
        <w:rPr/>
        <w:t>México.</w:t>
      </w:r>
    </w:p>
    <w:p>
      <w:pPr>
        <w:pStyle w:val="BodyText"/>
        <w:rPr>
          <w:sz w:val="22"/>
        </w:rPr>
      </w:pPr>
    </w:p>
    <w:p>
      <w:pPr>
        <w:pStyle w:val="BodyText"/>
        <w:rPr>
          <w:sz w:val="22"/>
        </w:rPr>
      </w:pPr>
    </w:p>
    <w:p>
      <w:pPr>
        <w:pStyle w:val="BodyText"/>
        <w:spacing w:before="5"/>
        <w:rPr>
          <w:sz w:val="21"/>
        </w:rPr>
      </w:pPr>
    </w:p>
    <w:p>
      <w:pPr>
        <w:pStyle w:val="Heading2"/>
        <w:numPr>
          <w:ilvl w:val="0"/>
          <w:numId w:val="30"/>
        </w:numPr>
        <w:tabs>
          <w:tab w:pos="534" w:val="left" w:leader="none"/>
        </w:tabs>
        <w:spacing w:line="240" w:lineRule="auto" w:before="1" w:after="0"/>
        <w:ind w:left="533" w:right="0" w:hanging="432"/>
        <w:jc w:val="both"/>
      </w:pPr>
      <w:r>
        <w:rPr/>
        <w:t>METODOLOGÍA</w:t>
      </w:r>
    </w:p>
    <w:p>
      <w:pPr>
        <w:pStyle w:val="BodyText"/>
        <w:spacing w:before="10"/>
        <w:rPr>
          <w:b/>
          <w:sz w:val="32"/>
        </w:rPr>
      </w:pPr>
    </w:p>
    <w:p>
      <w:pPr>
        <w:pStyle w:val="BodyText"/>
        <w:spacing w:line="364" w:lineRule="auto"/>
        <w:ind w:left="101" w:right="381"/>
        <w:jc w:val="both"/>
      </w:pPr>
      <w:r>
        <w:rPr/>
        <w:t>Para llevar a cabo la investigación; primero, se realizó una investigación documental de diferentes instituciones gubernamentales: Banco de México, Consejo Nacional de Población (CONAPO), Instituto de Nacional de Estadística Geografía e Informática (INEGI), Colegio de la Frontera Norte (COLEF),  Banco Mundial (BM), entre  otras.</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386"/>
        <w:jc w:val="both"/>
      </w:pPr>
      <w:r>
        <w:rPr/>
        <w:t>La información de campo se obtuvo con la aplicación de cuestionarios. Los instrumentos contenían 20 preguntas, y fueron aplicados en el mes de diciembre de 2006, ya que es la época en que llegan la mayoría de los migrantes al  municipio.</w:t>
      </w:r>
    </w:p>
    <w:p>
      <w:pPr>
        <w:pStyle w:val="BodyText"/>
        <w:rPr>
          <w:sz w:val="22"/>
        </w:rPr>
      </w:pPr>
    </w:p>
    <w:p>
      <w:pPr>
        <w:pStyle w:val="BodyText"/>
        <w:rPr>
          <w:sz w:val="22"/>
        </w:rPr>
      </w:pPr>
    </w:p>
    <w:p>
      <w:pPr>
        <w:pStyle w:val="BodyText"/>
        <w:spacing w:before="3"/>
        <w:rPr>
          <w:sz w:val="21"/>
        </w:rPr>
      </w:pPr>
    </w:p>
    <w:p>
      <w:pPr>
        <w:pStyle w:val="Heading2"/>
        <w:numPr>
          <w:ilvl w:val="1"/>
          <w:numId w:val="30"/>
        </w:numPr>
        <w:tabs>
          <w:tab w:pos="889" w:val="left" w:leader="none"/>
        </w:tabs>
        <w:spacing w:line="240" w:lineRule="auto" w:before="0" w:after="0"/>
        <w:ind w:left="888" w:right="0" w:hanging="436"/>
        <w:jc w:val="left"/>
      </w:pPr>
      <w:r>
        <w:rPr/>
        <w:t>ANÁLISIS Y DISCUSIÓN DE</w:t>
      </w:r>
      <w:r>
        <w:rPr>
          <w:spacing w:val="9"/>
        </w:rPr>
        <w:t> </w:t>
      </w:r>
      <w:r>
        <w:rPr/>
        <w:t>RESULTADOS</w:t>
      </w:r>
    </w:p>
    <w:p>
      <w:pPr>
        <w:pStyle w:val="BodyText"/>
        <w:spacing w:before="7"/>
        <w:rPr>
          <w:b/>
          <w:sz w:val="26"/>
        </w:rPr>
      </w:pPr>
    </w:p>
    <w:p>
      <w:pPr>
        <w:pStyle w:val="BodyText"/>
        <w:spacing w:line="364" w:lineRule="auto"/>
        <w:ind w:left="101" w:right="382"/>
        <w:jc w:val="both"/>
      </w:pPr>
      <w:r>
        <w:rPr/>
        <w:t>El emigrar se ha convertido en un factor de gran importancia para la economía de México, porque genera ingresos a millones de familias en forma de remesas. Los ingresos recibidos de la migración son una fuente de recursos tanto en áreas rurales como urbanas, impulsando principalmente el gasto corriente. Las remesas son la segunda fuente de divisas del país; en primer lugar están los ingresos por las exportaciones de petróleo y en tercero la Inversión Extranjera Directa.  Los  emigrantes mexicanos en Estados Unidos, que se dedicaban al sector de la agricultura, se pasaron a la construcción, porque empezó a levantarse el sector inmobiliario, haciendo que mucho más mexicanos se fueran a dicho país a trabajar   en este sector para mandar mayores ingresos a sus familias. Para 2008, la cantidad de remesas ha ido disminuyendo, ya que después de un monto de 3,487.05 millones de dólares entre enero y febrero de 2007, pasó a 3,390.74 millones para los mismos meses de 2008, de acuerdo con cifras del Banco de </w:t>
      </w:r>
      <w:r>
        <w:rPr>
          <w:spacing w:val="3"/>
        </w:rPr>
        <w:t> </w:t>
      </w:r>
      <w:r>
        <w:rPr/>
        <w:t>México.</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before="74"/>
        <w:ind w:left="103" w:right="102"/>
      </w:pPr>
      <w:r>
        <w:rPr/>
        <w:t>Los resultados   obtenidos de la investigación</w:t>
      </w:r>
      <w:r>
        <w:rPr>
          <w:spacing w:val="56"/>
        </w:rPr>
        <w:t> </w:t>
      </w:r>
      <w:r>
        <w:rPr/>
        <w:t>fueron:</w:t>
      </w:r>
    </w:p>
    <w:p>
      <w:pPr>
        <w:pStyle w:val="BodyText"/>
        <w:spacing w:before="8"/>
        <w:rPr>
          <w:sz w:val="25"/>
        </w:rPr>
      </w:pPr>
    </w:p>
    <w:p>
      <w:pPr>
        <w:pStyle w:val="Heading5"/>
        <w:spacing w:before="73"/>
        <w:ind w:left="103" w:right="102"/>
        <w:rPr>
          <w:i/>
        </w:rPr>
      </w:pPr>
      <w:r>
        <w:rPr>
          <w:i/>
        </w:rPr>
        <w:t>Características generales de los migrantes</w:t>
      </w:r>
    </w:p>
    <w:p>
      <w:pPr>
        <w:pStyle w:val="BodyText"/>
        <w:spacing w:before="10"/>
        <w:rPr>
          <w:b/>
          <w:i/>
          <w:sz w:val="15"/>
        </w:rPr>
      </w:pPr>
    </w:p>
    <w:p>
      <w:pPr>
        <w:spacing w:before="74"/>
        <w:ind w:left="2602" w:right="102" w:firstLine="0"/>
        <w:jc w:val="left"/>
        <w:rPr>
          <w:b/>
          <w:sz w:val="23"/>
        </w:rPr>
      </w:pPr>
      <w:r>
        <w:rPr/>
        <w:pict>
          <v:group style="position:absolute;margin-left:281.160004pt;margin-top:49.52618pt;width:88.8pt;height:86.3pt;mso-position-horizontal-relative:page;mso-position-vertical-relative:paragraph;z-index:-698632" coordorigin="5623,991" coordsize="1776,1726">
            <v:shape style="position:absolute;left:5623;top:991;width:1776;height:1726" type="#_x0000_t75" stroked="false">
              <v:imagedata r:id="rId502" o:title=""/>
            </v:shape>
            <v:shape style="position:absolute;left:6766;top:1620;width:482;height:194" type="#_x0000_t202" filled="false" stroked="false">
              <v:textbox inset="0,0,0,0">
                <w:txbxContent>
                  <w:p>
                    <w:pPr>
                      <w:spacing w:line="194" w:lineRule="exact" w:before="0"/>
                      <w:ind w:left="0" w:right="-11" w:firstLine="0"/>
                      <w:jc w:val="left"/>
                      <w:rPr>
                        <w:rFonts w:ascii="Calibri"/>
                        <w:sz w:val="19"/>
                      </w:rPr>
                    </w:pPr>
                    <w:r>
                      <w:rPr>
                        <w:rFonts w:ascii="Calibri"/>
                        <w:sz w:val="19"/>
                      </w:rPr>
                      <w:t>53.4%</w:t>
                    </w:r>
                  </w:p>
                </w:txbxContent>
              </v:textbox>
              <w10:wrap type="none"/>
            </v:shape>
            <w10:wrap type="none"/>
          </v:group>
        </w:pict>
      </w:r>
      <w:r>
        <w:rPr>
          <w:b/>
          <w:sz w:val="23"/>
        </w:rPr>
        <w:t>Figura 1. Migrantes por sexo, 2006</w:t>
      </w:r>
    </w:p>
    <w:p>
      <w:pPr>
        <w:pStyle w:val="BodyText"/>
        <w:spacing w:before="9"/>
        <w:rPr>
          <w:b/>
          <w:sz w:val="18"/>
        </w:rPr>
      </w:pPr>
      <w:r>
        <w:rPr/>
        <w:pict>
          <v:group style="position:absolute;margin-left:70.680pt;margin-top:12.797318pt;width:428.4pt;height:152.2pt;mso-position-horizontal-relative:page;mso-position-vertical-relative:paragraph;z-index:15352;mso-wrap-distance-left:0;mso-wrap-distance-right:0" coordorigin="1414,256" coordsize="8568,3044">
            <v:shape style="position:absolute;left:3727;top:830;width:463;height:1308" type="#_x0000_t75" stroked="false">
              <v:imagedata r:id="rId503" o:title=""/>
            </v:shape>
            <v:shape style="position:absolute;left:1414;top:256;width:2777;height:3044" coordorigin="1414,256" coordsize="2777,3044" path="m4190,256l1421,256,1416,258,1414,266,1414,3292,1416,3297,1421,3299,4190,3299,4190,3292,1428,3292,1421,3285,1428,3285,1428,273,1421,273,1428,266,4190,266,4190,256xm1428,3285l1421,3285,1428,3292,1428,3285xm4190,3285l1428,3285,1428,3292,4190,3292,4190,3285xm1428,266l1421,273,1428,273,1428,266xm4190,266l1428,266,1428,273,4190,273,4190,266xe" filled="true" fillcolor="#858585" stroked="false">
              <v:path arrowok="t"/>
              <v:fill type="solid"/>
            </v:shape>
            <v:shape style="position:absolute;left:4190;top:628;width:1061;height:1678" type="#_x0000_t75" stroked="false">
              <v:imagedata r:id="rId504" o:title=""/>
            </v:shape>
            <v:rect style="position:absolute;left:4682;top:2946;width:106;height:106" filled="true" fillcolor="#4471a6" stroked="false">
              <v:fill type="solid"/>
            </v:rect>
            <v:line style="position:absolute" from="4190,3292" to="8378,3292" stroked="true" strokeweight=".72pt" strokecolor="#858585"/>
            <v:line style="position:absolute" from="4190,264" to="8378,264" stroked="true" strokeweight=".84pt" strokecolor="#858585"/>
            <v:shape style="position:absolute;left:8378;top:256;width:1604;height:3044" coordorigin="8378,256" coordsize="1604,3044" path="m9967,3285l8378,3285,8378,3299,9974,3299,9979,3297,9982,3292,9967,3292,9967,3285xm9967,266l9967,3292,9974,3285,9982,3285,9982,273,9974,273,9967,266xm9982,3285l9974,3285,9967,3292,9982,3292,9982,3285xm9974,256l8378,256,8378,273,9967,273,9967,266,9982,266,9979,258,9974,256xm9982,266l9967,266,9974,273,9982,273,9982,266xe" filled="true" fillcolor="#858585" stroked="false">
              <v:path arrowok="t"/>
              <v:fill type="solid"/>
            </v:shape>
            <v:shape style="position:absolute;left:4051;top:977;width:482;height:194" type="#_x0000_t202" filled="false" stroked="false">
              <v:textbox inset="0,0,0,0">
                <w:txbxContent>
                  <w:p>
                    <w:pPr>
                      <w:spacing w:line="194" w:lineRule="exact" w:before="0"/>
                      <w:ind w:left="0" w:right="-11" w:firstLine="0"/>
                      <w:jc w:val="left"/>
                      <w:rPr>
                        <w:rFonts w:ascii="Calibri"/>
                        <w:sz w:val="19"/>
                      </w:rPr>
                    </w:pPr>
                    <w:r>
                      <w:rPr>
                        <w:rFonts w:ascii="Calibri"/>
                        <w:sz w:val="19"/>
                      </w:rPr>
                      <w:t>46.6%</w:t>
                    </w:r>
                  </w:p>
                </w:txbxContent>
              </v:textbox>
              <w10:wrap type="none"/>
            </v:shape>
            <v:shape style="position:absolute;left:4836;top:2909;width:813;height:194" type="#_x0000_t202" filled="false" stroked="false">
              <v:textbox inset="0,0,0,0">
                <w:txbxContent>
                  <w:p>
                    <w:pPr>
                      <w:spacing w:line="194" w:lineRule="exact" w:before="0"/>
                      <w:ind w:left="0" w:right="-3" w:firstLine="0"/>
                      <w:jc w:val="left"/>
                      <w:rPr>
                        <w:rFonts w:ascii="Calibri"/>
                        <w:sz w:val="19"/>
                      </w:rPr>
                    </w:pPr>
                    <w:r>
                      <w:rPr>
                        <w:rFonts w:ascii="Calibri"/>
                        <w:sz w:val="19"/>
                      </w:rPr>
                      <w:t>Masculino</w:t>
                    </w:r>
                  </w:p>
                </w:txbxContent>
              </v:textbox>
              <w10:wrap type="none"/>
            </v:shape>
            <v:shape style="position:absolute;left:6000;top:2909;width:787;height:194" type="#_x0000_t202" filled="false" stroked="false">
              <v:textbox inset="0,0,0,0">
                <w:txbxContent>
                  <w:p>
                    <w:pPr>
                      <w:spacing w:line="194" w:lineRule="exact" w:before="0"/>
                      <w:ind w:left="0" w:right="-5" w:firstLine="0"/>
                      <w:jc w:val="left"/>
                      <w:rPr>
                        <w:rFonts w:ascii="Calibri"/>
                        <w:sz w:val="19"/>
                      </w:rPr>
                    </w:pPr>
                    <w:r>
                      <w:rPr>
                        <w:rFonts w:ascii="Calibri"/>
                        <w:sz w:val="19"/>
                      </w:rPr>
                      <w:t>Femenino</w:t>
                    </w:r>
                  </w:p>
                </w:txbxContent>
              </v:textbox>
              <w10:wrap type="none"/>
            </v:shape>
            <w10:wrap type="topAndBottom"/>
          </v:group>
        </w:pict>
      </w:r>
    </w:p>
    <w:p>
      <w:pPr>
        <w:pStyle w:val="BodyText"/>
        <w:spacing w:before="6"/>
        <w:rPr>
          <w:b/>
          <w:sz w:val="12"/>
        </w:rPr>
      </w:pPr>
    </w:p>
    <w:p>
      <w:pPr>
        <w:spacing w:before="74"/>
        <w:ind w:left="103" w:right="102" w:firstLine="0"/>
        <w:jc w:val="left"/>
        <w:rPr>
          <w:sz w:val="23"/>
        </w:rPr>
      </w:pPr>
      <w:r>
        <w:rPr/>
        <w:pict>
          <v:rect style="position:absolute;margin-left:292.320007pt;margin-top:-26.313715pt;width:5.28pt;height:5.28pt;mso-position-horizontal-relative:page;mso-position-vertical-relative:paragraph;z-index:-698608" filled="true" fillcolor="#db833d" stroked="false">
            <v:fill type="solid"/>
            <w10:wrap type="none"/>
          </v:rect>
        </w:pict>
      </w:r>
      <w:r>
        <w:rPr>
          <w:sz w:val="21"/>
        </w:rPr>
        <w:t>Fuente: Elaboración propia en base a la información estadística de la encuesta,   2006</w:t>
      </w:r>
      <w:r>
        <w:rPr>
          <w:color w:val="FF0000"/>
          <w:sz w:val="23"/>
        </w:rPr>
        <w:t>.</w:t>
      </w:r>
    </w:p>
    <w:p>
      <w:pPr>
        <w:pStyle w:val="BodyText"/>
        <w:spacing w:before="7"/>
        <w:rPr>
          <w:sz w:val="15"/>
        </w:rPr>
      </w:pPr>
    </w:p>
    <w:p>
      <w:pPr>
        <w:pStyle w:val="BodyText"/>
        <w:spacing w:line="364" w:lineRule="auto" w:before="74"/>
        <w:ind w:left="103" w:right="383"/>
        <w:jc w:val="both"/>
      </w:pPr>
      <w:r>
        <w:rPr/>
        <w:t>Del total de los migrantes entrevistados, 53.4% son hombres y 46.6% son mujeres, por lo que se aprecia que en la actualidad, la mujer tiene casi la misma proporción    en cuanto a la migración en la región de estudio, lo cual el sexo femenino también está emigrando dada la falta de oportunidades de empleo en la región de estudio (en Teotihuacán Edo., de México) (Figura</w:t>
      </w:r>
      <w:r>
        <w:rPr>
          <w:spacing w:val="43"/>
        </w:rPr>
        <w:t> </w:t>
      </w:r>
      <w:r>
        <w:rPr/>
        <w:t>1).</w:t>
      </w:r>
    </w:p>
    <w:p>
      <w:pPr>
        <w:pStyle w:val="BodyText"/>
        <w:spacing w:before="3"/>
        <w:rPr>
          <w:sz w:val="14"/>
        </w:rPr>
      </w:pPr>
    </w:p>
    <w:p>
      <w:pPr>
        <w:spacing w:before="74"/>
        <w:ind w:left="2743" w:right="102" w:firstLine="0"/>
        <w:jc w:val="left"/>
        <w:rPr>
          <w:b/>
          <w:sz w:val="23"/>
        </w:rPr>
      </w:pPr>
      <w:r>
        <w:rPr/>
        <w:pict>
          <v:group style="position:absolute;margin-left:73.485001pt;margin-top:22.931372pt;width:445.75pt;height:172.75pt;mso-position-horizontal-relative:page;mso-position-vertical-relative:paragraph;z-index:15784" coordorigin="1470,459" coordsize="8915,3455">
            <v:shape style="position:absolute;left:12260;top:-47969;width:22660;height:28760" coordorigin="12260,-47969" coordsize="22660,28760" path="m1471,3911l4190,3911m1471,460l1471,3911e" filled="false" stroked="true" strokeweight=".12pt" strokecolor="#000000">
              <v:path arrowok="t"/>
            </v:shape>
            <v:rect style="position:absolute;left:2455;top:631;width:1735;height:2770" filled="true" fillcolor="#c0c0c0" stroked="false">
              <v:fill type="solid"/>
            </v:rect>
            <v:line style="position:absolute" from="2455,631" to="4190,631" stroked="true" strokeweight=".40548pt" strokecolor="#7f7f7f"/>
            <v:line style="position:absolute" from="4190,3400" to="2455,3400" stroked="true" strokeweight=".40548pt" strokecolor="#7f7f7f"/>
            <v:line style="position:absolute" from="2455,3400" to="2455,631" stroked="true" strokeweight=".691438pt" strokecolor="#7f7f7f"/>
            <v:rect style="position:absolute;left:3036;top:1475;width:787;height:1925" filled="true" fillcolor="#9999ff" stroked="false">
              <v:fill type="solid"/>
            </v:rect>
            <v:rect style="position:absolute;left:3036;top:1475;width:787;height:1925" filled="false" stroked="true" strokeweight=".650463pt" strokecolor="#000000"/>
            <v:rect style="position:absolute;left:3823;top:2051;width:367;height:1349" filled="true" fillcolor="#993265" stroked="false">
              <v:fill type="solid"/>
            </v:rect>
            <v:shape style="position:absolute;left:25272;top:48364;width:2428;height:15204" coordorigin="25272,48364" coordsize="2428,15204" path="m3823,2051l4190,2051m3823,3400l3823,2051e" filled="false" stroked="true" strokeweight=".548459pt" strokecolor="#000000">
              <v:path arrowok="t"/>
            </v:shape>
            <v:shape style="position:absolute;left:20000;top:-46549;width:460;height:23340" coordorigin="20000,-46549" coordsize="460,23340" path="m2455,631l2455,3400m2400,3400l2455,3400m2400,2937l2455,2937m2400,2474l2455,2474m2400,2020l2455,2020m2400,1557l2455,1557m2400,1094l2455,1094m2400,631l2455,631m2455,3431l2455,3400e" filled="false" stroked="true" strokeweight=".12pt" strokecolor="#000000">
              <v:path arrowok="t"/>
            </v:shape>
            <v:shape style="position:absolute;left:12260;top:-47969;width:22660;height:28760" coordorigin="12260,-47969" coordsize="22660,28760" path="m1471,3911l4190,3911m1471,460l1471,3911e" filled="false" stroked="true" strokeweight=".12pt" strokecolor="#000000">
              <v:path arrowok="t"/>
            </v:shape>
            <v:line style="position:absolute" from="4190,3911" to="8378,3911" stroked="true" strokeweight=".12pt" strokecolor="#000000"/>
            <v:rect style="position:absolute;left:4190;top:631;width:4188;height:2770" filled="true" fillcolor="#c0c0c0" stroked="false">
              <v:fill type="solid"/>
            </v:rect>
            <v:line style="position:absolute" from="4190,631" to="8378,631" stroked="true" strokeweight=".40548pt" strokecolor="#7f7f7f"/>
            <v:line style="position:absolute" from="8378,3400" to="4190,3400" stroked="true" strokeweight=".40548pt" strokecolor="#7f7f7f"/>
            <v:rect style="position:absolute;left:6550;top:763;width:775;height:2638" filled="true" fillcolor="#9999ff" stroked="false">
              <v:fill type="solid"/>
            </v:rect>
            <v:rect style="position:absolute;left:6550;top:763;width:775;height:2638" filled="false" stroked="true" strokeweight=".668701pt" strokecolor="#000000"/>
            <v:rect style="position:absolute;left:4190;top:2051;width:408;height:1349" filled="true" fillcolor="#993265" stroked="false">
              <v:fill type="solid"/>
            </v:rect>
            <v:shape style="position:absolute;left:4190;top:2051;width:408;height:1349" coordorigin="4190,2051" coordsize="408,1349" path="m4190,2051l4598,2051,4598,3400e" filled="false" stroked="true" strokeweight=".667467pt" strokecolor="#000000">
              <v:path arrowok="t"/>
            </v:shape>
            <v:rect style="position:absolute;left:7325;top:1639;width:790;height:1762" filled="true" fillcolor="#993265" stroked="false">
              <v:fill type="solid"/>
            </v:rect>
            <v:rect style="position:absolute;left:7325;top:1639;width:790;height:1762" filled="false" stroked="true" strokeweight=".643597pt" strokecolor="#000000"/>
            <v:rect style="position:absolute;left:4598;top:2051;width:790;height:1349" filled="true" fillcolor="#ffffcc" stroked="false">
              <v:fill type="solid"/>
            </v:rect>
            <v:rect style="position:absolute;left:4598;top:2051;width:790;height:1349" filled="false" stroked="true" strokeweight=".618451pt" strokecolor="#000000"/>
            <v:rect style="position:absolute;left:8114;top:3179;width:264;height:221" filled="true" fillcolor="#ffffcc" stroked="false">
              <v:fill type="solid"/>
            </v:rect>
            <v:shape style="position:absolute;left:53637;top:48364;width:1746;height:2489" coordorigin="53637,48364" coordsize="1746,2489" path="m8114,3179l8378,3179m8114,3400l8114,3179e" filled="false" stroked="true" strokeweight=".548459pt" strokecolor="#000000">
              <v:path arrowok="t"/>
            </v:shape>
            <v:line style="position:absolute" from="5969,3431" to="5969,3400" stroked="true" strokeweight=".12pt" strokecolor="#000000"/>
            <v:line style="position:absolute" from="4190,3911" to="8378,3911" stroked="true" strokeweight=".12pt" strokecolor="#000000"/>
            <v:shape style="position:absolute;left:8378;top:460;width:2004;height:3452" coordorigin="8378,460" coordsize="2004,3452" path="m8378,3911l10382,3911,10382,460e" filled="false" stroked="true" strokeweight=".12pt" strokecolor="#000000">
              <v:path arrowok="t"/>
            </v:shape>
            <v:rect style="position:absolute;left:8378;top:631;width:1090;height:2770" filled="true" fillcolor="#c0c0c0" stroked="false">
              <v:fill type="solid"/>
            </v:rect>
            <v:line style="position:absolute" from="8378,631" to="9468,631" stroked="true" strokeweight=".40548pt" strokecolor="#7f7f7f"/>
            <v:line style="position:absolute" from="9468,631" to="9468,3400" stroked="true" strokeweight=".691438pt" strokecolor="#7f7f7f"/>
            <v:line style="position:absolute" from="9468,3400" to="8378,3400" stroked="true" strokeweight=".40548pt" strokecolor="#7f7f7f"/>
            <v:rect style="position:absolute;left:8378;top:3179;width:509;height:221" filled="true" fillcolor="#ffffcc" stroked="false">
              <v:fill type="solid"/>
            </v:rect>
            <v:shape style="position:absolute;left:8378;top:3179;width:509;height:221" coordorigin="8378,3179" coordsize="509,221" path="m8378,3179l8887,3179,8887,3400e" filled="false" stroked="true" strokeweight=".450799pt" strokecolor="#000000">
              <v:path arrowok="t"/>
            </v:shape>
            <v:shape style="position:absolute;left:78900;top:-37069;width:7160;height:13860" coordorigin="78900,-37069" coordsize="7160,13860" path="m9468,3431l9468,3400m9622,2255l10327,2255,10327,1768,9622,1768,9622,2255xe" filled="false" stroked="true" strokeweight=".12pt" strokecolor="#000000">
              <v:path arrowok="t"/>
            </v:shape>
            <v:line style="position:absolute" from="9691,1853" to="9787,1853" stroked="true" strokeweight="2.76pt" strokecolor="#9999ff"/>
            <v:rect style="position:absolute;left:9691;top:1826;width:96;height:55" filled="false" stroked="true" strokeweight=".476527pt" strokecolor="#000000"/>
            <v:line style="position:absolute" from="9691,2015" to="9787,2015" stroked="true" strokeweight="2.88pt" strokecolor="#993265"/>
            <v:rect style="position:absolute;left:9691;top:1987;width:96;height:58" filled="false" stroked="true" strokeweight=".48116pt" strokecolor="#000000"/>
            <v:line style="position:absolute" from="9691,2177" to="9787,2177" stroked="true" strokeweight="2.76pt" strokecolor="#ffffcc"/>
            <v:rect style="position:absolute;left:9691;top:2150;width:96;height:55" filled="false" stroked="true" strokeweight=".476527pt" strokecolor="#000000"/>
            <v:shape style="position:absolute;left:8378;top:460;width:2004;height:3452" coordorigin="8378,460" coordsize="2004,3452" path="m8378,3911l10382,3911,10382,460e" filled="false" stroked="true" strokeweight=".12pt" strokecolor="#000000">
              <v:path arrowok="t"/>
            </v:shape>
            <v:shape style="position:absolute;left:2069;top:580;width:189;height:98" type="#_x0000_t202" filled="false" stroked="false">
              <v:textbox inset="0,0,0,0">
                <w:txbxContent>
                  <w:p>
                    <w:pPr>
                      <w:spacing w:line="97" w:lineRule="exact" w:before="0"/>
                      <w:ind w:left="0" w:right="-17" w:firstLine="0"/>
                      <w:jc w:val="left"/>
                      <w:rPr>
                        <w:sz w:val="9"/>
                      </w:rPr>
                    </w:pPr>
                    <w:r>
                      <w:rPr>
                        <w:w w:val="185"/>
                        <w:sz w:val="9"/>
                      </w:rPr>
                      <w:t>60</w:t>
                    </w:r>
                  </w:p>
                </w:txbxContent>
              </v:textbox>
              <w10:wrap type="none"/>
            </v:shape>
            <v:shape style="position:absolute;left:6842;top:604;width:189;height:98" type="#_x0000_t202" filled="false" stroked="false">
              <v:textbox inset="0,0,0,0">
                <w:txbxContent>
                  <w:p>
                    <w:pPr>
                      <w:spacing w:line="97" w:lineRule="exact" w:before="0"/>
                      <w:ind w:left="0" w:right="-17" w:firstLine="0"/>
                      <w:jc w:val="left"/>
                      <w:rPr>
                        <w:sz w:val="9"/>
                      </w:rPr>
                    </w:pPr>
                    <w:r>
                      <w:rPr>
                        <w:w w:val="185"/>
                        <w:sz w:val="9"/>
                      </w:rPr>
                      <w:t>57</w:t>
                    </w:r>
                  </w:p>
                </w:txbxContent>
              </v:textbox>
              <w10:wrap type="none"/>
            </v:shape>
            <v:shape style="position:absolute;left:2069;top:1044;width:189;height:98" type="#_x0000_t202" filled="false" stroked="false">
              <v:textbox inset="0,0,0,0">
                <w:txbxContent>
                  <w:p>
                    <w:pPr>
                      <w:spacing w:line="97" w:lineRule="exact" w:before="0"/>
                      <w:ind w:left="0" w:right="-17" w:firstLine="0"/>
                      <w:jc w:val="left"/>
                      <w:rPr>
                        <w:sz w:val="9"/>
                      </w:rPr>
                    </w:pPr>
                    <w:r>
                      <w:rPr>
                        <w:w w:val="185"/>
                        <w:sz w:val="9"/>
                      </w:rPr>
                      <w:t>50</w:t>
                    </w:r>
                  </w:p>
                </w:txbxContent>
              </v:textbox>
              <w10:wrap type="none"/>
            </v:shape>
            <v:shape style="position:absolute;left:3326;top:1320;width:191;height:98" type="#_x0000_t202" filled="false" stroked="false">
              <v:textbox inset="0,0,0,0">
                <w:txbxContent>
                  <w:p>
                    <w:pPr>
                      <w:spacing w:line="97" w:lineRule="exact" w:before="0"/>
                      <w:ind w:left="0" w:right="-10" w:firstLine="0"/>
                      <w:jc w:val="left"/>
                      <w:rPr>
                        <w:sz w:val="9"/>
                      </w:rPr>
                    </w:pPr>
                    <w:r>
                      <w:rPr>
                        <w:w w:val="180"/>
                        <w:sz w:val="9"/>
                      </w:rPr>
                      <w:t>42</w:t>
                    </w:r>
                  </w:p>
                </w:txbxContent>
              </v:textbox>
              <w10:wrap type="none"/>
            </v:shape>
            <v:shape style="position:absolute;left:2069;top:1504;width:189;height:98" type="#_x0000_t202" filled="false" stroked="false">
              <v:textbox inset="0,0,0,0">
                <w:txbxContent>
                  <w:p>
                    <w:pPr>
                      <w:spacing w:line="97" w:lineRule="exact" w:before="0"/>
                      <w:ind w:left="0" w:right="-17" w:firstLine="0"/>
                      <w:jc w:val="left"/>
                      <w:rPr>
                        <w:sz w:val="9"/>
                      </w:rPr>
                    </w:pPr>
                    <w:r>
                      <w:rPr>
                        <w:w w:val="185"/>
                        <w:sz w:val="9"/>
                      </w:rPr>
                      <w:t>40</w:t>
                    </w:r>
                  </w:p>
                </w:txbxContent>
              </v:textbox>
              <w10:wrap type="none"/>
            </v:shape>
            <v:shape style="position:absolute;left:7615;top:1480;width:191;height:98" type="#_x0000_t202" filled="false" stroked="false">
              <v:textbox inset="0,0,0,0">
                <w:txbxContent>
                  <w:p>
                    <w:pPr>
                      <w:spacing w:line="97" w:lineRule="exact" w:before="0"/>
                      <w:ind w:left="0" w:right="-10" w:firstLine="0"/>
                      <w:jc w:val="left"/>
                      <w:rPr>
                        <w:sz w:val="9"/>
                      </w:rPr>
                    </w:pPr>
                    <w:r>
                      <w:rPr>
                        <w:w w:val="180"/>
                        <w:sz w:val="9"/>
                      </w:rPr>
                      <w:t>38</w:t>
                    </w:r>
                  </w:p>
                </w:txbxContent>
              </v:textbox>
              <w10:wrap type="none"/>
            </v:shape>
            <v:shape style="position:absolute;left:4116;top:1896;width:189;height:98" type="#_x0000_t202" filled="false" stroked="false">
              <v:textbox inset="0,0,0,0">
                <w:txbxContent>
                  <w:p>
                    <w:pPr>
                      <w:spacing w:line="97" w:lineRule="exact" w:before="0"/>
                      <w:ind w:left="0" w:right="-17" w:firstLine="0"/>
                      <w:jc w:val="left"/>
                      <w:rPr>
                        <w:sz w:val="9"/>
                      </w:rPr>
                    </w:pPr>
                    <w:r>
                      <w:rPr>
                        <w:w w:val="185"/>
                        <w:sz w:val="9"/>
                      </w:rPr>
                      <w:t>29</w:t>
                    </w:r>
                  </w:p>
                </w:txbxContent>
              </v:textbox>
              <w10:wrap type="none"/>
            </v:shape>
            <v:shape style="position:absolute;left:4891;top:1896;width:189;height:98" type="#_x0000_t202" filled="false" stroked="false">
              <v:textbox inset="0,0,0,0">
                <w:txbxContent>
                  <w:p>
                    <w:pPr>
                      <w:spacing w:line="97" w:lineRule="exact" w:before="0"/>
                      <w:ind w:left="0" w:right="-17" w:firstLine="0"/>
                      <w:jc w:val="left"/>
                      <w:rPr>
                        <w:sz w:val="9"/>
                      </w:rPr>
                    </w:pPr>
                    <w:r>
                      <w:rPr>
                        <w:w w:val="185"/>
                        <w:sz w:val="9"/>
                      </w:rPr>
                      <w:t>29</w:t>
                    </w:r>
                  </w:p>
                </w:txbxContent>
              </v:textbox>
              <w10:wrap type="none"/>
            </v:shape>
            <v:shape style="position:absolute;left:2069;top:1968;width:189;height:98" type="#_x0000_t202" filled="false" stroked="false">
              <v:textbox inset="0,0,0,0">
                <w:txbxContent>
                  <w:p>
                    <w:pPr>
                      <w:spacing w:line="97" w:lineRule="exact" w:before="0"/>
                      <w:ind w:left="0" w:right="-17" w:firstLine="0"/>
                      <w:jc w:val="left"/>
                      <w:rPr>
                        <w:sz w:val="9"/>
                      </w:rPr>
                    </w:pPr>
                    <w:r>
                      <w:rPr>
                        <w:w w:val="185"/>
                        <w:sz w:val="9"/>
                      </w:rPr>
                      <w:t>30</w:t>
                    </w:r>
                  </w:p>
                </w:txbxContent>
              </v:textbox>
              <w10:wrap type="none"/>
            </v:shape>
            <v:shape style="position:absolute;left:9845;top:1807;width:438;height:422" type="#_x0000_t202" filled="false" stroked="false">
              <v:textbox inset="0,0,0,0">
                <w:txbxContent>
                  <w:p>
                    <w:pPr>
                      <w:spacing w:line="98" w:lineRule="exact" w:before="0"/>
                      <w:ind w:left="0" w:right="-8" w:firstLine="0"/>
                      <w:jc w:val="left"/>
                      <w:rPr>
                        <w:sz w:val="9"/>
                      </w:rPr>
                    </w:pPr>
                    <w:r>
                      <w:rPr>
                        <w:w w:val="185"/>
                        <w:sz w:val="9"/>
                      </w:rPr>
                      <w:t>20-30</w:t>
                    </w:r>
                  </w:p>
                  <w:p>
                    <w:pPr>
                      <w:spacing w:before="57"/>
                      <w:ind w:left="0" w:right="-8" w:firstLine="0"/>
                      <w:jc w:val="left"/>
                      <w:rPr>
                        <w:sz w:val="9"/>
                      </w:rPr>
                    </w:pPr>
                    <w:r>
                      <w:rPr>
                        <w:w w:val="185"/>
                        <w:sz w:val="9"/>
                      </w:rPr>
                      <w:t>31-39</w:t>
                    </w:r>
                  </w:p>
                  <w:p>
                    <w:pPr>
                      <w:spacing w:line="103" w:lineRule="exact" w:before="59"/>
                      <w:ind w:left="0" w:right="-8" w:firstLine="0"/>
                      <w:jc w:val="left"/>
                      <w:rPr>
                        <w:sz w:val="9"/>
                      </w:rPr>
                    </w:pPr>
                    <w:r>
                      <w:rPr>
                        <w:w w:val="185"/>
                        <w:sz w:val="9"/>
                      </w:rPr>
                      <w:t>40-49</w:t>
                    </w:r>
                  </w:p>
                </w:txbxContent>
              </v:textbox>
              <w10:wrap type="none"/>
            </v:shape>
            <v:shape style="position:absolute;left:2069;top:2424;width:189;height:98" type="#_x0000_t202" filled="false" stroked="false">
              <v:textbox inset="0,0,0,0">
                <w:txbxContent>
                  <w:p>
                    <w:pPr>
                      <w:spacing w:line="97" w:lineRule="exact" w:before="0"/>
                      <w:ind w:left="0" w:right="-17" w:firstLine="0"/>
                      <w:jc w:val="left"/>
                      <w:rPr>
                        <w:sz w:val="9"/>
                      </w:rPr>
                    </w:pPr>
                    <w:r>
                      <w:rPr>
                        <w:w w:val="185"/>
                        <w:sz w:val="9"/>
                      </w:rPr>
                      <w:t>20</w:t>
                    </w:r>
                  </w:p>
                </w:txbxContent>
              </v:textbox>
              <w10:wrap type="none"/>
            </v:shape>
            <v:shape style="position:absolute;left:2069;top:2884;width:189;height:98" type="#_x0000_t202" filled="false" stroked="false">
              <v:textbox inset="0,0,0,0">
                <w:txbxContent>
                  <w:p>
                    <w:pPr>
                      <w:spacing w:line="97" w:lineRule="exact" w:before="0"/>
                      <w:ind w:left="0" w:right="-17" w:firstLine="0"/>
                      <w:jc w:val="left"/>
                      <w:rPr>
                        <w:sz w:val="9"/>
                      </w:rPr>
                    </w:pPr>
                    <w:r>
                      <w:rPr>
                        <w:w w:val="185"/>
                        <w:sz w:val="9"/>
                      </w:rPr>
                      <w:t>10</w:t>
                    </w:r>
                  </w:p>
                </w:txbxContent>
              </v:textbox>
              <w10:wrap type="none"/>
            </v:shape>
            <v:shape style="position:absolute;left:8460;top:3024;width:93;height:98" type="#_x0000_t202" filled="false" stroked="false">
              <v:textbox inset="0,0,0,0">
                <w:txbxContent>
                  <w:p>
                    <w:pPr>
                      <w:spacing w:line="97" w:lineRule="exact" w:before="0"/>
                      <w:ind w:left="0" w:right="0" w:firstLine="0"/>
                      <w:jc w:val="left"/>
                      <w:rPr>
                        <w:sz w:val="9"/>
                      </w:rPr>
                    </w:pPr>
                    <w:r>
                      <w:rPr>
                        <w:w w:val="184"/>
                        <w:sz w:val="9"/>
                      </w:rPr>
                      <w:t>5</w:t>
                    </w:r>
                  </w:p>
                </w:txbxContent>
              </v:textbox>
              <w10:wrap type="none"/>
            </v:shape>
            <v:shape style="position:absolute;left:2014;top:3348;width:56;height:98" type="#_x0000_t202" filled="false" stroked="false">
              <v:textbox inset="0,0,0,0">
                <w:txbxContent>
                  <w:p>
                    <w:pPr>
                      <w:spacing w:line="97" w:lineRule="exact" w:before="0"/>
                      <w:ind w:left="0" w:right="0" w:firstLine="0"/>
                      <w:jc w:val="left"/>
                      <w:rPr>
                        <w:sz w:val="9"/>
                      </w:rPr>
                    </w:pPr>
                    <w:r>
                      <w:rPr>
                        <w:w w:val="184"/>
                        <w:sz w:val="9"/>
                      </w:rPr>
                      <w:t>-</w:t>
                    </w:r>
                  </w:p>
                </w:txbxContent>
              </v:textbox>
              <w10:wrap type="none"/>
            </v:shape>
            <v:shape style="position:absolute;left:3797;top:3501;width:831;height:98" type="#_x0000_t202" filled="false" stroked="false">
              <v:textbox inset="0,0,0,0">
                <w:txbxContent>
                  <w:p>
                    <w:pPr>
                      <w:spacing w:line="97" w:lineRule="exact" w:before="0"/>
                      <w:ind w:left="0" w:right="-17" w:firstLine="0"/>
                      <w:jc w:val="left"/>
                      <w:rPr>
                        <w:sz w:val="9"/>
                      </w:rPr>
                    </w:pPr>
                    <w:r>
                      <w:rPr>
                        <w:spacing w:val="-2"/>
                        <w:w w:val="185"/>
                        <w:sz w:val="9"/>
                      </w:rPr>
                      <w:t>HOMBRES</w:t>
                    </w:r>
                  </w:p>
                </w:txbxContent>
              </v:textbox>
              <w10:wrap type="none"/>
            </v:shape>
            <v:shape style="position:absolute;left:7325;top:3501;width:790;height:98" type="#_x0000_t202" filled="false" stroked="false">
              <v:textbox inset="0,0,0,0">
                <w:txbxContent>
                  <w:p>
                    <w:pPr>
                      <w:spacing w:line="97" w:lineRule="exact" w:before="0"/>
                      <w:ind w:left="0" w:right="-19" w:firstLine="0"/>
                      <w:jc w:val="left"/>
                      <w:rPr>
                        <w:sz w:val="9"/>
                      </w:rPr>
                    </w:pPr>
                    <w:r>
                      <w:rPr>
                        <w:spacing w:val="-1"/>
                        <w:w w:val="185"/>
                        <w:sz w:val="9"/>
                      </w:rPr>
                      <w:t>MUJERES</w:t>
                    </w:r>
                  </w:p>
                </w:txbxContent>
              </v:textbox>
              <w10:wrap type="none"/>
            </v:shape>
            <v:shape style="position:absolute;left:5762;top:3681;width:407;height:98" type="#_x0000_t202" filled="false" stroked="false">
              <v:textbox inset="0,0,0,0">
                <w:txbxContent>
                  <w:p>
                    <w:pPr>
                      <w:spacing w:line="97" w:lineRule="exact" w:before="0"/>
                      <w:ind w:left="0" w:right="-11" w:firstLine="0"/>
                      <w:jc w:val="left"/>
                      <w:rPr>
                        <w:b/>
                        <w:sz w:val="9"/>
                      </w:rPr>
                    </w:pPr>
                    <w:r>
                      <w:rPr>
                        <w:b/>
                        <w:w w:val="185"/>
                        <w:sz w:val="9"/>
                      </w:rPr>
                      <w:t>Sexo</w:t>
                    </w:r>
                  </w:p>
                </w:txbxContent>
              </v:textbox>
              <w10:wrap type="none"/>
            </v:shape>
            <w10:wrap type="none"/>
          </v:group>
        </w:pict>
      </w:r>
      <w:r>
        <w:rPr/>
        <w:pict>
          <v:shape style="position:absolute;margin-left:83.014252pt;margin-top:94.305801pt;width:6.9pt;height:9.4pt;mso-position-horizontal-relative:page;mso-position-vertical-relative:paragraph;z-index:15880" type="#_x0000_t202" filled="false" stroked="false">
            <v:textbox inset="0,0,0,0" style="layout-flow:vertical;mso-layout-flow-alt:bottom-to-top">
              <w:txbxContent>
                <w:p>
                  <w:pPr>
                    <w:spacing w:before="14"/>
                    <w:ind w:left="20" w:right="0" w:firstLine="0"/>
                    <w:jc w:val="left"/>
                    <w:rPr>
                      <w:b/>
                      <w:sz w:val="9"/>
                    </w:rPr>
                  </w:pPr>
                  <w:r>
                    <w:rPr>
                      <w:b/>
                      <w:w w:val="184"/>
                      <w:sz w:val="9"/>
                    </w:rPr>
                    <w:t>%</w:t>
                  </w:r>
                </w:p>
              </w:txbxContent>
            </v:textbox>
            <w10:wrap type="none"/>
          </v:shape>
        </w:pict>
      </w:r>
      <w:r>
        <w:rPr>
          <w:b/>
          <w:sz w:val="23"/>
        </w:rPr>
        <w:t>Figura 2. Edad de los migrantes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5"/>
        </w:rPr>
      </w:pPr>
    </w:p>
    <w:p>
      <w:pPr>
        <w:spacing w:before="74"/>
        <w:ind w:left="103" w:right="102" w:firstLine="0"/>
        <w:jc w:val="left"/>
        <w:rPr>
          <w:sz w:val="23"/>
        </w:rPr>
      </w:pPr>
      <w:r>
        <w:rPr>
          <w:sz w:val="21"/>
        </w:rPr>
        <w:t>Fuente: Elaboración propia en base a la información estadística de la encuesta,   2006</w:t>
      </w:r>
      <w:r>
        <w:rPr>
          <w:color w:val="FF0000"/>
          <w:sz w:val="23"/>
        </w:rPr>
        <w:t>.</w:t>
      </w:r>
    </w:p>
    <w:p>
      <w:pPr>
        <w:spacing w:after="0"/>
        <w:jc w:val="left"/>
        <w:rPr>
          <w:sz w:val="23"/>
        </w:rPr>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381"/>
        <w:jc w:val="both"/>
      </w:pPr>
      <w:r>
        <w:rPr/>
        <w:t>En cuanto a la edad, se puede observar (Figura 2), que tanto en hombres y mujeres migrantes predomina el rango de 20 a 30 años representando 41.7% para el sexo masculino y 57.1% para el femenino lo cual revela la mayor migración de mujeres en esta edad, el intervalo de 31-39 se tiene 29.2% hombres y 38.1%  mujeres;  en cambio, de </w:t>
      </w:r>
      <w:r>
        <w:rPr>
          <w:spacing w:val="-4"/>
        </w:rPr>
        <w:t>40–49 años</w:t>
      </w:r>
      <w:r>
        <w:rPr>
          <w:spacing w:val="55"/>
        </w:rPr>
        <w:t> </w:t>
      </w:r>
      <w:r>
        <w:rPr>
          <w:spacing w:val="-4"/>
        </w:rPr>
        <w:t>29.2% </w:t>
      </w:r>
      <w:r>
        <w:rPr>
          <w:spacing w:val="-3"/>
        </w:rPr>
        <w:t>son </w:t>
      </w:r>
      <w:r>
        <w:rPr>
          <w:spacing w:val="-4"/>
        </w:rPr>
        <w:t>hombres </w:t>
      </w:r>
      <w:r>
        <w:rPr/>
        <w:t>y </w:t>
      </w:r>
      <w:r>
        <w:rPr>
          <w:spacing w:val="-3"/>
        </w:rPr>
        <w:t>sólo </w:t>
      </w:r>
      <w:r>
        <w:rPr>
          <w:spacing w:val="-4"/>
        </w:rPr>
        <w:t>4.8%</w:t>
      </w:r>
      <w:r>
        <w:rPr>
          <w:spacing w:val="55"/>
        </w:rPr>
        <w:t> </w:t>
      </w:r>
      <w:r>
        <w:rPr>
          <w:spacing w:val="-4"/>
        </w:rPr>
        <w:t>mujeres. </w:t>
      </w:r>
      <w:r>
        <w:rPr>
          <w:spacing w:val="-3"/>
        </w:rPr>
        <w:t>En </w:t>
      </w:r>
      <w:r>
        <w:rPr>
          <w:spacing w:val="-4"/>
        </w:rPr>
        <w:t>este aspecto, definitivamente </w:t>
      </w:r>
      <w:r>
        <w:rPr/>
        <w:t>la </w:t>
      </w:r>
      <w:r>
        <w:rPr>
          <w:spacing w:val="-3"/>
        </w:rPr>
        <w:t>mujer de </w:t>
      </w:r>
      <w:r>
        <w:rPr>
          <w:spacing w:val="-4"/>
        </w:rPr>
        <w:t>entre </w:t>
      </w:r>
      <w:r>
        <w:rPr/>
        <w:t>20 y 39 </w:t>
      </w:r>
      <w:r>
        <w:rPr>
          <w:spacing w:val="-4"/>
        </w:rPr>
        <w:t>años </w:t>
      </w:r>
      <w:r>
        <w:rPr>
          <w:spacing w:val="-3"/>
        </w:rPr>
        <w:t>tiene una </w:t>
      </w:r>
      <w:r>
        <w:rPr>
          <w:spacing w:val="-4"/>
        </w:rPr>
        <w:t>mayor migración </w:t>
      </w:r>
      <w:r>
        <w:rPr>
          <w:spacing w:val="-3"/>
        </w:rPr>
        <w:t>que los </w:t>
      </w:r>
      <w:r>
        <w:rPr>
          <w:spacing w:val="-4"/>
        </w:rPr>
        <w:t>hombres, </w:t>
      </w:r>
      <w:r>
        <w:rPr/>
        <w:t>lo </w:t>
      </w:r>
      <w:r>
        <w:rPr>
          <w:spacing w:val="-3"/>
        </w:rPr>
        <w:t>cual es </w:t>
      </w:r>
      <w:r>
        <w:rPr/>
        <w:t>un </w:t>
      </w:r>
      <w:r>
        <w:rPr>
          <w:spacing w:val="-4"/>
        </w:rPr>
        <w:t>indicador </w:t>
      </w:r>
      <w:r>
        <w:rPr/>
        <w:t>de </w:t>
      </w:r>
      <w:r>
        <w:rPr>
          <w:spacing w:val="-3"/>
        </w:rPr>
        <w:t>que las </w:t>
      </w:r>
      <w:r>
        <w:rPr>
          <w:spacing w:val="-4"/>
        </w:rPr>
        <w:t>mujeres están dejando </w:t>
      </w:r>
      <w:r>
        <w:rPr>
          <w:spacing w:val="-3"/>
        </w:rPr>
        <w:t>los  </w:t>
      </w:r>
      <w:r>
        <w:rPr>
          <w:spacing w:val="-4"/>
        </w:rPr>
        <w:t>hogares  </w:t>
      </w:r>
      <w:r>
        <w:rPr/>
        <w:t>en </w:t>
      </w:r>
      <w:r>
        <w:rPr>
          <w:spacing w:val="-3"/>
        </w:rPr>
        <w:t>busca </w:t>
      </w:r>
      <w:r>
        <w:rPr/>
        <w:t>de </w:t>
      </w:r>
      <w:r>
        <w:rPr>
          <w:spacing w:val="-4"/>
        </w:rPr>
        <w:t>nuevas oportunidades.</w:t>
      </w:r>
    </w:p>
    <w:p>
      <w:pPr>
        <w:pStyle w:val="BodyText"/>
        <w:spacing w:before="7"/>
        <w:rPr>
          <w:sz w:val="20"/>
        </w:rPr>
      </w:pPr>
    </w:p>
    <w:p>
      <w:pPr>
        <w:pStyle w:val="Heading4"/>
        <w:spacing w:before="1"/>
        <w:ind w:left="1899" w:right="102"/>
      </w:pPr>
      <w:r>
        <w:rPr/>
        <w:pict>
          <v:group style="position:absolute;margin-left:73.125pt;margin-top:19.401230pt;width:435.65pt;height:199.75pt;mso-position-horizontal-relative:page;mso-position-vertical-relative:paragraph;z-index:16312" coordorigin="1463,388" coordsize="8713,3995">
            <v:rect style="position:absolute;left:1464;top:390;width:8710;height:3991" filled="false" stroked="true" strokeweight=".12pt" strokecolor="#000000"/>
            <v:rect style="position:absolute;left:2194;top:560;width:6718;height:3290" filled="true" fillcolor="#c0c0c0" stroked="false">
              <v:fill type="solid"/>
            </v:rect>
            <v:shape style="position:absolute;left:18280;top:-55085;width:55980;height:2" coordorigin="18280,-55085" coordsize="55980,0" path="m7610,3306l8911,3306m4999,3306l6118,3306m2194,3306l2750,3306e" filled="false" stroked="true" strokeweight=".12pt" strokecolor="#000000">
              <v:path arrowok="t"/>
            </v:shape>
            <v:shape style="position:absolute;left:18280;top:-59705;width:55980;height:2" coordorigin="18280,-59705" coordsize="55980,0" path="m7610,2751l8911,2751m4999,2751l6118,2751m2194,2751l2750,2751e" filled="false" stroked="true" strokeweight=".12pt" strokecolor="#000000">
              <v:path arrowok="t"/>
            </v:shape>
            <v:shape style="position:absolute;left:18280;top:-64265;width:55980;height:2" coordorigin="18280,-64265" coordsize="55980,0" path="m7610,2204l8911,2204m4246,2204l6118,2204m2194,2204l2750,2204e" filled="false" stroked="true" strokeweight=".12pt" strokecolor="#000000">
              <v:path arrowok="t"/>
            </v:shape>
            <v:shape style="position:absolute;left:18280;top:-68805;width:55980;height:2" coordorigin="18280,-68805" coordsize="55980,0" path="m7610,1659l8911,1659m3504,1659l6118,1659m2194,1659l2750,1659e" filled="false" stroked="true" strokeweight=".12pt" strokecolor="#000000">
              <v:path arrowok="t"/>
            </v:shape>
            <v:shape style="position:absolute;left:18280;top:-73425;width:55980;height:2" coordorigin="18280,-73425" coordsize="55980,0" path="m6857,1105l8911,1105m2194,1105l6118,1105e" filled="false" stroked="true" strokeweight=".12pt" strokecolor="#000000">
              <v:path arrowok="t"/>
            </v:shape>
            <v:line style="position:absolute" from="2194,560" to="8911,560" stroked="true" strokeweight=".12pt" strokecolor="#000000"/>
            <v:shape style="position:absolute;left:15266;top:88284;width:46752;height:34164" coordorigin="15266,88284" coordsize="46752,34164" path="m2194,560l8911,560m8911,560l8911,3850m8911,3850l2194,3850m2194,3850l2194,560e" filled="false" stroked="true" strokeweight=".507001pt" strokecolor="#7f7f7f">
              <v:path arrowok="t"/>
            </v:shape>
            <v:rect style="position:absolute;left:2750;top:1570;width:754;height:2280" filled="true" fillcolor="#9999ff" stroked="false">
              <v:fill type="solid"/>
            </v:rect>
            <v:rect style="position:absolute;left:2750;top:1570;width:754;height:2280" filled="false" stroked="true" strokeweight=".587369pt" strokecolor="#000000"/>
            <v:rect style="position:absolute;left:6118;top:975;width:739;height:2875" filled="true" fillcolor="#9999ff" stroked="false">
              <v:fill type="solid"/>
            </v:rect>
            <v:rect style="position:absolute;left:6118;top:975;width:739;height:2875" filled="false" stroked="true" strokeweight=".594672pt" strokecolor="#000000"/>
            <v:rect style="position:absolute;left:3504;top:1798;width:742;height:2052" filled="true" fillcolor="#993265" stroked="false">
              <v:fill type="solid"/>
            </v:rect>
            <v:rect style="position:absolute;left:3504;top:1798;width:742;height:2052" filled="false" stroked="true" strokeweight=".583959pt" strokecolor="#000000"/>
            <v:rect style="position:absolute;left:6857;top:1503;width:754;height:2347" filled="true" fillcolor="#993265" stroked="false">
              <v:fill type="solid"/>
            </v:rect>
            <v:rect style="position:absolute;left:6857;top:1503;width:754;height:2347" filled="false" stroked="true" strokeweight=".588376pt" strokecolor="#000000"/>
            <v:rect style="position:absolute;left:4246;top:2710;width:754;height:1140" filled="true" fillcolor="#ffffcc" stroked="false">
              <v:fill type="solid"/>
            </v:rect>
            <v:rect style="position:absolute;left:4246;top:2710;width:754;height:1140" filled="false" stroked="true" strokeweight=".546212pt" strokecolor="#000000"/>
            <v:rect style="position:absolute;left:7610;top:3589;width:742;height:262" filled="true" fillcolor="#ffffcc" stroked="false">
              <v:fill type="solid"/>
            </v:rect>
            <v:rect style="position:absolute;left:7610;top:3589;width:742;height:262" filled="false" stroked="true" strokeweight=".429071pt" strokecolor="#000000"/>
            <v:shape style="position:absolute;left:17860;top:-77965;width:66520;height:27700" coordorigin="17860,-77965" coordsize="66520,27700" path="m2194,560l2194,3850m2143,3850l2194,3850m2143,3306l2194,3306m2143,2751l2194,2751m2143,2204l2194,2204m2143,1659l2194,1659m2143,1105l2194,1105m2143,560l2194,560m2194,3850l8911,3850m2194,3884l2194,3850m5558,3884l5558,3850m8911,3884l8911,3850m9043,2458l10126,2458,10126,1945,9043,1945,9043,2458xe" filled="false" stroked="true" strokeweight=".12pt" strokecolor="#000000">
              <v:path arrowok="t"/>
            </v:shape>
            <v:line style="position:absolute" from="9106,2038" to="9190,2038" stroked="true" strokeweight="2.88pt" strokecolor="#9999ff"/>
            <v:rect style="position:absolute;left:9106;top:2010;width:84;height:58" filled="false" stroked="true" strokeweight=".470929pt" strokecolor="#000000"/>
            <v:line style="position:absolute" from="9106,2209" to="9190,2209" stroked="true" strokeweight="2.88pt" strokecolor="#993265"/>
            <v:rect style="position:absolute;left:9106;top:2180;width:84;height:58" filled="false" stroked="true" strokeweight=".470929pt" strokecolor="#000000"/>
            <v:line style="position:absolute" from="9106,2379" to="9190,2379" stroked="true" strokeweight="2.88pt" strokecolor="#ffffcc"/>
            <v:rect style="position:absolute;left:9106;top:2350;width:84;height:58" filled="false" stroked="true" strokeweight=".470929pt" strokecolor="#000000"/>
            <v:rect style="position:absolute;left:1464;top:390;width:8710;height:3991" filled="false" stroked="true" strokeweight=".12pt" strokecolor="#000000"/>
            <v:shape style="position:absolute;left:2983;top:1401;width:307;height:106" type="#_x0000_t202" filled="false" stroked="false">
              <v:textbox inset="0,0,0,0">
                <w:txbxContent>
                  <w:p>
                    <w:pPr>
                      <w:spacing w:line="106" w:lineRule="exact" w:before="0"/>
                      <w:ind w:left="0" w:right="-15" w:firstLine="0"/>
                      <w:jc w:val="left"/>
                      <w:rPr>
                        <w:sz w:val="10"/>
                      </w:rPr>
                    </w:pPr>
                    <w:r>
                      <w:rPr>
                        <w:w w:val="155"/>
                        <w:sz w:val="10"/>
                      </w:rPr>
                      <w:t>41.6</w:t>
                    </w:r>
                  </w:p>
                </w:txbxContent>
              </v:textbox>
              <w10:wrap type="none"/>
            </v:shape>
            <v:shape style="position:absolute;left:7090;top:1336;width:307;height:106" type="#_x0000_t202" filled="false" stroked="false">
              <v:textbox inset="0,0,0,0">
                <w:txbxContent>
                  <w:p>
                    <w:pPr>
                      <w:spacing w:line="106" w:lineRule="exact" w:before="0"/>
                      <w:ind w:left="0" w:right="-15" w:firstLine="0"/>
                      <w:jc w:val="left"/>
                      <w:rPr>
                        <w:sz w:val="10"/>
                      </w:rPr>
                    </w:pPr>
                    <w:r>
                      <w:rPr>
                        <w:w w:val="155"/>
                        <w:sz w:val="10"/>
                      </w:rPr>
                      <w:t>42.8</w:t>
                    </w:r>
                  </w:p>
                </w:txbxContent>
              </v:textbox>
              <w10:wrap type="none"/>
            </v:shape>
            <v:shape style="position:absolute;left:4478;top:2543;width:307;height:106" type="#_x0000_t202" filled="false" stroked="false">
              <v:textbox inset="0,0,0,0">
                <w:txbxContent>
                  <w:p>
                    <w:pPr>
                      <w:spacing w:line="106" w:lineRule="exact" w:before="0"/>
                      <w:ind w:left="0" w:right="-15" w:firstLine="0"/>
                      <w:jc w:val="left"/>
                      <w:rPr>
                        <w:sz w:val="10"/>
                      </w:rPr>
                    </w:pPr>
                    <w:r>
                      <w:rPr>
                        <w:w w:val="155"/>
                        <w:sz w:val="10"/>
                      </w:rPr>
                      <w:t>20.8</w:t>
                    </w:r>
                  </w:p>
                </w:txbxContent>
              </v:textbox>
              <w10:wrap type="none"/>
            </v:shape>
            <v:shape style="position:absolute;left:9043;top:1945;width:1131;height:514" type="#_x0000_t202" filled="false" stroked="false">
              <v:textbox inset="0,0,0,0">
                <w:txbxContent>
                  <w:p>
                    <w:pPr>
                      <w:spacing w:line="357" w:lineRule="auto" w:before="26"/>
                      <w:ind w:left="196" w:right="62" w:firstLine="0"/>
                      <w:jc w:val="left"/>
                      <w:rPr>
                        <w:sz w:val="10"/>
                      </w:rPr>
                    </w:pPr>
                    <w:r>
                      <w:rPr>
                        <w:w w:val="160"/>
                        <w:sz w:val="10"/>
                      </w:rPr>
                      <w:t>Primaria Secundaria </w:t>
                    </w:r>
                    <w:r>
                      <w:rPr>
                        <w:w w:val="155"/>
                        <w:sz w:val="10"/>
                      </w:rPr>
                      <w:t>Preparatoria</w:t>
                    </w:r>
                  </w:p>
                </w:txbxContent>
              </v:textbox>
              <w10:wrap type="none"/>
            </v:shape>
            <v:shape style="position:absolute;left:1903;top:505;width:172;height:106" type="#_x0000_t202" filled="false" stroked="false">
              <v:textbox inset="0,0,0,0">
                <w:txbxContent>
                  <w:p>
                    <w:pPr>
                      <w:spacing w:line="106" w:lineRule="exact" w:before="0"/>
                      <w:ind w:left="0" w:right="-17" w:firstLine="0"/>
                      <w:jc w:val="left"/>
                      <w:rPr>
                        <w:sz w:val="10"/>
                      </w:rPr>
                    </w:pPr>
                    <w:r>
                      <w:rPr>
                        <w:spacing w:val="-2"/>
                        <w:w w:val="155"/>
                        <w:sz w:val="10"/>
                      </w:rPr>
                      <w:t>60</w:t>
                    </w:r>
                  </w:p>
                </w:txbxContent>
              </v:textbox>
              <w10:wrap type="none"/>
            </v:shape>
            <v:shape style="position:absolute;left:6336;top:808;width:307;height:106" type="#_x0000_t202" filled="false" stroked="false">
              <v:textbox inset="0,0,0,0">
                <w:txbxContent>
                  <w:p>
                    <w:pPr>
                      <w:spacing w:line="106" w:lineRule="exact" w:before="0"/>
                      <w:ind w:left="0" w:right="-15" w:firstLine="0"/>
                      <w:jc w:val="left"/>
                      <w:rPr>
                        <w:sz w:val="10"/>
                      </w:rPr>
                    </w:pPr>
                    <w:r>
                      <w:rPr>
                        <w:w w:val="155"/>
                        <w:sz w:val="10"/>
                      </w:rPr>
                      <w:t>52.4</w:t>
                    </w:r>
                  </w:p>
                </w:txbxContent>
              </v:textbox>
              <w10:wrap type="none"/>
            </v:shape>
            <v:shape style="position:absolute;left:1903;top:1053;width:172;height:106" type="#_x0000_t202" filled="false" stroked="false">
              <v:textbox inset="0,0,0,0">
                <w:txbxContent>
                  <w:p>
                    <w:pPr>
                      <w:spacing w:line="106" w:lineRule="exact" w:before="0"/>
                      <w:ind w:left="0" w:right="-17" w:firstLine="0"/>
                      <w:jc w:val="left"/>
                      <w:rPr>
                        <w:sz w:val="10"/>
                      </w:rPr>
                    </w:pPr>
                    <w:r>
                      <w:rPr>
                        <w:spacing w:val="-2"/>
                        <w:w w:val="155"/>
                        <w:sz w:val="10"/>
                      </w:rPr>
                      <w:t>50</w:t>
                    </w:r>
                  </w:p>
                </w:txbxContent>
              </v:textbox>
              <w10:wrap type="none"/>
            </v:shape>
            <v:shape style="position:absolute;left:1903;top:1605;width:172;height:106" type="#_x0000_t202" filled="false" stroked="false">
              <v:textbox inset="0,0,0,0">
                <w:txbxContent>
                  <w:p>
                    <w:pPr>
                      <w:spacing w:line="106" w:lineRule="exact" w:before="0"/>
                      <w:ind w:left="0" w:right="-17" w:firstLine="0"/>
                      <w:jc w:val="left"/>
                      <w:rPr>
                        <w:sz w:val="10"/>
                      </w:rPr>
                    </w:pPr>
                    <w:r>
                      <w:rPr>
                        <w:spacing w:val="-2"/>
                        <w:w w:val="155"/>
                        <w:sz w:val="10"/>
                      </w:rPr>
                      <w:t>40</w:t>
                    </w:r>
                  </w:p>
                </w:txbxContent>
              </v:textbox>
              <w10:wrap type="none"/>
            </v:shape>
            <v:shape style="position:absolute;left:3725;top:1629;width:307;height:106" type="#_x0000_t202" filled="false" stroked="false">
              <v:textbox inset="0,0,0,0">
                <w:txbxContent>
                  <w:p>
                    <w:pPr>
                      <w:spacing w:line="106" w:lineRule="exact" w:before="0"/>
                      <w:ind w:left="0" w:right="-15" w:firstLine="0"/>
                      <w:jc w:val="left"/>
                      <w:rPr>
                        <w:sz w:val="10"/>
                      </w:rPr>
                    </w:pPr>
                    <w:r>
                      <w:rPr>
                        <w:w w:val="155"/>
                        <w:sz w:val="10"/>
                      </w:rPr>
                      <w:t>37.5</w:t>
                    </w:r>
                  </w:p>
                </w:txbxContent>
              </v:textbox>
              <w10:wrap type="none"/>
            </v:shape>
            <v:shape style="position:absolute;left:1903;top:2152;width:172;height:106" type="#_x0000_t202" filled="false" stroked="false">
              <v:textbox inset="0,0,0,0">
                <w:txbxContent>
                  <w:p>
                    <w:pPr>
                      <w:spacing w:line="106" w:lineRule="exact" w:before="0"/>
                      <w:ind w:left="0" w:right="-17" w:firstLine="0"/>
                      <w:jc w:val="left"/>
                      <w:rPr>
                        <w:sz w:val="10"/>
                      </w:rPr>
                    </w:pPr>
                    <w:r>
                      <w:rPr>
                        <w:spacing w:val="-2"/>
                        <w:w w:val="155"/>
                        <w:sz w:val="10"/>
                      </w:rPr>
                      <w:t>30</w:t>
                    </w:r>
                  </w:p>
                </w:txbxContent>
              </v:textbox>
              <w10:wrap type="none"/>
            </v:shape>
            <v:shape style="position:absolute;left:1903;top:2697;width:172;height:106" type="#_x0000_t202" filled="false" stroked="false">
              <v:textbox inset="0,0,0,0">
                <w:txbxContent>
                  <w:p>
                    <w:pPr>
                      <w:spacing w:line="106" w:lineRule="exact" w:before="0"/>
                      <w:ind w:left="0" w:right="-17" w:firstLine="0"/>
                      <w:jc w:val="left"/>
                      <w:rPr>
                        <w:sz w:val="10"/>
                      </w:rPr>
                    </w:pPr>
                    <w:r>
                      <w:rPr>
                        <w:spacing w:val="-2"/>
                        <w:w w:val="155"/>
                        <w:sz w:val="10"/>
                      </w:rPr>
                      <w:t>20</w:t>
                    </w:r>
                  </w:p>
                </w:txbxContent>
              </v:textbox>
              <w10:wrap type="none"/>
            </v:shape>
            <v:shape style="position:absolute;left:1903;top:3251;width:172;height:106" type="#_x0000_t202" filled="false" stroked="false">
              <v:textbox inset="0,0,0,0">
                <w:txbxContent>
                  <w:p>
                    <w:pPr>
                      <w:spacing w:line="106" w:lineRule="exact" w:before="0"/>
                      <w:ind w:left="0" w:right="-17" w:firstLine="0"/>
                      <w:jc w:val="left"/>
                      <w:rPr>
                        <w:sz w:val="10"/>
                      </w:rPr>
                    </w:pPr>
                    <w:r>
                      <w:rPr>
                        <w:spacing w:val="-2"/>
                        <w:w w:val="155"/>
                        <w:sz w:val="10"/>
                      </w:rPr>
                      <w:t>10</w:t>
                    </w:r>
                  </w:p>
                </w:txbxContent>
              </v:textbox>
              <w10:wrap type="none"/>
            </v:shape>
            <v:shape style="position:absolute;left:7867;top:3421;width:223;height:106" type="#_x0000_t202" filled="false" stroked="false">
              <v:textbox inset="0,0,0,0">
                <w:txbxContent>
                  <w:p>
                    <w:pPr>
                      <w:spacing w:line="106" w:lineRule="exact" w:before="0"/>
                      <w:ind w:left="0" w:right="-20" w:firstLine="0"/>
                      <w:jc w:val="left"/>
                      <w:rPr>
                        <w:sz w:val="10"/>
                      </w:rPr>
                    </w:pPr>
                    <w:r>
                      <w:rPr>
                        <w:w w:val="160"/>
                        <w:sz w:val="10"/>
                      </w:rPr>
                      <w:t>4.8</w:t>
                    </w:r>
                  </w:p>
                </w:txbxContent>
              </v:textbox>
              <w10:wrap type="none"/>
            </v:shape>
            <v:shape style="position:absolute;left:1987;top:3796;width:88;height:106" type="#_x0000_t202" filled="false" stroked="false">
              <v:textbox inset="0,0,0,0">
                <w:txbxContent>
                  <w:p>
                    <w:pPr>
                      <w:spacing w:line="106" w:lineRule="exact" w:before="0"/>
                      <w:ind w:left="0" w:right="0" w:firstLine="0"/>
                      <w:jc w:val="left"/>
                      <w:rPr>
                        <w:sz w:val="10"/>
                      </w:rPr>
                    </w:pPr>
                    <w:r>
                      <w:rPr>
                        <w:w w:val="157"/>
                        <w:sz w:val="10"/>
                      </w:rPr>
                      <w:t>0</w:t>
                    </w:r>
                  </w:p>
                </w:txbxContent>
              </v:textbox>
              <w10:wrap type="none"/>
            </v:shape>
            <v:shape style="position:absolute;left:3470;top:3952;width:797;height:106" type="#_x0000_t202" filled="false" stroked="false">
              <v:textbox inset="0,0,0,0">
                <w:txbxContent>
                  <w:p>
                    <w:pPr>
                      <w:spacing w:line="106" w:lineRule="exact" w:before="0"/>
                      <w:ind w:left="0" w:right="-7" w:firstLine="0"/>
                      <w:jc w:val="left"/>
                      <w:rPr>
                        <w:sz w:val="10"/>
                      </w:rPr>
                    </w:pPr>
                    <w:r>
                      <w:rPr>
                        <w:w w:val="155"/>
                        <w:sz w:val="10"/>
                      </w:rPr>
                      <w:t>HOMBRES</w:t>
                    </w:r>
                  </w:p>
                </w:txbxContent>
              </v:textbox>
              <w10:wrap type="none"/>
            </v:shape>
            <v:shape style="position:absolute;left:6859;top:3952;width:749;height:106" type="#_x0000_t202" filled="false" stroked="false">
              <v:textbox inset="0,0,0,0">
                <w:txbxContent>
                  <w:p>
                    <w:pPr>
                      <w:spacing w:line="106" w:lineRule="exact" w:before="0"/>
                      <w:ind w:left="0" w:right="-12" w:firstLine="0"/>
                      <w:jc w:val="left"/>
                      <w:rPr>
                        <w:sz w:val="10"/>
                      </w:rPr>
                    </w:pPr>
                    <w:r>
                      <w:rPr>
                        <w:w w:val="155"/>
                        <w:sz w:val="10"/>
                      </w:rPr>
                      <w:t>MUJERES</w:t>
                    </w:r>
                  </w:p>
                </w:txbxContent>
              </v:textbox>
              <w10:wrap type="none"/>
            </v:shape>
            <v:shape style="position:absolute;left:5352;top:4139;width:402;height:106" type="#_x0000_t202" filled="false" stroked="false">
              <v:textbox inset="0,0,0,0">
                <w:txbxContent>
                  <w:p>
                    <w:pPr>
                      <w:spacing w:line="106" w:lineRule="exact" w:before="0"/>
                      <w:ind w:left="0" w:right="0" w:firstLine="0"/>
                      <w:jc w:val="left"/>
                      <w:rPr>
                        <w:b/>
                        <w:sz w:val="10"/>
                      </w:rPr>
                    </w:pPr>
                    <w:r>
                      <w:rPr>
                        <w:b/>
                        <w:w w:val="155"/>
                        <w:sz w:val="10"/>
                      </w:rPr>
                      <w:t>Sexo</w:t>
                    </w:r>
                  </w:p>
                </w:txbxContent>
              </v:textbox>
              <w10:wrap type="none"/>
            </v:shape>
            <w10:wrap type="none"/>
          </v:group>
        </w:pict>
      </w:r>
      <w:r>
        <w:rPr/>
        <w:pict>
          <v:shape style="position:absolute;margin-left:81.349739pt;margin-top:104.335869pt;width:7.3pt;height:9.050pt;mso-position-horizontal-relative:page;mso-position-vertical-relative:paragraph;z-index:16336" type="#_x0000_t202" filled="false" stroked="false">
            <v:textbox inset="0,0,0,0" style="layout-flow:vertical;mso-layout-flow-alt:bottom-to-top">
              <w:txbxContent>
                <w:p>
                  <w:pPr>
                    <w:spacing w:before="12"/>
                    <w:ind w:left="20" w:right="0" w:firstLine="0"/>
                    <w:jc w:val="left"/>
                    <w:rPr>
                      <w:b/>
                      <w:sz w:val="10"/>
                    </w:rPr>
                  </w:pPr>
                  <w:r>
                    <w:rPr>
                      <w:b/>
                      <w:w w:val="157"/>
                      <w:sz w:val="10"/>
                    </w:rPr>
                    <w:t>%</w:t>
                  </w:r>
                </w:p>
              </w:txbxContent>
            </v:textbox>
            <w10:wrap type="none"/>
          </v:shape>
        </w:pict>
      </w:r>
      <w:r>
        <w:rPr/>
        <w:t>Figura 3. Nivel de escolaridad de los</w:t>
      </w:r>
      <w:r>
        <w:rPr>
          <w:spacing w:val="57"/>
        </w:rPr>
        <w:t> </w:t>
      </w:r>
      <w:r>
        <w:rPr/>
        <w:t>migrantes</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spacing w:before="174"/>
        <w:ind w:left="101" w:right="0" w:firstLine="0"/>
        <w:jc w:val="both"/>
        <w:rPr>
          <w:sz w:val="21"/>
        </w:rPr>
      </w:pPr>
      <w:r>
        <w:rPr>
          <w:sz w:val="21"/>
        </w:rPr>
        <w:t>Fuente: Elaboración propia en base a la información estadística de la encuesta,   2006</w:t>
      </w:r>
      <w:r>
        <w:rPr>
          <w:color w:val="FF0000"/>
          <w:sz w:val="21"/>
        </w:rPr>
        <w:t>.</w:t>
      </w:r>
    </w:p>
    <w:p>
      <w:pPr>
        <w:pStyle w:val="BodyText"/>
        <w:rPr>
          <w:sz w:val="20"/>
        </w:rPr>
      </w:pPr>
    </w:p>
    <w:p>
      <w:pPr>
        <w:pStyle w:val="BodyText"/>
        <w:rPr>
          <w:sz w:val="20"/>
        </w:rPr>
      </w:pPr>
    </w:p>
    <w:p>
      <w:pPr>
        <w:pStyle w:val="BodyText"/>
        <w:rPr>
          <w:sz w:val="20"/>
        </w:rPr>
      </w:pPr>
    </w:p>
    <w:p>
      <w:pPr>
        <w:pStyle w:val="BodyText"/>
        <w:spacing w:line="364" w:lineRule="auto" w:before="158"/>
        <w:ind w:left="101" w:right="383"/>
        <w:jc w:val="both"/>
      </w:pPr>
      <w:r>
        <w:rPr/>
        <w:t>Se tiene una población con un grado de escolaridad bajo, para el nivel primaria terminada 41.6% corresponde a hombres y 52.4% a mujeres, secundaria con 37.5% en hombres y 42.8% en mujeres, y por último la preparatoria 20.8% hombres y sólo 4.8% mujeres terminaron el nivel medio superior (Figura  3).</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6"/>
        <w:rPr>
          <w:sz w:val="18"/>
        </w:rPr>
      </w:pPr>
    </w:p>
    <w:p>
      <w:pPr>
        <w:pStyle w:val="Heading4"/>
        <w:spacing w:before="74"/>
        <w:ind w:left="2357"/>
      </w:pPr>
      <w:r>
        <w:rPr/>
        <w:pict>
          <v:group style="position:absolute;margin-left:77.564995pt;margin-top:23.291161pt;width:425.8pt;height:223.85pt;mso-position-horizontal-relative:page;mso-position-vertical-relative:paragraph;z-index:16816" coordorigin="1551,466" coordsize="8516,4477">
            <v:rect style="position:absolute;left:1553;top:467;width:8513;height:4474" filled="false" stroked="true" strokeweight=".12pt" strokecolor="#000000"/>
            <v:rect style="position:absolute;left:2266;top:659;width:6624;height:3689" filled="true" fillcolor="#c0c0c0" stroked="false">
              <v:fill type="solid"/>
            </v:rect>
            <v:shape style="position:absolute;left:18880;top:-77396;width:55200;height:2" coordorigin="18880,-77396" coordsize="55200,0" path="m7834,3734l8890,3734m5126,3734l6029,3734m3929,3734l4522,3734m2266,3734l2717,3734e" filled="false" stroked="true" strokeweight=".12pt" strokecolor="#000000">
              <v:path arrowok="t"/>
            </v:shape>
            <v:shape style="position:absolute;left:18880;top:-82496;width:55200;height:2" coordorigin="18880,-82496" coordsize="55200,0" path="m7834,3122l8890,3122m6634,3122l7241,3122m5126,3122l6029,3122m3929,3122l4522,3122m2266,3122l2717,3122e" filled="false" stroked="true" strokeweight=".12pt" strokecolor="#000000">
              <v:path arrowok="t"/>
            </v:shape>
            <v:shape style="position:absolute;left:18880;top:-87616;width:55200;height:2" coordorigin="18880,-87616" coordsize="55200,0" path="m6634,2507l8890,2507m3929,2507l6029,2507m2266,2507l2717,2507e" filled="false" stroked="true" strokeweight=".12pt" strokecolor="#000000">
              <v:path arrowok="t"/>
            </v:shape>
            <v:shape style="position:absolute;left:18880;top:-92796;width:55200;height:2" coordorigin="18880,-92796" coordsize="55200,0" path="m6634,1886l8890,1886m3929,1886l6029,1886m2266,1886l3322,1886e" filled="false" stroked="true" strokeweight=".12pt" strokecolor="#000000">
              <v:path arrowok="t"/>
            </v:shape>
            <v:shape style="position:absolute;left:18880;top:-97916;width:55200;height:2" coordorigin="18880,-97916" coordsize="55200,0" path="m6634,1271l8890,1271m2266,1271l6029,1271e" filled="false" stroked="true" strokeweight=".12pt" strokecolor="#000000">
              <v:path arrowok="t"/>
            </v:shape>
            <v:line style="position:absolute" from="2266,659" to="8890,659" stroked="true" strokeweight=".12pt" strokecolor="#000000"/>
            <v:shape style="position:absolute;left:16719;top:114795;width:48882;height:35304" coordorigin="16719,114795" coordsize="48882,35304" path="m2266,659l8890,659m8890,659l8890,4348m8890,4348l2266,4348m2266,4348l2266,659e" filled="false" stroked="true" strokeweight=".525479pt" strokecolor="#7f7f7f">
              <v:path arrowok="t"/>
            </v:shape>
            <v:rect style="position:absolute;left:2717;top:2296;width:605;height:2052" filled="true" fillcolor="#9999ff" stroked="false">
              <v:fill type="solid"/>
            </v:rect>
            <v:rect style="position:absolute;left:2717;top:2296;width:605;height:2052" filled="false" stroked="true" strokeweight=".582541pt" strokecolor="#000000"/>
            <v:rect style="position:absolute;left:6029;top:1125;width:605;height:3223" filled="true" fillcolor="#9999ff" stroked="false">
              <v:fill type="solid"/>
            </v:rect>
            <v:rect style="position:absolute;left:6029;top:1125;width:605;height:3223" filled="false" stroked="true" strokeweight=".588778pt" strokecolor="#000000"/>
            <v:rect style="position:absolute;left:3322;top:1785;width:607;height:2563" filled="true" fillcolor="#993265" stroked="false">
              <v:fill type="solid"/>
            </v:rect>
            <v:rect style="position:absolute;left:3322;top:1785;width:607;height:2563" filled="false" stroked="true" strokeweight=".586181pt" strokecolor="#000000"/>
            <v:rect style="position:absolute;left:6634;top:3175;width:607;height:1174" filled="true" fillcolor="#993265" stroked="false">
              <v:fill type="solid"/>
            </v:rect>
            <v:rect style="position:absolute;left:6634;top:3175;width:607;height:1174" filled="false" stroked="true" strokeweight=".564715pt" strokecolor="#000000"/>
            <v:rect style="position:absolute;left:7241;top:2882;width:593;height:1466" filled="true" fillcolor="#ffffcc" stroked="false">
              <v:fill type="solid"/>
            </v:rect>
            <v:rect style="position:absolute;left:7241;top:2882;width:593;height:1466" filled="false" stroked="true" strokeweight=".574318pt" strokecolor="#000000"/>
            <v:rect style="position:absolute;left:4522;top:2810;width:605;height:1538" filled="true" fillcolor="#ccffff" stroked="false">
              <v:fill type="solid"/>
            </v:rect>
            <v:rect style="position:absolute;left:4522;top:2810;width:605;height:1538" filled="false" stroked="true" strokeweight=".575214pt" strokecolor="#000000"/>
            <v:rect style="position:absolute;left:7834;top:4055;width:605;height:293" filled="true" fillcolor="#ccffff" stroked="false">
              <v:fill type="solid"/>
            </v:rect>
            <v:rect style="position:absolute;left:7834;top:4055;width:605;height:293" filled="false" stroked="true" strokeweight=".483354pt" strokecolor="#000000"/>
            <v:shape style="position:absolute;left:18480;top:-103016;width:65000;height:31040" coordorigin="18480,-103016" coordsize="65000,31040" path="m2266,659l2266,4348m2218,4348l2266,4348m2218,3734l2266,3734m2218,3122l2266,3122m2218,2507l2266,2507m2218,1886l2266,1886m2218,1271l2266,1271m2218,659l2266,659m2266,4348l8890,4348m2266,4384l2266,4348m5578,4384l5578,4348m8890,4384l8890,4348m9022,2882l10018,2882,10018,2114,9022,2114,9022,2882xe" filled="false" stroked="true" strokeweight=".12pt" strokecolor="#000000">
              <v:path arrowok="t"/>
            </v:shape>
            <v:line style="position:absolute" from="9079,2219" to="9163,2219" stroked="true" strokeweight="3.12pt" strokecolor="#9999ff"/>
            <v:rect style="position:absolute;left:9079;top:2188;width:84;height:62" filled="false" stroked="true" strokeweight=".505854pt" strokecolor="#000000"/>
            <v:line style="position:absolute" from="9079,2411" to="9163,2411" stroked="true" strokeweight="3.12pt" strokecolor="#993265"/>
            <v:rect style="position:absolute;left:9079;top:2380;width:84;height:62" filled="false" stroked="true" strokeweight=".505854pt" strokecolor="#000000"/>
            <v:line style="position:absolute" from="9079,2603" to="9163,2603" stroked="true" strokeweight="3.12pt" strokecolor="#ffffcc"/>
            <v:rect style="position:absolute;left:9079;top:2572;width:84;height:62" filled="false" stroked="true" strokeweight=".505854pt" strokecolor="#000000"/>
            <v:line style="position:absolute" from="9079,2797" to="9163,2797" stroked="true" strokeweight="3.24pt" strokecolor="#ccffff"/>
            <v:rect style="position:absolute;left:9079;top:2764;width:84;height:65" filled="false" stroked="true" strokeweight=".508210pt" strokecolor="#000000"/>
            <v:rect style="position:absolute;left:1553;top:467;width:8513;height:4474" filled="false" stroked="true" strokeweight=".12pt" strokecolor="#000000"/>
            <v:shape style="position:absolute;left:4735;top:2622;width:170;height:119" type="#_x0000_t202" filled="false" stroked="false">
              <v:textbox inset="0,0,0,0">
                <w:txbxContent>
                  <w:p>
                    <w:pPr>
                      <w:spacing w:line="119" w:lineRule="exact" w:before="0"/>
                      <w:ind w:left="0" w:right="-17" w:firstLine="0"/>
                      <w:jc w:val="left"/>
                      <w:rPr>
                        <w:sz w:val="12"/>
                      </w:rPr>
                    </w:pPr>
                    <w:r>
                      <w:rPr>
                        <w:w w:val="125"/>
                        <w:sz w:val="12"/>
                      </w:rPr>
                      <w:t>25</w:t>
                    </w:r>
                  </w:p>
                </w:txbxContent>
              </v:textbox>
              <w10:wrap type="none"/>
            </v:shape>
            <v:shape style="position:absolute;left:7394;top:2697;width:300;height:119" type="#_x0000_t202" filled="false" stroked="false">
              <v:textbox inset="0,0,0,0">
                <w:txbxContent>
                  <w:p>
                    <w:pPr>
                      <w:spacing w:line="119" w:lineRule="exact" w:before="0"/>
                      <w:ind w:left="0" w:right="-12" w:firstLine="0"/>
                      <w:jc w:val="left"/>
                      <w:rPr>
                        <w:sz w:val="12"/>
                      </w:rPr>
                    </w:pPr>
                    <w:r>
                      <w:rPr>
                        <w:w w:val="125"/>
                        <w:sz w:val="12"/>
                      </w:rPr>
                      <w:t>23.8</w:t>
                    </w:r>
                  </w:p>
                </w:txbxContent>
              </v:textbox>
              <w10:wrap type="none"/>
            </v:shape>
            <v:shape style="position:absolute;left:4190;top:4161;width:86;height:119" type="#_x0000_t202" filled="false" stroked="false">
              <v:textbox inset="0,0,0,0">
                <w:txbxContent>
                  <w:p>
                    <w:pPr>
                      <w:spacing w:line="119" w:lineRule="exact" w:before="0"/>
                      <w:ind w:left="0" w:right="0" w:firstLine="0"/>
                      <w:jc w:val="left"/>
                      <w:rPr>
                        <w:sz w:val="12"/>
                      </w:rPr>
                    </w:pPr>
                    <w:r>
                      <w:rPr>
                        <w:w w:val="128"/>
                        <w:sz w:val="12"/>
                      </w:rPr>
                      <w:t>0</w:t>
                    </w:r>
                  </w:p>
                </w:txbxContent>
              </v:textbox>
              <w10:wrap type="none"/>
            </v:shape>
            <v:shape style="position:absolute;left:9022;top:2114;width:1044;height:768" type="#_x0000_t202" filled="false" stroked="false">
              <v:textbox inset="0,0,0,0">
                <w:txbxContent>
                  <w:p>
                    <w:pPr>
                      <w:spacing w:line="333" w:lineRule="auto" w:before="26"/>
                      <w:ind w:left="189" w:right="0" w:firstLine="0"/>
                      <w:jc w:val="left"/>
                      <w:rPr>
                        <w:sz w:val="12"/>
                      </w:rPr>
                    </w:pPr>
                    <w:r>
                      <w:rPr>
                        <w:w w:val="130"/>
                        <w:sz w:val="12"/>
                      </w:rPr>
                      <w:t>Soltero Casado Divorciado Unión Libre</w:t>
                    </w:r>
                  </w:p>
                </w:txbxContent>
              </v:textbox>
              <w10:wrap type="none"/>
            </v:shape>
            <v:shape style="position:absolute;left:1982;top:601;width:168;height:119" type="#_x0000_t202" filled="false" stroked="false">
              <v:textbox inset="0,0,0,0">
                <w:txbxContent>
                  <w:p>
                    <w:pPr>
                      <w:spacing w:line="119" w:lineRule="exact" w:before="0"/>
                      <w:ind w:left="0" w:right="-20" w:firstLine="0"/>
                      <w:jc w:val="left"/>
                      <w:rPr>
                        <w:sz w:val="12"/>
                      </w:rPr>
                    </w:pPr>
                    <w:r>
                      <w:rPr>
                        <w:spacing w:val="-3"/>
                        <w:w w:val="130"/>
                        <w:sz w:val="12"/>
                      </w:rPr>
                      <w:t>60</w:t>
                    </w:r>
                  </w:p>
                </w:txbxContent>
              </v:textbox>
              <w10:wrap type="none"/>
            </v:shape>
            <v:shape style="position:absolute;left:6185;top:940;width:300;height:119" type="#_x0000_t202" filled="false" stroked="false">
              <v:textbox inset="0,0,0,0">
                <w:txbxContent>
                  <w:p>
                    <w:pPr>
                      <w:spacing w:line="119" w:lineRule="exact" w:before="0"/>
                      <w:ind w:left="0" w:right="-12" w:firstLine="0"/>
                      <w:jc w:val="left"/>
                      <w:rPr>
                        <w:sz w:val="12"/>
                      </w:rPr>
                    </w:pPr>
                    <w:r>
                      <w:rPr>
                        <w:w w:val="125"/>
                        <w:sz w:val="12"/>
                      </w:rPr>
                      <w:t>52.4</w:t>
                    </w:r>
                  </w:p>
                </w:txbxContent>
              </v:textbox>
              <w10:wrap type="none"/>
            </v:shape>
            <v:shape style="position:absolute;left:1982;top:1213;width:168;height:119" type="#_x0000_t202" filled="false" stroked="false">
              <v:textbox inset="0,0,0,0">
                <w:txbxContent>
                  <w:p>
                    <w:pPr>
                      <w:spacing w:line="119" w:lineRule="exact" w:before="0"/>
                      <w:ind w:left="0" w:right="-20" w:firstLine="0"/>
                      <w:jc w:val="left"/>
                      <w:rPr>
                        <w:sz w:val="12"/>
                      </w:rPr>
                    </w:pPr>
                    <w:r>
                      <w:rPr>
                        <w:spacing w:val="-3"/>
                        <w:w w:val="130"/>
                        <w:sz w:val="12"/>
                      </w:rPr>
                      <w:t>50</w:t>
                    </w:r>
                  </w:p>
                </w:txbxContent>
              </v:textbox>
              <w10:wrap type="none"/>
            </v:shape>
            <v:shape style="position:absolute;left:3478;top:1597;width:300;height:119" type="#_x0000_t202" filled="false" stroked="false">
              <v:textbox inset="0,0,0,0">
                <w:txbxContent>
                  <w:p>
                    <w:pPr>
                      <w:spacing w:line="119" w:lineRule="exact" w:before="0"/>
                      <w:ind w:left="0" w:right="-12" w:firstLine="0"/>
                      <w:jc w:val="left"/>
                      <w:rPr>
                        <w:sz w:val="12"/>
                      </w:rPr>
                    </w:pPr>
                    <w:r>
                      <w:rPr>
                        <w:w w:val="125"/>
                        <w:sz w:val="12"/>
                      </w:rPr>
                      <w:t>41.7</w:t>
                    </w:r>
                  </w:p>
                </w:txbxContent>
              </v:textbox>
              <w10:wrap type="none"/>
            </v:shape>
            <v:shape style="position:absolute;left:1982;top:1828;width:168;height:119" type="#_x0000_t202" filled="false" stroked="false">
              <v:textbox inset="0,0,0,0">
                <w:txbxContent>
                  <w:p>
                    <w:pPr>
                      <w:spacing w:line="119" w:lineRule="exact" w:before="0"/>
                      <w:ind w:left="0" w:right="-20" w:firstLine="0"/>
                      <w:jc w:val="left"/>
                      <w:rPr>
                        <w:sz w:val="12"/>
                      </w:rPr>
                    </w:pPr>
                    <w:r>
                      <w:rPr>
                        <w:spacing w:val="-3"/>
                        <w:w w:val="130"/>
                        <w:sz w:val="12"/>
                      </w:rPr>
                      <w:t>40</w:t>
                    </w:r>
                  </w:p>
                </w:txbxContent>
              </v:textbox>
              <w10:wrap type="none"/>
            </v:shape>
            <v:shape style="position:absolute;left:2873;top:2111;width:300;height:119" type="#_x0000_t202" filled="false" stroked="false">
              <v:textbox inset="0,0,0,0">
                <w:txbxContent>
                  <w:p>
                    <w:pPr>
                      <w:spacing w:line="119" w:lineRule="exact" w:before="0"/>
                      <w:ind w:left="0" w:right="-12" w:firstLine="0"/>
                      <w:jc w:val="left"/>
                      <w:rPr>
                        <w:sz w:val="12"/>
                      </w:rPr>
                    </w:pPr>
                    <w:r>
                      <w:rPr>
                        <w:w w:val="125"/>
                        <w:sz w:val="12"/>
                      </w:rPr>
                      <w:t>33.3</w:t>
                    </w:r>
                  </w:p>
                </w:txbxContent>
              </v:textbox>
              <w10:wrap type="none"/>
            </v:shape>
            <v:shape style="position:absolute;left:1982;top:2449;width:168;height:119" type="#_x0000_t202" filled="false" stroked="false">
              <v:textbox inset="0,0,0,0">
                <w:txbxContent>
                  <w:p>
                    <w:pPr>
                      <w:spacing w:line="119" w:lineRule="exact" w:before="0"/>
                      <w:ind w:left="0" w:right="-20" w:firstLine="0"/>
                      <w:jc w:val="left"/>
                      <w:rPr>
                        <w:sz w:val="12"/>
                      </w:rPr>
                    </w:pPr>
                    <w:r>
                      <w:rPr>
                        <w:spacing w:val="-3"/>
                        <w:w w:val="130"/>
                        <w:sz w:val="12"/>
                      </w:rPr>
                      <w:t>30</w:t>
                    </w:r>
                  </w:p>
                </w:txbxContent>
              </v:textbox>
              <w10:wrap type="none"/>
            </v:shape>
            <v:shape style="position:absolute;left:1982;top:3064;width:168;height:119" type="#_x0000_t202" filled="false" stroked="false">
              <v:textbox inset="0,0,0,0">
                <w:txbxContent>
                  <w:p>
                    <w:pPr>
                      <w:spacing w:line="119" w:lineRule="exact" w:before="0"/>
                      <w:ind w:left="0" w:right="-20" w:firstLine="0"/>
                      <w:jc w:val="left"/>
                      <w:rPr>
                        <w:sz w:val="12"/>
                      </w:rPr>
                    </w:pPr>
                    <w:r>
                      <w:rPr>
                        <w:spacing w:val="-3"/>
                        <w:w w:val="130"/>
                        <w:sz w:val="12"/>
                      </w:rPr>
                      <w:t>20</w:t>
                    </w:r>
                  </w:p>
                </w:txbxContent>
              </v:textbox>
              <w10:wrap type="none"/>
            </v:shape>
            <v:shape style="position:absolute;left:6850;top:2989;width:168;height:119" type="#_x0000_t202" filled="false" stroked="false">
              <v:textbox inset="0,0,0,0">
                <w:txbxContent>
                  <w:p>
                    <w:pPr>
                      <w:spacing w:line="119" w:lineRule="exact" w:before="0"/>
                      <w:ind w:left="0" w:right="-20" w:firstLine="0"/>
                      <w:jc w:val="left"/>
                      <w:rPr>
                        <w:sz w:val="12"/>
                      </w:rPr>
                    </w:pPr>
                    <w:r>
                      <w:rPr>
                        <w:spacing w:val="-3"/>
                        <w:w w:val="130"/>
                        <w:sz w:val="12"/>
                      </w:rPr>
                      <w:t>19</w:t>
                    </w:r>
                  </w:p>
                </w:txbxContent>
              </v:textbox>
              <w10:wrap type="none"/>
            </v:shape>
            <v:shape style="position:absolute;left:1982;top:3676;width:168;height:119" type="#_x0000_t202" filled="false" stroked="false">
              <v:textbox inset="0,0,0,0">
                <w:txbxContent>
                  <w:p>
                    <w:pPr>
                      <w:spacing w:line="119" w:lineRule="exact" w:before="0"/>
                      <w:ind w:left="0" w:right="-20" w:firstLine="0"/>
                      <w:jc w:val="left"/>
                      <w:rPr>
                        <w:sz w:val="12"/>
                      </w:rPr>
                    </w:pPr>
                    <w:r>
                      <w:rPr>
                        <w:spacing w:val="-3"/>
                        <w:w w:val="130"/>
                        <w:sz w:val="12"/>
                      </w:rPr>
                      <w:t>10</w:t>
                    </w:r>
                  </w:p>
                </w:txbxContent>
              </v:textbox>
              <w10:wrap type="none"/>
            </v:shape>
            <v:shape style="position:absolute;left:8026;top:3868;width:216;height:119" type="#_x0000_t202" filled="false" stroked="false">
              <v:textbox inset="0,0,0,0">
                <w:txbxContent>
                  <w:p>
                    <w:pPr>
                      <w:spacing w:line="119" w:lineRule="exact" w:before="0"/>
                      <w:ind w:left="0" w:right="-13" w:firstLine="0"/>
                      <w:jc w:val="left"/>
                      <w:rPr>
                        <w:sz w:val="12"/>
                      </w:rPr>
                    </w:pPr>
                    <w:r>
                      <w:rPr>
                        <w:w w:val="125"/>
                        <w:sz w:val="12"/>
                      </w:rPr>
                      <w:t>4.8</w:t>
                    </w:r>
                  </w:p>
                </w:txbxContent>
              </v:textbox>
              <w10:wrap type="none"/>
            </v:shape>
            <v:shape style="position:absolute;left:2064;top:4290;width:86;height:119" type="#_x0000_t202" filled="false" stroked="false">
              <v:textbox inset="0,0,0,0">
                <w:txbxContent>
                  <w:p>
                    <w:pPr>
                      <w:spacing w:line="119" w:lineRule="exact" w:before="0"/>
                      <w:ind w:left="0" w:right="0" w:firstLine="0"/>
                      <w:jc w:val="left"/>
                      <w:rPr>
                        <w:sz w:val="12"/>
                      </w:rPr>
                    </w:pPr>
                    <w:r>
                      <w:rPr>
                        <w:w w:val="128"/>
                        <w:sz w:val="12"/>
                      </w:rPr>
                      <w:t>0</w:t>
                    </w:r>
                  </w:p>
                </w:txbxContent>
              </v:textbox>
              <w10:wrap type="none"/>
            </v:shape>
            <v:shape style="position:absolute;left:3538;top:4463;width:780;height:119" type="#_x0000_t202" filled="false" stroked="false">
              <v:textbox inset="0,0,0,0">
                <w:txbxContent>
                  <w:p>
                    <w:pPr>
                      <w:spacing w:line="119" w:lineRule="exact" w:before="0"/>
                      <w:ind w:left="0" w:right="0" w:firstLine="0"/>
                      <w:jc w:val="left"/>
                      <w:rPr>
                        <w:sz w:val="12"/>
                      </w:rPr>
                    </w:pPr>
                    <w:r>
                      <w:rPr>
                        <w:w w:val="125"/>
                        <w:sz w:val="12"/>
                      </w:rPr>
                      <w:t>HOMBRES</w:t>
                    </w:r>
                  </w:p>
                </w:txbxContent>
              </v:textbox>
              <w10:wrap type="none"/>
            </v:shape>
            <v:shape style="position:absolute;left:6874;top:4463;width:732;height:119" type="#_x0000_t202" filled="false" stroked="false">
              <v:textbox inset="0,0,0,0">
                <w:txbxContent>
                  <w:p>
                    <w:pPr>
                      <w:spacing w:line="119" w:lineRule="exact" w:before="0"/>
                      <w:ind w:left="0" w:right="-5" w:firstLine="0"/>
                      <w:jc w:val="left"/>
                      <w:rPr>
                        <w:sz w:val="12"/>
                      </w:rPr>
                    </w:pPr>
                    <w:r>
                      <w:rPr>
                        <w:w w:val="125"/>
                        <w:sz w:val="12"/>
                      </w:rPr>
                      <w:t>MUJERES</w:t>
                    </w:r>
                  </w:p>
                </w:txbxContent>
              </v:textbox>
              <w10:wrap type="none"/>
            </v:shape>
            <v:shape style="position:absolute;left:5388;top:4677;width:392;height:119" type="#_x0000_t202" filled="false" stroked="false">
              <v:textbox inset="0,0,0,0">
                <w:txbxContent>
                  <w:p>
                    <w:pPr>
                      <w:spacing w:line="119" w:lineRule="exact" w:before="0"/>
                      <w:ind w:left="0" w:right="-18" w:firstLine="0"/>
                      <w:jc w:val="left"/>
                      <w:rPr>
                        <w:b/>
                        <w:sz w:val="12"/>
                      </w:rPr>
                    </w:pPr>
                    <w:r>
                      <w:rPr>
                        <w:b/>
                        <w:w w:val="125"/>
                        <w:sz w:val="12"/>
                      </w:rPr>
                      <w:t>Sexo</w:t>
                    </w:r>
                  </w:p>
                </w:txbxContent>
              </v:textbox>
              <w10:wrap type="none"/>
            </v:shape>
            <w10:wrap type="none"/>
          </v:group>
        </w:pict>
      </w:r>
      <w:r>
        <w:rPr/>
        <w:pict>
          <v:shape style="position:absolute;margin-left:85.739502pt;margin-top:119.425934pt;width:7.95pt;height:8.9pt;mso-position-horizontal-relative:page;mso-position-vertical-relative:paragraph;z-index:16840" type="#_x0000_t202" filled="false" stroked="false">
            <v:textbox inset="0,0,0,0" style="layout-flow:vertical;mso-layout-flow-alt:bottom-to-top">
              <w:txbxContent>
                <w:p>
                  <w:pPr>
                    <w:spacing w:before="4"/>
                    <w:ind w:left="20" w:right="0" w:firstLine="0"/>
                    <w:jc w:val="left"/>
                    <w:rPr>
                      <w:b/>
                      <w:sz w:val="12"/>
                    </w:rPr>
                  </w:pPr>
                  <w:r>
                    <w:rPr>
                      <w:b/>
                      <w:w w:val="128"/>
                      <w:sz w:val="12"/>
                    </w:rPr>
                    <w:t>%</w:t>
                  </w:r>
                </w:p>
              </w:txbxContent>
            </v:textbox>
            <w10:wrap type="none"/>
          </v:shape>
        </w:pict>
      </w:r>
      <w:r>
        <w:rPr/>
        <w:t>Figura 4. Estado Civil de los migrantes</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spacing w:before="165"/>
        <w:ind w:left="101" w:right="0" w:firstLine="0"/>
        <w:jc w:val="both"/>
        <w:rPr>
          <w:sz w:val="23"/>
        </w:rPr>
      </w:pPr>
      <w:r>
        <w:rPr>
          <w:sz w:val="21"/>
        </w:rPr>
        <w:t>Fuente: Elaboración propia en base a la información estadística de la encuesta,   2006</w:t>
      </w:r>
      <w:r>
        <w:rPr>
          <w:color w:val="FF0000"/>
          <w:sz w:val="23"/>
        </w:rPr>
        <w:t>.</w:t>
      </w:r>
    </w:p>
    <w:p>
      <w:pPr>
        <w:pStyle w:val="BodyText"/>
        <w:rPr>
          <w:sz w:val="22"/>
        </w:rPr>
      </w:pPr>
    </w:p>
    <w:p>
      <w:pPr>
        <w:pStyle w:val="BodyText"/>
        <w:rPr>
          <w:sz w:val="22"/>
        </w:rPr>
      </w:pPr>
    </w:p>
    <w:p>
      <w:pPr>
        <w:pStyle w:val="BodyText"/>
        <w:rPr>
          <w:sz w:val="22"/>
        </w:rPr>
      </w:pPr>
    </w:p>
    <w:p>
      <w:pPr>
        <w:pStyle w:val="BodyText"/>
        <w:spacing w:line="364" w:lineRule="auto" w:before="133"/>
        <w:ind w:left="101" w:right="1661"/>
        <w:jc w:val="both"/>
      </w:pPr>
      <w:r>
        <w:rPr/>
        <w:t>Respecto del estado civil de los migrantes se puede observar que, 41.7% son hombres casados y 19% de las mujeres son casadas. En la región de estudio, se tiene que 52.4% son mujeres solteras y sólo 33.3% eran hombres. En lo referente a mujeres divorciadas representa 23.8%, en cambio, los que viven en </w:t>
      </w:r>
      <w:r>
        <w:rPr>
          <w:spacing w:val="-4"/>
        </w:rPr>
        <w:t>unión </w:t>
      </w:r>
      <w:r>
        <w:rPr>
          <w:spacing w:val="-3"/>
        </w:rPr>
        <w:t>libre </w:t>
      </w:r>
      <w:r>
        <w:rPr>
          <w:spacing w:val="-4"/>
        </w:rPr>
        <w:t>predomina </w:t>
      </w:r>
      <w:r>
        <w:rPr/>
        <w:t>más </w:t>
      </w:r>
      <w:r>
        <w:rPr>
          <w:spacing w:val="-3"/>
        </w:rPr>
        <w:t>en los </w:t>
      </w:r>
      <w:r>
        <w:rPr>
          <w:spacing w:val="-5"/>
        </w:rPr>
        <w:t>hombres </w:t>
      </w:r>
      <w:r>
        <w:rPr>
          <w:spacing w:val="-4"/>
        </w:rPr>
        <w:t>(25%) </w:t>
      </w:r>
      <w:r>
        <w:rPr/>
        <w:t>y </w:t>
      </w:r>
      <w:r>
        <w:rPr>
          <w:spacing w:val="-3"/>
        </w:rPr>
        <w:t>en </w:t>
      </w:r>
      <w:r>
        <w:rPr>
          <w:spacing w:val="-4"/>
        </w:rPr>
        <w:t>menor grado (4.8%) </w:t>
      </w:r>
      <w:r>
        <w:rPr/>
        <w:t>en </w:t>
      </w:r>
      <w:r>
        <w:rPr>
          <w:spacing w:val="-4"/>
        </w:rPr>
        <w:t>mujeres (Figura </w:t>
      </w:r>
      <w:r>
        <w:rPr>
          <w:spacing w:val="23"/>
        </w:rPr>
        <w:t> </w:t>
      </w:r>
      <w:r>
        <w:rPr>
          <w:spacing w:val="-4"/>
        </w:rPr>
        <w:t>4).</w:t>
      </w:r>
    </w:p>
    <w:p>
      <w:pPr>
        <w:spacing w:after="0" w:line="364" w:lineRule="auto"/>
        <w:jc w:val="both"/>
        <w:sectPr>
          <w:pgSz w:w="11900" w:h="16840"/>
          <w:pgMar w:header="0" w:footer="1676" w:top="1600" w:bottom="1860" w:left="1300" w:right="0"/>
        </w:sectPr>
      </w:pPr>
    </w:p>
    <w:p>
      <w:pPr>
        <w:pStyle w:val="BodyText"/>
        <w:rPr>
          <w:sz w:val="20"/>
        </w:rPr>
      </w:pPr>
    </w:p>
    <w:p>
      <w:pPr>
        <w:pStyle w:val="BodyText"/>
        <w:spacing w:before="6"/>
        <w:rPr>
          <w:sz w:val="18"/>
        </w:rPr>
      </w:pPr>
    </w:p>
    <w:p>
      <w:pPr>
        <w:pStyle w:val="Heading5"/>
        <w:ind w:left="166"/>
        <w:jc w:val="both"/>
        <w:rPr>
          <w:i/>
        </w:rPr>
      </w:pPr>
      <w:r>
        <w:rPr>
          <w:i/>
        </w:rPr>
        <w:t>Categoría  migratoria de los entrevistados</w:t>
      </w:r>
    </w:p>
    <w:p>
      <w:pPr>
        <w:pStyle w:val="BodyText"/>
        <w:rPr>
          <w:b/>
          <w:i/>
          <w:sz w:val="22"/>
        </w:rPr>
      </w:pPr>
    </w:p>
    <w:p>
      <w:pPr>
        <w:pStyle w:val="BodyText"/>
        <w:rPr>
          <w:b/>
          <w:i/>
          <w:sz w:val="22"/>
        </w:rPr>
      </w:pPr>
    </w:p>
    <w:p>
      <w:pPr>
        <w:pStyle w:val="BodyText"/>
        <w:spacing w:before="10"/>
        <w:rPr>
          <w:b/>
          <w:i/>
          <w:sz w:val="31"/>
        </w:rPr>
      </w:pPr>
    </w:p>
    <w:p>
      <w:pPr>
        <w:spacing w:before="0"/>
        <w:ind w:left="2588" w:right="102" w:firstLine="0"/>
        <w:jc w:val="left"/>
        <w:rPr>
          <w:b/>
          <w:sz w:val="23"/>
        </w:rPr>
      </w:pPr>
      <w:r>
        <w:rPr/>
        <w:pict>
          <v:group style="position:absolute;margin-left:75.614761pt;margin-top:18.841541pt;width:429.7pt;height:171.35pt;mso-position-horizontal-relative:page;mso-position-vertical-relative:paragraph;z-index:16936;mso-wrap-distance-left:0;mso-wrap-distance-right:0" coordorigin="1512,377" coordsize="8594,3427">
            <v:rect style="position:absolute;left:1517;top:381;width:8585;height:3418" filled="false" stroked="true" strokeweight=".385733pt" strokecolor="#000000"/>
            <v:shape style="position:absolute;left:3142;top:1364;width:5334;height:1256" type="#_x0000_t75" stroked="false">
              <v:imagedata r:id="rId505" o:title=""/>
            </v:shape>
            <v:rect style="position:absolute;left:4810;top:3609;width:1987;height:161" filled="false" stroked="true" strokeweight=".12pt" strokecolor="#000000"/>
            <v:line style="position:absolute" from="4870,3690" to="4954,3690" stroked="true" strokeweight="2.52pt" strokecolor="#9999ff"/>
            <v:rect style="position:absolute;left:4870;top:3665;width:84;height:50" filled="false" stroked="true" strokeweight=".417216pt" strokecolor="#000000"/>
            <v:line style="position:absolute" from="5863,3690" to="5947,3690" stroked="true" strokeweight="2.52pt" strokecolor="#993265"/>
            <v:rect style="position:absolute;left:5863;top:3665;width:84;height:50" filled="false" stroked="true" strokeweight=".417216pt" strokecolor="#000000"/>
            <v:rect style="position:absolute;left:1517;top:381;width:8585;height:3418" filled="false" stroked="true" strokeweight=".385733pt" strokecolor="#000000"/>
            <v:shape style="position:absolute;left:4810;top:3609;width:1988;height:190" type="#_x0000_t202" filled="false" stroked="false">
              <v:textbox inset="0,0,0,0">
                <w:txbxContent>
                  <w:p>
                    <w:pPr>
                      <w:tabs>
                        <w:tab w:pos="1185" w:val="left" w:leader="none"/>
                      </w:tabs>
                      <w:spacing w:before="18"/>
                      <w:ind w:left="191" w:right="0" w:firstLine="0"/>
                      <w:jc w:val="left"/>
                      <w:rPr>
                        <w:sz w:val="9"/>
                      </w:rPr>
                    </w:pPr>
                    <w:r>
                      <w:rPr>
                        <w:w w:val="175"/>
                        <w:sz w:val="9"/>
                      </w:rPr>
                      <w:t>HOMBRES</w:t>
                      <w:tab/>
                      <w:t>MUJERES</w:t>
                    </w:r>
                  </w:p>
                </w:txbxContent>
              </v:textbox>
              <w10:wrap type="none"/>
            </v:shape>
            <v:shape style="position:absolute;left:2297;top:1596;width:740;height:212" type="#_x0000_t202" filled="false" stroked="false">
              <v:textbox inset="0,0,0,0">
                <w:txbxContent>
                  <w:p>
                    <w:pPr>
                      <w:spacing w:line="93" w:lineRule="exact" w:before="0"/>
                      <w:ind w:left="-1" w:right="0" w:firstLine="0"/>
                      <w:jc w:val="center"/>
                      <w:rPr>
                        <w:sz w:val="9"/>
                      </w:rPr>
                    </w:pPr>
                    <w:r>
                      <w:rPr>
                        <w:spacing w:val="-1"/>
                        <w:w w:val="170"/>
                        <w:sz w:val="9"/>
                      </w:rPr>
                      <w:t>MUJERES</w:t>
                    </w:r>
                  </w:p>
                  <w:p>
                    <w:pPr>
                      <w:spacing w:line="102" w:lineRule="exact" w:before="16"/>
                      <w:ind w:left="191" w:right="192" w:firstLine="0"/>
                      <w:jc w:val="center"/>
                      <w:rPr>
                        <w:sz w:val="9"/>
                      </w:rPr>
                    </w:pPr>
                    <w:r>
                      <w:rPr>
                        <w:w w:val="175"/>
                        <w:sz w:val="9"/>
                      </w:rPr>
                      <w:t>47%</w:t>
                    </w:r>
                  </w:p>
                </w:txbxContent>
              </v:textbox>
              <w10:wrap type="none"/>
            </v:shape>
            <v:shape style="position:absolute;left:8570;top:2153;width:786;height:210" type="#_x0000_t202" filled="false" stroked="false">
              <v:textbox inset="0,0,0,0">
                <w:txbxContent>
                  <w:p>
                    <w:pPr>
                      <w:spacing w:line="93" w:lineRule="exact" w:before="0"/>
                      <w:ind w:left="0" w:right="0" w:firstLine="0"/>
                      <w:jc w:val="center"/>
                      <w:rPr>
                        <w:sz w:val="9"/>
                      </w:rPr>
                    </w:pPr>
                    <w:r>
                      <w:rPr>
                        <w:w w:val="170"/>
                        <w:sz w:val="9"/>
                      </w:rPr>
                      <w:t>HOMBRES</w:t>
                    </w:r>
                  </w:p>
                  <w:p>
                    <w:pPr>
                      <w:spacing w:line="102" w:lineRule="exact" w:before="14"/>
                      <w:ind w:left="0" w:right="1" w:firstLine="0"/>
                      <w:jc w:val="center"/>
                      <w:rPr>
                        <w:sz w:val="9"/>
                      </w:rPr>
                    </w:pPr>
                    <w:r>
                      <w:rPr>
                        <w:w w:val="175"/>
                        <w:sz w:val="9"/>
                      </w:rPr>
                      <w:t>53%</w:t>
                    </w:r>
                  </w:p>
                </w:txbxContent>
              </v:textbox>
              <w10:wrap type="none"/>
            </v:shape>
            <w10:wrap type="topAndBottom"/>
          </v:group>
        </w:pict>
      </w:r>
      <w:r>
        <w:rPr>
          <w:b/>
          <w:sz w:val="23"/>
        </w:rPr>
        <w:t>Figura 5. Migración ilegal por sexo</w:t>
      </w:r>
    </w:p>
    <w:p>
      <w:pPr>
        <w:pStyle w:val="BodyText"/>
        <w:spacing w:before="1"/>
        <w:rPr>
          <w:b/>
          <w:sz w:val="28"/>
        </w:rPr>
      </w:pPr>
    </w:p>
    <w:p>
      <w:pPr>
        <w:spacing w:before="1"/>
        <w:ind w:left="101" w:right="0" w:firstLine="0"/>
        <w:jc w:val="both"/>
        <w:rPr>
          <w:sz w:val="21"/>
        </w:rPr>
      </w:pPr>
      <w:r>
        <w:rPr>
          <w:sz w:val="21"/>
        </w:rPr>
        <w:t>Fuente: Elaboración propia en base a la información estadística de la encuesta,   2006</w:t>
      </w:r>
      <w:r>
        <w:rPr>
          <w:color w:val="FF0000"/>
          <w:sz w:val="21"/>
        </w:rPr>
        <w:t>.</w:t>
      </w:r>
    </w:p>
    <w:p>
      <w:pPr>
        <w:pStyle w:val="BodyText"/>
        <w:rPr>
          <w:sz w:val="20"/>
        </w:rPr>
      </w:pPr>
    </w:p>
    <w:p>
      <w:pPr>
        <w:pStyle w:val="BodyText"/>
        <w:rPr>
          <w:sz w:val="20"/>
        </w:rPr>
      </w:pPr>
    </w:p>
    <w:p>
      <w:pPr>
        <w:pStyle w:val="BodyText"/>
        <w:spacing w:before="5"/>
        <w:rPr>
          <w:sz w:val="26"/>
        </w:rPr>
      </w:pPr>
    </w:p>
    <w:p>
      <w:pPr>
        <w:pStyle w:val="BodyText"/>
        <w:spacing w:line="364" w:lineRule="auto"/>
        <w:ind w:left="101" w:right="386"/>
        <w:jc w:val="both"/>
      </w:pPr>
      <w:r>
        <w:rPr/>
        <w:t>De los migrantes entrevistados todos correspondieron a la categoría migratoria de ilegal representando 53% hombres y 47% a mujeres (Figura  5).</w:t>
      </w:r>
    </w:p>
    <w:p>
      <w:pPr>
        <w:pStyle w:val="BodyText"/>
        <w:rPr>
          <w:sz w:val="22"/>
        </w:rPr>
      </w:pPr>
    </w:p>
    <w:p>
      <w:pPr>
        <w:pStyle w:val="BodyText"/>
        <w:rPr>
          <w:sz w:val="22"/>
        </w:rPr>
      </w:pPr>
    </w:p>
    <w:p>
      <w:pPr>
        <w:pStyle w:val="BodyText"/>
        <w:spacing w:before="6"/>
        <w:rPr>
          <w:sz w:val="21"/>
        </w:rPr>
      </w:pPr>
    </w:p>
    <w:p>
      <w:pPr>
        <w:pStyle w:val="Heading5"/>
        <w:spacing w:before="0"/>
        <w:ind w:left="166"/>
        <w:jc w:val="both"/>
        <w:rPr>
          <w:i/>
        </w:rPr>
      </w:pPr>
      <w:r>
        <w:rPr>
          <w:i/>
        </w:rPr>
        <w:t>Lugares donde viven los migrantes en los Estados Unidos y tipo de  empleo</w:t>
      </w:r>
    </w:p>
    <w:p>
      <w:pPr>
        <w:pStyle w:val="BodyText"/>
        <w:rPr>
          <w:b/>
          <w:i/>
          <w:sz w:val="22"/>
        </w:rPr>
      </w:pPr>
    </w:p>
    <w:p>
      <w:pPr>
        <w:pStyle w:val="BodyText"/>
        <w:rPr>
          <w:b/>
          <w:i/>
          <w:sz w:val="22"/>
        </w:rPr>
      </w:pPr>
    </w:p>
    <w:p>
      <w:pPr>
        <w:pStyle w:val="BodyText"/>
        <w:spacing w:before="6"/>
        <w:rPr>
          <w:b/>
          <w:i/>
          <w:sz w:val="22"/>
        </w:rPr>
      </w:pPr>
    </w:p>
    <w:p>
      <w:pPr>
        <w:pStyle w:val="BodyText"/>
        <w:spacing w:line="364" w:lineRule="auto"/>
        <w:ind w:left="101" w:right="386"/>
        <w:jc w:val="both"/>
      </w:pPr>
      <w:r>
        <w:rPr/>
        <w:t>El tipo de empleo en el que se ven involucrados los migrantes,  en  el  lugar  de destino, es debido a que a los nativos no les gusta realizar trabajos poco calificados como obrero, agricultor ya sea por el esfuerzo requerido, por los bajos salarios o por la marginación de dicha actividad (Figura</w:t>
      </w:r>
      <w:r>
        <w:rPr>
          <w:spacing w:val="47"/>
        </w:rPr>
        <w:t> </w:t>
      </w:r>
      <w:r>
        <w:rPr/>
        <w:t>6).</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6"/>
        <w:rPr>
          <w:sz w:val="18"/>
        </w:rPr>
      </w:pPr>
    </w:p>
    <w:p>
      <w:pPr>
        <w:pStyle w:val="Heading4"/>
        <w:spacing w:before="74"/>
        <w:ind w:left="2059" w:right="102"/>
      </w:pPr>
      <w:r>
        <w:rPr/>
        <w:t>Figura 6.  Participación por tipo de</w:t>
      </w:r>
      <w:r>
        <w:rPr>
          <w:spacing w:val="50"/>
        </w:rPr>
        <w:t> </w:t>
      </w:r>
      <w:r>
        <w:rPr/>
        <w:t>actividad</w:t>
      </w:r>
    </w:p>
    <w:p>
      <w:pPr>
        <w:pStyle w:val="BodyText"/>
        <w:rPr>
          <w:b/>
          <w:sz w:val="29"/>
        </w:rPr>
      </w:pPr>
      <w:r>
        <w:rPr/>
        <w:pict>
          <v:group style="position:absolute;margin-left:70.680pt;margin-top:18.667284pt;width:423.5pt;height:177.75pt;mso-position-horizontal-relative:page;mso-position-vertical-relative:paragraph;z-index:17224;mso-wrap-distance-left:0;mso-wrap-distance-right:0" coordorigin="1414,373" coordsize="8470,3555">
            <v:line style="position:absolute" from="4171,1133" to="4193,1133" stroked="true" strokeweight=".12pt" strokecolor="#6f568c"/>
            <v:line style="position:absolute" from="4147,1167" to="4193,1167" stroked="true" strokeweight=".12pt" strokecolor="#2c2238"/>
            <v:line style="position:absolute" from="4147,1169" to="4193,1169" stroked="true" strokeweight=".12pt" strokecolor="#2c2238"/>
            <v:line style="position:absolute" from="4150,1188" to="4193,1188" stroked="true" strokeweight=".12pt" strokecolor="#2c2238"/>
            <v:line style="position:absolute" from="4150,1191" to="4193,1191" stroked="true" strokeweight=".12pt" strokecolor="#2c2238"/>
            <v:line style="position:absolute" from="4150,1193" to="4193,1193" stroked="true" strokeweight=".12pt" strokecolor="#2c2238"/>
            <v:line style="position:absolute" from="4152,1212" to="4193,1212" stroked="true" strokeweight=".12pt" strokecolor="#2c2238"/>
            <v:line style="position:absolute" from="4152,1215" to="4193,1215" stroked="true" strokeweight=".12pt" strokecolor="#2c2238"/>
            <v:line style="position:absolute" from="4152,1217" to="4193,1217" stroked="true" strokeweight=".12pt" strokecolor="#2c2238"/>
            <v:line style="position:absolute" from="4154,1239" to="4193,1239" stroked="true" strokeweight=".12pt" strokecolor="#2c2238"/>
            <v:line style="position:absolute" from="4154,1241" to="4193,1241" stroked="true" strokeweight=".12pt" strokecolor="#2c2238"/>
            <v:line style="position:absolute" from="4154,1244" to="4193,1244" stroked="true" strokeweight=".12pt" strokecolor="#2c2238"/>
            <v:line style="position:absolute" from="4157,1263" to="4193,1263" stroked="true" strokeweight=".12pt" strokecolor="#2c2238"/>
            <v:line style="position:absolute" from="4157,1265" to="4193,1265" stroked="true" strokeweight=".12pt" strokecolor="#2c2238"/>
            <v:line style="position:absolute" from="4157,1268" to="4193,1268" stroked="true" strokeweight=".12pt" strokecolor="#2c2238"/>
            <v:line style="position:absolute" from="4159,1284" to="4193,1284" stroked="true" strokeweight=".12pt" strokecolor="#2c2238"/>
            <v:line style="position:absolute" from="4159,1287" to="4193,1287" stroked="true" strokeweight=".12pt" strokecolor="#2c2238"/>
            <v:line style="position:absolute" from="4159,1289" to="4193,1289" stroked="true" strokeweight=".12pt" strokecolor="#2c2238"/>
            <v:shape style="position:absolute;left:3694;top:1120;width:497;height:1277" type="#_x0000_t75" stroked="false">
              <v:imagedata r:id="rId507" o:title=""/>
            </v:shape>
            <v:rect style="position:absolute;left:2446;top:3575;width:106;height:106" filled="true" fillcolor="#4471a6" stroked="false">
              <v:fill type="solid"/>
            </v:rect>
            <v:rect style="position:absolute;left:3389;top:3575;width:106;height:106" filled="true" fillcolor="#a94542" stroked="false">
              <v:fill type="solid"/>
            </v:rect>
            <v:shape style="position:absolute;left:1414;top:374;width:2777;height:3555" coordorigin="1414,374" coordsize="2777,3555" path="m4190,374l1421,374,1416,376,1414,381,1414,3921,1416,3926,1421,3928,4190,3928,4190,3921,1428,3921,1421,3914,1428,3914,1428,388,1421,388,1428,381,4190,381,4190,374xm1428,3914l1421,3914,1428,3921,1428,3914xm4190,3914l1428,3914,1428,3921,4190,3921,4190,3914xm1428,381l1421,388,1428,388,1428,381xm4190,381l1428,381,1428,388,4190,388,4190,381xe" filled="true" fillcolor="#858585" stroked="false">
              <v:path arrowok="t"/>
              <v:fill type="solid"/>
            </v:shape>
            <v:shape style="position:absolute;left:4190;top:806;width:3252;height:2201" type="#_x0000_t75" stroked="false">
              <v:imagedata r:id="rId508" o:title=""/>
            </v:shape>
            <v:rect style="position:absolute;left:4634;top:3575;width:106;height:106" filled="true" fillcolor="#88a44e" stroked="false">
              <v:fill type="solid"/>
            </v:rect>
            <v:rect style="position:absolute;left:5568;top:3575;width:108;height:106" filled="true" fillcolor="#70578e" stroked="false">
              <v:fill type="solid"/>
            </v:rect>
            <v:rect style="position:absolute;left:6792;top:3575;width:108;height:106" filled="true" fillcolor="#4097ae" stroked="false">
              <v:fill type="solid"/>
            </v:rect>
            <v:line style="position:absolute" from="4190,3921" to="8378,3921" stroked="true" strokeweight=".72pt" strokecolor="#858585"/>
            <v:line style="position:absolute" from="4190,381" to="8378,381" stroked="true" strokeweight=".72pt" strokecolor="#858585"/>
            <v:rect style="position:absolute;left:8378;top:381;width:1495;height:3540" filled="true" fillcolor="#ffffff" stroked="false">
              <v:fill type="solid"/>
            </v:rect>
            <v:shape style="position:absolute;left:8378;top:374;width:1505;height:3555" coordorigin="8378,374" coordsize="1505,3555" path="m9866,3914l8378,3914,8378,3928,9874,3928,9881,3926,9883,3921,9866,3921,9866,3914xm9866,381l9866,3921,9874,3914,9883,3914,9883,388,9874,388,9866,381xm9883,3914l9874,3914,9866,3921,9883,3921,9883,3914xm9874,374l8378,374,8378,388,9866,388,9866,381,9883,381,9881,376,9874,374xm9883,381l9866,381,9874,388,9883,388,9883,381xe" filled="true" fillcolor="#858585" stroked="false">
              <v:path arrowok="t"/>
              <v:fill type="solid"/>
            </v:shape>
            <v:shape style="position:absolute;left:4166;top:703;width:344;height:194" type="#_x0000_t202" filled="false" stroked="false">
              <v:textbox inset="0,0,0,0">
                <w:txbxContent>
                  <w:p>
                    <w:pPr>
                      <w:spacing w:line="194" w:lineRule="exact" w:before="0"/>
                      <w:ind w:left="0" w:right="-13" w:firstLine="0"/>
                      <w:jc w:val="left"/>
                      <w:rPr>
                        <w:rFonts w:ascii="Calibri"/>
                        <w:sz w:val="19"/>
                      </w:rPr>
                    </w:pPr>
                    <w:r>
                      <w:rPr>
                        <w:rFonts w:ascii="Calibri"/>
                        <w:sz w:val="19"/>
                      </w:rPr>
                      <w:t>11.2</w:t>
                    </w:r>
                  </w:p>
                </w:txbxContent>
              </v:textbox>
              <w10:wrap type="none"/>
            </v:shape>
            <v:shape style="position:absolute;left:4927;top:567;width:727;height:194" type="#_x0000_t202" filled="false" stroked="false">
              <v:textbox inset="0,0,0,0">
                <w:txbxContent>
                  <w:p>
                    <w:pPr>
                      <w:tabs>
                        <w:tab w:pos="482" w:val="left" w:leader="none"/>
                      </w:tabs>
                      <w:spacing w:line="194" w:lineRule="exact" w:before="0"/>
                      <w:ind w:left="0" w:right="0" w:firstLine="0"/>
                      <w:jc w:val="left"/>
                      <w:rPr>
                        <w:rFonts w:ascii="Calibri"/>
                        <w:sz w:val="19"/>
                      </w:rPr>
                    </w:pPr>
                    <w:r>
                      <w:rPr>
                        <w:rFonts w:ascii="Calibri"/>
                        <w:sz w:val="19"/>
                      </w:rPr>
                      <w:t>4.4</w:t>
                      <w:tab/>
                    </w:r>
                    <w:r>
                      <w:rPr>
                        <w:rFonts w:ascii="Calibri"/>
                        <w:spacing w:val="-1"/>
                        <w:sz w:val="19"/>
                      </w:rPr>
                      <w:t>2.2</w:t>
                    </w:r>
                  </w:p>
                </w:txbxContent>
              </v:textbox>
              <w10:wrap type="none"/>
            </v:shape>
            <v:shape style="position:absolute;left:6662;top:715;width:344;height:194" type="#_x0000_t202" filled="false" stroked="false">
              <v:textbox inset="0,0,0,0">
                <w:txbxContent>
                  <w:p>
                    <w:pPr>
                      <w:spacing w:line="194" w:lineRule="exact" w:before="0"/>
                      <w:ind w:left="0" w:right="-13" w:firstLine="0"/>
                      <w:jc w:val="left"/>
                      <w:rPr>
                        <w:rFonts w:ascii="Calibri"/>
                        <w:sz w:val="19"/>
                      </w:rPr>
                    </w:pPr>
                    <w:r>
                      <w:rPr>
                        <w:rFonts w:ascii="Calibri"/>
                        <w:sz w:val="19"/>
                      </w:rPr>
                      <w:t>26.7</w:t>
                    </w:r>
                  </w:p>
                </w:txbxContent>
              </v:textbox>
              <w10:wrap type="none"/>
            </v:shape>
            <v:shape style="position:absolute;left:3355;top:1294;width:344;height:194" type="#_x0000_t202" filled="false" stroked="false">
              <v:textbox inset="0,0,0,0">
                <w:txbxContent>
                  <w:p>
                    <w:pPr>
                      <w:spacing w:line="194" w:lineRule="exact" w:before="0"/>
                      <w:ind w:left="0" w:right="-13" w:firstLine="0"/>
                      <w:jc w:val="left"/>
                      <w:rPr>
                        <w:rFonts w:ascii="Calibri"/>
                        <w:sz w:val="19"/>
                      </w:rPr>
                    </w:pPr>
                    <w:r>
                      <w:rPr>
                        <w:rFonts w:ascii="Calibri"/>
                        <w:sz w:val="19"/>
                      </w:rPr>
                      <w:t>17.7</w:t>
                    </w:r>
                  </w:p>
                </w:txbxContent>
              </v:textbox>
              <w10:wrap type="none"/>
            </v:shape>
            <v:shape style="position:absolute;left:5978;top:3046;width:344;height:194" type="#_x0000_t202" filled="false" stroked="false">
              <v:textbox inset="0,0,0,0">
                <w:txbxContent>
                  <w:p>
                    <w:pPr>
                      <w:spacing w:line="194" w:lineRule="exact" w:before="0"/>
                      <w:ind w:left="0" w:right="-13" w:firstLine="0"/>
                      <w:jc w:val="left"/>
                      <w:rPr>
                        <w:rFonts w:ascii="Calibri"/>
                        <w:sz w:val="19"/>
                      </w:rPr>
                    </w:pPr>
                    <w:r>
                      <w:rPr>
                        <w:rFonts w:ascii="Calibri"/>
                        <w:sz w:val="19"/>
                      </w:rPr>
                      <w:t>37.8</w:t>
                    </w:r>
                  </w:p>
                </w:txbxContent>
              </v:textbox>
              <w10:wrap type="none"/>
            </v:shape>
            <v:shape style="position:absolute;left:2599;top:3538;width:564;height:194" type="#_x0000_t202" filled="false" stroked="false">
              <v:textbox inset="0,0,0,0">
                <w:txbxContent>
                  <w:p>
                    <w:pPr>
                      <w:spacing w:line="194" w:lineRule="exact" w:before="0"/>
                      <w:ind w:left="0" w:right="-9" w:firstLine="0"/>
                      <w:jc w:val="left"/>
                      <w:rPr>
                        <w:rFonts w:ascii="Calibri"/>
                        <w:sz w:val="19"/>
                      </w:rPr>
                    </w:pPr>
                    <w:r>
                      <w:rPr>
                        <w:rFonts w:ascii="Calibri"/>
                        <w:sz w:val="19"/>
                      </w:rPr>
                      <w:t>Obrero</w:t>
                    </w:r>
                  </w:p>
                </w:txbxContent>
              </v:textbox>
              <w10:wrap type="none"/>
            </v:shape>
            <v:shape style="position:absolute;left:3542;top:3538;width:867;height:194" type="#_x0000_t202" filled="false" stroked="false">
              <v:textbox inset="0,0,0,0">
                <w:txbxContent>
                  <w:p>
                    <w:pPr>
                      <w:spacing w:line="194" w:lineRule="exact" w:before="0"/>
                      <w:ind w:left="0" w:right="-1" w:firstLine="0"/>
                      <w:jc w:val="left"/>
                      <w:rPr>
                        <w:rFonts w:ascii="Calibri"/>
                        <w:sz w:val="19"/>
                      </w:rPr>
                    </w:pPr>
                    <w:r>
                      <w:rPr>
                        <w:rFonts w:ascii="Calibri"/>
                        <w:sz w:val="19"/>
                      </w:rPr>
                      <w:t>Restaurant</w:t>
                    </w:r>
                  </w:p>
                </w:txbxContent>
              </v:textbox>
              <w10:wrap type="none"/>
            </v:shape>
            <v:shape style="position:absolute;left:4788;top:3538;width:556;height:194" type="#_x0000_t202" filled="false" stroked="false">
              <v:textbox inset="0,0,0,0">
                <w:txbxContent>
                  <w:p>
                    <w:pPr>
                      <w:spacing w:line="194" w:lineRule="exact" w:before="0"/>
                      <w:ind w:left="0" w:right="-9" w:firstLine="0"/>
                      <w:jc w:val="left"/>
                      <w:rPr>
                        <w:rFonts w:ascii="Calibri"/>
                        <w:sz w:val="19"/>
                      </w:rPr>
                    </w:pPr>
                    <w:r>
                      <w:rPr>
                        <w:rFonts w:ascii="Calibri"/>
                        <w:sz w:val="19"/>
                      </w:rPr>
                      <w:t>Campo</w:t>
                    </w:r>
                  </w:p>
                </w:txbxContent>
              </v:textbox>
              <w10:wrap type="none"/>
            </v:shape>
            <v:shape style="position:absolute;left:5722;top:3538;width:847;height:194" type="#_x0000_t202" filled="false" stroked="false">
              <v:textbox inset="0,0,0,0">
                <w:txbxContent>
                  <w:p>
                    <w:pPr>
                      <w:spacing w:line="194" w:lineRule="exact" w:before="0"/>
                      <w:ind w:left="0" w:right="0" w:firstLine="0"/>
                      <w:jc w:val="left"/>
                      <w:rPr>
                        <w:rFonts w:ascii="Calibri"/>
                        <w:sz w:val="19"/>
                      </w:rPr>
                    </w:pPr>
                    <w:r>
                      <w:rPr>
                        <w:rFonts w:ascii="Calibri"/>
                        <w:sz w:val="19"/>
                      </w:rPr>
                      <w:t>Carpintero</w:t>
                    </w:r>
                  </w:p>
                </w:txbxContent>
              </v:textbox>
              <w10:wrap type="none"/>
            </v:shape>
            <v:shape style="position:absolute;left:6946;top:3538;width:739;height:194" type="#_x0000_t202" filled="false" stroked="false">
              <v:textbox inset="0,0,0,0">
                <w:txbxContent>
                  <w:p>
                    <w:pPr>
                      <w:spacing w:line="194" w:lineRule="exact" w:before="0"/>
                      <w:ind w:left="0" w:right="-4" w:firstLine="0"/>
                      <w:jc w:val="left"/>
                      <w:rPr>
                        <w:rFonts w:ascii="Calibri"/>
                        <w:sz w:val="19"/>
                      </w:rPr>
                    </w:pPr>
                    <w:r>
                      <w:rPr>
                        <w:rFonts w:ascii="Calibri"/>
                        <w:sz w:val="19"/>
                      </w:rPr>
                      <w:t>Jardinero</w:t>
                    </w:r>
                  </w:p>
                </w:txbxContent>
              </v:textbox>
              <w10:wrap type="none"/>
            </v:shape>
            <v:shape style="position:absolute;left:8064;top:3538;width:861;height:194" type="#_x0000_t202" filled="false" stroked="false">
              <v:textbox inset="0,0,0,0">
                <w:txbxContent>
                  <w:p>
                    <w:pPr>
                      <w:spacing w:line="194" w:lineRule="exact" w:before="0"/>
                      <w:ind w:left="0" w:right="-2" w:firstLine="0"/>
                      <w:jc w:val="left"/>
                      <w:rPr>
                        <w:rFonts w:ascii="Calibri" w:hAnsi="Calibri"/>
                        <w:sz w:val="19"/>
                      </w:rPr>
                    </w:pPr>
                    <w:r>
                      <w:rPr>
                        <w:rFonts w:ascii="Calibri" w:hAnsi="Calibri"/>
                        <w:sz w:val="19"/>
                      </w:rPr>
                      <w:t>Lavandería</w:t>
                    </w:r>
                  </w:p>
                </w:txbxContent>
              </v:textbox>
              <w10:wrap type="none"/>
            </v:shape>
            <w10:wrap type="topAndBottom"/>
          </v:group>
        </w:pict>
      </w:r>
    </w:p>
    <w:p>
      <w:pPr>
        <w:pStyle w:val="BodyText"/>
        <w:rPr>
          <w:b/>
          <w:sz w:val="12"/>
        </w:rPr>
      </w:pPr>
    </w:p>
    <w:p>
      <w:pPr>
        <w:spacing w:before="77"/>
        <w:ind w:left="103" w:right="102" w:firstLine="0"/>
        <w:jc w:val="left"/>
        <w:rPr>
          <w:sz w:val="21"/>
        </w:rPr>
      </w:pPr>
      <w:r>
        <w:rPr/>
        <w:pict>
          <v:rect style="position:absolute;margin-left:395.519989pt;margin-top:-26.021723pt;width:5.28pt;height:5.28pt;mso-position-horizontal-relative:page;mso-position-vertical-relative:paragraph;z-index:-696832" filled="true" fillcolor="#db833d" stroked="false">
            <v:fill type="solid"/>
            <w10:wrap type="none"/>
          </v:rect>
        </w:pict>
      </w:r>
      <w:r>
        <w:rPr>
          <w:sz w:val="21"/>
        </w:rPr>
        <w:t>Fuente: Elaboración propia en base a la información estadística de la encuesta,   2006</w:t>
      </w:r>
      <w:r>
        <w:rPr>
          <w:color w:val="FF0000"/>
          <w:sz w:val="21"/>
        </w:rPr>
        <w:t>.</w:t>
      </w:r>
    </w:p>
    <w:p>
      <w:pPr>
        <w:pStyle w:val="BodyText"/>
        <w:spacing w:before="2"/>
        <w:rPr>
          <w:sz w:val="25"/>
        </w:rPr>
      </w:pPr>
    </w:p>
    <w:p>
      <w:pPr>
        <w:pStyle w:val="BodyText"/>
        <w:tabs>
          <w:tab w:pos="2621" w:val="left" w:leader="none"/>
          <w:tab w:pos="4436" w:val="left" w:leader="none"/>
        </w:tabs>
        <w:spacing w:before="74"/>
        <w:ind w:left="103" w:right="102"/>
      </w:pPr>
      <w:r>
        <w:rPr/>
        <w:t>Al  analizar</w:t>
      </w:r>
      <w:r>
        <w:rPr>
          <w:spacing w:val="59"/>
        </w:rPr>
        <w:t> </w:t>
      </w:r>
      <w:r>
        <w:rPr/>
        <w:t>por</w:t>
      </w:r>
      <w:r>
        <w:rPr>
          <w:spacing w:val="56"/>
        </w:rPr>
        <w:t> </w:t>
      </w:r>
      <w:r>
        <w:rPr/>
        <w:t>sexo,</w:t>
        <w:tab/>
        <w:t>el</w:t>
      </w:r>
      <w:r>
        <w:rPr>
          <w:spacing w:val="61"/>
        </w:rPr>
        <w:t> </w:t>
      </w:r>
      <w:r>
        <w:rPr/>
        <w:t>empleo</w:t>
      </w:r>
      <w:r>
        <w:rPr>
          <w:spacing w:val="62"/>
        </w:rPr>
        <w:t> </w:t>
      </w:r>
      <w:r>
        <w:rPr/>
        <w:t>que</w:t>
        <w:tab/>
        <w:t>mas  predomina  entre  las  mujeres,  es</w:t>
      </w:r>
      <w:r>
        <w:rPr>
          <w:spacing w:val="57"/>
        </w:rPr>
        <w:t> </w:t>
      </w:r>
      <w:r>
        <w:rPr/>
        <w:t>en</w:t>
      </w:r>
    </w:p>
    <w:p>
      <w:pPr>
        <w:pStyle w:val="BodyText"/>
        <w:spacing w:line="364" w:lineRule="auto" w:before="136"/>
        <w:ind w:left="103" w:right="383"/>
        <w:jc w:val="both"/>
      </w:pPr>
      <w:r>
        <w:rPr/>
        <w:t>restaurant y campo (33.3%); en fábricas y empacadoras (28.6%); para lavanderías 4.8% del total. Los hombres tienen mayor diversidad, ya que están presentes en restaurantes (41.7%), obreros (25%), carpinteros (20.8%), en jardinería (8.3%) y en</w:t>
      </w:r>
    </w:p>
    <w:p>
      <w:pPr>
        <w:pStyle w:val="BodyText"/>
        <w:spacing w:before="7"/>
        <w:ind w:left="103"/>
        <w:jc w:val="both"/>
      </w:pPr>
      <w:r>
        <w:rPr/>
        <w:t>el campo (4.2%) (Figura 7).</w:t>
      </w:r>
    </w:p>
    <w:p>
      <w:pPr>
        <w:pStyle w:val="BodyText"/>
        <w:spacing w:before="5"/>
        <w:rPr>
          <w:sz w:val="25"/>
        </w:rPr>
      </w:pPr>
    </w:p>
    <w:p>
      <w:pPr>
        <w:pStyle w:val="Heading4"/>
        <w:spacing w:before="74"/>
        <w:ind w:left="1863" w:right="102"/>
      </w:pPr>
      <w:r>
        <w:rPr/>
        <w:t>Figura 7. Actividades de los migrantes por</w:t>
      </w:r>
      <w:r>
        <w:rPr>
          <w:spacing w:val="56"/>
        </w:rPr>
        <w:t> </w:t>
      </w:r>
      <w:r>
        <w:rPr/>
        <w:t>sexo</w:t>
      </w:r>
    </w:p>
    <w:p>
      <w:pPr>
        <w:pStyle w:val="BodyText"/>
        <w:spacing w:before="3"/>
        <w:rPr>
          <w:b/>
          <w:sz w:val="29"/>
        </w:rPr>
      </w:pPr>
      <w:r>
        <w:rPr/>
        <w:pict>
          <v:group style="position:absolute;margin-left:70.680pt;margin-top:18.787453pt;width:441.6pt;height:188.55pt;mso-position-horizontal-relative:page;mso-position-vertical-relative:paragraph;z-index:17608;mso-wrap-distance-left:0;mso-wrap-distance-right:0" coordorigin="1414,376" coordsize="8832,3771">
            <v:shape style="position:absolute;left:2196;top:645;width:1994;height:2834" type="#_x0000_t75" stroked="false">
              <v:imagedata r:id="rId509" o:title=""/>
            </v:shape>
            <v:line style="position:absolute" from="2146,3472" to="2206,3472" stroked="true" strokeweight=".72pt" strokecolor="#858585"/>
            <v:line style="position:absolute" from="2146,3182" to="2206,3182" stroked="true" strokeweight=".72pt" strokecolor="#858585"/>
            <v:line style="position:absolute" from="2146,2889" to="2206,2889" stroked="true" strokeweight=".72pt" strokecolor="#858585"/>
            <v:line style="position:absolute" from="2146,2596" to="2206,2596" stroked="true" strokeweight=".72pt" strokecolor="#858585"/>
            <v:line style="position:absolute" from="2146,2306" to="2206,2306" stroked="true" strokeweight=".72pt" strokecolor="#858585"/>
            <v:line style="position:absolute" from="2146,2013" to="2206,2013" stroked="true" strokeweight=".72pt" strokecolor="#858585"/>
            <v:line style="position:absolute" from="2146,1720" to="2206,1720" stroked="true" strokeweight=".72pt" strokecolor="#858585"/>
            <v:line style="position:absolute" from="2146,1430" to="2206,1430" stroked="true" strokeweight=".72pt" strokecolor="#858585"/>
            <v:line style="position:absolute" from="2146,1137" to="2206,1137" stroked="true" strokeweight=".72pt" strokecolor="#858585"/>
            <v:line style="position:absolute" from="2146,844" to="2206,844" stroked="true" strokeweight=".72pt" strokecolor="#858585"/>
            <v:line style="position:absolute" from="2198,3503" to="2213,3503" stroked="true" strokeweight="3.12pt" strokecolor="#858585"/>
            <v:line style="position:absolute" from="3228,3503" to="3245,3503" stroked="true" strokeweight="3.12pt" strokecolor="#858585"/>
            <v:shape style="position:absolute;left:1414;top:376;width:2777;height:3771" coordorigin="1414,376" coordsize="2777,3771" path="m4190,376l1416,376,1414,383,1414,4139,1416,4146,4190,4146,4190,4139,1428,4139,1421,4132,1428,4132,1428,390,1421,390,1428,383,4190,383,4190,376xm1428,4132l1421,4132,1428,4139,1428,4132xm4190,4132l1428,4132,1428,4139,4190,4139,4190,4132xm1428,383l1421,390,1428,390,1428,383xm4190,383l1428,383,1428,390,4190,390,4190,383xe" filled="true" fillcolor="#858585" stroked="false">
              <v:path arrowok="t"/>
              <v:fill type="solid"/>
            </v:shape>
            <v:line style="position:absolute" from="4258,3503" to="4272,3503" stroked="true" strokeweight="3.12pt" strokecolor="#858585"/>
            <v:line style="position:absolute" from="4190,4139" to="8378,4139" stroked="true" strokeweight=".72pt" strokecolor="#858585"/>
            <v:line style="position:absolute" from="4190,383" to="8378,383" stroked="true" strokeweight=".72pt" strokecolor="#858585"/>
            <v:shape style="position:absolute;left:4190;top:645;width:4450;height:17" type="#_x0000_t75" stroked="false">
              <v:imagedata r:id="rId510" o:title=""/>
            </v:shape>
            <v:shape style="position:absolute;left:4190;top:935;width:4450;height:19" type="#_x0000_t75" stroked="false">
              <v:imagedata r:id="rId511" o:title=""/>
            </v:shape>
            <v:shape style="position:absolute;left:4190;top:1228;width:4450;height:19" type="#_x0000_t75" stroked="false">
              <v:imagedata r:id="rId512" o:title=""/>
            </v:shape>
            <v:line style="position:absolute" from="5287,3503" to="5302,3503" stroked="true" strokeweight="3.12pt" strokecolor="#858585"/>
            <v:line style="position:absolute" from="6314,3503" to="6329,3503" stroked="true" strokeweight="3.12pt" strokecolor="#858585"/>
            <v:line style="position:absolute" from="7346,3503" to="7361,3503" stroked="true" strokeweight="3.12pt" strokecolor="#858585"/>
            <v:line style="position:absolute" from="8374,3503" to="8378,3503" stroked="true" strokeweight="3.12pt" strokecolor="#858585"/>
            <v:shape style="position:absolute;left:4190;top:1394;width:4452;height:2086" type="#_x0000_t75" stroked="false">
              <v:imagedata r:id="rId513" o:title=""/>
            </v:shape>
            <v:line style="position:absolute" from="8378,3503" to="8388,3503" stroked="true" strokeweight="3.12pt" strokecolor="#858585"/>
            <v:rect style="position:absolute;left:9163;top:2032;width:108;height:106" filled="true" fillcolor="#4f80bc" stroked="false">
              <v:fill type="solid"/>
            </v:rect>
            <v:shape style="position:absolute;left:9163;top:2385;width:108;height:106" type="#_x0000_t75" stroked="false">
              <v:imagedata r:id="rId514" o:title=""/>
            </v:shape>
            <v:shape style="position:absolute;left:8378;top:376;width:1868;height:3771" coordorigin="8378,376" coordsize="1868,3771" path="m10229,4132l8378,4132,8378,4146,10243,4146,10246,4139,10229,4139,10229,4132xm10229,383l10229,4139,10236,4132,10246,4132,10246,390,10236,390,10229,383xm10246,4132l10236,4132,10229,4139,10246,4139,10246,4132xm10243,376l8378,376,8378,390,10229,390,10229,383,10246,383,10243,376xm10246,383l10229,383,10236,390,10246,390,10246,383xe" filled="true" fillcolor="#858585" stroked="false">
              <v:path arrowok="t"/>
              <v:fill type="solid"/>
            </v:shape>
            <v:shape style="position:absolute;left:1829;top:766;width:197;height:2822" type="#_x0000_t202" filled="false" stroked="false">
              <v:textbox inset="0,0,0,0">
                <w:txbxContent>
                  <w:p>
                    <w:pPr>
                      <w:spacing w:line="196" w:lineRule="exact" w:before="0"/>
                      <w:ind w:left="0" w:right="-16" w:firstLine="0"/>
                      <w:jc w:val="left"/>
                      <w:rPr>
                        <w:rFonts w:ascii="Calibri"/>
                        <w:sz w:val="19"/>
                      </w:rPr>
                    </w:pPr>
                    <w:r>
                      <w:rPr>
                        <w:rFonts w:ascii="Calibri"/>
                        <w:sz w:val="19"/>
                      </w:rPr>
                      <w:t>45</w:t>
                    </w:r>
                  </w:p>
                  <w:p>
                    <w:pPr>
                      <w:spacing w:before="61"/>
                      <w:ind w:left="0" w:right="-16" w:firstLine="0"/>
                      <w:jc w:val="left"/>
                      <w:rPr>
                        <w:rFonts w:ascii="Calibri"/>
                        <w:sz w:val="19"/>
                      </w:rPr>
                    </w:pPr>
                    <w:r>
                      <w:rPr>
                        <w:rFonts w:ascii="Calibri"/>
                        <w:sz w:val="19"/>
                      </w:rPr>
                      <w:t>40</w:t>
                    </w:r>
                  </w:p>
                  <w:p>
                    <w:pPr>
                      <w:spacing w:before="58"/>
                      <w:ind w:left="0" w:right="-16" w:firstLine="0"/>
                      <w:jc w:val="left"/>
                      <w:rPr>
                        <w:rFonts w:ascii="Calibri"/>
                        <w:sz w:val="19"/>
                      </w:rPr>
                    </w:pPr>
                    <w:r>
                      <w:rPr>
                        <w:rFonts w:ascii="Calibri"/>
                        <w:sz w:val="19"/>
                      </w:rPr>
                      <w:t>35</w:t>
                    </w:r>
                  </w:p>
                  <w:p>
                    <w:pPr>
                      <w:spacing w:before="61"/>
                      <w:ind w:left="0" w:right="-16" w:firstLine="0"/>
                      <w:jc w:val="left"/>
                      <w:rPr>
                        <w:rFonts w:ascii="Calibri"/>
                        <w:sz w:val="19"/>
                      </w:rPr>
                    </w:pPr>
                    <w:r>
                      <w:rPr>
                        <w:rFonts w:ascii="Calibri"/>
                        <w:sz w:val="19"/>
                      </w:rPr>
                      <w:t>30</w:t>
                    </w:r>
                  </w:p>
                  <w:p>
                    <w:pPr>
                      <w:spacing w:before="61"/>
                      <w:ind w:left="0" w:right="-16" w:firstLine="0"/>
                      <w:jc w:val="left"/>
                      <w:rPr>
                        <w:rFonts w:ascii="Calibri"/>
                        <w:sz w:val="19"/>
                      </w:rPr>
                    </w:pPr>
                    <w:r>
                      <w:rPr>
                        <w:rFonts w:ascii="Calibri"/>
                        <w:sz w:val="19"/>
                      </w:rPr>
                      <w:t>25</w:t>
                    </w:r>
                  </w:p>
                  <w:p>
                    <w:pPr>
                      <w:spacing w:before="58"/>
                      <w:ind w:left="0" w:right="-16" w:firstLine="0"/>
                      <w:jc w:val="left"/>
                      <w:rPr>
                        <w:rFonts w:ascii="Calibri"/>
                        <w:sz w:val="19"/>
                      </w:rPr>
                    </w:pPr>
                    <w:r>
                      <w:rPr>
                        <w:rFonts w:ascii="Calibri"/>
                        <w:sz w:val="19"/>
                      </w:rPr>
                      <w:t>20</w:t>
                    </w:r>
                  </w:p>
                  <w:p>
                    <w:pPr>
                      <w:spacing w:before="61"/>
                      <w:ind w:left="0" w:right="-16" w:firstLine="0"/>
                      <w:jc w:val="left"/>
                      <w:rPr>
                        <w:rFonts w:ascii="Calibri"/>
                        <w:sz w:val="19"/>
                      </w:rPr>
                    </w:pPr>
                    <w:r>
                      <w:rPr>
                        <w:rFonts w:ascii="Calibri"/>
                        <w:sz w:val="19"/>
                      </w:rPr>
                      <w:t>15</w:t>
                    </w:r>
                  </w:p>
                  <w:p>
                    <w:pPr>
                      <w:spacing w:before="58"/>
                      <w:ind w:left="0" w:right="-16" w:firstLine="0"/>
                      <w:jc w:val="left"/>
                      <w:rPr>
                        <w:rFonts w:ascii="Calibri"/>
                        <w:sz w:val="19"/>
                      </w:rPr>
                    </w:pPr>
                    <w:r>
                      <w:rPr>
                        <w:rFonts w:ascii="Calibri"/>
                        <w:sz w:val="19"/>
                      </w:rPr>
                      <w:t>10</w:t>
                    </w:r>
                  </w:p>
                  <w:p>
                    <w:pPr>
                      <w:spacing w:before="61"/>
                      <w:ind w:left="98" w:right="0" w:firstLine="0"/>
                      <w:jc w:val="left"/>
                      <w:rPr>
                        <w:rFonts w:ascii="Calibri"/>
                        <w:sz w:val="19"/>
                      </w:rPr>
                    </w:pPr>
                    <w:r>
                      <w:rPr>
                        <w:rFonts w:ascii="Calibri"/>
                        <w:w w:val="102"/>
                        <w:sz w:val="19"/>
                      </w:rPr>
                      <w:t>5</w:t>
                    </w:r>
                  </w:p>
                  <w:p>
                    <w:pPr>
                      <w:spacing w:line="229" w:lineRule="exact" w:before="61"/>
                      <w:ind w:left="98" w:right="0" w:firstLine="0"/>
                      <w:jc w:val="left"/>
                      <w:rPr>
                        <w:rFonts w:ascii="Calibri"/>
                        <w:sz w:val="19"/>
                      </w:rPr>
                    </w:pPr>
                    <w:r>
                      <w:rPr>
                        <w:rFonts w:ascii="Calibri"/>
                        <w:w w:val="102"/>
                        <w:sz w:val="19"/>
                      </w:rPr>
                      <w:t>0</w:t>
                    </w:r>
                  </w:p>
                </w:txbxContent>
              </v:textbox>
              <w10:wrap type="none"/>
            </v:shape>
            <v:shape style="position:absolute;left:3509;top:696;width:344;height:194" type="#_x0000_t202" filled="false" stroked="false">
              <v:textbox inset="0,0,0,0">
                <w:txbxContent>
                  <w:p>
                    <w:pPr>
                      <w:spacing w:line="194" w:lineRule="exact" w:before="0"/>
                      <w:ind w:left="0" w:right="-13" w:firstLine="0"/>
                      <w:jc w:val="left"/>
                      <w:rPr>
                        <w:rFonts w:ascii="Calibri"/>
                        <w:sz w:val="19"/>
                      </w:rPr>
                    </w:pPr>
                    <w:r>
                      <w:rPr>
                        <w:rFonts w:ascii="Calibri"/>
                        <w:sz w:val="19"/>
                      </w:rPr>
                      <w:t>41.7</w:t>
                    </w:r>
                  </w:p>
                </w:txbxContent>
              </v:textbox>
              <w10:wrap type="none"/>
            </v:shape>
            <v:shape style="position:absolute;left:3802;top:1186;width:344;height:194" type="#_x0000_t202" filled="false" stroked="false">
              <v:textbox inset="0,0,0,0">
                <w:txbxContent>
                  <w:p>
                    <w:pPr>
                      <w:spacing w:line="194" w:lineRule="exact" w:before="0"/>
                      <w:ind w:left="0" w:right="-13" w:firstLine="0"/>
                      <w:jc w:val="left"/>
                      <w:rPr>
                        <w:rFonts w:ascii="Calibri"/>
                        <w:sz w:val="19"/>
                      </w:rPr>
                    </w:pPr>
                    <w:r>
                      <w:rPr>
                        <w:rFonts w:ascii="Calibri"/>
                        <w:sz w:val="19"/>
                      </w:rPr>
                      <w:t>33.3</w:t>
                    </w:r>
                  </w:p>
                </w:txbxContent>
              </v:textbox>
              <w10:wrap type="none"/>
            </v:shape>
            <v:shape style="position:absolute;left:4831;top:1186;width:344;height:194" type="#_x0000_t202" filled="false" stroked="false">
              <v:textbox inset="0,0,0,0">
                <w:txbxContent>
                  <w:p>
                    <w:pPr>
                      <w:spacing w:line="194" w:lineRule="exact" w:before="0"/>
                      <w:ind w:left="0" w:right="-13" w:firstLine="0"/>
                      <w:jc w:val="left"/>
                      <w:rPr>
                        <w:rFonts w:ascii="Calibri"/>
                        <w:sz w:val="19"/>
                      </w:rPr>
                    </w:pPr>
                    <w:r>
                      <w:rPr>
                        <w:rFonts w:ascii="Calibri"/>
                        <w:sz w:val="19"/>
                      </w:rPr>
                      <w:t>33.3</w:t>
                    </w:r>
                  </w:p>
                </w:txbxContent>
              </v:textbox>
              <w10:wrap type="none"/>
            </v:shape>
            <v:shape style="position:absolute;left:2774;top:1459;width:344;height:194" type="#_x0000_t202" filled="false" stroked="false">
              <v:textbox inset="0,0,0,0">
                <w:txbxContent>
                  <w:p>
                    <w:pPr>
                      <w:spacing w:line="194" w:lineRule="exact" w:before="0"/>
                      <w:ind w:left="0" w:right="-13" w:firstLine="0"/>
                      <w:jc w:val="left"/>
                      <w:rPr>
                        <w:rFonts w:ascii="Calibri"/>
                        <w:sz w:val="19"/>
                      </w:rPr>
                    </w:pPr>
                    <w:r>
                      <w:rPr>
                        <w:rFonts w:ascii="Calibri"/>
                        <w:sz w:val="19"/>
                      </w:rPr>
                      <w:t>28.6</w:t>
                    </w:r>
                  </w:p>
                </w:txbxContent>
              </v:textbox>
              <w10:wrap type="none"/>
            </v:shape>
            <v:shape style="position:absolute;left:2551;top:1671;width:197;height:194" type="#_x0000_t202" filled="false" stroked="false">
              <v:textbox inset="0,0,0,0">
                <w:txbxContent>
                  <w:p>
                    <w:pPr>
                      <w:spacing w:line="194" w:lineRule="exact" w:before="0"/>
                      <w:ind w:left="0" w:right="-16" w:firstLine="0"/>
                      <w:jc w:val="left"/>
                      <w:rPr>
                        <w:rFonts w:ascii="Calibri"/>
                        <w:sz w:val="19"/>
                      </w:rPr>
                    </w:pPr>
                    <w:r>
                      <w:rPr>
                        <w:rFonts w:ascii="Calibri"/>
                        <w:sz w:val="19"/>
                      </w:rPr>
                      <w:t>25</w:t>
                    </w:r>
                  </w:p>
                </w:txbxContent>
              </v:textbox>
              <w10:wrap type="none"/>
            </v:shape>
            <v:shape style="position:absolute;left:5566;top:1915;width:344;height:194" type="#_x0000_t202" filled="false" stroked="false">
              <v:textbox inset="0,0,0,0">
                <w:txbxContent>
                  <w:p>
                    <w:pPr>
                      <w:spacing w:line="194" w:lineRule="exact" w:before="0"/>
                      <w:ind w:left="0" w:right="-13" w:firstLine="0"/>
                      <w:jc w:val="left"/>
                      <w:rPr>
                        <w:rFonts w:ascii="Calibri"/>
                        <w:sz w:val="19"/>
                      </w:rPr>
                    </w:pPr>
                    <w:r>
                      <w:rPr>
                        <w:rFonts w:ascii="Calibri"/>
                        <w:sz w:val="19"/>
                      </w:rPr>
                      <w:t>20.8</w:t>
                    </w:r>
                  </w:p>
                </w:txbxContent>
              </v:textbox>
              <w10:wrap type="none"/>
            </v:shape>
            <v:shape style="position:absolute;left:9317;top:1995;width:722;height:547" type="#_x0000_t202" filled="false" stroked="false">
              <v:textbox inset="0,0,0,0">
                <w:txbxContent>
                  <w:p>
                    <w:pPr>
                      <w:spacing w:line="196" w:lineRule="exact" w:before="0"/>
                      <w:ind w:left="0" w:right="-4" w:firstLine="0"/>
                      <w:jc w:val="left"/>
                      <w:rPr>
                        <w:rFonts w:ascii="Calibri"/>
                        <w:sz w:val="19"/>
                      </w:rPr>
                    </w:pPr>
                    <w:r>
                      <w:rPr>
                        <w:rFonts w:ascii="Calibri"/>
                        <w:sz w:val="19"/>
                      </w:rPr>
                      <w:t>Hombres</w:t>
                    </w:r>
                  </w:p>
                  <w:p>
                    <w:pPr>
                      <w:spacing w:line="229" w:lineRule="exact" w:before="121"/>
                      <w:ind w:left="0" w:right="-4" w:firstLine="0"/>
                      <w:jc w:val="left"/>
                      <w:rPr>
                        <w:rFonts w:ascii="Calibri"/>
                        <w:sz w:val="19"/>
                      </w:rPr>
                    </w:pPr>
                    <w:r>
                      <w:rPr>
                        <w:rFonts w:ascii="Calibri"/>
                        <w:sz w:val="19"/>
                      </w:rPr>
                      <w:t>Mujeres</w:t>
                    </w:r>
                  </w:p>
                </w:txbxContent>
              </v:textbox>
              <w10:wrap type="none"/>
            </v:shape>
            <v:shape style="position:absolute;left:6643;top:2645;width:247;height:194" type="#_x0000_t202" filled="false" stroked="false">
              <v:textbox inset="0,0,0,0">
                <w:txbxContent>
                  <w:p>
                    <w:pPr>
                      <w:spacing w:line="194" w:lineRule="exact" w:before="0"/>
                      <w:ind w:left="0" w:right="-14" w:firstLine="0"/>
                      <w:jc w:val="left"/>
                      <w:rPr>
                        <w:rFonts w:ascii="Calibri"/>
                        <w:sz w:val="19"/>
                      </w:rPr>
                    </w:pPr>
                    <w:r>
                      <w:rPr>
                        <w:rFonts w:ascii="Calibri"/>
                        <w:sz w:val="19"/>
                      </w:rPr>
                      <w:t>8.3</w:t>
                    </w:r>
                  </w:p>
                </w:txbxContent>
              </v:textbox>
              <w10:wrap type="none"/>
            </v:shape>
            <v:shape style="position:absolute;left:4586;top:2885;width:245;height:194" type="#_x0000_t202" filled="false" stroked="false">
              <v:textbox inset="0,0,0,0">
                <w:txbxContent>
                  <w:p>
                    <w:pPr>
                      <w:spacing w:line="194" w:lineRule="exact" w:before="0"/>
                      <w:ind w:left="0" w:right="-16" w:firstLine="0"/>
                      <w:jc w:val="left"/>
                      <w:rPr>
                        <w:rFonts w:ascii="Calibri"/>
                        <w:sz w:val="19"/>
                      </w:rPr>
                    </w:pPr>
                    <w:r>
                      <w:rPr>
                        <w:rFonts w:ascii="Calibri"/>
                        <w:sz w:val="19"/>
                      </w:rPr>
                      <w:t>4.2</w:t>
                    </w:r>
                  </w:p>
                </w:txbxContent>
              </v:textbox>
              <w10:wrap type="none"/>
            </v:shape>
            <v:shape style="position:absolute;left:7968;top:2849;width:245;height:194" type="#_x0000_t202" filled="false" stroked="false">
              <v:textbox inset="0,0,0,0">
                <w:txbxContent>
                  <w:p>
                    <w:pPr>
                      <w:spacing w:line="194" w:lineRule="exact" w:before="0"/>
                      <w:ind w:left="0" w:right="-16" w:firstLine="0"/>
                      <w:jc w:val="left"/>
                      <w:rPr>
                        <w:rFonts w:ascii="Calibri"/>
                        <w:sz w:val="19"/>
                      </w:rPr>
                    </w:pPr>
                    <w:r>
                      <w:rPr>
                        <w:rFonts w:ascii="Calibri"/>
                        <w:sz w:val="19"/>
                      </w:rPr>
                      <w:t>4.8</w:t>
                    </w:r>
                  </w:p>
                </w:txbxContent>
              </v:textbox>
              <w10:wrap type="none"/>
            </v:shape>
            <v:shape style="position:absolute;left:5981;top:3130;width:99;height:194" type="#_x0000_t202" filled="false" stroked="false">
              <v:textbox inset="0,0,0,0">
                <w:txbxContent>
                  <w:p>
                    <w:pPr>
                      <w:spacing w:line="194" w:lineRule="exact" w:before="0"/>
                      <w:ind w:left="0" w:right="0" w:firstLine="0"/>
                      <w:jc w:val="left"/>
                      <w:rPr>
                        <w:rFonts w:ascii="Calibri"/>
                        <w:sz w:val="19"/>
                      </w:rPr>
                    </w:pPr>
                    <w:r>
                      <w:rPr>
                        <w:rFonts w:ascii="Calibri"/>
                        <w:w w:val="102"/>
                        <w:sz w:val="19"/>
                      </w:rPr>
                      <w:t>0</w:t>
                    </w:r>
                  </w:p>
                </w:txbxContent>
              </v:textbox>
              <w10:wrap type="none"/>
            </v:shape>
            <v:shape style="position:absolute;left:7010;top:3130;width:99;height:194" type="#_x0000_t202" filled="false" stroked="false">
              <v:textbox inset="0,0,0,0">
                <w:txbxContent>
                  <w:p>
                    <w:pPr>
                      <w:spacing w:line="194" w:lineRule="exact" w:before="0"/>
                      <w:ind w:left="0" w:right="0" w:firstLine="0"/>
                      <w:jc w:val="left"/>
                      <w:rPr>
                        <w:rFonts w:ascii="Calibri"/>
                        <w:sz w:val="19"/>
                      </w:rPr>
                    </w:pPr>
                    <w:r>
                      <w:rPr>
                        <w:rFonts w:ascii="Calibri"/>
                        <w:w w:val="102"/>
                        <w:sz w:val="19"/>
                      </w:rPr>
                      <w:t>0</w:t>
                    </w:r>
                  </w:p>
                </w:txbxContent>
              </v:textbox>
              <w10:wrap type="none"/>
            </v:shape>
            <v:shape style="position:absolute;left:7745;top:3130;width:99;height:194" type="#_x0000_t202" filled="false" stroked="false">
              <v:textbox inset="0,0,0,0">
                <w:txbxContent>
                  <w:p>
                    <w:pPr>
                      <w:spacing w:line="194" w:lineRule="exact" w:before="0"/>
                      <w:ind w:left="0" w:right="0" w:firstLine="0"/>
                      <w:jc w:val="left"/>
                      <w:rPr>
                        <w:rFonts w:ascii="Calibri"/>
                        <w:sz w:val="19"/>
                      </w:rPr>
                    </w:pPr>
                    <w:r>
                      <w:rPr>
                        <w:rFonts w:ascii="Calibri"/>
                        <w:w w:val="102"/>
                        <w:sz w:val="19"/>
                      </w:rPr>
                      <w:t>0</w:t>
                    </w:r>
                  </w:p>
                </w:txbxContent>
              </v:textbox>
              <w10:wrap type="none"/>
            </v:shape>
            <v:shape style="position:absolute;left:2438;top:3694;width:5858;height:194" type="#_x0000_t202" filled="false" stroked="false">
              <v:textbox inset="0,0,0,0">
                <w:txbxContent>
                  <w:p>
                    <w:pPr>
                      <w:tabs>
                        <w:tab w:pos="878" w:val="left" w:leader="none"/>
                        <w:tab w:pos="2063" w:val="left" w:leader="none"/>
                        <w:tab w:pos="2946" w:val="left" w:leader="none"/>
                        <w:tab w:pos="4029" w:val="left" w:leader="none"/>
                        <w:tab w:pos="4996" w:val="left" w:leader="none"/>
                      </w:tabs>
                      <w:spacing w:line="194" w:lineRule="exact" w:before="0"/>
                      <w:ind w:left="0" w:right="0" w:firstLine="0"/>
                      <w:jc w:val="left"/>
                      <w:rPr>
                        <w:rFonts w:ascii="Calibri" w:hAnsi="Calibri"/>
                        <w:sz w:val="19"/>
                      </w:rPr>
                    </w:pPr>
                    <w:r>
                      <w:rPr>
                        <w:rFonts w:ascii="Calibri" w:hAnsi="Calibri"/>
                        <w:sz w:val="19"/>
                      </w:rPr>
                      <w:t>Obrero</w:t>
                      <w:tab/>
                      <w:t>Restaurant</w:t>
                      <w:tab/>
                      <w:t>Campo</w:t>
                      <w:tab/>
                      <w:t>Carpintero</w:t>
                      <w:tab/>
                      <w:t>Jardinero</w:t>
                      <w:tab/>
                      <w:t>Lavandería</w:t>
                    </w:r>
                  </w:p>
                </w:txbxContent>
              </v:textbox>
              <w10:wrap type="none"/>
            </v:shape>
            <w10:wrap type="topAndBottom"/>
          </v:group>
        </w:pict>
      </w:r>
    </w:p>
    <w:p>
      <w:pPr>
        <w:pStyle w:val="BodyText"/>
        <w:spacing w:before="2"/>
        <w:rPr>
          <w:b/>
          <w:sz w:val="12"/>
        </w:rPr>
      </w:pPr>
    </w:p>
    <w:p>
      <w:pPr>
        <w:spacing w:before="77"/>
        <w:ind w:left="103" w:right="102" w:firstLine="0"/>
        <w:jc w:val="left"/>
        <w:rPr>
          <w:sz w:val="21"/>
        </w:rPr>
      </w:pPr>
      <w:r>
        <w:rPr>
          <w:sz w:val="21"/>
        </w:rPr>
        <w:t>Fuente: Elaboración propia en base a la información estadística de la encuesta,   2006</w:t>
      </w:r>
      <w:r>
        <w:rPr>
          <w:color w:val="FF0000"/>
          <w:sz w:val="21"/>
        </w:rPr>
        <w:t>.</w:t>
      </w:r>
    </w:p>
    <w:p>
      <w:pPr>
        <w:spacing w:after="0"/>
        <w:jc w:val="left"/>
        <w:rPr>
          <w:sz w:val="21"/>
        </w:rPr>
        <w:sectPr>
          <w:footerReference w:type="default" r:id="rId506"/>
          <w:pgSz w:w="11900" w:h="16840"/>
          <w:pgMar w:footer="1676" w:header="0" w:top="1600" w:bottom="1860" w:left="1300" w:right="1280"/>
          <w:pgNumType w:start="360"/>
        </w:sectPr>
      </w:pPr>
    </w:p>
    <w:p>
      <w:pPr>
        <w:pStyle w:val="BodyText"/>
        <w:rPr>
          <w:sz w:val="20"/>
        </w:rPr>
      </w:pPr>
    </w:p>
    <w:p>
      <w:pPr>
        <w:pStyle w:val="BodyText"/>
        <w:spacing w:before="8"/>
        <w:rPr>
          <w:sz w:val="18"/>
        </w:rPr>
      </w:pPr>
    </w:p>
    <w:p>
      <w:pPr>
        <w:pStyle w:val="BodyText"/>
        <w:spacing w:line="364" w:lineRule="auto" w:before="74"/>
        <w:ind w:left="221" w:right="502"/>
        <w:jc w:val="both"/>
      </w:pPr>
      <w:r>
        <w:rPr/>
        <w:t>La mayor parte de los entrevistados de la muestra, se encuentran radicando en los estados de California (24.4%), Carolina del Norte, San Francisco  y Utah  (15.5%)  para ambos, Nueva Jersey y Nueva York (11.1%) y por último, los Ángeles (6.7%). Estos estados son los preferidos por los migrantes, porque la primera vez que emigraron tenían un pariente o algún conocido con quien llegar, los cuales les ayudaron a encontrar trabajo o los mantenían mientras lo  encontraban.  Además como en estos estados, la  mayoría son parientes o amigos, se sienten en familia y   se ayudan unos a otros en los problemas que se les </w:t>
      </w:r>
      <w:r>
        <w:rPr>
          <w:spacing w:val="7"/>
        </w:rPr>
        <w:t> </w:t>
      </w:r>
      <w:r>
        <w:rPr/>
        <w:t>presenten.</w:t>
      </w:r>
    </w:p>
    <w:p>
      <w:pPr>
        <w:pStyle w:val="BodyText"/>
        <w:rPr>
          <w:sz w:val="22"/>
        </w:rPr>
      </w:pPr>
    </w:p>
    <w:p>
      <w:pPr>
        <w:pStyle w:val="BodyText"/>
        <w:rPr>
          <w:sz w:val="22"/>
        </w:rPr>
      </w:pPr>
    </w:p>
    <w:p>
      <w:pPr>
        <w:pStyle w:val="BodyText"/>
        <w:spacing w:before="8"/>
        <w:rPr>
          <w:sz w:val="21"/>
        </w:rPr>
      </w:pPr>
    </w:p>
    <w:p>
      <w:pPr>
        <w:pStyle w:val="Heading5"/>
        <w:spacing w:before="1"/>
        <w:ind w:left="286"/>
        <w:jc w:val="both"/>
        <w:rPr>
          <w:i/>
        </w:rPr>
      </w:pPr>
      <w:r>
        <w:rPr>
          <w:i/>
        </w:rPr>
        <w:t>Ingresos de los migrantes en los Estados</w:t>
      </w:r>
      <w:r>
        <w:rPr>
          <w:i/>
          <w:spacing w:val="59"/>
        </w:rPr>
        <w:t> </w:t>
      </w:r>
      <w:r>
        <w:rPr>
          <w:i/>
        </w:rPr>
        <w:t>Unidos</w:t>
      </w:r>
    </w:p>
    <w:p>
      <w:pPr>
        <w:pStyle w:val="BodyText"/>
        <w:rPr>
          <w:b/>
          <w:i/>
          <w:sz w:val="22"/>
        </w:rPr>
      </w:pPr>
    </w:p>
    <w:p>
      <w:pPr>
        <w:pStyle w:val="BodyText"/>
        <w:rPr>
          <w:b/>
          <w:i/>
          <w:sz w:val="22"/>
        </w:rPr>
      </w:pPr>
    </w:p>
    <w:p>
      <w:pPr>
        <w:pStyle w:val="BodyText"/>
        <w:spacing w:before="7"/>
        <w:rPr>
          <w:b/>
          <w:i/>
          <w:sz w:val="25"/>
        </w:rPr>
      </w:pPr>
    </w:p>
    <w:p>
      <w:pPr>
        <w:spacing w:before="0"/>
        <w:ind w:left="1995" w:right="150" w:firstLine="0"/>
        <w:jc w:val="left"/>
        <w:rPr>
          <w:b/>
          <w:sz w:val="23"/>
        </w:rPr>
      </w:pPr>
      <w:r>
        <w:rPr>
          <w:b/>
          <w:sz w:val="23"/>
        </w:rPr>
        <w:t>Cuadro 1. Ingresos percibidos de los</w:t>
      </w:r>
      <w:r>
        <w:rPr>
          <w:b/>
          <w:spacing w:val="55"/>
          <w:sz w:val="23"/>
        </w:rPr>
        <w:t> </w:t>
      </w:r>
      <w:r>
        <w:rPr>
          <w:b/>
          <w:sz w:val="23"/>
        </w:rPr>
        <w:t>migrantes</w:t>
      </w:r>
    </w:p>
    <w:p>
      <w:pPr>
        <w:pStyle w:val="BodyText"/>
        <w:spacing w:before="10"/>
        <w:rPr>
          <w:b/>
          <w:sz w:val="18"/>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03"/>
        <w:gridCol w:w="955"/>
        <w:gridCol w:w="870"/>
        <w:gridCol w:w="1237"/>
        <w:gridCol w:w="956"/>
        <w:gridCol w:w="871"/>
        <w:gridCol w:w="1302"/>
        <w:gridCol w:w="958"/>
        <w:gridCol w:w="869"/>
      </w:tblGrid>
      <w:tr>
        <w:trPr>
          <w:trHeight w:val="1079" w:hRule="exact"/>
        </w:trPr>
        <w:tc>
          <w:tcPr>
            <w:tcW w:w="1303" w:type="dxa"/>
            <w:tcBorders>
              <w:bottom w:val="single" w:sz="11" w:space="0" w:color="000000"/>
              <w:right w:val="single" w:sz="12" w:space="0" w:color="000000"/>
            </w:tcBorders>
          </w:tcPr>
          <w:p>
            <w:pPr>
              <w:pStyle w:val="TableParagraph"/>
              <w:spacing w:line="583" w:lineRule="auto" w:before="0"/>
              <w:ind w:left="285" w:hanging="185"/>
              <w:jc w:val="left"/>
              <w:rPr>
                <w:b/>
                <w:sz w:val="19"/>
              </w:rPr>
            </w:pPr>
            <w:r>
              <w:rPr>
                <w:b/>
                <w:sz w:val="19"/>
              </w:rPr>
              <w:t>Ingresos Hora</w:t>
            </w:r>
          </w:p>
        </w:tc>
        <w:tc>
          <w:tcPr>
            <w:tcW w:w="955" w:type="dxa"/>
            <w:tcBorders>
              <w:left w:val="single" w:sz="12" w:space="0" w:color="000000"/>
              <w:bottom w:val="single" w:sz="11" w:space="0" w:color="000000"/>
            </w:tcBorders>
          </w:tcPr>
          <w:p>
            <w:pPr>
              <w:pStyle w:val="TableParagraph"/>
              <w:spacing w:line="215" w:lineRule="exact" w:before="0"/>
              <w:ind w:left="88"/>
              <w:jc w:val="left"/>
              <w:rPr>
                <w:b/>
                <w:sz w:val="19"/>
              </w:rPr>
            </w:pPr>
            <w:r>
              <w:rPr>
                <w:b/>
                <w:sz w:val="19"/>
              </w:rPr>
              <w:t>Total</w:t>
            </w:r>
          </w:p>
        </w:tc>
        <w:tc>
          <w:tcPr>
            <w:tcW w:w="870" w:type="dxa"/>
            <w:tcBorders>
              <w:bottom w:val="single" w:sz="11" w:space="0" w:color="000000"/>
              <w:right w:val="single" w:sz="3" w:space="0" w:color="000000"/>
            </w:tcBorders>
          </w:tcPr>
          <w:p>
            <w:pPr>
              <w:pStyle w:val="TableParagraph"/>
              <w:spacing w:line="215" w:lineRule="exact" w:before="0"/>
              <w:ind w:right="279"/>
              <w:jc w:val="center"/>
              <w:rPr>
                <w:b/>
                <w:sz w:val="19"/>
              </w:rPr>
            </w:pPr>
            <w:r>
              <w:rPr>
                <w:b/>
                <w:w w:val="101"/>
                <w:sz w:val="19"/>
              </w:rPr>
              <w:t>%</w:t>
            </w:r>
          </w:p>
        </w:tc>
        <w:tc>
          <w:tcPr>
            <w:tcW w:w="1237" w:type="dxa"/>
            <w:tcBorders>
              <w:left w:val="single" w:sz="3" w:space="0" w:color="000000"/>
              <w:bottom w:val="single" w:sz="11" w:space="0" w:color="000000"/>
            </w:tcBorders>
          </w:tcPr>
          <w:p>
            <w:pPr>
              <w:pStyle w:val="TableParagraph"/>
              <w:spacing w:line="215" w:lineRule="exact" w:before="0"/>
              <w:ind w:left="100"/>
              <w:jc w:val="left"/>
              <w:rPr>
                <w:b/>
                <w:sz w:val="19"/>
              </w:rPr>
            </w:pPr>
            <w:r>
              <w:rPr>
                <w:b/>
                <w:sz w:val="19"/>
              </w:rPr>
              <w:t>Semana</w:t>
            </w:r>
          </w:p>
        </w:tc>
        <w:tc>
          <w:tcPr>
            <w:tcW w:w="956" w:type="dxa"/>
            <w:tcBorders>
              <w:bottom w:val="single" w:sz="11" w:space="0" w:color="000000"/>
              <w:right w:val="single" w:sz="3" w:space="0" w:color="000000"/>
            </w:tcBorders>
          </w:tcPr>
          <w:p>
            <w:pPr>
              <w:pStyle w:val="TableParagraph"/>
              <w:spacing w:line="215" w:lineRule="exact" w:before="0"/>
              <w:ind w:left="84" w:right="364"/>
              <w:jc w:val="center"/>
              <w:rPr>
                <w:b/>
                <w:sz w:val="19"/>
              </w:rPr>
            </w:pPr>
            <w:r>
              <w:rPr>
                <w:b/>
                <w:sz w:val="19"/>
              </w:rPr>
              <w:t>Total</w:t>
            </w:r>
          </w:p>
        </w:tc>
        <w:tc>
          <w:tcPr>
            <w:tcW w:w="871" w:type="dxa"/>
            <w:tcBorders>
              <w:left w:val="single" w:sz="3" w:space="0" w:color="000000"/>
              <w:bottom w:val="single" w:sz="11" w:space="0" w:color="000000"/>
              <w:right w:val="single" w:sz="3" w:space="0" w:color="000000"/>
            </w:tcBorders>
          </w:tcPr>
          <w:p>
            <w:pPr>
              <w:pStyle w:val="TableParagraph"/>
              <w:spacing w:line="215" w:lineRule="exact" w:before="0"/>
              <w:ind w:left="203"/>
              <w:jc w:val="left"/>
              <w:rPr>
                <w:b/>
                <w:sz w:val="19"/>
              </w:rPr>
            </w:pPr>
            <w:r>
              <w:rPr>
                <w:b/>
                <w:w w:val="101"/>
                <w:sz w:val="19"/>
              </w:rPr>
              <w:t>%</w:t>
            </w:r>
          </w:p>
        </w:tc>
        <w:tc>
          <w:tcPr>
            <w:tcW w:w="1302" w:type="dxa"/>
            <w:tcBorders>
              <w:left w:val="single" w:sz="3" w:space="0" w:color="000000"/>
              <w:bottom w:val="single" w:sz="11" w:space="0" w:color="000000"/>
            </w:tcBorders>
          </w:tcPr>
          <w:p>
            <w:pPr>
              <w:pStyle w:val="TableParagraph"/>
              <w:spacing w:line="215" w:lineRule="exact" w:before="0"/>
              <w:ind w:left="319"/>
              <w:jc w:val="left"/>
              <w:rPr>
                <w:b/>
                <w:sz w:val="19"/>
              </w:rPr>
            </w:pPr>
            <w:r>
              <w:rPr>
                <w:b/>
                <w:sz w:val="19"/>
              </w:rPr>
              <w:t>Mes</w:t>
            </w:r>
          </w:p>
        </w:tc>
        <w:tc>
          <w:tcPr>
            <w:tcW w:w="958" w:type="dxa"/>
            <w:tcBorders>
              <w:bottom w:val="single" w:sz="11" w:space="0" w:color="000000"/>
            </w:tcBorders>
          </w:tcPr>
          <w:p>
            <w:pPr>
              <w:pStyle w:val="TableParagraph"/>
              <w:spacing w:line="215" w:lineRule="exact" w:before="0"/>
              <w:ind w:left="82" w:right="367"/>
              <w:jc w:val="center"/>
              <w:rPr>
                <w:b/>
                <w:sz w:val="19"/>
              </w:rPr>
            </w:pPr>
            <w:r>
              <w:rPr>
                <w:b/>
                <w:sz w:val="19"/>
              </w:rPr>
              <w:t>Total</w:t>
            </w:r>
          </w:p>
        </w:tc>
        <w:tc>
          <w:tcPr>
            <w:tcW w:w="869" w:type="dxa"/>
            <w:tcBorders>
              <w:bottom w:val="single" w:sz="11" w:space="0" w:color="000000"/>
            </w:tcBorders>
          </w:tcPr>
          <w:p>
            <w:pPr>
              <w:pStyle w:val="TableParagraph"/>
              <w:spacing w:line="215" w:lineRule="exact" w:before="0"/>
              <w:ind w:left="199"/>
              <w:jc w:val="left"/>
              <w:rPr>
                <w:b/>
                <w:sz w:val="19"/>
              </w:rPr>
            </w:pPr>
            <w:r>
              <w:rPr>
                <w:b/>
                <w:w w:val="101"/>
                <w:sz w:val="19"/>
              </w:rPr>
              <w:t>%</w:t>
            </w:r>
          </w:p>
        </w:tc>
      </w:tr>
      <w:tr>
        <w:trPr>
          <w:trHeight w:val="306" w:hRule="exact"/>
        </w:trPr>
        <w:tc>
          <w:tcPr>
            <w:tcW w:w="1303" w:type="dxa"/>
            <w:tcBorders>
              <w:top w:val="single" w:sz="11" w:space="0" w:color="000000"/>
              <w:bottom w:val="nil"/>
              <w:right w:val="single" w:sz="12" w:space="0" w:color="000000"/>
            </w:tcBorders>
          </w:tcPr>
          <w:p>
            <w:pPr>
              <w:pStyle w:val="TableParagraph"/>
              <w:spacing w:line="218" w:lineRule="exact" w:before="0"/>
              <w:ind w:left="367"/>
              <w:jc w:val="left"/>
              <w:rPr>
                <w:b/>
                <w:sz w:val="19"/>
              </w:rPr>
            </w:pPr>
            <w:r>
              <w:rPr>
                <w:b/>
                <w:sz w:val="19"/>
              </w:rPr>
              <w:t>8-9</w:t>
            </w:r>
          </w:p>
        </w:tc>
        <w:tc>
          <w:tcPr>
            <w:tcW w:w="955" w:type="dxa"/>
            <w:tcBorders>
              <w:top w:val="single" w:sz="11" w:space="0" w:color="000000"/>
              <w:left w:val="single" w:sz="12" w:space="0" w:color="000000"/>
              <w:bottom w:val="nil"/>
            </w:tcBorders>
          </w:tcPr>
          <w:p>
            <w:pPr>
              <w:pStyle w:val="TableParagraph"/>
              <w:spacing w:before="6"/>
              <w:ind w:left="266"/>
              <w:jc w:val="left"/>
              <w:rPr>
                <w:sz w:val="19"/>
              </w:rPr>
            </w:pPr>
            <w:r>
              <w:rPr>
                <w:w w:val="101"/>
                <w:sz w:val="19"/>
              </w:rPr>
              <w:t>9</w:t>
            </w:r>
          </w:p>
        </w:tc>
        <w:tc>
          <w:tcPr>
            <w:tcW w:w="870" w:type="dxa"/>
            <w:tcBorders>
              <w:top w:val="single" w:sz="11" w:space="0" w:color="000000"/>
              <w:bottom w:val="nil"/>
              <w:right w:val="single" w:sz="3" w:space="0" w:color="000000"/>
            </w:tcBorders>
          </w:tcPr>
          <w:p>
            <w:pPr>
              <w:pStyle w:val="TableParagraph"/>
              <w:spacing w:before="6"/>
              <w:ind w:left="85" w:right="364"/>
              <w:jc w:val="center"/>
              <w:rPr>
                <w:sz w:val="19"/>
              </w:rPr>
            </w:pPr>
            <w:r>
              <w:rPr>
                <w:sz w:val="19"/>
              </w:rPr>
              <w:t>20</w:t>
            </w:r>
          </w:p>
        </w:tc>
        <w:tc>
          <w:tcPr>
            <w:tcW w:w="1237" w:type="dxa"/>
            <w:tcBorders>
              <w:top w:val="single" w:sz="11" w:space="0" w:color="000000"/>
              <w:left w:val="single" w:sz="3" w:space="0" w:color="000000"/>
              <w:bottom w:val="nil"/>
            </w:tcBorders>
          </w:tcPr>
          <w:p>
            <w:pPr>
              <w:pStyle w:val="TableParagraph"/>
              <w:spacing w:before="6"/>
              <w:ind w:left="117"/>
              <w:jc w:val="left"/>
              <w:rPr>
                <w:sz w:val="19"/>
              </w:rPr>
            </w:pPr>
            <w:r>
              <w:rPr>
                <w:sz w:val="19"/>
              </w:rPr>
              <w:t>400-550</w:t>
            </w:r>
          </w:p>
        </w:tc>
        <w:tc>
          <w:tcPr>
            <w:tcW w:w="956" w:type="dxa"/>
            <w:tcBorders>
              <w:top w:val="single" w:sz="11" w:space="0" w:color="000000"/>
              <w:bottom w:val="nil"/>
              <w:right w:val="single" w:sz="3" w:space="0" w:color="000000"/>
            </w:tcBorders>
          </w:tcPr>
          <w:p>
            <w:pPr>
              <w:pStyle w:val="TableParagraph"/>
              <w:spacing w:before="6"/>
              <w:ind w:right="281"/>
              <w:jc w:val="center"/>
              <w:rPr>
                <w:sz w:val="19"/>
              </w:rPr>
            </w:pPr>
            <w:r>
              <w:rPr>
                <w:w w:val="101"/>
                <w:sz w:val="19"/>
              </w:rPr>
              <w:t>3</w:t>
            </w:r>
          </w:p>
        </w:tc>
        <w:tc>
          <w:tcPr>
            <w:tcW w:w="871" w:type="dxa"/>
            <w:tcBorders>
              <w:top w:val="single" w:sz="11" w:space="0" w:color="000000"/>
              <w:left w:val="single" w:sz="3" w:space="0" w:color="000000"/>
              <w:bottom w:val="nil"/>
              <w:right w:val="single" w:sz="3" w:space="0" w:color="000000"/>
            </w:tcBorders>
          </w:tcPr>
          <w:p>
            <w:pPr>
              <w:pStyle w:val="TableParagraph"/>
              <w:spacing w:before="6"/>
              <w:ind w:left="156"/>
              <w:jc w:val="left"/>
              <w:rPr>
                <w:sz w:val="19"/>
              </w:rPr>
            </w:pPr>
            <w:r>
              <w:rPr>
                <w:sz w:val="19"/>
              </w:rPr>
              <w:t>6.7</w:t>
            </w:r>
          </w:p>
        </w:tc>
        <w:tc>
          <w:tcPr>
            <w:tcW w:w="1302" w:type="dxa"/>
            <w:tcBorders>
              <w:top w:val="single" w:sz="11" w:space="0" w:color="000000"/>
              <w:left w:val="single" w:sz="3" w:space="0" w:color="000000"/>
              <w:bottom w:val="nil"/>
            </w:tcBorders>
          </w:tcPr>
          <w:p>
            <w:pPr>
              <w:pStyle w:val="TableParagraph"/>
              <w:spacing w:before="4"/>
              <w:ind w:left="261"/>
              <w:jc w:val="left"/>
              <w:rPr>
                <w:sz w:val="19"/>
              </w:rPr>
            </w:pPr>
            <w:r>
              <w:rPr>
                <w:sz w:val="19"/>
              </w:rPr>
              <w:t>1900-</w:t>
            </w:r>
          </w:p>
        </w:tc>
        <w:tc>
          <w:tcPr>
            <w:tcW w:w="958" w:type="dxa"/>
            <w:tcBorders>
              <w:top w:val="single" w:sz="11" w:space="0" w:color="000000"/>
              <w:bottom w:val="nil"/>
              <w:right w:val="single" w:sz="6" w:space="0" w:color="000000"/>
            </w:tcBorders>
          </w:tcPr>
          <w:p>
            <w:pPr>
              <w:pStyle w:val="TableParagraph"/>
              <w:spacing w:before="6"/>
              <w:ind w:right="283"/>
              <w:jc w:val="center"/>
              <w:rPr>
                <w:sz w:val="19"/>
              </w:rPr>
            </w:pPr>
            <w:r>
              <w:rPr>
                <w:w w:val="101"/>
                <w:sz w:val="19"/>
              </w:rPr>
              <w:t>9</w:t>
            </w:r>
          </w:p>
        </w:tc>
        <w:tc>
          <w:tcPr>
            <w:tcW w:w="869" w:type="dxa"/>
            <w:tcBorders>
              <w:top w:val="single" w:sz="11" w:space="0" w:color="000000"/>
              <w:left w:val="single" w:sz="6" w:space="0" w:color="000000"/>
              <w:bottom w:val="nil"/>
            </w:tcBorders>
          </w:tcPr>
          <w:p>
            <w:pPr>
              <w:pStyle w:val="TableParagraph"/>
              <w:spacing w:line="218" w:lineRule="exact" w:before="0"/>
              <w:ind w:left="179"/>
              <w:jc w:val="left"/>
              <w:rPr>
                <w:b/>
                <w:sz w:val="19"/>
              </w:rPr>
            </w:pPr>
            <w:r>
              <w:rPr>
                <w:b/>
                <w:sz w:val="19"/>
              </w:rPr>
              <w:t>20</w:t>
            </w:r>
          </w:p>
        </w:tc>
      </w:tr>
      <w:tr>
        <w:trPr>
          <w:trHeight w:val="430" w:hRule="exact"/>
        </w:trPr>
        <w:tc>
          <w:tcPr>
            <w:tcW w:w="1303" w:type="dxa"/>
            <w:tcBorders>
              <w:top w:val="nil"/>
              <w:bottom w:val="nil"/>
              <w:right w:val="single" w:sz="12" w:space="0" w:color="000000"/>
            </w:tcBorders>
          </w:tcPr>
          <w:p>
            <w:pPr/>
          </w:p>
        </w:tc>
        <w:tc>
          <w:tcPr>
            <w:tcW w:w="955" w:type="dxa"/>
            <w:tcBorders>
              <w:top w:val="nil"/>
              <w:left w:val="single" w:sz="12" w:space="0" w:color="000000"/>
              <w:bottom w:val="nil"/>
            </w:tcBorders>
          </w:tcPr>
          <w:p>
            <w:pPr/>
          </w:p>
        </w:tc>
        <w:tc>
          <w:tcPr>
            <w:tcW w:w="870" w:type="dxa"/>
            <w:tcBorders>
              <w:top w:val="nil"/>
              <w:bottom w:val="nil"/>
              <w:right w:val="single" w:sz="3" w:space="0" w:color="000000"/>
            </w:tcBorders>
          </w:tcPr>
          <w:p>
            <w:pPr/>
          </w:p>
        </w:tc>
        <w:tc>
          <w:tcPr>
            <w:tcW w:w="1237" w:type="dxa"/>
            <w:tcBorders>
              <w:top w:val="nil"/>
              <w:left w:val="single" w:sz="3" w:space="0" w:color="000000"/>
              <w:bottom w:val="nil"/>
            </w:tcBorders>
          </w:tcPr>
          <w:p>
            <w:pPr/>
          </w:p>
        </w:tc>
        <w:tc>
          <w:tcPr>
            <w:tcW w:w="956" w:type="dxa"/>
            <w:tcBorders>
              <w:top w:val="nil"/>
              <w:bottom w:val="nil"/>
              <w:right w:val="single" w:sz="3" w:space="0" w:color="000000"/>
            </w:tcBorders>
          </w:tcPr>
          <w:p>
            <w:pPr/>
          </w:p>
        </w:tc>
        <w:tc>
          <w:tcPr>
            <w:tcW w:w="871" w:type="dxa"/>
            <w:tcBorders>
              <w:top w:val="nil"/>
              <w:left w:val="single" w:sz="3" w:space="0" w:color="000000"/>
              <w:bottom w:val="nil"/>
              <w:right w:val="single" w:sz="3" w:space="0" w:color="000000"/>
            </w:tcBorders>
          </w:tcPr>
          <w:p>
            <w:pPr/>
          </w:p>
        </w:tc>
        <w:tc>
          <w:tcPr>
            <w:tcW w:w="1302" w:type="dxa"/>
            <w:tcBorders>
              <w:top w:val="nil"/>
              <w:left w:val="single" w:sz="3" w:space="0" w:color="000000"/>
              <w:bottom w:val="nil"/>
            </w:tcBorders>
          </w:tcPr>
          <w:p>
            <w:pPr>
              <w:pStyle w:val="TableParagraph"/>
              <w:spacing w:before="50"/>
              <w:ind w:left="290"/>
              <w:jc w:val="left"/>
              <w:rPr>
                <w:sz w:val="19"/>
              </w:rPr>
            </w:pPr>
            <w:r>
              <w:rPr>
                <w:sz w:val="19"/>
              </w:rPr>
              <w:t>2500</w:t>
            </w:r>
          </w:p>
        </w:tc>
        <w:tc>
          <w:tcPr>
            <w:tcW w:w="958" w:type="dxa"/>
            <w:tcBorders>
              <w:top w:val="nil"/>
              <w:bottom w:val="nil"/>
              <w:right w:val="single" w:sz="6" w:space="0" w:color="000000"/>
            </w:tcBorders>
          </w:tcPr>
          <w:p>
            <w:pPr/>
          </w:p>
        </w:tc>
        <w:tc>
          <w:tcPr>
            <w:tcW w:w="869" w:type="dxa"/>
            <w:tcBorders>
              <w:top w:val="nil"/>
              <w:left w:val="single" w:sz="6" w:space="0" w:color="000000"/>
              <w:bottom w:val="nil"/>
            </w:tcBorders>
          </w:tcPr>
          <w:p>
            <w:pPr/>
          </w:p>
        </w:tc>
      </w:tr>
      <w:tr>
        <w:trPr>
          <w:trHeight w:val="436" w:hRule="exact"/>
        </w:trPr>
        <w:tc>
          <w:tcPr>
            <w:tcW w:w="1303" w:type="dxa"/>
            <w:tcBorders>
              <w:top w:val="nil"/>
              <w:bottom w:val="nil"/>
              <w:right w:val="single" w:sz="12" w:space="0" w:color="000000"/>
            </w:tcBorders>
          </w:tcPr>
          <w:p>
            <w:pPr>
              <w:pStyle w:val="TableParagraph"/>
              <w:spacing w:before="143"/>
              <w:ind w:left="256"/>
              <w:jc w:val="left"/>
              <w:rPr>
                <w:b/>
                <w:sz w:val="19"/>
              </w:rPr>
            </w:pPr>
            <w:r>
              <w:rPr>
                <w:b/>
                <w:sz w:val="19"/>
              </w:rPr>
              <w:t>10-11</w:t>
            </w:r>
          </w:p>
        </w:tc>
        <w:tc>
          <w:tcPr>
            <w:tcW w:w="955" w:type="dxa"/>
            <w:tcBorders>
              <w:top w:val="nil"/>
              <w:left w:val="single" w:sz="12" w:space="0" w:color="000000"/>
              <w:bottom w:val="nil"/>
            </w:tcBorders>
          </w:tcPr>
          <w:p>
            <w:pPr>
              <w:pStyle w:val="TableParagraph"/>
              <w:spacing w:before="148"/>
              <w:ind w:left="213"/>
              <w:jc w:val="left"/>
              <w:rPr>
                <w:sz w:val="19"/>
              </w:rPr>
            </w:pPr>
            <w:r>
              <w:rPr>
                <w:sz w:val="19"/>
              </w:rPr>
              <w:t>17</w:t>
            </w:r>
          </w:p>
        </w:tc>
        <w:tc>
          <w:tcPr>
            <w:tcW w:w="870" w:type="dxa"/>
            <w:tcBorders>
              <w:top w:val="nil"/>
              <w:bottom w:val="nil"/>
              <w:right w:val="single" w:sz="3" w:space="0" w:color="000000"/>
            </w:tcBorders>
          </w:tcPr>
          <w:p>
            <w:pPr>
              <w:pStyle w:val="TableParagraph"/>
              <w:spacing w:before="148"/>
              <w:ind w:left="86" w:right="364"/>
              <w:jc w:val="center"/>
              <w:rPr>
                <w:sz w:val="19"/>
              </w:rPr>
            </w:pPr>
            <w:r>
              <w:rPr>
                <w:sz w:val="19"/>
              </w:rPr>
              <w:t>37.8</w:t>
            </w:r>
          </w:p>
        </w:tc>
        <w:tc>
          <w:tcPr>
            <w:tcW w:w="1237" w:type="dxa"/>
            <w:tcBorders>
              <w:top w:val="nil"/>
              <w:left w:val="single" w:sz="3" w:space="0" w:color="000000"/>
              <w:bottom w:val="nil"/>
            </w:tcBorders>
          </w:tcPr>
          <w:p>
            <w:pPr>
              <w:pStyle w:val="TableParagraph"/>
              <w:spacing w:before="148"/>
              <w:ind w:left="117"/>
              <w:jc w:val="left"/>
              <w:rPr>
                <w:sz w:val="19"/>
              </w:rPr>
            </w:pPr>
            <w:r>
              <w:rPr>
                <w:sz w:val="19"/>
              </w:rPr>
              <w:t>551-700</w:t>
            </w:r>
          </w:p>
        </w:tc>
        <w:tc>
          <w:tcPr>
            <w:tcW w:w="956" w:type="dxa"/>
            <w:tcBorders>
              <w:top w:val="nil"/>
              <w:bottom w:val="nil"/>
              <w:right w:val="single" w:sz="3" w:space="0" w:color="000000"/>
            </w:tcBorders>
          </w:tcPr>
          <w:p>
            <w:pPr>
              <w:pStyle w:val="TableParagraph"/>
              <w:spacing w:before="148"/>
              <w:ind w:left="84" w:right="362"/>
              <w:jc w:val="center"/>
              <w:rPr>
                <w:sz w:val="19"/>
              </w:rPr>
            </w:pPr>
            <w:r>
              <w:rPr>
                <w:sz w:val="19"/>
              </w:rPr>
              <w:t>23</w:t>
            </w:r>
          </w:p>
        </w:tc>
        <w:tc>
          <w:tcPr>
            <w:tcW w:w="871" w:type="dxa"/>
            <w:tcBorders>
              <w:top w:val="nil"/>
              <w:left w:val="single" w:sz="3" w:space="0" w:color="000000"/>
              <w:bottom w:val="nil"/>
              <w:right w:val="single" w:sz="3" w:space="0" w:color="000000"/>
            </w:tcBorders>
          </w:tcPr>
          <w:p>
            <w:pPr>
              <w:pStyle w:val="TableParagraph"/>
              <w:spacing w:before="148"/>
              <w:ind w:left="101"/>
              <w:jc w:val="left"/>
              <w:rPr>
                <w:sz w:val="19"/>
              </w:rPr>
            </w:pPr>
            <w:r>
              <w:rPr>
                <w:sz w:val="19"/>
              </w:rPr>
              <w:t>51.1</w:t>
            </w:r>
          </w:p>
        </w:tc>
        <w:tc>
          <w:tcPr>
            <w:tcW w:w="1302" w:type="dxa"/>
            <w:tcBorders>
              <w:top w:val="nil"/>
              <w:left w:val="single" w:sz="3" w:space="0" w:color="000000"/>
              <w:bottom w:val="nil"/>
            </w:tcBorders>
          </w:tcPr>
          <w:p>
            <w:pPr>
              <w:pStyle w:val="TableParagraph"/>
              <w:spacing w:before="148"/>
              <w:ind w:left="259"/>
              <w:jc w:val="left"/>
              <w:rPr>
                <w:sz w:val="19"/>
              </w:rPr>
            </w:pPr>
            <w:r>
              <w:rPr>
                <w:sz w:val="19"/>
              </w:rPr>
              <w:t>2501-</w:t>
            </w:r>
          </w:p>
        </w:tc>
        <w:tc>
          <w:tcPr>
            <w:tcW w:w="958" w:type="dxa"/>
            <w:tcBorders>
              <w:top w:val="nil"/>
              <w:bottom w:val="nil"/>
              <w:right w:val="single" w:sz="6" w:space="0" w:color="000000"/>
            </w:tcBorders>
          </w:tcPr>
          <w:p>
            <w:pPr>
              <w:pStyle w:val="TableParagraph"/>
              <w:spacing w:before="148"/>
              <w:ind w:left="206" w:right="487"/>
              <w:jc w:val="center"/>
              <w:rPr>
                <w:sz w:val="19"/>
              </w:rPr>
            </w:pPr>
            <w:r>
              <w:rPr>
                <w:sz w:val="19"/>
              </w:rPr>
              <w:t>23</w:t>
            </w:r>
          </w:p>
        </w:tc>
        <w:tc>
          <w:tcPr>
            <w:tcW w:w="869" w:type="dxa"/>
            <w:tcBorders>
              <w:top w:val="nil"/>
              <w:left w:val="single" w:sz="6" w:space="0" w:color="000000"/>
              <w:bottom w:val="nil"/>
            </w:tcBorders>
          </w:tcPr>
          <w:p>
            <w:pPr>
              <w:pStyle w:val="TableParagraph"/>
              <w:spacing w:before="143"/>
              <w:ind w:left="98"/>
              <w:jc w:val="left"/>
              <w:rPr>
                <w:b/>
                <w:sz w:val="19"/>
              </w:rPr>
            </w:pPr>
            <w:r>
              <w:rPr>
                <w:b/>
                <w:sz w:val="19"/>
              </w:rPr>
              <w:t>51.1</w:t>
            </w:r>
          </w:p>
        </w:tc>
      </w:tr>
      <w:tr>
        <w:trPr>
          <w:trHeight w:val="431" w:hRule="exact"/>
        </w:trPr>
        <w:tc>
          <w:tcPr>
            <w:tcW w:w="1303" w:type="dxa"/>
            <w:tcBorders>
              <w:top w:val="nil"/>
              <w:bottom w:val="nil"/>
              <w:right w:val="single" w:sz="12" w:space="0" w:color="000000"/>
            </w:tcBorders>
          </w:tcPr>
          <w:p>
            <w:pPr/>
          </w:p>
        </w:tc>
        <w:tc>
          <w:tcPr>
            <w:tcW w:w="955" w:type="dxa"/>
            <w:tcBorders>
              <w:top w:val="nil"/>
              <w:left w:val="single" w:sz="12" w:space="0" w:color="000000"/>
              <w:bottom w:val="nil"/>
            </w:tcBorders>
          </w:tcPr>
          <w:p>
            <w:pPr/>
          </w:p>
        </w:tc>
        <w:tc>
          <w:tcPr>
            <w:tcW w:w="870" w:type="dxa"/>
            <w:tcBorders>
              <w:top w:val="nil"/>
              <w:bottom w:val="nil"/>
              <w:right w:val="single" w:sz="3" w:space="0" w:color="000000"/>
            </w:tcBorders>
          </w:tcPr>
          <w:p>
            <w:pPr/>
          </w:p>
        </w:tc>
        <w:tc>
          <w:tcPr>
            <w:tcW w:w="1237" w:type="dxa"/>
            <w:tcBorders>
              <w:top w:val="nil"/>
              <w:left w:val="single" w:sz="3" w:space="0" w:color="000000"/>
              <w:bottom w:val="nil"/>
            </w:tcBorders>
          </w:tcPr>
          <w:p>
            <w:pPr/>
          </w:p>
        </w:tc>
        <w:tc>
          <w:tcPr>
            <w:tcW w:w="956" w:type="dxa"/>
            <w:tcBorders>
              <w:top w:val="nil"/>
              <w:bottom w:val="nil"/>
              <w:right w:val="single" w:sz="3" w:space="0" w:color="000000"/>
            </w:tcBorders>
          </w:tcPr>
          <w:p>
            <w:pPr/>
          </w:p>
        </w:tc>
        <w:tc>
          <w:tcPr>
            <w:tcW w:w="871" w:type="dxa"/>
            <w:tcBorders>
              <w:top w:val="nil"/>
              <w:left w:val="single" w:sz="3" w:space="0" w:color="000000"/>
              <w:bottom w:val="nil"/>
              <w:right w:val="single" w:sz="3" w:space="0" w:color="000000"/>
            </w:tcBorders>
          </w:tcPr>
          <w:p>
            <w:pPr/>
          </w:p>
        </w:tc>
        <w:tc>
          <w:tcPr>
            <w:tcW w:w="1302" w:type="dxa"/>
            <w:tcBorders>
              <w:top w:val="nil"/>
              <w:left w:val="single" w:sz="3" w:space="0" w:color="000000"/>
              <w:bottom w:val="nil"/>
            </w:tcBorders>
          </w:tcPr>
          <w:p>
            <w:pPr>
              <w:pStyle w:val="TableParagraph"/>
              <w:spacing w:before="51"/>
              <w:ind w:left="290"/>
              <w:jc w:val="left"/>
              <w:rPr>
                <w:sz w:val="19"/>
              </w:rPr>
            </w:pPr>
            <w:r>
              <w:rPr>
                <w:sz w:val="19"/>
              </w:rPr>
              <w:t>3100</w:t>
            </w:r>
          </w:p>
        </w:tc>
        <w:tc>
          <w:tcPr>
            <w:tcW w:w="958" w:type="dxa"/>
            <w:tcBorders>
              <w:top w:val="nil"/>
              <w:bottom w:val="nil"/>
              <w:right w:val="single" w:sz="6" w:space="0" w:color="000000"/>
            </w:tcBorders>
          </w:tcPr>
          <w:p>
            <w:pPr/>
          </w:p>
        </w:tc>
        <w:tc>
          <w:tcPr>
            <w:tcW w:w="869" w:type="dxa"/>
            <w:tcBorders>
              <w:top w:val="nil"/>
              <w:left w:val="single" w:sz="6" w:space="0" w:color="000000"/>
              <w:bottom w:val="nil"/>
            </w:tcBorders>
          </w:tcPr>
          <w:p>
            <w:pPr/>
          </w:p>
        </w:tc>
      </w:tr>
      <w:tr>
        <w:trPr>
          <w:trHeight w:val="437" w:hRule="exact"/>
        </w:trPr>
        <w:tc>
          <w:tcPr>
            <w:tcW w:w="1303" w:type="dxa"/>
            <w:tcBorders>
              <w:top w:val="nil"/>
              <w:bottom w:val="nil"/>
              <w:right w:val="single" w:sz="12" w:space="0" w:color="000000"/>
            </w:tcBorders>
          </w:tcPr>
          <w:p>
            <w:pPr>
              <w:pStyle w:val="TableParagraph"/>
              <w:spacing w:before="143"/>
              <w:ind w:left="256"/>
              <w:jc w:val="left"/>
              <w:rPr>
                <w:b/>
                <w:sz w:val="19"/>
              </w:rPr>
            </w:pPr>
            <w:r>
              <w:rPr>
                <w:b/>
                <w:sz w:val="19"/>
              </w:rPr>
              <w:t>12-13</w:t>
            </w:r>
          </w:p>
        </w:tc>
        <w:tc>
          <w:tcPr>
            <w:tcW w:w="955" w:type="dxa"/>
            <w:tcBorders>
              <w:top w:val="nil"/>
              <w:left w:val="single" w:sz="12" w:space="0" w:color="000000"/>
              <w:bottom w:val="nil"/>
            </w:tcBorders>
          </w:tcPr>
          <w:p>
            <w:pPr>
              <w:pStyle w:val="TableParagraph"/>
              <w:spacing w:before="150"/>
              <w:ind w:left="213"/>
              <w:jc w:val="left"/>
              <w:rPr>
                <w:sz w:val="19"/>
              </w:rPr>
            </w:pPr>
            <w:r>
              <w:rPr>
                <w:sz w:val="19"/>
              </w:rPr>
              <w:t>15</w:t>
            </w:r>
          </w:p>
        </w:tc>
        <w:tc>
          <w:tcPr>
            <w:tcW w:w="870" w:type="dxa"/>
            <w:tcBorders>
              <w:top w:val="nil"/>
              <w:bottom w:val="nil"/>
              <w:right w:val="single" w:sz="3" w:space="0" w:color="000000"/>
            </w:tcBorders>
          </w:tcPr>
          <w:p>
            <w:pPr>
              <w:pStyle w:val="TableParagraph"/>
              <w:spacing w:before="150"/>
              <w:ind w:left="86" w:right="364"/>
              <w:jc w:val="center"/>
              <w:rPr>
                <w:sz w:val="19"/>
              </w:rPr>
            </w:pPr>
            <w:r>
              <w:rPr>
                <w:sz w:val="19"/>
              </w:rPr>
              <w:t>33.3</w:t>
            </w:r>
          </w:p>
        </w:tc>
        <w:tc>
          <w:tcPr>
            <w:tcW w:w="1237" w:type="dxa"/>
            <w:tcBorders>
              <w:top w:val="nil"/>
              <w:left w:val="single" w:sz="3" w:space="0" w:color="000000"/>
              <w:bottom w:val="nil"/>
            </w:tcBorders>
          </w:tcPr>
          <w:p>
            <w:pPr>
              <w:pStyle w:val="TableParagraph"/>
              <w:spacing w:before="150"/>
              <w:ind w:left="117"/>
              <w:jc w:val="left"/>
              <w:rPr>
                <w:sz w:val="19"/>
              </w:rPr>
            </w:pPr>
            <w:r>
              <w:rPr>
                <w:sz w:val="19"/>
              </w:rPr>
              <w:t>701-850</w:t>
            </w:r>
          </w:p>
        </w:tc>
        <w:tc>
          <w:tcPr>
            <w:tcW w:w="956" w:type="dxa"/>
            <w:tcBorders>
              <w:top w:val="nil"/>
              <w:bottom w:val="nil"/>
              <w:right w:val="single" w:sz="3" w:space="0" w:color="000000"/>
            </w:tcBorders>
          </w:tcPr>
          <w:p>
            <w:pPr>
              <w:pStyle w:val="TableParagraph"/>
              <w:spacing w:before="150"/>
              <w:ind w:left="84" w:right="362"/>
              <w:jc w:val="center"/>
              <w:rPr>
                <w:sz w:val="19"/>
              </w:rPr>
            </w:pPr>
            <w:r>
              <w:rPr>
                <w:sz w:val="19"/>
              </w:rPr>
              <w:t>15</w:t>
            </w:r>
          </w:p>
        </w:tc>
        <w:tc>
          <w:tcPr>
            <w:tcW w:w="871" w:type="dxa"/>
            <w:tcBorders>
              <w:top w:val="nil"/>
              <w:left w:val="single" w:sz="3" w:space="0" w:color="000000"/>
              <w:bottom w:val="nil"/>
              <w:right w:val="single" w:sz="3" w:space="0" w:color="000000"/>
            </w:tcBorders>
          </w:tcPr>
          <w:p>
            <w:pPr>
              <w:pStyle w:val="TableParagraph"/>
              <w:spacing w:before="150"/>
              <w:ind w:left="101"/>
              <w:jc w:val="left"/>
              <w:rPr>
                <w:sz w:val="19"/>
              </w:rPr>
            </w:pPr>
            <w:r>
              <w:rPr>
                <w:sz w:val="19"/>
              </w:rPr>
              <w:t>33.3</w:t>
            </w:r>
          </w:p>
        </w:tc>
        <w:tc>
          <w:tcPr>
            <w:tcW w:w="1302" w:type="dxa"/>
            <w:tcBorders>
              <w:top w:val="nil"/>
              <w:left w:val="single" w:sz="3" w:space="0" w:color="000000"/>
              <w:bottom w:val="nil"/>
            </w:tcBorders>
          </w:tcPr>
          <w:p>
            <w:pPr>
              <w:pStyle w:val="TableParagraph"/>
              <w:spacing w:before="148"/>
              <w:ind w:left="259"/>
              <w:jc w:val="left"/>
              <w:rPr>
                <w:sz w:val="19"/>
              </w:rPr>
            </w:pPr>
            <w:r>
              <w:rPr>
                <w:sz w:val="19"/>
              </w:rPr>
              <w:t>3101-</w:t>
            </w:r>
          </w:p>
        </w:tc>
        <w:tc>
          <w:tcPr>
            <w:tcW w:w="958" w:type="dxa"/>
            <w:tcBorders>
              <w:top w:val="nil"/>
              <w:bottom w:val="nil"/>
              <w:right w:val="single" w:sz="6" w:space="0" w:color="000000"/>
            </w:tcBorders>
          </w:tcPr>
          <w:p>
            <w:pPr>
              <w:pStyle w:val="TableParagraph"/>
              <w:spacing w:before="150"/>
              <w:ind w:left="206" w:right="487"/>
              <w:jc w:val="center"/>
              <w:rPr>
                <w:sz w:val="19"/>
              </w:rPr>
            </w:pPr>
            <w:r>
              <w:rPr>
                <w:sz w:val="19"/>
              </w:rPr>
              <w:t>11</w:t>
            </w:r>
          </w:p>
        </w:tc>
        <w:tc>
          <w:tcPr>
            <w:tcW w:w="869" w:type="dxa"/>
            <w:tcBorders>
              <w:top w:val="nil"/>
              <w:left w:val="single" w:sz="6" w:space="0" w:color="000000"/>
              <w:bottom w:val="nil"/>
            </w:tcBorders>
          </w:tcPr>
          <w:p>
            <w:pPr>
              <w:pStyle w:val="TableParagraph"/>
              <w:spacing w:before="143"/>
              <w:ind w:left="98"/>
              <w:jc w:val="left"/>
              <w:rPr>
                <w:b/>
                <w:sz w:val="19"/>
              </w:rPr>
            </w:pPr>
            <w:r>
              <w:rPr>
                <w:b/>
                <w:sz w:val="19"/>
              </w:rPr>
              <w:t>24.4</w:t>
            </w:r>
          </w:p>
        </w:tc>
      </w:tr>
      <w:tr>
        <w:trPr>
          <w:trHeight w:val="583" w:hRule="exact"/>
        </w:trPr>
        <w:tc>
          <w:tcPr>
            <w:tcW w:w="1303" w:type="dxa"/>
            <w:tcBorders>
              <w:top w:val="nil"/>
              <w:bottom w:val="nil"/>
              <w:right w:val="single" w:sz="12" w:space="0" w:color="000000"/>
            </w:tcBorders>
          </w:tcPr>
          <w:p>
            <w:pPr/>
          </w:p>
        </w:tc>
        <w:tc>
          <w:tcPr>
            <w:tcW w:w="955" w:type="dxa"/>
            <w:tcBorders>
              <w:top w:val="nil"/>
              <w:left w:val="single" w:sz="12" w:space="0" w:color="000000"/>
              <w:bottom w:val="single" w:sz="6" w:space="0" w:color="000000"/>
            </w:tcBorders>
          </w:tcPr>
          <w:p>
            <w:pPr/>
          </w:p>
        </w:tc>
        <w:tc>
          <w:tcPr>
            <w:tcW w:w="870" w:type="dxa"/>
            <w:tcBorders>
              <w:top w:val="nil"/>
              <w:bottom w:val="single" w:sz="6" w:space="0" w:color="000000"/>
              <w:right w:val="single" w:sz="3" w:space="0" w:color="000000"/>
            </w:tcBorders>
          </w:tcPr>
          <w:p>
            <w:pPr/>
          </w:p>
        </w:tc>
        <w:tc>
          <w:tcPr>
            <w:tcW w:w="1237" w:type="dxa"/>
            <w:tcBorders>
              <w:top w:val="nil"/>
              <w:left w:val="single" w:sz="3" w:space="0" w:color="000000"/>
              <w:bottom w:val="single" w:sz="6" w:space="0" w:color="000000"/>
            </w:tcBorders>
          </w:tcPr>
          <w:p>
            <w:pPr/>
          </w:p>
        </w:tc>
        <w:tc>
          <w:tcPr>
            <w:tcW w:w="956" w:type="dxa"/>
            <w:tcBorders>
              <w:top w:val="nil"/>
              <w:bottom w:val="single" w:sz="6" w:space="0" w:color="000000"/>
              <w:right w:val="single" w:sz="3" w:space="0" w:color="000000"/>
            </w:tcBorders>
          </w:tcPr>
          <w:p>
            <w:pPr/>
          </w:p>
        </w:tc>
        <w:tc>
          <w:tcPr>
            <w:tcW w:w="871" w:type="dxa"/>
            <w:tcBorders>
              <w:top w:val="nil"/>
              <w:left w:val="single" w:sz="3" w:space="0" w:color="000000"/>
              <w:bottom w:val="single" w:sz="6" w:space="0" w:color="000000"/>
              <w:right w:val="single" w:sz="3" w:space="0" w:color="000000"/>
            </w:tcBorders>
          </w:tcPr>
          <w:p>
            <w:pPr/>
          </w:p>
        </w:tc>
        <w:tc>
          <w:tcPr>
            <w:tcW w:w="1302" w:type="dxa"/>
            <w:tcBorders>
              <w:top w:val="nil"/>
              <w:left w:val="single" w:sz="3" w:space="0" w:color="000000"/>
              <w:bottom w:val="single" w:sz="6" w:space="0" w:color="000000"/>
            </w:tcBorders>
          </w:tcPr>
          <w:p>
            <w:pPr>
              <w:pStyle w:val="TableParagraph"/>
              <w:spacing w:before="50"/>
              <w:ind w:left="290"/>
              <w:jc w:val="left"/>
              <w:rPr>
                <w:sz w:val="19"/>
              </w:rPr>
            </w:pPr>
            <w:r>
              <w:rPr>
                <w:sz w:val="19"/>
              </w:rPr>
              <w:t>3700</w:t>
            </w:r>
          </w:p>
        </w:tc>
        <w:tc>
          <w:tcPr>
            <w:tcW w:w="958" w:type="dxa"/>
            <w:tcBorders>
              <w:top w:val="nil"/>
              <w:bottom w:val="single" w:sz="6" w:space="0" w:color="000000"/>
              <w:right w:val="single" w:sz="6" w:space="0" w:color="000000"/>
            </w:tcBorders>
          </w:tcPr>
          <w:p>
            <w:pPr/>
          </w:p>
        </w:tc>
        <w:tc>
          <w:tcPr>
            <w:tcW w:w="869" w:type="dxa"/>
            <w:tcBorders>
              <w:top w:val="nil"/>
              <w:left w:val="single" w:sz="6" w:space="0" w:color="000000"/>
              <w:bottom w:val="single" w:sz="6" w:space="0" w:color="000000"/>
            </w:tcBorders>
          </w:tcPr>
          <w:p>
            <w:pPr/>
          </w:p>
        </w:tc>
      </w:tr>
      <w:tr>
        <w:trPr>
          <w:trHeight w:val="289" w:hRule="exact"/>
        </w:trPr>
        <w:tc>
          <w:tcPr>
            <w:tcW w:w="1303" w:type="dxa"/>
            <w:tcBorders>
              <w:top w:val="nil"/>
              <w:bottom w:val="nil"/>
              <w:right w:val="single" w:sz="12" w:space="0" w:color="000000"/>
            </w:tcBorders>
          </w:tcPr>
          <w:p>
            <w:pPr>
              <w:pStyle w:val="TableParagraph"/>
              <w:spacing w:before="1"/>
              <w:ind w:right="578"/>
              <w:rPr>
                <w:b/>
                <w:sz w:val="19"/>
              </w:rPr>
            </w:pPr>
            <w:r>
              <w:rPr>
                <w:b/>
                <w:sz w:val="19"/>
              </w:rPr>
              <w:t>14 o</w:t>
            </w:r>
          </w:p>
        </w:tc>
        <w:tc>
          <w:tcPr>
            <w:tcW w:w="955" w:type="dxa"/>
            <w:vMerge w:val="restart"/>
            <w:tcBorders>
              <w:top w:val="single" w:sz="6" w:space="0" w:color="000000"/>
              <w:left w:val="single" w:sz="12" w:space="0" w:color="000000"/>
            </w:tcBorders>
          </w:tcPr>
          <w:p>
            <w:pPr>
              <w:pStyle w:val="TableParagraph"/>
              <w:spacing w:line="215" w:lineRule="exact" w:before="0"/>
              <w:ind w:left="266"/>
              <w:jc w:val="left"/>
              <w:rPr>
                <w:b/>
                <w:sz w:val="19"/>
              </w:rPr>
            </w:pPr>
            <w:r>
              <w:rPr>
                <w:b/>
                <w:w w:val="101"/>
                <w:sz w:val="19"/>
              </w:rPr>
              <w:t>4</w:t>
            </w:r>
          </w:p>
        </w:tc>
        <w:tc>
          <w:tcPr>
            <w:tcW w:w="870" w:type="dxa"/>
            <w:vMerge w:val="restart"/>
            <w:tcBorders>
              <w:top w:val="single" w:sz="6" w:space="0" w:color="000000"/>
              <w:right w:val="single" w:sz="3" w:space="0" w:color="000000"/>
            </w:tcBorders>
          </w:tcPr>
          <w:p>
            <w:pPr>
              <w:pStyle w:val="TableParagraph"/>
              <w:spacing w:line="215" w:lineRule="exact" w:before="0"/>
              <w:ind w:left="155"/>
              <w:jc w:val="left"/>
              <w:rPr>
                <w:b/>
                <w:sz w:val="19"/>
              </w:rPr>
            </w:pPr>
            <w:r>
              <w:rPr>
                <w:b/>
                <w:sz w:val="19"/>
              </w:rPr>
              <w:t>8.9</w:t>
            </w:r>
          </w:p>
        </w:tc>
        <w:tc>
          <w:tcPr>
            <w:tcW w:w="1237" w:type="dxa"/>
            <w:vMerge w:val="restart"/>
            <w:tcBorders>
              <w:top w:val="single" w:sz="6" w:space="0" w:color="000000"/>
              <w:left w:val="single" w:sz="3" w:space="0" w:color="000000"/>
            </w:tcBorders>
          </w:tcPr>
          <w:p>
            <w:pPr>
              <w:pStyle w:val="TableParagraph"/>
              <w:spacing w:line="372" w:lineRule="auto" w:before="0"/>
              <w:ind w:left="311" w:right="414" w:hanging="171"/>
              <w:jc w:val="left"/>
              <w:rPr>
                <w:b/>
                <w:sz w:val="19"/>
              </w:rPr>
            </w:pPr>
            <w:r>
              <w:rPr>
                <w:b/>
                <w:sz w:val="19"/>
              </w:rPr>
              <w:t>más de 850</w:t>
            </w:r>
          </w:p>
        </w:tc>
        <w:tc>
          <w:tcPr>
            <w:tcW w:w="956" w:type="dxa"/>
            <w:vMerge w:val="restart"/>
            <w:tcBorders>
              <w:top w:val="single" w:sz="6" w:space="0" w:color="000000"/>
              <w:right w:val="single" w:sz="3" w:space="0" w:color="000000"/>
            </w:tcBorders>
          </w:tcPr>
          <w:p>
            <w:pPr>
              <w:pStyle w:val="TableParagraph"/>
              <w:spacing w:line="215" w:lineRule="exact" w:before="0"/>
              <w:ind w:left="278"/>
              <w:jc w:val="left"/>
              <w:rPr>
                <w:b/>
                <w:sz w:val="19"/>
              </w:rPr>
            </w:pPr>
            <w:r>
              <w:rPr>
                <w:b/>
                <w:w w:val="101"/>
                <w:sz w:val="19"/>
              </w:rPr>
              <w:t>4</w:t>
            </w:r>
          </w:p>
        </w:tc>
        <w:tc>
          <w:tcPr>
            <w:tcW w:w="871" w:type="dxa"/>
            <w:vMerge w:val="restart"/>
            <w:tcBorders>
              <w:top w:val="single" w:sz="6" w:space="0" w:color="000000"/>
              <w:left w:val="single" w:sz="3" w:space="0" w:color="000000"/>
              <w:right w:val="single" w:sz="3" w:space="0" w:color="000000"/>
            </w:tcBorders>
          </w:tcPr>
          <w:p>
            <w:pPr>
              <w:pStyle w:val="TableParagraph"/>
              <w:spacing w:line="215" w:lineRule="exact" w:before="0"/>
              <w:ind w:left="155"/>
              <w:jc w:val="left"/>
              <w:rPr>
                <w:b/>
                <w:sz w:val="19"/>
              </w:rPr>
            </w:pPr>
            <w:r>
              <w:rPr>
                <w:b/>
                <w:sz w:val="19"/>
              </w:rPr>
              <w:t>8.9</w:t>
            </w:r>
          </w:p>
        </w:tc>
        <w:tc>
          <w:tcPr>
            <w:tcW w:w="1302" w:type="dxa"/>
            <w:vMerge w:val="restart"/>
            <w:tcBorders>
              <w:top w:val="single" w:sz="6" w:space="0" w:color="000000"/>
              <w:left w:val="single" w:sz="3" w:space="0" w:color="000000"/>
            </w:tcBorders>
          </w:tcPr>
          <w:p>
            <w:pPr>
              <w:pStyle w:val="TableParagraph"/>
              <w:spacing w:line="372" w:lineRule="auto" w:before="0"/>
              <w:ind w:left="290" w:right="452" w:hanging="113"/>
              <w:jc w:val="left"/>
              <w:rPr>
                <w:b/>
                <w:sz w:val="19"/>
              </w:rPr>
            </w:pPr>
            <w:r>
              <w:rPr>
                <w:b/>
                <w:sz w:val="19"/>
              </w:rPr>
              <w:t>Más de 3701</w:t>
            </w:r>
          </w:p>
        </w:tc>
        <w:tc>
          <w:tcPr>
            <w:tcW w:w="958" w:type="dxa"/>
            <w:vMerge w:val="restart"/>
            <w:tcBorders>
              <w:top w:val="single" w:sz="6" w:space="0" w:color="000000"/>
              <w:right w:val="single" w:sz="6" w:space="0" w:color="000000"/>
            </w:tcBorders>
          </w:tcPr>
          <w:p>
            <w:pPr>
              <w:pStyle w:val="TableParagraph"/>
              <w:spacing w:line="215" w:lineRule="exact" w:before="0"/>
              <w:ind w:left="275"/>
              <w:jc w:val="left"/>
              <w:rPr>
                <w:b/>
                <w:sz w:val="19"/>
              </w:rPr>
            </w:pPr>
            <w:r>
              <w:rPr>
                <w:b/>
                <w:w w:val="101"/>
                <w:sz w:val="19"/>
              </w:rPr>
              <w:t>2</w:t>
            </w:r>
          </w:p>
        </w:tc>
        <w:tc>
          <w:tcPr>
            <w:tcW w:w="869" w:type="dxa"/>
            <w:vMerge w:val="restart"/>
            <w:tcBorders>
              <w:top w:val="single" w:sz="6" w:space="0" w:color="000000"/>
              <w:left w:val="single" w:sz="6" w:space="0" w:color="000000"/>
            </w:tcBorders>
          </w:tcPr>
          <w:p>
            <w:pPr>
              <w:pStyle w:val="TableParagraph"/>
              <w:spacing w:line="215" w:lineRule="exact" w:before="0"/>
              <w:ind w:left="151"/>
              <w:jc w:val="left"/>
              <w:rPr>
                <w:b/>
                <w:sz w:val="19"/>
              </w:rPr>
            </w:pPr>
            <w:r>
              <w:rPr>
                <w:b/>
                <w:sz w:val="19"/>
              </w:rPr>
              <w:t>4.4</w:t>
            </w:r>
          </w:p>
        </w:tc>
      </w:tr>
      <w:tr>
        <w:trPr>
          <w:trHeight w:val="589" w:hRule="exact"/>
        </w:trPr>
        <w:tc>
          <w:tcPr>
            <w:tcW w:w="1303" w:type="dxa"/>
            <w:tcBorders>
              <w:top w:val="nil"/>
              <w:right w:val="single" w:sz="12" w:space="0" w:color="000000"/>
            </w:tcBorders>
          </w:tcPr>
          <w:p>
            <w:pPr>
              <w:pStyle w:val="TableParagraph"/>
              <w:spacing w:before="51"/>
              <w:ind w:right="583"/>
              <w:rPr>
                <w:b/>
                <w:sz w:val="19"/>
              </w:rPr>
            </w:pPr>
            <w:r>
              <w:rPr>
                <w:b/>
                <w:sz w:val="19"/>
              </w:rPr>
              <w:t>más</w:t>
            </w:r>
          </w:p>
        </w:tc>
        <w:tc>
          <w:tcPr>
            <w:tcW w:w="955" w:type="dxa"/>
            <w:vMerge/>
            <w:tcBorders>
              <w:left w:val="single" w:sz="12" w:space="0" w:color="000000"/>
            </w:tcBorders>
          </w:tcPr>
          <w:p>
            <w:pPr/>
          </w:p>
        </w:tc>
        <w:tc>
          <w:tcPr>
            <w:tcW w:w="870" w:type="dxa"/>
            <w:vMerge/>
            <w:tcBorders>
              <w:right w:val="single" w:sz="3" w:space="0" w:color="000000"/>
            </w:tcBorders>
          </w:tcPr>
          <w:p>
            <w:pPr/>
          </w:p>
        </w:tc>
        <w:tc>
          <w:tcPr>
            <w:tcW w:w="1237" w:type="dxa"/>
            <w:vMerge/>
            <w:tcBorders>
              <w:left w:val="single" w:sz="3" w:space="0" w:color="000000"/>
            </w:tcBorders>
          </w:tcPr>
          <w:p>
            <w:pPr/>
          </w:p>
        </w:tc>
        <w:tc>
          <w:tcPr>
            <w:tcW w:w="956" w:type="dxa"/>
            <w:vMerge/>
            <w:tcBorders>
              <w:right w:val="single" w:sz="3" w:space="0" w:color="000000"/>
            </w:tcBorders>
          </w:tcPr>
          <w:p>
            <w:pPr/>
          </w:p>
        </w:tc>
        <w:tc>
          <w:tcPr>
            <w:tcW w:w="871" w:type="dxa"/>
            <w:vMerge/>
            <w:tcBorders>
              <w:left w:val="single" w:sz="3" w:space="0" w:color="000000"/>
              <w:right w:val="single" w:sz="3" w:space="0" w:color="000000"/>
            </w:tcBorders>
          </w:tcPr>
          <w:p>
            <w:pPr/>
          </w:p>
        </w:tc>
        <w:tc>
          <w:tcPr>
            <w:tcW w:w="1302" w:type="dxa"/>
            <w:vMerge/>
            <w:tcBorders>
              <w:left w:val="single" w:sz="3" w:space="0" w:color="000000"/>
            </w:tcBorders>
          </w:tcPr>
          <w:p>
            <w:pPr/>
          </w:p>
        </w:tc>
        <w:tc>
          <w:tcPr>
            <w:tcW w:w="958" w:type="dxa"/>
            <w:vMerge/>
            <w:tcBorders>
              <w:right w:val="single" w:sz="6" w:space="0" w:color="000000"/>
            </w:tcBorders>
          </w:tcPr>
          <w:p>
            <w:pPr/>
          </w:p>
        </w:tc>
        <w:tc>
          <w:tcPr>
            <w:tcW w:w="869" w:type="dxa"/>
            <w:vMerge/>
            <w:tcBorders>
              <w:left w:val="single" w:sz="6" w:space="0" w:color="000000"/>
            </w:tcBorders>
          </w:tcPr>
          <w:p>
            <w:pPr/>
          </w:p>
        </w:tc>
      </w:tr>
    </w:tbl>
    <w:p>
      <w:pPr>
        <w:spacing w:before="117"/>
        <w:ind w:left="221" w:right="0" w:firstLine="0"/>
        <w:jc w:val="both"/>
        <w:rPr>
          <w:sz w:val="21"/>
        </w:rPr>
      </w:pPr>
      <w:r>
        <w:rPr>
          <w:sz w:val="21"/>
        </w:rPr>
        <w:t>Fuente: Elaboración propia en base a la información estadística de la encuesta,   2006</w:t>
      </w:r>
      <w:r>
        <w:rPr>
          <w:color w:val="FF0000"/>
          <w:sz w:val="21"/>
        </w:rPr>
        <w:t>.</w:t>
      </w:r>
    </w:p>
    <w:p>
      <w:pPr>
        <w:pStyle w:val="BodyText"/>
        <w:rPr>
          <w:sz w:val="20"/>
        </w:rPr>
      </w:pPr>
    </w:p>
    <w:p>
      <w:pPr>
        <w:pStyle w:val="BodyText"/>
        <w:rPr>
          <w:sz w:val="20"/>
        </w:rPr>
      </w:pPr>
    </w:p>
    <w:p>
      <w:pPr>
        <w:pStyle w:val="BodyText"/>
        <w:rPr>
          <w:sz w:val="20"/>
        </w:rPr>
      </w:pPr>
    </w:p>
    <w:p>
      <w:pPr>
        <w:pStyle w:val="BodyText"/>
        <w:spacing w:line="364" w:lineRule="auto" w:before="120"/>
        <w:ind w:left="221" w:right="506"/>
        <w:jc w:val="both"/>
      </w:pPr>
      <w:r>
        <w:rPr/>
        <w:t>El ingreso percibido por los migrantes en Estados Unidos se encuentra entre 8 y 14 dólares la hora, el salario más alto lo obtienen en el sector de la construcción, el cual representa 8.9% (Cuadro 1). El rango de 10-11 dólares equivale en 37.8%, y de 12-</w:t>
      </w:r>
    </w:p>
    <w:p>
      <w:pPr>
        <w:spacing w:after="0" w:line="364" w:lineRule="auto"/>
        <w:jc w:val="both"/>
        <w:sectPr>
          <w:pgSz w:w="11900" w:h="16840"/>
          <w:pgMar w:header="0" w:footer="1676" w:top="1600" w:bottom="1860" w:left="1180" w:right="1160"/>
        </w:sectPr>
      </w:pPr>
    </w:p>
    <w:p>
      <w:pPr>
        <w:pStyle w:val="BodyText"/>
        <w:rPr>
          <w:sz w:val="20"/>
        </w:rPr>
      </w:pPr>
    </w:p>
    <w:p>
      <w:pPr>
        <w:pStyle w:val="BodyText"/>
        <w:spacing w:before="8"/>
        <w:rPr>
          <w:sz w:val="18"/>
        </w:rPr>
      </w:pPr>
    </w:p>
    <w:p>
      <w:pPr>
        <w:pStyle w:val="BodyText"/>
        <w:spacing w:line="364" w:lineRule="auto" w:before="74"/>
        <w:ind w:left="101" w:right="386"/>
        <w:jc w:val="both"/>
      </w:pPr>
      <w:r>
        <w:rPr/>
        <w:t>13 dólares de 33.3% y por último de 8-9 dólares por hora corresponde un 20%. Una de las ventajas de los salarios en Estados Unidos es pagada por hora de </w:t>
      </w:r>
      <w:r>
        <w:rPr>
          <w:spacing w:val="26"/>
        </w:rPr>
        <w:t> </w:t>
      </w:r>
      <w:r>
        <w:rPr/>
        <w:t>trabajo.</w:t>
      </w:r>
    </w:p>
    <w:p>
      <w:pPr>
        <w:pStyle w:val="BodyText"/>
        <w:spacing w:before="10"/>
        <w:rPr>
          <w:sz w:val="20"/>
        </w:rPr>
      </w:pPr>
    </w:p>
    <w:p>
      <w:pPr>
        <w:pStyle w:val="BodyText"/>
        <w:spacing w:line="364" w:lineRule="auto"/>
        <w:ind w:left="101" w:right="386"/>
        <w:jc w:val="both"/>
      </w:pPr>
      <w:r>
        <w:rPr/>
        <w:t>El ingreso mensual de los migrantes del municipio de Teotihuacán  más  alto  es mayor de 3,701 dólares, pero sólo dos personas lo obtienen y trabajan como carpinteros; en cambio, los que tienen menor ingreso son 9 personas  y perciben  entre 1990 y 2500 dólares trabajando en restaurante, en el campo y como </w:t>
      </w:r>
      <w:r>
        <w:rPr>
          <w:spacing w:val="33"/>
        </w:rPr>
        <w:t> </w:t>
      </w:r>
      <w:r>
        <w:rPr/>
        <w:t>obrero.</w:t>
      </w:r>
    </w:p>
    <w:p>
      <w:pPr>
        <w:pStyle w:val="BodyText"/>
        <w:rPr>
          <w:sz w:val="22"/>
        </w:rPr>
      </w:pPr>
    </w:p>
    <w:p>
      <w:pPr>
        <w:pStyle w:val="BodyText"/>
        <w:rPr>
          <w:sz w:val="22"/>
        </w:rPr>
      </w:pPr>
    </w:p>
    <w:p>
      <w:pPr>
        <w:pStyle w:val="BodyText"/>
        <w:spacing w:before="9"/>
        <w:rPr>
          <w:sz w:val="31"/>
        </w:rPr>
      </w:pPr>
    </w:p>
    <w:p>
      <w:pPr>
        <w:pStyle w:val="Heading5"/>
        <w:spacing w:before="0"/>
        <w:ind w:left="101"/>
        <w:jc w:val="both"/>
        <w:rPr>
          <w:i/>
        </w:rPr>
      </w:pPr>
      <w:r>
        <w:rPr>
          <w:i/>
        </w:rPr>
        <w:t>Distribución de las remesas enviadas</w:t>
      </w:r>
    </w:p>
    <w:p>
      <w:pPr>
        <w:pStyle w:val="BodyText"/>
        <w:spacing w:before="8"/>
        <w:rPr>
          <w:b/>
          <w:i/>
          <w:sz w:val="32"/>
        </w:rPr>
      </w:pPr>
    </w:p>
    <w:p>
      <w:pPr>
        <w:pStyle w:val="BodyText"/>
        <w:spacing w:line="364" w:lineRule="auto"/>
        <w:ind w:left="101" w:right="382"/>
        <w:jc w:val="both"/>
      </w:pPr>
      <w:r>
        <w:rPr/>
        <w:t>De la muestra analizada, la distribución de las remesas que reciben de sus familiares que trabajan en Estados Unidos, 55.6% de las familias lo gastan en la alimentación (alimentos, ropa, salud, educación, pago de luz, teléfono, agua, predial y mantenimiento de la casa), 24.4% lo invierten en la compra de terrenos y /o construcción de casas, o algún negocio como: tiendas de abarrotes, talleres de costura, renta de viviendas y algunas familias compran combis,  microbús  y autobuses, que  los usan para trabajar para el transporte público, lo cual les genera  un ingreso diario extra (Figura 8). Sólo 2% se ahorra en instituciones financieras y esto se da con mayor frecuencia en los migrantes que son </w:t>
      </w:r>
      <w:r>
        <w:rPr>
          <w:spacing w:val="10"/>
        </w:rPr>
        <w:t> </w:t>
      </w:r>
      <w:r>
        <w:rPr/>
        <w:t>solteros.</w:t>
      </w:r>
    </w:p>
    <w:p>
      <w:pPr>
        <w:pStyle w:val="BodyText"/>
        <w:rPr>
          <w:sz w:val="22"/>
        </w:rPr>
      </w:pPr>
    </w:p>
    <w:p>
      <w:pPr>
        <w:pStyle w:val="BodyText"/>
        <w:rPr>
          <w:sz w:val="22"/>
        </w:rPr>
      </w:pPr>
    </w:p>
    <w:p>
      <w:pPr>
        <w:pStyle w:val="BodyText"/>
        <w:spacing w:before="11"/>
        <w:rPr>
          <w:sz w:val="21"/>
        </w:rPr>
      </w:pPr>
    </w:p>
    <w:p>
      <w:pPr>
        <w:pStyle w:val="BodyText"/>
        <w:spacing w:line="364" w:lineRule="auto"/>
        <w:ind w:left="101" w:right="384"/>
        <w:jc w:val="both"/>
      </w:pPr>
      <w:r>
        <w:rPr/>
        <w:t>Las remesas tienen un fuerte impacto en el consumo, pues según estimaciones del Banco de México, el ingreso de las remesas está beneficiando al 25%  de  los  hogares con menores ingresos del país. Y de estos ingresos dichos  hogares  destinan, 8 de cada diez dólares al consumo familiar, esto es para cubrir sus necesidades básicas (alimentación, renta y</w:t>
      </w:r>
      <w:r>
        <w:rPr>
          <w:spacing w:val="56"/>
        </w:rPr>
        <w:t> </w:t>
      </w:r>
      <w:r>
        <w:rPr/>
        <w:t>salud).</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6"/>
        <w:rPr>
          <w:sz w:val="18"/>
        </w:rPr>
      </w:pPr>
    </w:p>
    <w:p>
      <w:pPr>
        <w:pStyle w:val="Heading4"/>
        <w:spacing w:before="74"/>
        <w:ind w:left="1903"/>
      </w:pPr>
      <w:r>
        <w:rPr/>
        <w:pict>
          <v:group style="position:absolute;margin-left:83.270157pt;margin-top:22.996082pt;width:414.5pt;height:215.7pt;mso-position-horizontal-relative:page;mso-position-vertical-relative:paragraph;z-index:17968" coordorigin="1665,460" coordsize="8290,4314">
            <v:rect style="position:absolute;left:1670;top:465;width:8280;height:4303" filled="false" stroked="true" strokeweight=".468144pt" strokecolor="#000000"/>
            <v:rect style="position:absolute;left:2362;top:650;width:7483;height:3547" filled="true" fillcolor="#c0c0c0" stroked="false">
              <v:fill type="solid"/>
            </v:rect>
            <v:shape style="position:absolute;left:19680;top:-78436;width:62360;height:2" coordorigin="19680,-78436" coordsize="62360,0" path="m6600,3609l9845,3609m4106,3609l5606,3609m2362,3609l3113,3609e" filled="false" stroked="true" strokeweight=".12pt" strokecolor="#000000">
              <v:path arrowok="t"/>
            </v:shape>
            <v:shape style="position:absolute;left:19680;top:-83416;width:62360;height:2" coordorigin="19680,-83416" coordsize="62360,0" path="m6600,3011l9845,3011m4106,3011l5606,3011m2362,3011l3113,3011e" filled="false" stroked="true" strokeweight=".12pt" strokecolor="#000000">
              <v:path arrowok="t"/>
            </v:shape>
            <v:shape style="position:absolute;left:19680;top:-88316;width:62360;height:2" coordorigin="19680,-88316" coordsize="62360,0" path="m4106,2423l9845,2423m2362,2423l3113,2423e" filled="false" stroked="true" strokeweight=".12pt" strokecolor="#000000">
              <v:path arrowok="t"/>
            </v:shape>
            <v:shape style="position:absolute;left:19680;top:-93216;width:62360;height:2" coordorigin="19680,-93216" coordsize="62360,0" path="m4106,1835l9845,1835m2362,1835l3113,1835e" filled="false" stroked="true" strokeweight=".12pt" strokecolor="#000000">
              <v:path arrowok="t"/>
            </v:shape>
            <v:shape style="position:absolute;left:19680;top:-98196;width:62360;height:2" coordorigin="19680,-98196" coordsize="62360,0" path="m4106,1238l9845,1238m2362,1238l3113,1238e" filled="false" stroked="true" strokeweight=".12pt" strokecolor="#000000">
              <v:path arrowok="t"/>
            </v:shape>
            <v:line style="position:absolute" from="2362,650" to="9845,650" stroked="true" strokeweight=".12pt" strokecolor="#000000"/>
            <v:shape style="position:absolute;left:17321;top:117059;width:54885;height:34222" coordorigin="17321,117059" coordsize="54885,34222" path="m2362,650l9845,650m9845,650l9845,4197m9845,4197l2362,4197m2362,4197l2362,650e" filled="false" stroked="true" strokeweight=".5079pt" strokecolor="#7f7f7f">
              <v:path arrowok="t"/>
            </v:shape>
            <v:rect style="position:absolute;left:3113;top:911;width:994;height:3286" filled="true" fillcolor="#9999ff" stroked="false">
              <v:fill type="solid"/>
            </v:rect>
            <v:rect style="position:absolute;left:3113;top:911;width:994;height:3286" filled="false" stroked="true" strokeweight=".565488pt" strokecolor="#000000"/>
            <v:rect style="position:absolute;left:5606;top:2757;width:994;height:1440" filled="true" fillcolor="#9999ff" stroked="false">
              <v:fill type="solid"/>
            </v:rect>
            <v:rect style="position:absolute;left:5606;top:2757;width:994;height:1440" filled="false" stroked="true" strokeweight=".532455pt" strokecolor="#000000"/>
            <v:rect style="position:absolute;left:8102;top:4084;width:994;height:113" filled="true" fillcolor="#9999ff" stroked="false">
              <v:fill type="solid"/>
            </v:rect>
            <v:rect style="position:absolute;left:8102;top:4084;width:994;height:113" filled="false" stroked="true" strokeweight=".440481pt" strokecolor="#000000"/>
            <v:shape style="position:absolute;left:19300;top:-103096;width:62740;height:29860" coordorigin="19300,-103096" coordsize="62740,29860" path="m2362,650l2362,4197m2316,4197l2362,4197m2316,3609l2362,3609m2316,3011l2362,3011m2316,2423l2362,2423m2316,1835l2362,1835m2316,1238l2362,1238m2316,650l2362,650m2362,4197l9845,4197m2362,4233l2362,4197m4858,4233l4858,4197m7351,4233l7351,4197m9845,4233l9845,4197e" filled="false" stroked="true" strokeweight=".12pt" strokecolor="#000000">
              <v:path arrowok="t"/>
            </v:shape>
            <v:rect style="position:absolute;left:1670;top:465;width:8280;height:4303" filled="false" stroked="true" strokeweight=".468144pt" strokecolor="#000000"/>
            <v:shape style="position:absolute;left:2086;top:596;width:166;height:115" type="#_x0000_t202" filled="false" stroked="false">
              <v:textbox inset="0,0,0,0">
                <w:txbxContent>
                  <w:p>
                    <w:pPr>
                      <w:spacing w:line="114" w:lineRule="exact" w:before="0"/>
                      <w:ind w:left="0" w:right="-20" w:firstLine="0"/>
                      <w:jc w:val="left"/>
                      <w:rPr>
                        <w:sz w:val="11"/>
                      </w:rPr>
                    </w:pPr>
                    <w:r>
                      <w:rPr>
                        <w:w w:val="135"/>
                        <w:sz w:val="11"/>
                      </w:rPr>
                      <w:t>60</w:t>
                    </w:r>
                  </w:p>
                </w:txbxContent>
              </v:textbox>
              <w10:wrap type="none"/>
            </v:shape>
            <v:shape style="position:absolute;left:3473;top:735;width:290;height:115" type="#_x0000_t202" filled="false" stroked="false">
              <v:textbox inset="0,0,0,0">
                <w:txbxContent>
                  <w:p>
                    <w:pPr>
                      <w:spacing w:line="114" w:lineRule="exact" w:before="0"/>
                      <w:ind w:left="0" w:right="-20" w:firstLine="0"/>
                      <w:jc w:val="left"/>
                      <w:rPr>
                        <w:sz w:val="11"/>
                      </w:rPr>
                    </w:pPr>
                    <w:r>
                      <w:rPr>
                        <w:w w:val="135"/>
                        <w:sz w:val="11"/>
                      </w:rPr>
                      <w:t>55.6</w:t>
                    </w:r>
                  </w:p>
                </w:txbxContent>
              </v:textbox>
              <w10:wrap type="none"/>
            </v:shape>
            <v:shape style="position:absolute;left:2086;top:1184;width:166;height:115" type="#_x0000_t202" filled="false" stroked="false">
              <v:textbox inset="0,0,0,0">
                <w:txbxContent>
                  <w:p>
                    <w:pPr>
                      <w:spacing w:line="114" w:lineRule="exact" w:before="0"/>
                      <w:ind w:left="0" w:right="-20" w:firstLine="0"/>
                      <w:jc w:val="left"/>
                      <w:rPr>
                        <w:sz w:val="11"/>
                      </w:rPr>
                    </w:pPr>
                    <w:r>
                      <w:rPr>
                        <w:w w:val="135"/>
                        <w:sz w:val="11"/>
                      </w:rPr>
                      <w:t>50</w:t>
                    </w:r>
                  </w:p>
                </w:txbxContent>
              </v:textbox>
              <w10:wrap type="none"/>
            </v:shape>
            <v:shape style="position:absolute;left:2086;top:1781;width:166;height:115" type="#_x0000_t202" filled="false" stroked="false">
              <v:textbox inset="0,0,0,0">
                <w:txbxContent>
                  <w:p>
                    <w:pPr>
                      <w:spacing w:line="114" w:lineRule="exact" w:before="0"/>
                      <w:ind w:left="0" w:right="-20" w:firstLine="0"/>
                      <w:jc w:val="left"/>
                      <w:rPr>
                        <w:sz w:val="11"/>
                      </w:rPr>
                    </w:pPr>
                    <w:r>
                      <w:rPr>
                        <w:w w:val="135"/>
                        <w:sz w:val="11"/>
                      </w:rPr>
                      <w:t>40</w:t>
                    </w:r>
                  </w:p>
                </w:txbxContent>
              </v:textbox>
              <w10:wrap type="none"/>
            </v:shape>
            <v:shape style="position:absolute;left:2086;top:2369;width:166;height:115" type="#_x0000_t202" filled="false" stroked="false">
              <v:textbox inset="0,0,0,0">
                <w:txbxContent>
                  <w:p>
                    <w:pPr>
                      <w:spacing w:line="114" w:lineRule="exact" w:before="0"/>
                      <w:ind w:left="0" w:right="-20" w:firstLine="0"/>
                      <w:jc w:val="left"/>
                      <w:rPr>
                        <w:sz w:val="11"/>
                      </w:rPr>
                    </w:pPr>
                    <w:r>
                      <w:rPr>
                        <w:w w:val="135"/>
                        <w:sz w:val="11"/>
                      </w:rPr>
                      <w:t>30</w:t>
                    </w:r>
                  </w:p>
                </w:txbxContent>
              </v:textbox>
              <w10:wrap type="none"/>
            </v:shape>
            <v:shape style="position:absolute;left:5966;top:2580;width:293;height:115" type="#_x0000_t202" filled="false" stroked="false">
              <v:textbox inset="0,0,0,0">
                <w:txbxContent>
                  <w:p>
                    <w:pPr>
                      <w:spacing w:line="114" w:lineRule="exact" w:before="0"/>
                      <w:ind w:left="0" w:right="-17" w:firstLine="0"/>
                      <w:jc w:val="left"/>
                      <w:rPr>
                        <w:sz w:val="11"/>
                      </w:rPr>
                    </w:pPr>
                    <w:r>
                      <w:rPr>
                        <w:w w:val="135"/>
                        <w:sz w:val="11"/>
                      </w:rPr>
                      <w:t>24.4</w:t>
                    </w:r>
                  </w:p>
                </w:txbxContent>
              </v:textbox>
              <w10:wrap type="none"/>
            </v:shape>
            <v:shape style="position:absolute;left:2086;top:2957;width:166;height:115" type="#_x0000_t202" filled="false" stroked="false">
              <v:textbox inset="0,0,0,0">
                <w:txbxContent>
                  <w:p>
                    <w:pPr>
                      <w:spacing w:line="114" w:lineRule="exact" w:before="0"/>
                      <w:ind w:left="0" w:right="-20" w:firstLine="0"/>
                      <w:jc w:val="left"/>
                      <w:rPr>
                        <w:sz w:val="11"/>
                      </w:rPr>
                    </w:pPr>
                    <w:r>
                      <w:rPr>
                        <w:w w:val="135"/>
                        <w:sz w:val="11"/>
                      </w:rPr>
                      <w:t>20</w:t>
                    </w:r>
                  </w:p>
                </w:txbxContent>
              </v:textbox>
              <w10:wrap type="none"/>
            </v:shape>
            <v:shape style="position:absolute;left:2086;top:3555;width:166;height:115" type="#_x0000_t202" filled="false" stroked="false">
              <v:textbox inset="0,0,0,0">
                <w:txbxContent>
                  <w:p>
                    <w:pPr>
                      <w:spacing w:line="114" w:lineRule="exact" w:before="0"/>
                      <w:ind w:left="0" w:right="-20" w:firstLine="0"/>
                      <w:jc w:val="left"/>
                      <w:rPr>
                        <w:sz w:val="11"/>
                      </w:rPr>
                    </w:pPr>
                    <w:r>
                      <w:rPr>
                        <w:w w:val="135"/>
                        <w:sz w:val="11"/>
                      </w:rPr>
                      <w:t>10</w:t>
                    </w:r>
                  </w:p>
                </w:txbxContent>
              </v:textbox>
              <w10:wrap type="none"/>
            </v:shape>
            <v:shape style="position:absolute;left:8566;top:3908;width:84;height:115" type="#_x0000_t202" filled="false" stroked="false">
              <v:textbox inset="0,0,0,0">
                <w:txbxContent>
                  <w:p>
                    <w:pPr>
                      <w:spacing w:line="114" w:lineRule="exact" w:before="0"/>
                      <w:ind w:left="0" w:right="0" w:firstLine="0"/>
                      <w:jc w:val="left"/>
                      <w:rPr>
                        <w:sz w:val="11"/>
                      </w:rPr>
                    </w:pPr>
                    <w:r>
                      <w:rPr>
                        <w:w w:val="136"/>
                        <w:sz w:val="11"/>
                      </w:rPr>
                      <w:t>2</w:t>
                    </w:r>
                  </w:p>
                </w:txbxContent>
              </v:textbox>
              <w10:wrap type="none"/>
            </v:shape>
            <v:shape style="position:absolute;left:2167;top:4145;width:84;height:115" type="#_x0000_t202" filled="false" stroked="false">
              <v:textbox inset="0,0,0,0">
                <w:txbxContent>
                  <w:p>
                    <w:pPr>
                      <w:spacing w:line="114" w:lineRule="exact" w:before="0"/>
                      <w:ind w:left="0" w:right="0" w:firstLine="0"/>
                      <w:jc w:val="left"/>
                      <w:rPr>
                        <w:sz w:val="11"/>
                      </w:rPr>
                    </w:pPr>
                    <w:r>
                      <w:rPr>
                        <w:w w:val="136"/>
                        <w:sz w:val="11"/>
                      </w:rPr>
                      <w:t>0</w:t>
                    </w:r>
                  </w:p>
                </w:txbxContent>
              </v:textbox>
              <w10:wrap type="none"/>
            </v:shape>
            <v:shape style="position:absolute;left:2930;top:4311;width:1378;height:115" type="#_x0000_t202" filled="false" stroked="false">
              <v:textbox inset="0,0,0,0">
                <w:txbxContent>
                  <w:p>
                    <w:pPr>
                      <w:spacing w:line="114" w:lineRule="exact" w:before="0"/>
                      <w:ind w:left="0" w:right="-13" w:firstLine="0"/>
                      <w:jc w:val="left"/>
                      <w:rPr>
                        <w:sz w:val="11"/>
                      </w:rPr>
                    </w:pPr>
                    <w:r>
                      <w:rPr>
                        <w:w w:val="135"/>
                        <w:sz w:val="11"/>
                      </w:rPr>
                      <w:t>Manutención familiar</w:t>
                    </w:r>
                  </w:p>
                </w:txbxContent>
              </v:textbox>
              <w10:wrap type="none"/>
            </v:shape>
            <v:shape style="position:absolute;left:5146;top:4311;width:1932;height:316" type="#_x0000_t202" filled="false" stroked="false">
              <v:textbox inset="0,0,0,0">
                <w:txbxContent>
                  <w:p>
                    <w:pPr>
                      <w:spacing w:line="116" w:lineRule="exact" w:before="0"/>
                      <w:ind w:left="0" w:right="6" w:firstLine="0"/>
                      <w:jc w:val="center"/>
                      <w:rPr>
                        <w:sz w:val="11"/>
                      </w:rPr>
                    </w:pPr>
                    <w:r>
                      <w:rPr>
                        <w:w w:val="135"/>
                        <w:sz w:val="11"/>
                      </w:rPr>
                      <w:t>Inversión</w:t>
                    </w:r>
                  </w:p>
                  <w:p>
                    <w:pPr>
                      <w:spacing w:line="125" w:lineRule="exact" w:before="75"/>
                      <w:ind w:left="0" w:right="0" w:firstLine="0"/>
                      <w:jc w:val="center"/>
                      <w:rPr>
                        <w:b/>
                        <w:sz w:val="11"/>
                      </w:rPr>
                    </w:pPr>
                    <w:r>
                      <w:rPr>
                        <w:b/>
                        <w:w w:val="135"/>
                        <w:sz w:val="11"/>
                      </w:rPr>
                      <w:t>Utilización de  los ingresos</w:t>
                    </w:r>
                  </w:p>
                </w:txbxContent>
              </v:textbox>
              <w10:wrap type="none"/>
            </v:shape>
            <v:shape style="position:absolute;left:8381;top:4311;width:442;height:115" type="#_x0000_t202" filled="false" stroked="false">
              <v:textbox inset="0,0,0,0">
                <w:txbxContent>
                  <w:p>
                    <w:pPr>
                      <w:spacing w:line="114" w:lineRule="exact" w:before="0"/>
                      <w:ind w:left="0" w:right="-12" w:firstLine="0"/>
                      <w:jc w:val="left"/>
                      <w:rPr>
                        <w:sz w:val="11"/>
                      </w:rPr>
                    </w:pPr>
                    <w:r>
                      <w:rPr>
                        <w:spacing w:val="-2"/>
                        <w:w w:val="135"/>
                        <w:sz w:val="11"/>
                      </w:rPr>
                      <w:t>Ahorro</w:t>
                    </w:r>
                  </w:p>
                </w:txbxContent>
              </v:textbox>
              <w10:wrap type="none"/>
            </v:shape>
            <w10:wrap type="none"/>
          </v:group>
        </w:pict>
      </w:r>
      <w:r>
        <w:rPr/>
        <w:pict>
          <v:shape style="position:absolute;margin-left:91.213585pt;margin-top:115.772675pt;width:7.75pt;height:8.7pt;mso-position-horizontal-relative:page;mso-position-vertical-relative:paragraph;z-index:17992" type="#_x0000_t202" filled="false" stroked="false">
            <v:textbox inset="0,0,0,0" style="layout-flow:vertical;mso-layout-flow-alt:bottom-to-top">
              <w:txbxContent>
                <w:p>
                  <w:pPr>
                    <w:spacing w:before="9"/>
                    <w:ind w:left="20" w:right="0" w:firstLine="0"/>
                    <w:jc w:val="left"/>
                    <w:rPr>
                      <w:b/>
                      <w:sz w:val="11"/>
                    </w:rPr>
                  </w:pPr>
                  <w:r>
                    <w:rPr>
                      <w:b/>
                      <w:w w:val="136"/>
                      <w:sz w:val="11"/>
                    </w:rPr>
                    <w:t>%</w:t>
                  </w:r>
                </w:p>
              </w:txbxContent>
            </v:textbox>
            <w10:wrap type="none"/>
          </v:shape>
        </w:pict>
      </w:r>
      <w:r>
        <w:rPr/>
        <w:t>Figura 8. Distribución de las remesas</w:t>
      </w:r>
      <w:r>
        <w:rPr>
          <w:spacing w:val="59"/>
        </w:rPr>
        <w:t> </w:t>
      </w:r>
      <w:r>
        <w:rPr/>
        <w:t>enviadas</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1"/>
        <w:rPr>
          <w:b/>
          <w:sz w:val="21"/>
        </w:rPr>
      </w:pPr>
    </w:p>
    <w:p>
      <w:pPr>
        <w:spacing w:before="0"/>
        <w:ind w:left="101" w:right="0" w:firstLine="0"/>
        <w:jc w:val="both"/>
        <w:rPr>
          <w:sz w:val="21"/>
        </w:rPr>
      </w:pPr>
      <w:r>
        <w:rPr>
          <w:sz w:val="21"/>
        </w:rPr>
        <w:t>Fuente: Elaboración propia en base a la información estadística de la encuesta,   2006</w:t>
      </w:r>
      <w:r>
        <w:rPr>
          <w:color w:val="FF0000"/>
          <w:sz w:val="21"/>
        </w:rPr>
        <w:t>.</w:t>
      </w:r>
    </w:p>
    <w:p>
      <w:pPr>
        <w:pStyle w:val="BodyText"/>
        <w:rPr>
          <w:sz w:val="20"/>
        </w:rPr>
      </w:pPr>
    </w:p>
    <w:p>
      <w:pPr>
        <w:pStyle w:val="BodyText"/>
        <w:rPr>
          <w:sz w:val="20"/>
        </w:rPr>
      </w:pPr>
    </w:p>
    <w:p>
      <w:pPr>
        <w:pStyle w:val="BodyText"/>
        <w:rPr>
          <w:sz w:val="20"/>
        </w:rPr>
      </w:pPr>
    </w:p>
    <w:p>
      <w:pPr>
        <w:pStyle w:val="BodyText"/>
        <w:spacing w:before="5"/>
        <w:rPr>
          <w:sz w:val="16"/>
        </w:rPr>
      </w:pPr>
    </w:p>
    <w:p>
      <w:pPr>
        <w:pStyle w:val="BodyText"/>
        <w:spacing w:line="364" w:lineRule="auto" w:before="1"/>
        <w:ind w:left="101" w:right="1666"/>
        <w:jc w:val="both"/>
      </w:pPr>
      <w:r>
        <w:rPr/>
        <w:t>Por el momento los migrantes, no tienen proyectos de trabajo en México para su regreso.</w:t>
      </w:r>
    </w:p>
    <w:p>
      <w:pPr>
        <w:pStyle w:val="BodyText"/>
        <w:spacing w:before="7"/>
        <w:rPr>
          <w:sz w:val="20"/>
        </w:rPr>
      </w:pPr>
    </w:p>
    <w:p>
      <w:pPr>
        <w:pStyle w:val="BodyText"/>
        <w:spacing w:line="364" w:lineRule="auto" w:before="1"/>
        <w:ind w:left="101" w:right="1662"/>
        <w:jc w:val="both"/>
      </w:pPr>
      <w:r>
        <w:rPr/>
        <w:t>Las remesas que los mexicanos residentes en Estados Unidos enviaron al país en 2008, se ubico en 25,145 millones de dólares, 3.6% inferior a  2007.  Banco de  México indicó que la caída en las   remesas fue de 931 millones de dólares (Banco   de México, 2009). Las remesas es el único ingreso que las familias del país cuentan para poder sobrevivir. Las remesas es uno de los ingresos que las  familias  mexicanas migrantes tienen para enfrentar los gastos que tienen que realizar para cubrir sus necesidades básicas de</w:t>
      </w:r>
      <w:r>
        <w:rPr>
          <w:spacing w:val="50"/>
        </w:rPr>
        <w:t> </w:t>
      </w:r>
      <w:r>
        <w:rPr/>
        <w:t>existencia.</w:t>
      </w:r>
    </w:p>
    <w:p>
      <w:pPr>
        <w:spacing w:after="0" w:line="364" w:lineRule="auto"/>
        <w:jc w:val="both"/>
        <w:sectPr>
          <w:pgSz w:w="11900" w:h="16840"/>
          <w:pgMar w:header="0" w:footer="1676" w:top="1600" w:bottom="1860" w:left="1300" w:right="0"/>
        </w:sectPr>
      </w:pPr>
    </w:p>
    <w:p>
      <w:pPr>
        <w:pStyle w:val="BodyText"/>
        <w:rPr>
          <w:sz w:val="20"/>
        </w:rPr>
      </w:pPr>
    </w:p>
    <w:p>
      <w:pPr>
        <w:pStyle w:val="BodyText"/>
        <w:spacing w:before="2"/>
        <w:rPr>
          <w:sz w:val="19"/>
        </w:rPr>
      </w:pPr>
    </w:p>
    <w:p>
      <w:pPr>
        <w:pStyle w:val="Heading2"/>
        <w:numPr>
          <w:ilvl w:val="1"/>
          <w:numId w:val="30"/>
        </w:numPr>
        <w:tabs>
          <w:tab w:pos="568" w:val="left" w:leader="none"/>
        </w:tabs>
        <w:spacing w:line="240" w:lineRule="auto" w:before="61" w:after="0"/>
        <w:ind w:left="567" w:right="0" w:hanging="466"/>
        <w:jc w:val="both"/>
      </w:pPr>
      <w:r>
        <w:rPr/>
        <w:t>CONCLUSIONES</w:t>
      </w:r>
    </w:p>
    <w:p>
      <w:pPr>
        <w:pStyle w:val="BodyText"/>
        <w:rPr>
          <w:b/>
          <w:sz w:val="30"/>
        </w:rPr>
      </w:pPr>
    </w:p>
    <w:p>
      <w:pPr>
        <w:pStyle w:val="BodyText"/>
        <w:spacing w:before="3"/>
        <w:rPr>
          <w:b/>
          <w:sz w:val="26"/>
        </w:rPr>
      </w:pPr>
    </w:p>
    <w:p>
      <w:pPr>
        <w:pStyle w:val="BodyText"/>
        <w:spacing w:line="364" w:lineRule="auto"/>
        <w:ind w:left="101" w:right="383"/>
        <w:jc w:val="both"/>
      </w:pPr>
      <w:r>
        <w:rPr/>
        <w:t>La migración es considerada una alternativa de salida que ofrece a  aquellas  personas desempleadas nuevas oportunidades de financiamiento y la posibilidad de mejorar la calidad de vida de sus familias. Actualmente, la finalidad de los movimientos migratorios no se ha modificado, pues aún sigue siendo la pobreza, marginación, desempleo, los bajos salarios, los factores que han influido a la  población que se encuentra en situaciones de nivel de ingresos bajos y en condiciones de vida difíciles. Bajo estas circunstancias una salida a este problema    es la migración, siendo los Estados Unidos el principal captador de mano de obra la cual recibe en el vecino país un salario más alto en relación al obtenido en su país    de origen, por ello se ven en la necesidad de buscar un empleo para  su  sostenimiento y contribución al gasto familiar; principalmente este empleo lo  consiguen emigrando, ya sea de forma legal o</w:t>
      </w:r>
      <w:r>
        <w:rPr>
          <w:spacing w:val="60"/>
        </w:rPr>
        <w:t> </w:t>
      </w:r>
      <w:r>
        <w:rPr/>
        <w:t>ilegal.</w:t>
      </w:r>
    </w:p>
    <w:p>
      <w:pPr>
        <w:pStyle w:val="BodyText"/>
        <w:rPr>
          <w:sz w:val="22"/>
        </w:rPr>
      </w:pPr>
    </w:p>
    <w:p>
      <w:pPr>
        <w:pStyle w:val="BodyText"/>
        <w:spacing w:line="364" w:lineRule="auto" w:before="153"/>
        <w:ind w:left="101" w:right="385"/>
        <w:jc w:val="both"/>
      </w:pPr>
      <w:r>
        <w:rPr/>
        <w:t>A pesar del costo social que el fenómeno de la migración tiene, en términos económicos aporta beneficios para México, para las personas que emigran, para las familias y para la sociedad en general, debido a las remesas y los ahorros  acumulados en Estados Unidos  que ingresan al</w:t>
      </w:r>
      <w:r>
        <w:rPr>
          <w:spacing w:val="62"/>
        </w:rPr>
        <w:t> </w:t>
      </w:r>
      <w:r>
        <w:rPr/>
        <w:t>país.</w:t>
      </w:r>
    </w:p>
    <w:p>
      <w:pPr>
        <w:pStyle w:val="BodyText"/>
        <w:spacing w:before="7"/>
        <w:rPr>
          <w:sz w:val="20"/>
        </w:rPr>
      </w:pPr>
    </w:p>
    <w:p>
      <w:pPr>
        <w:pStyle w:val="BodyText"/>
        <w:spacing w:line="364" w:lineRule="auto" w:before="1"/>
        <w:ind w:left="101" w:right="383"/>
        <w:jc w:val="both"/>
      </w:pPr>
      <w:r>
        <w:rPr/>
        <w:t>El impacto que tienen las remesas en los hogares receptores en el municipio de Teotihuacán, es muy significativo para ellos, puesto que este ingreso se distribuye primeramente para satisfacer las necesidades básicas: alimentación,  vestido, vivienda, educación y salud; para inversión en proyectos productivos: en la compra   de terrenos para construir su casa, porque la mayoría de las familias no cuentan con casa propia antes de irse a trabajar a los Estados Unidos, y los hogares que ya la tienen, es porque fue herencia de sus padres; instalación de tiendas de abarrotes, además compran máquinas para instalar talleres de costura en sus casas, automóviles, combis, microbuses o autobuses y los ponen a  trabajar  como  transporte público.  Este tipo  de  inversiones genera  empleo para  algunas </w:t>
      </w:r>
      <w:r>
        <w:rPr>
          <w:spacing w:val="6"/>
        </w:rPr>
        <w:t> </w:t>
      </w:r>
      <w:r>
        <w:rPr/>
        <w:t>personas</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386"/>
        <w:jc w:val="both"/>
      </w:pPr>
      <w:r>
        <w:rPr/>
        <w:t>que viven en este municipio. Por último, un menor porcentaje lo ahorran en instituciones bancarias.</w:t>
      </w:r>
    </w:p>
    <w:p>
      <w:pPr>
        <w:pStyle w:val="BodyText"/>
        <w:spacing w:before="10"/>
        <w:rPr>
          <w:sz w:val="20"/>
        </w:rPr>
      </w:pPr>
    </w:p>
    <w:p>
      <w:pPr>
        <w:pStyle w:val="BodyText"/>
        <w:spacing w:line="364" w:lineRule="auto"/>
        <w:ind w:left="101" w:right="383"/>
        <w:jc w:val="both"/>
      </w:pPr>
      <w:r>
        <w:rPr/>
        <w:t>El presidente del BID, Luis Alberto Moreno, advirtió que América Latina aún no ha  visto lo peor de la crisis, y alertó que 12.7 millones de personas podrían caer por debajo del nivel de la pobreza en los próximos dos años. Tal cifra representaría, según el responsable del Banco Interamericano de Desarrollo (BID), un incremento  de 7% frente a los niveles actuales. Moreno recordó que  esas  proyecciones  se basan en un estudio sobre el impacto en la región de seis crisis financieras globales desde 1980. Las citadas crisis provocaron una contracción media de los ingresos per cápita de 1.4% anual durante un periodo de dos años, indicó el  titular del  BID. Precisó que si la crisis dura sólo un año y el crecimiento económico en la  región  fuera de 1.1%, como lo indican las últimas previsiones del Fondo Monetario Internacional (FMI), 2.8 millones de personas podrían caer por debajo del nivel de la pobreza este año en América Latina y el</w:t>
      </w:r>
      <w:r>
        <w:rPr>
          <w:spacing w:val="53"/>
        </w:rPr>
        <w:t> </w:t>
      </w:r>
      <w:r>
        <w:rPr/>
        <w:t>Caribe.</w:t>
      </w:r>
    </w:p>
    <w:p>
      <w:pPr>
        <w:pStyle w:val="BodyText"/>
        <w:spacing w:before="10"/>
        <w:rPr>
          <w:sz w:val="20"/>
        </w:rPr>
      </w:pPr>
    </w:p>
    <w:p>
      <w:pPr>
        <w:pStyle w:val="BodyText"/>
        <w:spacing w:line="364" w:lineRule="auto"/>
        <w:ind w:left="101" w:right="386"/>
        <w:jc w:val="both"/>
      </w:pPr>
      <w:r>
        <w:rPr/>
        <w:t>El Banco de México pronosticó que en los próximos meses continuará la debilidad    en el ingreso de remesas debido a la severa recesión en Estados Unidos, lo cual provocara que aumente la pobreza en las familias receptoras de </w:t>
      </w:r>
      <w:r>
        <w:rPr>
          <w:spacing w:val="24"/>
        </w:rPr>
        <w:t> </w:t>
      </w:r>
      <w:r>
        <w:rPr/>
        <w:t>remesas.</w:t>
      </w:r>
    </w:p>
    <w:p>
      <w:pPr>
        <w:pStyle w:val="BodyText"/>
        <w:rPr>
          <w:sz w:val="22"/>
        </w:rPr>
      </w:pPr>
    </w:p>
    <w:p>
      <w:pPr>
        <w:pStyle w:val="BodyText"/>
        <w:rPr>
          <w:sz w:val="22"/>
        </w:rPr>
      </w:pPr>
    </w:p>
    <w:p>
      <w:pPr>
        <w:pStyle w:val="BodyText"/>
        <w:spacing w:before="3"/>
        <w:rPr>
          <w:sz w:val="31"/>
        </w:rPr>
      </w:pPr>
    </w:p>
    <w:p>
      <w:pPr>
        <w:pStyle w:val="Heading2"/>
        <w:numPr>
          <w:ilvl w:val="1"/>
          <w:numId w:val="30"/>
        </w:numPr>
        <w:tabs>
          <w:tab w:pos="452" w:val="left" w:leader="none"/>
        </w:tabs>
        <w:spacing w:line="240" w:lineRule="auto" w:before="0" w:after="0"/>
        <w:ind w:left="451" w:right="0" w:hanging="350"/>
        <w:jc w:val="both"/>
      </w:pPr>
      <w:r>
        <w:rPr/>
        <w:t>REFERENCIAS </w:t>
      </w:r>
      <w:r>
        <w:rPr>
          <w:spacing w:val="16"/>
        </w:rPr>
        <w:t> </w:t>
      </w:r>
      <w:r>
        <w:rPr/>
        <w:t>BIBLIOGRÁFICAS</w:t>
      </w:r>
    </w:p>
    <w:p>
      <w:pPr>
        <w:pStyle w:val="BodyText"/>
        <w:rPr>
          <w:b/>
          <w:sz w:val="30"/>
        </w:rPr>
      </w:pPr>
    </w:p>
    <w:p>
      <w:pPr>
        <w:pStyle w:val="BodyText"/>
        <w:spacing w:before="7"/>
        <w:rPr>
          <w:b/>
          <w:sz w:val="34"/>
        </w:rPr>
      </w:pPr>
    </w:p>
    <w:p>
      <w:pPr>
        <w:pStyle w:val="BodyText"/>
        <w:ind w:left="101"/>
        <w:jc w:val="both"/>
      </w:pPr>
      <w:r>
        <w:rPr/>
        <w:t>Banco de México. 2004. Ingresos por remesas familiares. Boletín, Banco de  México.</w:t>
      </w:r>
    </w:p>
    <w:p>
      <w:pPr>
        <w:pStyle w:val="BodyText"/>
        <w:rPr>
          <w:sz w:val="22"/>
        </w:rPr>
      </w:pPr>
    </w:p>
    <w:p>
      <w:pPr>
        <w:pStyle w:val="BodyText"/>
        <w:spacing w:before="10"/>
        <w:rPr>
          <w:sz w:val="28"/>
        </w:rPr>
      </w:pPr>
    </w:p>
    <w:p>
      <w:pPr>
        <w:pStyle w:val="BodyText"/>
        <w:spacing w:line="280" w:lineRule="auto"/>
        <w:ind w:left="101" w:right="383"/>
        <w:jc w:val="both"/>
      </w:pPr>
      <w:r>
        <w:rPr/>
        <w:t>BID/FOMIN. 2003. Encuesta receptores de remesas en México, realizada por Pew Hispanic Center y Bendixen &amp; Associates, encuesta coordinada por el Banco Interamericano de Desarrollo-BID- y el Fondo Multilateral de Inversiones-FOMIN-, Miami, Florida.</w:t>
      </w:r>
    </w:p>
    <w:p>
      <w:pPr>
        <w:spacing w:after="0" w:line="280" w:lineRule="auto"/>
        <w:jc w:val="both"/>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280" w:lineRule="auto" w:before="74"/>
        <w:ind w:left="101" w:right="386"/>
        <w:jc w:val="both"/>
      </w:pPr>
      <w:r>
        <w:rPr/>
        <w:t>Banco de México. 2005. Indicadores económicos de México. Carpeta electrónica. México, D. F. Banco de México. Carpeta electrónica. (</w:t>
      </w:r>
      <w:hyperlink r:id="rId515">
        <w:r>
          <w:rPr/>
          <w:t>http://www.banxico.org.mx/einfofinanciera/Fsinfofinanciera.htm1).</w:t>
        </w:r>
      </w:hyperlink>
    </w:p>
    <w:p>
      <w:pPr>
        <w:pStyle w:val="BodyText"/>
        <w:rPr>
          <w:sz w:val="22"/>
        </w:rPr>
      </w:pPr>
    </w:p>
    <w:p>
      <w:pPr>
        <w:pStyle w:val="BodyText"/>
        <w:rPr>
          <w:sz w:val="22"/>
        </w:rPr>
      </w:pPr>
    </w:p>
    <w:p>
      <w:pPr>
        <w:pStyle w:val="BodyText"/>
        <w:spacing w:line="278" w:lineRule="auto" w:before="194"/>
        <w:ind w:left="101" w:right="387" w:firstLine="64"/>
        <w:jc w:val="both"/>
      </w:pPr>
      <w:r>
        <w:rPr/>
        <w:t>CONAPO. 2005. Encuesta Nacional de Migración en la Frontera Norte.  El  Financiero, lunes 31 de</w:t>
      </w:r>
      <w:r>
        <w:rPr>
          <w:spacing w:val="34"/>
        </w:rPr>
        <w:t> </w:t>
      </w:r>
      <w:r>
        <w:rPr/>
        <w:t>Enero..</w:t>
      </w:r>
    </w:p>
    <w:p>
      <w:pPr>
        <w:pStyle w:val="BodyText"/>
        <w:rPr>
          <w:sz w:val="22"/>
        </w:rPr>
      </w:pPr>
    </w:p>
    <w:p>
      <w:pPr>
        <w:pStyle w:val="BodyText"/>
        <w:rPr>
          <w:sz w:val="22"/>
        </w:rPr>
      </w:pPr>
    </w:p>
    <w:p>
      <w:pPr>
        <w:pStyle w:val="BodyText"/>
        <w:spacing w:line="278" w:lineRule="auto" w:before="196"/>
        <w:ind w:left="101" w:right="385"/>
        <w:jc w:val="both"/>
      </w:pPr>
      <w:r>
        <w:rPr/>
        <w:t>CONAPO. 2005. Encuesta Nacional de Migración en la  Frontera  Norte.  El Financiero, lunes 31 de Enero.</w:t>
      </w:r>
    </w:p>
    <w:p>
      <w:pPr>
        <w:pStyle w:val="BodyText"/>
        <w:spacing w:before="5"/>
        <w:rPr>
          <w:sz w:val="17"/>
        </w:rPr>
      </w:pPr>
    </w:p>
    <w:p>
      <w:pPr>
        <w:pStyle w:val="BodyText"/>
        <w:spacing w:line="278" w:lineRule="auto"/>
        <w:ind w:left="101" w:right="386"/>
        <w:jc w:val="both"/>
      </w:pPr>
      <w:r>
        <w:rPr/>
        <w:t>Centro de Estudios y Finanzas Públicas de la H. Cámara de Diputados con datos de CONAPO. Varios años.</w:t>
      </w:r>
    </w:p>
    <w:p>
      <w:pPr>
        <w:pStyle w:val="BodyText"/>
        <w:spacing w:before="2"/>
        <w:rPr>
          <w:sz w:val="17"/>
        </w:rPr>
      </w:pPr>
    </w:p>
    <w:p>
      <w:pPr>
        <w:pStyle w:val="BodyText"/>
        <w:spacing w:line="280" w:lineRule="auto" w:before="1"/>
        <w:ind w:left="101" w:right="384"/>
        <w:jc w:val="both"/>
      </w:pPr>
      <w:r>
        <w:rPr/>
        <w:t>Consejo Nacional de Población (CONAPO). 2000. Boletín  de  migración  Internacional 2: Migración indocumentada a Estados  Unidos;  devoluciones  realizadas por la patrulla.  Jul-ago. México, D.</w:t>
      </w:r>
      <w:r>
        <w:rPr>
          <w:spacing w:val="56"/>
        </w:rPr>
        <w:t> </w:t>
      </w:r>
      <w:r>
        <w:rPr/>
        <w:t>F.</w:t>
      </w:r>
    </w:p>
    <w:p>
      <w:pPr>
        <w:pStyle w:val="Heading4"/>
        <w:spacing w:before="196"/>
        <w:jc w:val="both"/>
      </w:pPr>
      <w:r>
        <w:rPr/>
        <w:t>INTERNET</w:t>
      </w:r>
    </w:p>
    <w:p>
      <w:pPr>
        <w:pStyle w:val="BodyText"/>
        <w:spacing w:before="9"/>
        <w:rPr>
          <w:b/>
          <w:sz w:val="20"/>
        </w:rPr>
      </w:pPr>
    </w:p>
    <w:p>
      <w:pPr>
        <w:pStyle w:val="BodyText"/>
        <w:ind w:left="101"/>
        <w:jc w:val="both"/>
      </w:pPr>
      <w:r>
        <w:rPr/>
        <w:t>C</w:t>
      </w:r>
      <w:r>
        <w:rPr>
          <w:sz w:val="18"/>
        </w:rPr>
        <w:t>ONAPO</w:t>
      </w:r>
      <w:r>
        <w:rPr/>
        <w:t>. </w:t>
      </w:r>
      <w:hyperlink r:id="rId147">
        <w:r>
          <w:rPr/>
          <w:t>www.conapo.gob.mx</w:t>
        </w:r>
      </w:hyperlink>
    </w:p>
    <w:p>
      <w:pPr>
        <w:pStyle w:val="BodyText"/>
        <w:rPr>
          <w:sz w:val="22"/>
        </w:rPr>
      </w:pPr>
    </w:p>
    <w:p>
      <w:pPr>
        <w:pStyle w:val="BodyText"/>
        <w:spacing w:before="1"/>
        <w:rPr>
          <w:sz w:val="29"/>
        </w:rPr>
      </w:pPr>
    </w:p>
    <w:p>
      <w:pPr>
        <w:pStyle w:val="BodyText"/>
        <w:ind w:left="101"/>
        <w:jc w:val="both"/>
      </w:pPr>
      <w:r>
        <w:rPr/>
        <w:t>Secretaría de Desarrollo Social, Página web:  </w:t>
      </w:r>
      <w:hyperlink r:id="rId516">
        <w:r>
          <w:rPr/>
          <w:t>www.sedesol.gob.mx</w:t>
        </w:r>
      </w:hyperlink>
    </w:p>
    <w:p>
      <w:pPr>
        <w:pStyle w:val="BodyText"/>
        <w:rPr>
          <w:sz w:val="22"/>
        </w:rPr>
      </w:pPr>
    </w:p>
    <w:p>
      <w:pPr>
        <w:pStyle w:val="BodyText"/>
        <w:spacing w:before="10"/>
        <w:rPr>
          <w:sz w:val="28"/>
        </w:rPr>
      </w:pPr>
    </w:p>
    <w:p>
      <w:pPr>
        <w:pStyle w:val="BodyText"/>
        <w:spacing w:line="280" w:lineRule="auto"/>
        <w:ind w:left="101" w:right="383"/>
        <w:jc w:val="both"/>
      </w:pPr>
      <w:r>
        <w:rPr/>
        <w:t>Transferencias de dinero Estados Unidos-México. Índice de costos de envió  a  México.</w:t>
      </w:r>
      <w:r>
        <w:rPr>
          <w:spacing w:val="38"/>
        </w:rPr>
        <w:t> </w:t>
      </w:r>
      <w:hyperlink r:id="rId517">
        <w:r>
          <w:rPr/>
          <w:t>http://www.condusef.gob.mx/</w:t>
        </w:r>
      </w:hyperlink>
    </w:p>
    <w:p>
      <w:pPr>
        <w:pStyle w:val="BodyText"/>
        <w:spacing w:before="8"/>
      </w:pPr>
    </w:p>
    <w:p>
      <w:pPr>
        <w:pStyle w:val="BodyText"/>
        <w:spacing w:line="280" w:lineRule="auto"/>
        <w:ind w:left="101" w:right="464"/>
        <w:jc w:val="both"/>
      </w:pPr>
      <w:r>
        <w:rPr/>
        <w:t>(</w:t>
      </w:r>
      <w:hyperlink r:id="rId501">
        <w:r>
          <w:rPr/>
          <w:t>http://www.informador.com.mx/economia/2008/53179/6/bm-descarta-caida-abrupta-</w:t>
        </w:r>
      </w:hyperlink>
      <w:r>
        <w:rPr/>
        <w:t> de-remesas-a-mexico.htm).</w:t>
      </w:r>
    </w:p>
    <w:p>
      <w:pPr>
        <w:spacing w:after="0" w:line="280" w:lineRule="auto"/>
        <w:jc w:val="both"/>
        <w:sectPr>
          <w:pgSz w:w="11900" w:h="16840"/>
          <w:pgMar w:header="0" w:footer="1676" w:top="1600" w:bottom="1860" w:left="1300" w:right="1280"/>
        </w:sectPr>
      </w:pPr>
    </w:p>
    <w:p>
      <w:pPr>
        <w:pStyle w:val="BodyText"/>
        <w:rPr>
          <w:sz w:val="20"/>
        </w:rPr>
      </w:pPr>
    </w:p>
    <w:p>
      <w:pPr>
        <w:pStyle w:val="BodyText"/>
        <w:spacing w:before="6"/>
        <w:rPr>
          <w:sz w:val="19"/>
        </w:rPr>
      </w:pPr>
    </w:p>
    <w:p>
      <w:pPr>
        <w:pStyle w:val="Heading1"/>
        <w:numPr>
          <w:ilvl w:val="3"/>
          <w:numId w:val="28"/>
        </w:numPr>
        <w:tabs>
          <w:tab w:pos="824" w:val="left" w:leader="none"/>
        </w:tabs>
        <w:spacing w:line="362" w:lineRule="auto" w:before="55" w:after="0"/>
        <w:ind w:left="2770" w:right="237" w:hanging="2532"/>
        <w:jc w:val="left"/>
      </w:pPr>
      <w:bookmarkStart w:name="_TOC_250001" w:id="2"/>
      <w:r>
        <w:rPr/>
        <w:t>CAÍDA DE LAS REMESAS E INCREMENTO DE LA POBREZA EN</w:t>
      </w:r>
      <w:r>
        <w:rPr>
          <w:spacing w:val="-2"/>
        </w:rPr>
        <w:t> </w:t>
      </w:r>
      <w:bookmarkEnd w:id="2"/>
      <w:r>
        <w:rPr/>
        <w:t>MÉXICO</w:t>
      </w:r>
    </w:p>
    <w:p>
      <w:pPr>
        <w:pStyle w:val="Heading4"/>
        <w:spacing w:before="199"/>
        <w:ind w:left="345" w:right="353"/>
        <w:jc w:val="center"/>
      </w:pPr>
      <w:r>
        <w:rPr/>
        <w:t>Mario Piña Cano</w:t>
      </w:r>
    </w:p>
    <w:p>
      <w:pPr>
        <w:spacing w:before="126"/>
        <w:ind w:left="345" w:right="348" w:firstLine="0"/>
        <w:jc w:val="center"/>
        <w:rPr>
          <w:sz w:val="19"/>
        </w:rPr>
      </w:pPr>
      <w:r>
        <w:rPr>
          <w:sz w:val="19"/>
        </w:rPr>
        <w:t>Universidad  Autónoma  Chapingo. </w:t>
      </w:r>
      <w:hyperlink r:id="rId518">
        <w:r>
          <w:rPr>
            <w:sz w:val="19"/>
          </w:rPr>
          <w:t>mariomaryrio@gmail.com</w:t>
        </w:r>
      </w:hyperlink>
    </w:p>
    <w:p>
      <w:pPr>
        <w:pStyle w:val="Heading4"/>
        <w:spacing w:before="116"/>
        <w:ind w:left="345" w:right="350"/>
        <w:jc w:val="center"/>
      </w:pPr>
      <w:r>
        <w:rPr/>
        <w:t>Jesús Loera Martínez</w:t>
      </w:r>
    </w:p>
    <w:p>
      <w:pPr>
        <w:spacing w:before="128"/>
        <w:ind w:left="345" w:right="350" w:firstLine="0"/>
        <w:jc w:val="center"/>
        <w:rPr>
          <w:sz w:val="19"/>
        </w:rPr>
      </w:pPr>
      <w:r>
        <w:rPr>
          <w:sz w:val="19"/>
        </w:rPr>
        <w:t>Universidad  Autónoma  Chapingo.  jloeramtz2004@yahoo.com.mx; </w:t>
      </w:r>
      <w:hyperlink r:id="rId20">
        <w:r>
          <w:rPr>
            <w:sz w:val="19"/>
          </w:rPr>
          <w:t>jloeramtz2004@gmail.com</w:t>
        </w:r>
      </w:hyperlink>
    </w:p>
    <w:p>
      <w:pPr>
        <w:pStyle w:val="BodyText"/>
        <w:spacing w:before="10"/>
        <w:rPr>
          <w:sz w:val="19"/>
        </w:rPr>
      </w:pPr>
    </w:p>
    <w:p>
      <w:pPr>
        <w:pStyle w:val="Heading4"/>
        <w:ind w:left="345" w:right="350"/>
        <w:jc w:val="center"/>
      </w:pPr>
      <w:r>
        <w:rPr/>
        <w:t>Lorenzo Reyes Reyes</w:t>
      </w:r>
    </w:p>
    <w:p>
      <w:pPr>
        <w:pStyle w:val="BodyText"/>
        <w:spacing w:before="11"/>
        <w:rPr>
          <w:b/>
          <w:sz w:val="20"/>
        </w:rPr>
      </w:pPr>
    </w:p>
    <w:p>
      <w:pPr>
        <w:spacing w:before="0"/>
        <w:ind w:left="345" w:right="350" w:firstLine="0"/>
        <w:jc w:val="center"/>
        <w:rPr>
          <w:sz w:val="19"/>
        </w:rPr>
      </w:pPr>
      <w:r>
        <w:rPr>
          <w:sz w:val="19"/>
        </w:rPr>
        <w:t>Universidad  Autónoma Chapingo.</w:t>
      </w:r>
    </w:p>
    <w:p>
      <w:pPr>
        <w:pStyle w:val="BodyText"/>
        <w:rPr>
          <w:sz w:val="18"/>
        </w:rPr>
      </w:pPr>
    </w:p>
    <w:p>
      <w:pPr>
        <w:pStyle w:val="BodyText"/>
        <w:rPr>
          <w:sz w:val="18"/>
        </w:rPr>
      </w:pPr>
    </w:p>
    <w:p>
      <w:pPr>
        <w:pStyle w:val="ListParagraph"/>
        <w:numPr>
          <w:ilvl w:val="0"/>
          <w:numId w:val="31"/>
        </w:numPr>
        <w:tabs>
          <w:tab w:pos="361" w:val="left" w:leader="none"/>
        </w:tabs>
        <w:spacing w:line="240" w:lineRule="auto" w:before="155" w:after="0"/>
        <w:ind w:left="360" w:right="0" w:hanging="259"/>
        <w:jc w:val="both"/>
        <w:rPr>
          <w:b/>
          <w:sz w:val="31"/>
        </w:rPr>
      </w:pPr>
      <w:r>
        <w:rPr>
          <w:b/>
          <w:sz w:val="31"/>
        </w:rPr>
        <w:t>INTRODUCCIÓN</w:t>
      </w:r>
    </w:p>
    <w:p>
      <w:pPr>
        <w:pStyle w:val="BodyText"/>
        <w:spacing w:before="1"/>
        <w:rPr>
          <w:b/>
          <w:sz w:val="33"/>
        </w:rPr>
      </w:pPr>
    </w:p>
    <w:p>
      <w:pPr>
        <w:pStyle w:val="BodyText"/>
        <w:spacing w:line="364" w:lineRule="auto"/>
        <w:ind w:left="101" w:right="105"/>
        <w:jc w:val="both"/>
      </w:pPr>
      <w:r>
        <w:rPr/>
        <w:t>A fines del 2008 y durante el  2009, la economía internacional ha sufrido una de las  crisis económicas más intensas, sólo superadas por la gran recesión de 1929-1933.  Esta crisis ha afectado los pilares fundamentales de la globalización del capital, el libre mercado de exportación de mercancías y de capitales y de fuerza de trabajo migrante  de las economías de menor industrialización hacia las economías del primer mundo, particularmente a Estados</w:t>
      </w:r>
      <w:r>
        <w:rPr>
          <w:spacing w:val="35"/>
        </w:rPr>
        <w:t> </w:t>
      </w:r>
      <w:r>
        <w:rPr/>
        <w:t>Unidos.</w:t>
      </w:r>
    </w:p>
    <w:p>
      <w:pPr>
        <w:pStyle w:val="BodyText"/>
        <w:rPr>
          <w:sz w:val="22"/>
        </w:rPr>
      </w:pPr>
    </w:p>
    <w:p>
      <w:pPr>
        <w:pStyle w:val="BodyText"/>
        <w:rPr>
          <w:sz w:val="22"/>
        </w:rPr>
      </w:pPr>
    </w:p>
    <w:p>
      <w:pPr>
        <w:pStyle w:val="BodyText"/>
        <w:spacing w:before="1"/>
        <w:rPr>
          <w:sz w:val="25"/>
        </w:rPr>
      </w:pPr>
    </w:p>
    <w:p>
      <w:pPr>
        <w:pStyle w:val="BodyText"/>
        <w:spacing w:line="364" w:lineRule="auto"/>
        <w:ind w:left="101" w:right="104"/>
        <w:jc w:val="both"/>
      </w:pPr>
      <w:r>
        <w:rPr/>
        <w:t>Los efectos de la crisis en los trabajadores migrantes se expresa en el incremento al desempleo y con ello en la posibilidad de ser repatriados a sus países, la reducción de horas de trabajo y con ello la disminución de ingresos, lo que ha impactado de manera negativa, el envío de remesas a las economías que han encontrado en la migración    una válvula de escape al enorme desempleo que ha generado la apertura comercial, conocida comúnmente como</w:t>
      </w:r>
      <w:r>
        <w:rPr>
          <w:spacing w:val="48"/>
        </w:rPr>
        <w:t> </w:t>
      </w:r>
      <w:r>
        <w:rPr/>
        <w:t>Globalización.</w:t>
      </w:r>
    </w:p>
    <w:p>
      <w:pPr>
        <w:pStyle w:val="BodyText"/>
        <w:rPr>
          <w:sz w:val="22"/>
        </w:rPr>
      </w:pPr>
    </w:p>
    <w:p>
      <w:pPr>
        <w:pStyle w:val="BodyText"/>
        <w:rPr>
          <w:sz w:val="22"/>
        </w:rPr>
      </w:pPr>
    </w:p>
    <w:p>
      <w:pPr>
        <w:pStyle w:val="BodyText"/>
        <w:spacing w:before="1"/>
        <w:rPr>
          <w:sz w:val="25"/>
        </w:rPr>
      </w:pPr>
    </w:p>
    <w:p>
      <w:pPr>
        <w:pStyle w:val="BodyText"/>
        <w:spacing w:line="364" w:lineRule="auto"/>
        <w:ind w:left="101" w:right="105"/>
        <w:jc w:val="both"/>
      </w:pPr>
      <w:r>
        <w:rPr/>
        <w:t>En México, la migración de trabajadores hacia el vecino país del norte ha sido utilizada para reducir los niveles de desempleo que han predominado en los últimos 25  años,  con la puesta en   práctica de políticas macroeconómicas que tienen como  </w:t>
      </w:r>
      <w:r>
        <w:rPr>
          <w:spacing w:val="56"/>
        </w:rPr>
        <w:t> </w:t>
      </w:r>
      <w:r>
        <w:rPr/>
        <w:t>fundamento</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9"/>
        <w:jc w:val="both"/>
      </w:pPr>
      <w:r>
        <w:rPr/>
        <w:t>menor intervención estatal en la economía y la apertura comercial tanto de mercancías como de inversiones de capital.</w:t>
      </w:r>
    </w:p>
    <w:p>
      <w:pPr>
        <w:pStyle w:val="BodyText"/>
        <w:rPr>
          <w:sz w:val="22"/>
        </w:rPr>
      </w:pPr>
    </w:p>
    <w:p>
      <w:pPr>
        <w:pStyle w:val="BodyText"/>
        <w:rPr>
          <w:sz w:val="22"/>
        </w:rPr>
      </w:pPr>
    </w:p>
    <w:p>
      <w:pPr>
        <w:pStyle w:val="BodyText"/>
        <w:spacing w:before="3"/>
        <w:rPr>
          <w:sz w:val="25"/>
        </w:rPr>
      </w:pPr>
    </w:p>
    <w:p>
      <w:pPr>
        <w:pStyle w:val="BodyText"/>
        <w:spacing w:line="364" w:lineRule="auto"/>
        <w:ind w:left="101" w:right="103"/>
        <w:jc w:val="both"/>
      </w:pPr>
      <w:r>
        <w:rPr/>
        <w:t>En este sentido la migración ha servido para reducir los niveles de pobreza a través de  la transferencia de remesas a las familias de los trabajadores  expulsados  al  mercado de trabajo norteamericano.  Sin embargo, desde fines de 2007 y sobre todo a partir de   la crisis del capitalismo mundial iniciada en Estados Unidos, han quedado en evidencia las limitaciones de la migración para superar las deficiencias laborales que predominan en la economía</w:t>
      </w:r>
      <w:r>
        <w:rPr>
          <w:spacing w:val="29"/>
        </w:rPr>
        <w:t> </w:t>
      </w:r>
      <w:r>
        <w:rPr/>
        <w:t>mexicana.</w:t>
      </w:r>
    </w:p>
    <w:p>
      <w:pPr>
        <w:pStyle w:val="BodyText"/>
        <w:rPr>
          <w:sz w:val="22"/>
        </w:rPr>
      </w:pPr>
    </w:p>
    <w:p>
      <w:pPr>
        <w:pStyle w:val="BodyText"/>
        <w:rPr>
          <w:sz w:val="22"/>
        </w:rPr>
      </w:pPr>
    </w:p>
    <w:p>
      <w:pPr>
        <w:pStyle w:val="BodyText"/>
        <w:spacing w:before="3"/>
        <w:rPr>
          <w:sz w:val="25"/>
        </w:rPr>
      </w:pPr>
    </w:p>
    <w:p>
      <w:pPr>
        <w:pStyle w:val="BodyText"/>
        <w:spacing w:line="364" w:lineRule="auto"/>
        <w:ind w:left="101" w:right="105"/>
        <w:jc w:val="both"/>
      </w:pPr>
      <w:r>
        <w:rPr/>
        <w:t>El presente trabajo tiene como objetivo realizar un análisis del  impacto  de  la disminución de las remesas en el incremento de la pobreza en  México.</w:t>
      </w:r>
    </w:p>
    <w:p>
      <w:pPr>
        <w:pStyle w:val="BodyText"/>
        <w:rPr>
          <w:sz w:val="22"/>
        </w:rPr>
      </w:pPr>
    </w:p>
    <w:p>
      <w:pPr>
        <w:pStyle w:val="BodyText"/>
        <w:rPr>
          <w:sz w:val="22"/>
        </w:rPr>
      </w:pPr>
    </w:p>
    <w:p>
      <w:pPr>
        <w:pStyle w:val="BodyText"/>
        <w:spacing w:before="9"/>
        <w:rPr>
          <w:sz w:val="24"/>
        </w:rPr>
      </w:pPr>
    </w:p>
    <w:p>
      <w:pPr>
        <w:pStyle w:val="Heading2"/>
        <w:numPr>
          <w:ilvl w:val="0"/>
          <w:numId w:val="31"/>
        </w:numPr>
        <w:tabs>
          <w:tab w:pos="447" w:val="left" w:leader="none"/>
        </w:tabs>
        <w:spacing w:line="240" w:lineRule="auto" w:before="0" w:after="0"/>
        <w:ind w:left="447" w:right="0" w:hanging="346"/>
        <w:jc w:val="both"/>
      </w:pPr>
      <w:r>
        <w:rPr/>
        <w:t>METODOLOGÍA</w:t>
      </w:r>
    </w:p>
    <w:p>
      <w:pPr>
        <w:pStyle w:val="BodyText"/>
        <w:spacing w:before="1"/>
        <w:rPr>
          <w:b/>
          <w:sz w:val="33"/>
        </w:rPr>
      </w:pPr>
    </w:p>
    <w:p>
      <w:pPr>
        <w:pStyle w:val="BodyText"/>
        <w:spacing w:line="364" w:lineRule="auto"/>
        <w:ind w:left="101" w:right="105"/>
        <w:jc w:val="both"/>
      </w:pPr>
      <w:r>
        <w:rPr/>
        <w:t>La metodología para realizar dicho análisis se basa en la interpretación teórica de diversos investigadores del tema, así como en el aporte cuantitativo de diferentes organizaciones internacionales tales como: El Banco Mundial, El Fondo Monetario Internacional, La Comisión Económica para América Latina, entre otras, y de instituciones nacionales, como el Banco de México, INEGI, Coneval, </w:t>
      </w:r>
      <w:r>
        <w:rPr>
          <w:spacing w:val="17"/>
        </w:rPr>
        <w:t> </w:t>
      </w:r>
      <w:r>
        <w:rPr/>
        <w:t>etc.</w:t>
      </w:r>
    </w:p>
    <w:p>
      <w:pPr>
        <w:pStyle w:val="BodyText"/>
        <w:rPr>
          <w:sz w:val="22"/>
        </w:rPr>
      </w:pPr>
    </w:p>
    <w:p>
      <w:pPr>
        <w:pStyle w:val="BodyText"/>
        <w:rPr>
          <w:sz w:val="22"/>
        </w:rPr>
      </w:pPr>
    </w:p>
    <w:p>
      <w:pPr>
        <w:pStyle w:val="BodyText"/>
        <w:spacing w:before="7"/>
        <w:rPr>
          <w:sz w:val="24"/>
        </w:rPr>
      </w:pPr>
    </w:p>
    <w:p>
      <w:pPr>
        <w:pStyle w:val="Heading2"/>
        <w:numPr>
          <w:ilvl w:val="0"/>
          <w:numId w:val="31"/>
        </w:numPr>
        <w:tabs>
          <w:tab w:pos="539" w:val="left" w:leader="none"/>
        </w:tabs>
        <w:spacing w:line="240" w:lineRule="auto" w:before="0" w:after="0"/>
        <w:ind w:left="538" w:right="0" w:hanging="437"/>
        <w:jc w:val="both"/>
      </w:pPr>
      <w:r>
        <w:rPr/>
        <w:t>ANÁLISIS Y DISCUSIÓN DE</w:t>
      </w:r>
      <w:r>
        <w:rPr>
          <w:spacing w:val="9"/>
        </w:rPr>
        <w:t> </w:t>
      </w:r>
      <w:r>
        <w:rPr/>
        <w:t>RESULTADOS</w:t>
      </w:r>
    </w:p>
    <w:p>
      <w:pPr>
        <w:pStyle w:val="BodyText"/>
        <w:spacing w:before="9"/>
        <w:rPr>
          <w:b/>
          <w:sz w:val="32"/>
        </w:rPr>
      </w:pPr>
    </w:p>
    <w:p>
      <w:pPr>
        <w:pStyle w:val="Heading3"/>
        <w:numPr>
          <w:ilvl w:val="1"/>
          <w:numId w:val="32"/>
        </w:numPr>
        <w:tabs>
          <w:tab w:pos="707" w:val="left" w:leader="none"/>
        </w:tabs>
        <w:spacing w:line="364" w:lineRule="auto" w:before="0" w:after="0"/>
        <w:ind w:left="101" w:right="102" w:firstLine="0"/>
        <w:jc w:val="both"/>
      </w:pPr>
      <w:r>
        <w:rPr/>
        <w:t>Crisis en el capitalismo estadounidense y sus efectos en los trabajadores</w:t>
      </w:r>
      <w:r>
        <w:rPr>
          <w:spacing w:val="24"/>
        </w:rPr>
        <w:t> </w:t>
      </w:r>
      <w:r>
        <w:rPr/>
        <w:t>migrantes</w:t>
      </w:r>
    </w:p>
    <w:p>
      <w:pPr>
        <w:pStyle w:val="BodyText"/>
        <w:spacing w:line="364" w:lineRule="auto" w:before="201"/>
        <w:ind w:left="101" w:right="105"/>
        <w:jc w:val="both"/>
      </w:pPr>
      <w:r>
        <w:rPr/>
        <w:t>La expansión de las economías industrializadas durante la década de los noventa, sólo tuvo  una  leve  interrupción  durante  la  recesión  del  2001.  A  su  vez,  la recuperación</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económica del 2002 al 2007, particularmente en Estados Unidos, generó la demanda   de fuerza  de trabajo migrante en la industria de la construcción, en las maquiladoras,   en la agricultura y en los servicios; este hecho, propició el flujo masivo de migrantes de América Latina hacia Estados Unidos, principalmente de mexicanos  y  centroamericanos, lo que trajo como resultado que la región latina se convirtiera en la principal receptora de remesas, como se muestra en la Figura </w:t>
      </w:r>
      <w:r>
        <w:rPr>
          <w:spacing w:val="8"/>
        </w:rPr>
        <w:t> </w:t>
      </w:r>
      <w:r>
        <w:rPr/>
        <w:t>1.</w:t>
      </w:r>
    </w:p>
    <w:p>
      <w:pPr>
        <w:pStyle w:val="BodyText"/>
        <w:rPr>
          <w:sz w:val="22"/>
        </w:rPr>
      </w:pPr>
    </w:p>
    <w:p>
      <w:pPr>
        <w:pStyle w:val="BodyText"/>
        <w:rPr>
          <w:sz w:val="22"/>
        </w:rPr>
      </w:pPr>
    </w:p>
    <w:p>
      <w:pPr>
        <w:pStyle w:val="BodyText"/>
        <w:spacing w:before="1"/>
        <w:rPr>
          <w:sz w:val="25"/>
        </w:rPr>
      </w:pPr>
    </w:p>
    <w:p>
      <w:pPr>
        <w:pStyle w:val="Heading4"/>
        <w:ind w:left="1853" w:right="102"/>
      </w:pPr>
      <w:r>
        <w:rPr/>
        <w:t>Figura 1. Flujo de remesas por región en el</w:t>
      </w:r>
      <w:r>
        <w:rPr>
          <w:spacing w:val="57"/>
        </w:rPr>
        <w:t> </w:t>
      </w:r>
      <w:r>
        <w:rPr/>
        <w:t>mundo</w:t>
      </w:r>
    </w:p>
    <w:p>
      <w:pPr>
        <w:pStyle w:val="BodyText"/>
        <w:spacing w:before="8"/>
        <w:rPr>
          <w:b/>
          <w:sz w:val="25"/>
        </w:rPr>
      </w:pPr>
      <w:r>
        <w:rPr/>
        <w:drawing>
          <wp:anchor distT="0" distB="0" distL="0" distR="0" allowOverlap="1" layoutInCell="1" locked="0" behindDoc="0" simplePos="0" relativeHeight="18016">
            <wp:simplePos x="0" y="0"/>
            <wp:positionH relativeFrom="page">
              <wp:posOffset>964691</wp:posOffset>
            </wp:positionH>
            <wp:positionV relativeFrom="paragraph">
              <wp:posOffset>212882</wp:posOffset>
            </wp:positionV>
            <wp:extent cx="5627082" cy="2217420"/>
            <wp:effectExtent l="0" t="0" r="0" b="0"/>
            <wp:wrapTopAndBottom/>
            <wp:docPr id="9" name="image395.png" descr=""/>
            <wp:cNvGraphicFramePr>
              <a:graphicFrameLocks noChangeAspect="1"/>
            </wp:cNvGraphicFramePr>
            <a:graphic>
              <a:graphicData uri="http://schemas.openxmlformats.org/drawingml/2006/picture">
                <pic:pic>
                  <pic:nvPicPr>
                    <pic:cNvPr id="10" name="image395.png"/>
                    <pic:cNvPicPr/>
                  </pic:nvPicPr>
                  <pic:blipFill>
                    <a:blip r:embed="rId519" cstate="print"/>
                    <a:stretch>
                      <a:fillRect/>
                    </a:stretch>
                  </pic:blipFill>
                  <pic:spPr>
                    <a:xfrm>
                      <a:off x="0" y="0"/>
                      <a:ext cx="5627082" cy="2217420"/>
                    </a:xfrm>
                    <a:prstGeom prst="rect">
                      <a:avLst/>
                    </a:prstGeom>
                  </pic:spPr>
                </pic:pic>
              </a:graphicData>
            </a:graphic>
          </wp:anchor>
        </w:drawing>
      </w:r>
    </w:p>
    <w:p>
      <w:pPr>
        <w:pStyle w:val="BodyText"/>
        <w:spacing w:before="1"/>
        <w:rPr>
          <w:b/>
          <w:sz w:val="27"/>
        </w:rPr>
      </w:pPr>
    </w:p>
    <w:p>
      <w:pPr>
        <w:spacing w:before="0"/>
        <w:ind w:left="1053" w:right="102" w:firstLine="0"/>
        <w:jc w:val="left"/>
        <w:rPr>
          <w:sz w:val="23"/>
        </w:rPr>
      </w:pPr>
      <w:r>
        <w:rPr>
          <w:sz w:val="21"/>
        </w:rPr>
        <w:t>Fuente: Banco Mundial, 2006</w:t>
      </w:r>
      <w:r>
        <w:rPr>
          <w:sz w:val="23"/>
        </w:rPr>
        <w:t>.</w:t>
      </w:r>
    </w:p>
    <w:p>
      <w:pPr>
        <w:pStyle w:val="BodyText"/>
        <w:rPr>
          <w:sz w:val="22"/>
        </w:rPr>
      </w:pPr>
    </w:p>
    <w:p>
      <w:pPr>
        <w:pStyle w:val="BodyText"/>
        <w:rPr>
          <w:sz w:val="22"/>
        </w:rPr>
      </w:pPr>
    </w:p>
    <w:p>
      <w:pPr>
        <w:pStyle w:val="BodyText"/>
        <w:rPr>
          <w:sz w:val="22"/>
        </w:rPr>
      </w:pPr>
    </w:p>
    <w:p>
      <w:pPr>
        <w:pStyle w:val="BodyText"/>
        <w:spacing w:line="364" w:lineRule="auto" w:before="171"/>
        <w:ind w:left="101" w:right="105"/>
        <w:jc w:val="both"/>
      </w:pPr>
      <w:r>
        <w:rPr/>
        <w:t>Sin embargo, desde principios del 2007, era evidente que el flujo de migrantes había alcanzado su punto máximo, debido que los capitalistas del vecino país del norte demandaban menores contingentes de trabajadores, eato como resultado de  que el  ciclo de expansión económica, mostraba los primeros signos de agotamiento, aspecto que se evidenciaba en la burbuja especulativa que estalló con la crisis  financiera de 2008 y con la profunda recesión de la economía mundial del </w:t>
      </w:r>
      <w:r>
        <w:rPr>
          <w:spacing w:val="15"/>
        </w:rPr>
        <w:t> </w:t>
      </w:r>
      <w:r>
        <w:rPr/>
        <w:t>2009.</w:t>
      </w:r>
    </w:p>
    <w:p>
      <w:pPr>
        <w:spacing w:after="0" w:line="364" w:lineRule="auto"/>
        <w:jc w:val="both"/>
        <w:sectPr>
          <w:pgSz w:w="11900" w:h="16840"/>
          <w:pgMar w:header="0" w:footer="1676" w:top="1600" w:bottom="1860" w:left="1300" w:right="1280"/>
        </w:sectPr>
      </w:pPr>
    </w:p>
    <w:p>
      <w:pPr>
        <w:pStyle w:val="BodyText"/>
        <w:rPr>
          <w:sz w:val="20"/>
        </w:rPr>
      </w:pPr>
    </w:p>
    <w:p>
      <w:pPr>
        <w:pStyle w:val="BodyText"/>
        <w:spacing w:before="8"/>
        <w:rPr>
          <w:sz w:val="18"/>
        </w:rPr>
      </w:pPr>
    </w:p>
    <w:p>
      <w:pPr>
        <w:pStyle w:val="BodyText"/>
        <w:spacing w:line="364" w:lineRule="auto" w:before="74"/>
        <w:ind w:left="121" w:right="105"/>
        <w:jc w:val="both"/>
      </w:pPr>
      <w:r>
        <w:rPr/>
        <w:t>Todo parece indicar que la emigración mexicana ha llegado a un punto de saturación. Los indicadores del INEGI, Conapo, la Encuesta Nacional de Empleo; la </w:t>
      </w:r>
      <w:r>
        <w:rPr>
          <w:i/>
        </w:rPr>
        <w:t>Migra </w:t>
      </w:r>
      <w:r>
        <w:rPr/>
        <w:t>(HLS),    el Centro Hispánico Pew y el Proyecto de Migración de México reportan una tendencia   a la baja. De acuerdo con cálculos de Jeffrey Passel, el mejor especialista estadounidense en contar indocumentados, la cifra total de indocumentados de todas   las  nacionalidades  bajó  de  12.4  millones  en  2007  a  11.9  en  2008.  Es  decir,    </w:t>
      </w:r>
      <w:r>
        <w:rPr>
          <w:spacing w:val="36"/>
        </w:rPr>
        <w:t> </w:t>
      </w:r>
      <w:r>
        <w:rPr/>
        <w:t>se</w:t>
      </w:r>
    </w:p>
    <w:p>
      <w:pPr>
        <w:pStyle w:val="BodyText"/>
        <w:spacing w:line="270" w:lineRule="exact"/>
        <w:ind w:left="121"/>
        <w:jc w:val="both"/>
      </w:pPr>
      <w:r>
        <w:rPr/>
        <w:t>contabilizaron 500 mil indocumentados</w:t>
      </w:r>
      <w:r>
        <w:rPr>
          <w:spacing w:val="56"/>
        </w:rPr>
        <w:t> </w:t>
      </w:r>
      <w:r>
        <w:rPr/>
        <w:t>menos</w:t>
      </w:r>
      <w:r>
        <w:rPr>
          <w:position w:val="11"/>
          <w:sz w:val="15"/>
        </w:rPr>
        <w:t>91</w:t>
      </w:r>
      <w:r>
        <w:rPr/>
        <w:t>.</w:t>
      </w:r>
    </w:p>
    <w:p>
      <w:pPr>
        <w:pStyle w:val="BodyText"/>
        <w:rPr>
          <w:sz w:val="28"/>
        </w:rPr>
      </w:pPr>
    </w:p>
    <w:p>
      <w:pPr>
        <w:pStyle w:val="BodyText"/>
        <w:spacing w:line="364" w:lineRule="auto" w:before="220"/>
        <w:ind w:left="121" w:right="104"/>
        <w:jc w:val="both"/>
      </w:pPr>
      <w:r>
        <w:rPr/>
        <w:t>Varios indicadores señalan que el punto más alto de la emigración mexicana y centroamericana, en tránsito hacia Estados Unidos, tuvo lugar entre 2005 y 2006, antes de que se desatara la crisis financiera de finales del año pasado. La precisión no es banal. Si la baja se hubiera dado en 2008 o 2009 la explicación obvia habría sido la  crisis y no otro tipo de</w:t>
      </w:r>
      <w:r>
        <w:rPr>
          <w:spacing w:val="33"/>
        </w:rPr>
        <w:t> </w:t>
      </w:r>
      <w:r>
        <w:rPr/>
        <w:t>factores.</w:t>
      </w:r>
    </w:p>
    <w:p>
      <w:pPr>
        <w:pStyle w:val="BodyText"/>
        <w:rPr>
          <w:sz w:val="22"/>
        </w:rPr>
      </w:pPr>
    </w:p>
    <w:p>
      <w:pPr>
        <w:pStyle w:val="BodyText"/>
        <w:spacing w:line="364" w:lineRule="auto" w:before="155"/>
        <w:ind w:left="121" w:right="102"/>
        <w:jc w:val="both"/>
      </w:pPr>
      <w:r>
        <w:rPr/>
        <w:t>Existen varios factores que muestran que la migración de trabajadores mexicanos a Estados Unidos tiende a la baja:</w:t>
      </w:r>
    </w:p>
    <w:p>
      <w:pPr>
        <w:pStyle w:val="BodyText"/>
        <w:rPr>
          <w:sz w:val="22"/>
        </w:rPr>
      </w:pPr>
    </w:p>
    <w:p>
      <w:pPr>
        <w:pStyle w:val="BodyText"/>
        <w:spacing w:line="364" w:lineRule="auto" w:before="153"/>
        <w:ind w:left="121" w:right="104"/>
        <w:jc w:val="both"/>
      </w:pPr>
      <w:r>
        <w:rPr/>
        <w:t>En primer lugar, por la crisis y el desempleo, que ha llegado a 10% para el caso de los latinos. En segundo término, por el éxito relativo de la política disuasiva llevada a cabo por Estados Unidos; los migrantes pagan 10 veces más para poder cruzar la frontera y  el número de muertos se ha triplicado. En tercer lugar, porque los que financiaban a los nuevos migrantes eran los familiares que vivían y trabajaban en  Estados  Unidos  y ahora están en situación difícil. Un cuarto elemento es el cambio en el  patrón  migratorio. La migración mexicana desde hace más de una década dejó de ser circular   y se convirtió en definitiva. Este cambio es resultado directo de la política migratoria estadounidense, de incrementar los costos y los riesgos del cruce subrepticio, lo que desincentiva y pone trabas a cualquier proyecto de retorno. De ahí que el volumen total de</w:t>
      </w:r>
      <w:r>
        <w:rPr>
          <w:spacing w:val="34"/>
        </w:rPr>
        <w:t> </w:t>
      </w:r>
      <w:r>
        <w:rPr/>
        <w:t>la</w:t>
      </w:r>
      <w:r>
        <w:rPr>
          <w:spacing w:val="36"/>
        </w:rPr>
        <w:t> </w:t>
      </w:r>
      <w:r>
        <w:rPr/>
        <w:t>migración</w:t>
      </w:r>
      <w:r>
        <w:rPr>
          <w:spacing w:val="34"/>
        </w:rPr>
        <w:t> </w:t>
      </w:r>
      <w:r>
        <w:rPr/>
        <w:t>indocumentada</w:t>
      </w:r>
      <w:r>
        <w:rPr>
          <w:spacing w:val="34"/>
        </w:rPr>
        <w:t> </w:t>
      </w:r>
      <w:r>
        <w:rPr/>
        <w:t>se</w:t>
      </w:r>
      <w:r>
        <w:rPr>
          <w:spacing w:val="34"/>
        </w:rPr>
        <w:t> </w:t>
      </w:r>
      <w:r>
        <w:rPr/>
        <w:t>haya</w:t>
      </w:r>
      <w:r>
        <w:rPr>
          <w:spacing w:val="34"/>
        </w:rPr>
        <w:t> </w:t>
      </w:r>
      <w:r>
        <w:rPr/>
        <w:t>incrementado</w:t>
      </w:r>
      <w:r>
        <w:rPr>
          <w:spacing w:val="33"/>
        </w:rPr>
        <w:t> </w:t>
      </w:r>
      <w:r>
        <w:rPr/>
        <w:t>año</w:t>
      </w:r>
      <w:r>
        <w:rPr>
          <w:spacing w:val="36"/>
        </w:rPr>
        <w:t> </w:t>
      </w:r>
      <w:r>
        <w:rPr/>
        <w:t>con</w:t>
      </w:r>
      <w:r>
        <w:rPr>
          <w:spacing w:val="36"/>
        </w:rPr>
        <w:t> </w:t>
      </w:r>
      <w:r>
        <w:rPr/>
        <w:t>año</w:t>
      </w:r>
      <w:r>
        <w:rPr>
          <w:spacing w:val="36"/>
        </w:rPr>
        <w:t> </w:t>
      </w:r>
      <w:r>
        <w:rPr/>
        <w:t>hasta</w:t>
      </w:r>
      <w:r>
        <w:rPr>
          <w:spacing w:val="34"/>
        </w:rPr>
        <w:t> </w:t>
      </w:r>
      <w:r>
        <w:rPr/>
        <w:t>llegar</w:t>
      </w:r>
      <w:r>
        <w:rPr>
          <w:spacing w:val="38"/>
        </w:rPr>
        <w:t> </w:t>
      </w:r>
      <w:r>
        <w:rPr/>
        <w:t>a</w:t>
      </w:r>
      <w:r>
        <w:rPr>
          <w:spacing w:val="34"/>
        </w:rPr>
        <w:t> </w:t>
      </w:r>
      <w:r>
        <w:rPr/>
        <w:t>un</w:t>
      </w:r>
    </w:p>
    <w:p>
      <w:pPr>
        <w:pStyle w:val="BodyText"/>
        <w:spacing w:line="272" w:lineRule="exact"/>
        <w:ind w:left="121"/>
        <w:jc w:val="both"/>
      </w:pPr>
      <w:r>
        <w:rPr/>
        <w:t>nivel de saturación</w:t>
      </w:r>
      <w:r>
        <w:rPr>
          <w:position w:val="11"/>
          <w:sz w:val="15"/>
        </w:rPr>
        <w:t>92</w:t>
      </w:r>
      <w:r>
        <w:rPr/>
        <w:t>.</w:t>
      </w:r>
    </w:p>
    <w:p>
      <w:pPr>
        <w:pStyle w:val="BodyText"/>
        <w:rPr>
          <w:sz w:val="20"/>
        </w:rPr>
      </w:pPr>
    </w:p>
    <w:p>
      <w:pPr>
        <w:pStyle w:val="BodyText"/>
        <w:spacing w:before="1"/>
        <w:rPr>
          <w:sz w:val="20"/>
        </w:rPr>
      </w:pPr>
      <w:r>
        <w:rPr/>
        <w:pict>
          <v:line style="position:absolute;mso-position-horizontal-relative:page;mso-position-vertical-relative:paragraph;z-index:18040;mso-wrap-distance-left:0;mso-wrap-distance-right:0" from="70.080002pt,13.903502pt" to="210.239999pt,13.903502pt" stroked="true" strokeweight=".72pt" strokecolor="#000000">
            <w10:wrap type="topAndBottom"/>
          </v:line>
        </w:pict>
      </w:r>
    </w:p>
    <w:p>
      <w:pPr>
        <w:spacing w:line="239" w:lineRule="exact" w:before="39"/>
        <w:ind w:left="121" w:right="690" w:firstLine="0"/>
        <w:jc w:val="left"/>
        <w:rPr>
          <w:sz w:val="19"/>
        </w:rPr>
      </w:pPr>
      <w:r>
        <w:rPr>
          <w:position w:val="10"/>
          <w:sz w:val="12"/>
        </w:rPr>
        <w:t>91    </w:t>
      </w:r>
      <w:r>
        <w:rPr>
          <w:sz w:val="19"/>
        </w:rPr>
        <w:t>Durand Jorge, Punto de Saturación, La Jornada 15 de octubre de  2009.</w:t>
      </w:r>
    </w:p>
    <w:p>
      <w:pPr>
        <w:spacing w:line="239" w:lineRule="exact" w:before="0"/>
        <w:ind w:left="121" w:right="690" w:firstLine="0"/>
        <w:jc w:val="left"/>
        <w:rPr>
          <w:sz w:val="19"/>
        </w:rPr>
      </w:pPr>
      <w:r>
        <w:rPr>
          <w:position w:val="10"/>
          <w:sz w:val="12"/>
        </w:rPr>
        <w:t>92  </w:t>
      </w:r>
      <w:r>
        <w:rPr>
          <w:sz w:val="19"/>
        </w:rPr>
        <w:t>Durand Jorge, Migración a la Baja. La Jornada 15 de marzo de   2009.</w:t>
      </w:r>
    </w:p>
    <w:p>
      <w:pPr>
        <w:spacing w:after="0" w:line="239" w:lineRule="exact"/>
        <w:jc w:val="left"/>
        <w:rPr>
          <w:sz w:val="19"/>
        </w:rPr>
        <w:sectPr>
          <w:footerReference w:type="default" r:id="rId520"/>
          <w:pgSz w:w="11900" w:h="16840"/>
          <w:pgMar w:footer="1679" w:header="0" w:top="1600" w:bottom="1860" w:left="1280" w:right="1280"/>
          <w:pgNumType w:start="370"/>
        </w:sectPr>
      </w:pPr>
    </w:p>
    <w:p>
      <w:pPr>
        <w:pStyle w:val="BodyText"/>
        <w:rPr>
          <w:sz w:val="20"/>
        </w:rPr>
      </w:pPr>
    </w:p>
    <w:p>
      <w:pPr>
        <w:pStyle w:val="BodyText"/>
        <w:spacing w:before="8"/>
        <w:rPr>
          <w:sz w:val="18"/>
        </w:rPr>
      </w:pPr>
    </w:p>
    <w:p>
      <w:pPr>
        <w:pStyle w:val="BodyText"/>
        <w:spacing w:line="357" w:lineRule="auto" w:before="74"/>
        <w:ind w:left="121" w:right="105"/>
        <w:jc w:val="both"/>
        <w:rPr>
          <w:sz w:val="15"/>
        </w:rPr>
      </w:pPr>
      <w:r>
        <w:rPr/>
        <w:t>En situaciones de crisis económica, los primeros en ser desempleados (incluso expulsados del país) son los inmigrantes indocumentados, que generalmente son los  que tienen una menor calificación. Esto permite disminuir las cifras del desempleo en Estados Unidos y con ello neutralizar las contradicciones sociales provocadas por la crisis</w:t>
      </w:r>
      <w:r>
        <w:rPr>
          <w:position w:val="11"/>
          <w:sz w:val="15"/>
        </w:rPr>
        <w:t>93</w:t>
      </w:r>
    </w:p>
    <w:p>
      <w:pPr>
        <w:pStyle w:val="BodyText"/>
        <w:rPr>
          <w:sz w:val="28"/>
        </w:rPr>
      </w:pPr>
    </w:p>
    <w:p>
      <w:pPr>
        <w:pStyle w:val="BodyText"/>
        <w:rPr>
          <w:sz w:val="28"/>
        </w:rPr>
      </w:pPr>
    </w:p>
    <w:p>
      <w:pPr>
        <w:pStyle w:val="Heading3"/>
        <w:numPr>
          <w:ilvl w:val="1"/>
          <w:numId w:val="32"/>
        </w:numPr>
        <w:tabs>
          <w:tab w:pos="679" w:val="left" w:leader="none"/>
        </w:tabs>
        <w:spacing w:line="364" w:lineRule="auto" w:before="217" w:after="0"/>
        <w:ind w:left="121" w:right="103" w:firstLine="0"/>
        <w:jc w:val="both"/>
      </w:pPr>
      <w:r>
        <w:rPr/>
        <w:t>Disminución de las remesas y su impacto en la economía de las familias de los migrantes</w:t>
      </w:r>
      <w:r>
        <w:rPr>
          <w:spacing w:val="32"/>
        </w:rPr>
        <w:t> </w:t>
      </w:r>
      <w:r>
        <w:rPr/>
        <w:t>mexicanos</w:t>
      </w:r>
    </w:p>
    <w:p>
      <w:pPr>
        <w:pStyle w:val="BodyText"/>
        <w:spacing w:before="7"/>
        <w:rPr>
          <w:b/>
          <w:sz w:val="35"/>
        </w:rPr>
      </w:pPr>
    </w:p>
    <w:p>
      <w:pPr>
        <w:pStyle w:val="BodyText"/>
        <w:spacing w:line="364" w:lineRule="auto"/>
        <w:ind w:left="121" w:right="105"/>
        <w:jc w:val="both"/>
      </w:pPr>
      <w:r>
        <w:rPr/>
        <w:t>De acuerdo con un informe del Sistema Económico Latinoamericano y  del  Caribe  (Sela), casi medio millón de hogares en México han dejado de  recibir remesas  por  parte de sus familiares, debido a la crisis financiera y el aumento del desempleo en Estados</w:t>
      </w:r>
      <w:r>
        <w:rPr>
          <w:spacing w:val="14"/>
        </w:rPr>
        <w:t> </w:t>
      </w:r>
      <w:r>
        <w:rPr/>
        <w:t>Unidos.</w:t>
      </w:r>
    </w:p>
    <w:p>
      <w:pPr>
        <w:pStyle w:val="BodyText"/>
        <w:rPr>
          <w:sz w:val="22"/>
        </w:rPr>
      </w:pPr>
    </w:p>
    <w:p>
      <w:pPr>
        <w:spacing w:line="364" w:lineRule="auto" w:before="155"/>
        <w:ind w:left="121" w:right="103" w:firstLine="0"/>
        <w:jc w:val="both"/>
        <w:rPr>
          <w:sz w:val="23"/>
        </w:rPr>
      </w:pPr>
      <w:r>
        <w:rPr>
          <w:sz w:val="23"/>
        </w:rPr>
        <w:t>Los migrantes mexicanos  en Estados Unidos, como el resto de los latinoamericanos  han sido severamente golpeados por el desempleo y sus  ahorros  han  disminuido, indica el organismo a través del análisis </w:t>
      </w:r>
      <w:r>
        <w:rPr>
          <w:i/>
          <w:sz w:val="23"/>
        </w:rPr>
        <w:t>Recesión global, migraciones y  remesas: </w:t>
      </w:r>
      <w:r>
        <w:rPr>
          <w:i/>
          <w:sz w:val="23"/>
        </w:rPr>
        <w:t>efectos sobre las economías de América Latina y el Caribe, </w:t>
      </w:r>
      <w:r>
        <w:rPr>
          <w:sz w:val="23"/>
        </w:rPr>
        <w:t>a cargo de Manuel </w:t>
      </w:r>
      <w:r>
        <w:rPr>
          <w:spacing w:val="36"/>
          <w:sz w:val="23"/>
        </w:rPr>
        <w:t> </w:t>
      </w:r>
      <w:r>
        <w:rPr>
          <w:sz w:val="23"/>
        </w:rPr>
        <w:t>Orozco.</w:t>
      </w:r>
    </w:p>
    <w:p>
      <w:pPr>
        <w:pStyle w:val="BodyText"/>
        <w:rPr>
          <w:sz w:val="22"/>
        </w:rPr>
      </w:pPr>
    </w:p>
    <w:p>
      <w:pPr>
        <w:pStyle w:val="BodyText"/>
        <w:spacing w:line="364" w:lineRule="auto" w:before="157"/>
        <w:ind w:left="121" w:right="105"/>
        <w:jc w:val="both"/>
      </w:pPr>
      <w:r>
        <w:rPr/>
        <w:t>Según los cálculos del Sela, los “hogares que no están recibiendo remesas en 2009” ascienden a 448 mil 913 sólo para el caso de México, lo que implica un monto en conjunto de mil 615 millones de dólares.</w:t>
      </w:r>
    </w:p>
    <w:p>
      <w:pPr>
        <w:pStyle w:val="BodyText"/>
        <w:rPr>
          <w:sz w:val="22"/>
        </w:rPr>
      </w:pPr>
    </w:p>
    <w:p>
      <w:pPr>
        <w:pStyle w:val="BodyText"/>
        <w:spacing w:line="364" w:lineRule="auto" w:before="155"/>
        <w:ind w:left="121" w:right="105"/>
        <w:jc w:val="both"/>
      </w:pPr>
      <w:r>
        <w:rPr/>
        <w:t>Además, los 448 mil 913 hogares que el Sela asegura que dejaron de recibir remesas representan 1.6 por ciento del total de hogares en México o casi la cuarta  parte  respecto de los que reciben envíos de dinero de </w:t>
      </w:r>
      <w:r>
        <w:rPr>
          <w:spacing w:val="3"/>
        </w:rPr>
        <w:t> </w:t>
      </w:r>
      <w:r>
        <w:rPr/>
        <w:t>migrantes.</w:t>
      </w:r>
    </w:p>
    <w:p>
      <w:pPr>
        <w:pStyle w:val="BodyText"/>
        <w:rPr>
          <w:sz w:val="20"/>
        </w:rPr>
      </w:pPr>
    </w:p>
    <w:p>
      <w:pPr>
        <w:pStyle w:val="BodyText"/>
        <w:rPr>
          <w:sz w:val="20"/>
        </w:rPr>
      </w:pPr>
    </w:p>
    <w:p>
      <w:pPr>
        <w:pStyle w:val="BodyText"/>
        <w:spacing w:before="10"/>
        <w:rPr>
          <w:sz w:val="21"/>
        </w:rPr>
      </w:pPr>
      <w:r>
        <w:rPr/>
        <w:pict>
          <v:line style="position:absolute;mso-position-horizontal-relative:page;mso-position-vertical-relative:paragraph;z-index:18064;mso-wrap-distance-left:0;mso-wrap-distance-right:0" from="70.080002pt,14.923688pt" to="210.239999pt,14.923688pt" stroked="true" strokeweight=".72pt" strokecolor="#000000">
            <w10:wrap type="topAndBottom"/>
          </v:line>
        </w:pict>
      </w:r>
    </w:p>
    <w:p>
      <w:pPr>
        <w:spacing w:line="244" w:lineRule="auto" w:before="39"/>
        <w:ind w:left="121" w:right="285" w:firstLine="0"/>
        <w:jc w:val="left"/>
        <w:rPr>
          <w:sz w:val="19"/>
        </w:rPr>
      </w:pPr>
      <w:r>
        <w:rPr>
          <w:position w:val="10"/>
          <w:sz w:val="12"/>
        </w:rPr>
        <w:t>93 </w:t>
      </w:r>
      <w:r>
        <w:rPr>
          <w:sz w:val="19"/>
        </w:rPr>
        <w:t>Peña López Ana Alicia. “Los Trabajadores Mexicanos en Estados Unidos, recurso estratégico para el mercado laboral estadounidense” En las Nuevas Fronteras del Siglo XXI, Edi. UNAM, México 2000, P.  353 .</w:t>
      </w:r>
    </w:p>
    <w:p>
      <w:pPr>
        <w:spacing w:after="0" w:line="244" w:lineRule="auto"/>
        <w:jc w:val="left"/>
        <w:rPr>
          <w:sz w:val="19"/>
        </w:rPr>
        <w:sectPr>
          <w:pgSz w:w="11900" w:h="16840"/>
          <w:pgMar w:header="0" w:footer="1679" w:top="1600" w:bottom="1860" w:left="1280" w:right="1280"/>
        </w:sectPr>
      </w:pPr>
    </w:p>
    <w:p>
      <w:pPr>
        <w:pStyle w:val="BodyText"/>
        <w:rPr>
          <w:sz w:val="20"/>
        </w:rPr>
      </w:pPr>
    </w:p>
    <w:p>
      <w:pPr>
        <w:pStyle w:val="BodyText"/>
        <w:spacing w:before="8"/>
        <w:rPr>
          <w:sz w:val="18"/>
        </w:rPr>
      </w:pPr>
    </w:p>
    <w:p>
      <w:pPr>
        <w:pStyle w:val="BodyText"/>
        <w:spacing w:line="364" w:lineRule="auto" w:before="74"/>
        <w:ind w:left="121" w:right="105"/>
        <w:jc w:val="both"/>
      </w:pPr>
      <w:r>
        <w:rPr/>
        <w:t>En el estudio del Sela se destaca que desde noviembre de 2007 y hasta la fecha, la  crisis económica en Estados Unidos ha afectado a 15 sectores industriales y entre ellos destaca la construcción, donde se empleaba 31 por ciento de los trabajadores nacidos fuera de Estados Unidos (no sólo</w:t>
      </w:r>
      <w:r>
        <w:rPr>
          <w:spacing w:val="59"/>
        </w:rPr>
        <w:t> </w:t>
      </w:r>
      <w:r>
        <w:rPr/>
        <w:t>latinoamericanos).</w:t>
      </w:r>
    </w:p>
    <w:p>
      <w:pPr>
        <w:pStyle w:val="BodyText"/>
        <w:rPr>
          <w:sz w:val="22"/>
        </w:rPr>
      </w:pPr>
    </w:p>
    <w:p>
      <w:pPr>
        <w:pStyle w:val="BodyText"/>
        <w:spacing w:line="364" w:lineRule="auto" w:before="155"/>
        <w:ind w:left="121" w:right="105"/>
        <w:jc w:val="both"/>
      </w:pPr>
      <w:r>
        <w:rPr/>
        <w:t>En cuanto a los ahorros, el organismo señaló que el ahorro promedio de los migrantes latinoamericanos fue de 4 mil 600 dólares en 2007, pero cayó a 3 mil 500 dólares en 2008 y para este año oscila en sólo 2 mil 500 dólares, lo que explica porque no pueden mantener el mismo monto en los envíos a sus</w:t>
      </w:r>
      <w:r>
        <w:rPr>
          <w:spacing w:val="62"/>
        </w:rPr>
        <w:t> </w:t>
      </w:r>
      <w:r>
        <w:rPr/>
        <w:t>familiares.</w:t>
      </w:r>
    </w:p>
    <w:p>
      <w:pPr>
        <w:pStyle w:val="BodyText"/>
        <w:rPr>
          <w:sz w:val="22"/>
        </w:rPr>
      </w:pPr>
    </w:p>
    <w:p>
      <w:pPr>
        <w:pStyle w:val="BodyText"/>
        <w:spacing w:line="364" w:lineRule="auto" w:before="155"/>
        <w:ind w:left="121" w:right="104"/>
        <w:jc w:val="both"/>
      </w:pPr>
      <w:r>
        <w:rPr/>
        <w:t>“Además, los destinatarios de las remesas que dependen en gran medida de estos ingresos registrarán pérdidas de hasta 65 por ciento en todos sus ingresos (en el caso  de aquellos que no recibirán nada de dinero) y de 7 por ciento (en el caso de aquellos que recibirán 10 por ciento menos)”,</w:t>
      </w:r>
      <w:r>
        <w:rPr>
          <w:spacing w:val="53"/>
        </w:rPr>
        <w:t> </w:t>
      </w:r>
      <w:r>
        <w:rPr/>
        <w:t>puntualizó.</w:t>
      </w:r>
    </w:p>
    <w:p>
      <w:pPr>
        <w:pStyle w:val="BodyText"/>
        <w:rPr>
          <w:sz w:val="22"/>
        </w:rPr>
      </w:pPr>
    </w:p>
    <w:p>
      <w:pPr>
        <w:pStyle w:val="BodyText"/>
        <w:spacing w:line="364" w:lineRule="auto" w:before="155"/>
        <w:ind w:left="121" w:right="102"/>
        <w:jc w:val="both"/>
      </w:pPr>
      <w:r>
        <w:rPr/>
        <w:t>En términos generales, el SELA pronosticó que las remesas para América Latina y el Caribe disminuirán casi 7 por ciento este año respecto de los 69 mil millones de dólares que se registraron en 2008 y que casi un millón de migrantes no podrá remitir dinero a</w:t>
      </w:r>
    </w:p>
    <w:p>
      <w:pPr>
        <w:pStyle w:val="BodyText"/>
        <w:spacing w:line="331" w:lineRule="auto" w:before="7"/>
        <w:ind w:left="121" w:right="105"/>
        <w:jc w:val="both"/>
      </w:pPr>
      <w:r>
        <w:rPr/>
        <w:t>sus familias, mientras que 40 por ciento de quienes estén desempleados lo seguirán haciendo</w:t>
      </w:r>
      <w:r>
        <w:rPr>
          <w:position w:val="11"/>
          <w:sz w:val="15"/>
        </w:rPr>
        <w:t>94</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r>
        <w:rPr/>
        <w:pict>
          <v:line style="position:absolute;mso-position-horizontal-relative:page;mso-position-vertical-relative:paragraph;z-index:18088;mso-wrap-distance-left:0;mso-wrap-distance-right:0" from="70.080002pt,17.042974pt" to="210.239999pt,17.042974pt" stroked="true" strokeweight=".72pt" strokecolor="#000000">
            <w10:wrap type="topAndBottom"/>
          </v:line>
        </w:pict>
      </w:r>
    </w:p>
    <w:p>
      <w:pPr>
        <w:spacing w:before="39"/>
        <w:ind w:left="121" w:right="690" w:firstLine="0"/>
        <w:jc w:val="left"/>
        <w:rPr>
          <w:sz w:val="19"/>
        </w:rPr>
      </w:pPr>
      <w:r>
        <w:rPr>
          <w:position w:val="10"/>
          <w:sz w:val="12"/>
        </w:rPr>
        <w:t>94</w:t>
      </w:r>
      <w:r>
        <w:rPr>
          <w:sz w:val="19"/>
        </w:rPr>
        <w:t>Informe del  Sistema Económico para América Latina  y el Caribe,   2009</w:t>
      </w:r>
    </w:p>
    <w:p>
      <w:pPr>
        <w:spacing w:after="0"/>
        <w:jc w:val="left"/>
        <w:rPr>
          <w:sz w:val="19"/>
        </w:rPr>
        <w:sectPr>
          <w:pgSz w:w="11900" w:h="16840"/>
          <w:pgMar w:header="0" w:footer="1679" w:top="1600" w:bottom="1860" w:left="1280" w:right="1280"/>
        </w:sectPr>
      </w:pPr>
    </w:p>
    <w:p>
      <w:pPr>
        <w:pStyle w:val="BodyText"/>
        <w:rPr>
          <w:sz w:val="20"/>
        </w:rPr>
      </w:pPr>
    </w:p>
    <w:p>
      <w:pPr>
        <w:pStyle w:val="BodyText"/>
        <w:spacing w:before="6"/>
        <w:rPr>
          <w:sz w:val="18"/>
        </w:rPr>
      </w:pPr>
    </w:p>
    <w:p>
      <w:pPr>
        <w:pStyle w:val="Heading4"/>
        <w:spacing w:before="74"/>
        <w:ind w:left="1345" w:right="690"/>
      </w:pPr>
      <w:r>
        <w:rPr/>
        <w:t>Figura 2. Hogares que no están recibiendo remesas en  2009</w:t>
      </w:r>
    </w:p>
    <w:p>
      <w:pPr>
        <w:pStyle w:val="BodyText"/>
        <w:spacing w:before="10"/>
        <w:rPr>
          <w:b/>
          <w:sz w:val="18"/>
        </w:rPr>
      </w:pPr>
      <w:r>
        <w:rPr/>
        <w:drawing>
          <wp:anchor distT="0" distB="0" distL="0" distR="0" allowOverlap="1" layoutInCell="1" locked="0" behindDoc="0" simplePos="0" relativeHeight="18112">
            <wp:simplePos x="0" y="0"/>
            <wp:positionH relativeFrom="page">
              <wp:posOffset>1011936</wp:posOffset>
            </wp:positionH>
            <wp:positionV relativeFrom="paragraph">
              <wp:posOffset>162589</wp:posOffset>
            </wp:positionV>
            <wp:extent cx="5543232" cy="2208180"/>
            <wp:effectExtent l="0" t="0" r="0" b="0"/>
            <wp:wrapTopAndBottom/>
            <wp:docPr id="11" name="image396.jpeg" descr=""/>
            <wp:cNvGraphicFramePr>
              <a:graphicFrameLocks noChangeAspect="1"/>
            </wp:cNvGraphicFramePr>
            <a:graphic>
              <a:graphicData uri="http://schemas.openxmlformats.org/drawingml/2006/picture">
                <pic:pic>
                  <pic:nvPicPr>
                    <pic:cNvPr id="12" name="image396.jpeg"/>
                    <pic:cNvPicPr/>
                  </pic:nvPicPr>
                  <pic:blipFill>
                    <a:blip r:embed="rId521" cstate="print"/>
                    <a:stretch>
                      <a:fillRect/>
                    </a:stretch>
                  </pic:blipFill>
                  <pic:spPr>
                    <a:xfrm>
                      <a:off x="0" y="0"/>
                      <a:ext cx="5543232" cy="2208180"/>
                    </a:xfrm>
                    <a:prstGeom prst="rect">
                      <a:avLst/>
                    </a:prstGeom>
                  </pic:spPr>
                </pic:pic>
              </a:graphicData>
            </a:graphic>
          </wp:anchor>
        </w:drawing>
      </w:r>
    </w:p>
    <w:p>
      <w:pPr>
        <w:pStyle w:val="BodyText"/>
        <w:spacing w:before="1"/>
        <w:rPr>
          <w:b/>
          <w:sz w:val="27"/>
        </w:rPr>
      </w:pPr>
    </w:p>
    <w:p>
      <w:pPr>
        <w:spacing w:before="0"/>
        <w:ind w:left="963" w:right="690" w:firstLine="0"/>
        <w:jc w:val="left"/>
        <w:rPr>
          <w:sz w:val="21"/>
        </w:rPr>
      </w:pPr>
      <w:r>
        <w:rPr>
          <w:sz w:val="21"/>
        </w:rPr>
        <w:t>Fuente: Sistema Económico para América Latina y el Caribe,  2009.</w:t>
      </w:r>
    </w:p>
    <w:p>
      <w:pPr>
        <w:pStyle w:val="BodyText"/>
        <w:rPr>
          <w:sz w:val="20"/>
        </w:rPr>
      </w:pPr>
    </w:p>
    <w:p>
      <w:pPr>
        <w:pStyle w:val="BodyText"/>
        <w:spacing w:before="2"/>
        <w:rPr>
          <w:sz w:val="26"/>
        </w:rPr>
      </w:pPr>
    </w:p>
    <w:p>
      <w:pPr>
        <w:pStyle w:val="BodyText"/>
        <w:spacing w:line="364" w:lineRule="auto" w:before="1"/>
        <w:ind w:left="121" w:right="103"/>
        <w:jc w:val="both"/>
      </w:pPr>
      <w:r>
        <w:rPr/>
        <w:t>La transnacionalización de la fuerza de trabajo mexicana a través de la migración ha apuntalado la estabilidad económica del país. Sin las remesas el déficit en cuenta corriente en 1995 habría sido mayor en 233 por ciento y en 2003 habría aumentado a 173 por ciento. Sólo por mencionar esos dos años. Sólo en 2003 estas divisas fueron equivalentes a 275 por ciento de las exportaciones petroleras, diez por ciento de las manufactureras  y 105  por ciento  en relación  a la  inversión  extranjera  directa.  En   el</w:t>
      </w:r>
    </w:p>
    <w:p>
      <w:pPr>
        <w:pStyle w:val="BodyText"/>
        <w:spacing w:line="331" w:lineRule="auto" w:before="7"/>
        <w:ind w:left="121" w:right="105"/>
        <w:jc w:val="both"/>
      </w:pPr>
      <w:r>
        <w:rPr/>
        <w:t>periodo 1994-2003 las remesas representaron 53 por ciento de la inversión extranjera directa acumulada</w:t>
      </w:r>
      <w:r>
        <w:rPr>
          <w:position w:val="11"/>
          <w:sz w:val="15"/>
        </w:rPr>
        <w:t>95</w:t>
      </w:r>
      <w:r>
        <w:rPr/>
        <w:t>.</w:t>
      </w:r>
    </w:p>
    <w:p>
      <w:pPr>
        <w:pStyle w:val="BodyText"/>
        <w:spacing w:before="4"/>
        <w:rPr>
          <w:sz w:val="37"/>
        </w:rPr>
      </w:pPr>
    </w:p>
    <w:p>
      <w:pPr>
        <w:pStyle w:val="BodyText"/>
        <w:spacing w:line="364" w:lineRule="auto"/>
        <w:ind w:left="121" w:right="105"/>
        <w:jc w:val="both"/>
      </w:pPr>
      <w:r>
        <w:rPr/>
        <w:t>Las remesas han sido fundamentales tanto para la estabilidad económica del país,  como para expandir el mercado interno y estimular el crecimiento económico, como se muestra en la siguiente</w:t>
      </w:r>
      <w:r>
        <w:rPr>
          <w:spacing w:val="30"/>
        </w:rPr>
        <w:t> </w:t>
      </w:r>
      <w:r>
        <w:rPr/>
        <w:t>cita:</w:t>
      </w:r>
    </w:p>
    <w:p>
      <w:pPr>
        <w:pStyle w:val="BodyText"/>
        <w:rPr>
          <w:sz w:val="22"/>
        </w:rPr>
      </w:pPr>
    </w:p>
    <w:p>
      <w:pPr>
        <w:pStyle w:val="BodyText"/>
        <w:spacing w:line="364" w:lineRule="auto" w:before="153"/>
        <w:ind w:left="121" w:right="105"/>
        <w:jc w:val="both"/>
      </w:pPr>
      <w:r>
        <w:rPr/>
        <w:pict>
          <v:line style="position:absolute;mso-position-horizontal-relative:page;mso-position-vertical-relative:paragraph;z-index:18136;mso-wrap-distance-left:0;mso-wrap-distance-right:0" from="70.080002pt,93.076393pt" to="210.239999pt,93.076393pt" stroked="true" strokeweight=".72pt" strokecolor="#000000">
            <w10:wrap type="topAndBottom"/>
          </v:line>
        </w:pict>
      </w:r>
      <w:r>
        <w:rPr/>
        <w:t>Si tomamos como determinante del consumo a la masa salarial y analizamos  el  consumo de las remesas en relación al monto de los salarios pagados por sector de la actividad económica, tenemos que entre 1996 y 2001 el monto de remesas fue equivalente    a  multiplicar  casi  por  cuatro  los  salarios  pagados  en  el  sector  de   la</w:t>
      </w:r>
    </w:p>
    <w:p>
      <w:pPr>
        <w:spacing w:line="247" w:lineRule="auto" w:before="39"/>
        <w:ind w:left="121" w:right="285" w:firstLine="0"/>
        <w:jc w:val="left"/>
        <w:rPr>
          <w:sz w:val="19"/>
        </w:rPr>
      </w:pPr>
      <w:r>
        <w:rPr>
          <w:position w:val="10"/>
          <w:sz w:val="12"/>
        </w:rPr>
        <w:t>95 </w:t>
      </w:r>
      <w:r>
        <w:rPr>
          <w:sz w:val="19"/>
        </w:rPr>
        <w:t>Alvina Garavito Rosa y Torres Rino “ Migración y el impacto de las remesas en la Economía Nacional”,  en Análisis Económico, UAM A. número 41, México 2004. P  </w:t>
      </w:r>
      <w:r>
        <w:rPr>
          <w:spacing w:val="6"/>
          <w:sz w:val="19"/>
        </w:rPr>
        <w:t> </w:t>
      </w:r>
      <w:r>
        <w:rPr>
          <w:sz w:val="19"/>
        </w:rPr>
        <w:t>42.</w:t>
      </w:r>
    </w:p>
    <w:p>
      <w:pPr>
        <w:spacing w:after="0" w:line="247" w:lineRule="auto"/>
        <w:jc w:val="left"/>
        <w:rPr>
          <w:sz w:val="19"/>
        </w:rPr>
        <w:sectPr>
          <w:pgSz w:w="11900" w:h="16840"/>
          <w:pgMar w:header="0" w:footer="1679" w:top="1600" w:bottom="1860" w:left="1280" w:right="1280"/>
        </w:sectPr>
      </w:pPr>
    </w:p>
    <w:p>
      <w:pPr>
        <w:pStyle w:val="BodyText"/>
        <w:rPr>
          <w:sz w:val="20"/>
        </w:rPr>
      </w:pPr>
    </w:p>
    <w:p>
      <w:pPr>
        <w:pStyle w:val="BodyText"/>
        <w:spacing w:before="8"/>
        <w:rPr>
          <w:sz w:val="18"/>
        </w:rPr>
      </w:pPr>
    </w:p>
    <w:p>
      <w:pPr>
        <w:pStyle w:val="BodyText"/>
        <w:spacing w:line="357" w:lineRule="auto" w:before="74"/>
        <w:ind w:left="121" w:right="105"/>
        <w:jc w:val="both"/>
      </w:pPr>
      <w:r>
        <w:rPr/>
        <w:t>construcción o del comercio; a 60 por ciento de los salarios del transporte; la tercera parte del sector educativo, más de 80 por ciento de los servicios médicos, o 2/5 partes  de la nómina de los servidores públicos federales. Resulta evidente que sin la entrada  de remesas el mercado interno se ve reducido de manera significativa y con  ello también el crecimiento</w:t>
      </w:r>
      <w:r>
        <w:rPr>
          <w:spacing w:val="44"/>
        </w:rPr>
        <w:t> </w:t>
      </w:r>
      <w:r>
        <w:rPr/>
        <w:t>económico</w:t>
      </w:r>
      <w:r>
        <w:rPr>
          <w:position w:val="11"/>
          <w:sz w:val="15"/>
        </w:rPr>
        <w:t>96</w:t>
      </w:r>
      <w:r>
        <w:rPr/>
        <w:t>.</w:t>
      </w:r>
    </w:p>
    <w:p>
      <w:pPr>
        <w:pStyle w:val="BodyText"/>
        <w:spacing w:before="6"/>
        <w:rPr>
          <w:sz w:val="34"/>
        </w:rPr>
      </w:pPr>
    </w:p>
    <w:p>
      <w:pPr>
        <w:pStyle w:val="BodyText"/>
        <w:spacing w:line="364" w:lineRule="auto"/>
        <w:ind w:left="121" w:right="105"/>
        <w:jc w:val="both"/>
      </w:pPr>
      <w:r>
        <w:rPr/>
        <w:t>Pese al miserable salario de los trabajadores mexicanos en Estados Unidos, lo que los coloca como una fuerza laboral más barata en ese país y aún cuando el salario mínimo en Estados Unidos no es suficiente para sacar de la pobreza a una familia  de  migrantes, significa un ingreso nueve veces mayor que el salario mínimo en México. Además, cerca del 80 por ciento de la población mexicana tiene ingresos anuales que  no llegan a más de una tercera parte del salario mínimo estadounidense. Así, la fuerza de trabajo mexicana constituye una de las principales “ventajas comparativas” que poseen tanto el capital mexicano como los grandes capitales norteamericanos que invierten  en  el  país,  o  que  utilizan  fuerza  de  trabajo  mexicana  en  sus    </w:t>
      </w:r>
      <w:r>
        <w:rPr>
          <w:spacing w:val="60"/>
        </w:rPr>
        <w:t> </w:t>
      </w:r>
      <w:r>
        <w:rPr/>
        <w:t>procesos</w:t>
      </w:r>
    </w:p>
    <w:p>
      <w:pPr>
        <w:pStyle w:val="BodyText"/>
        <w:spacing w:line="270" w:lineRule="exact"/>
        <w:ind w:left="121"/>
        <w:jc w:val="both"/>
      </w:pPr>
      <w:r>
        <w:rPr/>
        <w:t>productivos dentro del territorio</w:t>
      </w:r>
      <w:r>
        <w:rPr>
          <w:spacing w:val="60"/>
        </w:rPr>
        <w:t> </w:t>
      </w:r>
      <w:r>
        <w:rPr/>
        <w:t>estadounidense</w:t>
      </w:r>
      <w:r>
        <w:rPr>
          <w:position w:val="11"/>
          <w:sz w:val="15"/>
        </w:rPr>
        <w:t>97</w:t>
      </w:r>
      <w:r>
        <w:rPr/>
        <w:t>.</w:t>
      </w:r>
    </w:p>
    <w:p>
      <w:pPr>
        <w:pStyle w:val="BodyText"/>
        <w:rPr>
          <w:sz w:val="28"/>
        </w:rPr>
      </w:pPr>
    </w:p>
    <w:p>
      <w:pPr>
        <w:pStyle w:val="BodyText"/>
        <w:spacing w:line="364" w:lineRule="auto" w:before="217"/>
        <w:ind w:left="121" w:right="105"/>
        <w:jc w:val="both"/>
      </w:pPr>
      <w:r>
        <w:rPr/>
        <w:t>Actualmente las remesas en México, estimadas en 25 mil millones de dólares anuales, son la segunda fuente de divisas del país y tienen un impacto importante en términos macroeconómicos, ya que representan 3 por ciento del PIB. Sin embargo, la situación  de México no se puede calificar como de dependiente de las remesas, como sería el caso de otros países que reciben montos mucho menores, pero donde el impacto es mucho mayor,  dada la debilidad de sus  economías.  Serían los  casos  de    </w:t>
      </w:r>
      <w:r>
        <w:rPr>
          <w:spacing w:val="32"/>
        </w:rPr>
        <w:t> </w:t>
      </w:r>
      <w:r>
        <w:rPr/>
        <w:t>Honduras,</w:t>
      </w:r>
    </w:p>
    <w:p>
      <w:pPr>
        <w:pStyle w:val="BodyText"/>
        <w:spacing w:line="333" w:lineRule="auto" w:before="5"/>
        <w:ind w:left="121" w:right="106"/>
        <w:jc w:val="both"/>
      </w:pPr>
      <w:r>
        <w:rPr/>
        <w:t>donde las remesas representan 25.6 por ciento del PIB, Haití (21.6), Jamaica (18.5), El Salvador (18.2), Guatemala (10.3) y Ecuador (7.2 por  ciento)</w:t>
      </w:r>
      <w:r>
        <w:rPr>
          <w:position w:val="11"/>
          <w:sz w:val="15"/>
        </w:rPr>
        <w:t>98</w:t>
      </w:r>
      <w:r>
        <w:rPr/>
        <w:t>.</w:t>
      </w:r>
    </w:p>
    <w:p>
      <w:pPr>
        <w:pStyle w:val="BodyText"/>
        <w:spacing w:before="1"/>
        <w:rPr>
          <w:sz w:val="37"/>
        </w:rPr>
      </w:pPr>
    </w:p>
    <w:p>
      <w:pPr>
        <w:pStyle w:val="BodyText"/>
        <w:spacing w:line="364" w:lineRule="auto"/>
        <w:ind w:left="121" w:right="104"/>
        <w:jc w:val="both"/>
      </w:pPr>
      <w:r>
        <w:rPr/>
        <w:t>Por el contrario, el impacto a escala familiar puede ser  totalmente  distinto.  Si  una familia mexicana  recibía  un subsidio mensual  de  200  dólares  y  dejó  de recibirlo,   el</w:t>
      </w:r>
    </w:p>
    <w:p>
      <w:pPr>
        <w:pStyle w:val="BodyText"/>
        <w:spacing w:before="2"/>
        <w:rPr>
          <w:sz w:val="25"/>
        </w:rPr>
      </w:pPr>
      <w:r>
        <w:rPr/>
        <w:pict>
          <v:line style="position:absolute;mso-position-horizontal-relative:page;mso-position-vertical-relative:paragraph;z-index:18160;mso-wrap-distance-left:0;mso-wrap-distance-right:0" from="70.080002pt,16.741743pt" to="210.239999pt,16.741743pt" stroked="true" strokeweight=".6pt" strokecolor="#000000">
            <w10:wrap type="topAndBottom"/>
          </v:line>
        </w:pict>
      </w:r>
    </w:p>
    <w:p>
      <w:pPr>
        <w:spacing w:line="239" w:lineRule="exact" w:before="39"/>
        <w:ind w:left="121" w:right="690" w:firstLine="0"/>
        <w:jc w:val="left"/>
        <w:rPr>
          <w:sz w:val="19"/>
        </w:rPr>
      </w:pPr>
      <w:r>
        <w:rPr>
          <w:position w:val="10"/>
          <w:sz w:val="12"/>
        </w:rPr>
        <w:t>96  </w:t>
      </w:r>
      <w:r>
        <w:rPr>
          <w:sz w:val="19"/>
        </w:rPr>
        <w:t>Op. Cit. Alvina P 43.</w:t>
      </w:r>
    </w:p>
    <w:p>
      <w:pPr>
        <w:spacing w:line="220" w:lineRule="exact" w:before="23"/>
        <w:ind w:left="121" w:right="285" w:firstLine="0"/>
        <w:jc w:val="left"/>
        <w:rPr>
          <w:sz w:val="19"/>
        </w:rPr>
      </w:pPr>
      <w:r>
        <w:rPr>
          <w:position w:val="10"/>
          <w:sz w:val="12"/>
        </w:rPr>
        <w:t>97 </w:t>
      </w:r>
      <w:r>
        <w:rPr>
          <w:sz w:val="19"/>
        </w:rPr>
        <w:t>Levine Elaine “Los mexicanos que migran a Estado Unidos: costos y beneficios”, en Problemas del Desarrollo, número 104, Edit. UNAM, México 1996,  P:238.</w:t>
      </w:r>
    </w:p>
    <w:p>
      <w:pPr>
        <w:spacing w:line="222" w:lineRule="exact" w:before="0"/>
        <w:ind w:left="121" w:right="690" w:firstLine="0"/>
        <w:jc w:val="left"/>
        <w:rPr>
          <w:sz w:val="19"/>
        </w:rPr>
      </w:pPr>
      <w:r>
        <w:rPr>
          <w:position w:val="10"/>
          <w:sz w:val="12"/>
        </w:rPr>
        <w:t>98  </w:t>
      </w:r>
      <w:r>
        <w:rPr>
          <w:sz w:val="19"/>
        </w:rPr>
        <w:t>Durand Jorge, Los Migradólares. La Jornada 22 de noviembre de   2009.</w:t>
      </w:r>
    </w:p>
    <w:p>
      <w:pPr>
        <w:spacing w:after="0" w:line="222" w:lineRule="exact"/>
        <w:jc w:val="left"/>
        <w:rPr>
          <w:sz w:val="19"/>
        </w:rPr>
        <w:sectPr>
          <w:pgSz w:w="11900" w:h="16840"/>
          <w:pgMar w:header="0" w:footer="1679" w:top="1600" w:bottom="1860" w:left="1280" w:right="1280"/>
        </w:sectPr>
      </w:pPr>
    </w:p>
    <w:p>
      <w:pPr>
        <w:pStyle w:val="BodyText"/>
        <w:rPr>
          <w:sz w:val="20"/>
        </w:rPr>
      </w:pPr>
    </w:p>
    <w:p>
      <w:pPr>
        <w:pStyle w:val="BodyText"/>
        <w:spacing w:before="8"/>
        <w:rPr>
          <w:sz w:val="18"/>
        </w:rPr>
      </w:pPr>
    </w:p>
    <w:p>
      <w:pPr>
        <w:pStyle w:val="BodyText"/>
        <w:spacing w:line="355" w:lineRule="auto" w:before="74"/>
        <w:ind w:left="121" w:right="105"/>
        <w:jc w:val="both"/>
      </w:pPr>
      <w:r>
        <w:rPr/>
        <w:t>golpe a su economía puede ser devastador. Más aún cuando son varios millones de familias las que dependen del subsidio que les llega del exterior. La remesa  se  convierte en pesos y se gasta en alimento, vestido, vivienda, salud, educación y en el pago de 16 por ciento de IVA sin posibilidad de </w:t>
      </w:r>
      <w:r>
        <w:rPr>
          <w:spacing w:val="7"/>
        </w:rPr>
        <w:t> </w:t>
      </w:r>
      <w:r>
        <w:rPr/>
        <w:t>devolución</w:t>
      </w:r>
      <w:r>
        <w:rPr>
          <w:position w:val="11"/>
          <w:sz w:val="15"/>
        </w:rPr>
        <w:t>99</w:t>
      </w:r>
      <w:r>
        <w:rPr/>
        <w:t>.</w:t>
      </w:r>
    </w:p>
    <w:p>
      <w:pPr>
        <w:pStyle w:val="BodyText"/>
        <w:rPr>
          <w:sz w:val="28"/>
        </w:rPr>
      </w:pPr>
    </w:p>
    <w:p>
      <w:pPr>
        <w:pStyle w:val="BodyText"/>
        <w:spacing w:before="5"/>
        <w:rPr>
          <w:sz w:val="40"/>
        </w:rPr>
      </w:pPr>
    </w:p>
    <w:p>
      <w:pPr>
        <w:pStyle w:val="BodyText"/>
        <w:spacing w:line="367" w:lineRule="auto"/>
        <w:ind w:left="121" w:right="103"/>
        <w:jc w:val="both"/>
      </w:pPr>
      <w:r>
        <w:rPr/>
        <w:t>Los </w:t>
      </w:r>
      <w:r>
        <w:rPr>
          <w:i/>
        </w:rPr>
        <w:t>migradólares </w:t>
      </w:r>
      <w:r>
        <w:rPr/>
        <w:t>no se convierten en pesos, son divisas que entran al país, que suponemos fundamentales para la balanza  de pagos. Pero en realidad no se sabe  cómo se utiliza y quién se beneficia directamente de ese ingreso gigantesco de divisas. Pero podemos afirmar, sin temor a equivocarnos, que en tiempos de crisis son los migrantes los que meten dólares a las arcas nacionales y son otros los que los </w:t>
      </w:r>
      <w:r>
        <w:rPr>
          <w:spacing w:val="35"/>
        </w:rPr>
        <w:t> </w:t>
      </w:r>
      <w:r>
        <w:rPr/>
        <w:t>sacan.</w:t>
      </w:r>
    </w:p>
    <w:p>
      <w:pPr>
        <w:pStyle w:val="BodyText"/>
        <w:rPr>
          <w:sz w:val="22"/>
        </w:rPr>
      </w:pPr>
    </w:p>
    <w:p>
      <w:pPr>
        <w:pStyle w:val="BodyText"/>
        <w:spacing w:line="364" w:lineRule="auto" w:before="150"/>
        <w:ind w:left="121" w:right="105"/>
        <w:jc w:val="both"/>
      </w:pPr>
      <w:r>
        <w:rPr/>
        <w:t>El flujo de </w:t>
      </w:r>
      <w:r>
        <w:rPr>
          <w:i/>
        </w:rPr>
        <w:t>migradólares </w:t>
      </w:r>
      <w:r>
        <w:rPr/>
        <w:t>en 2008 fue mayor que la  inversión extranjera directa (IED),  que se estimó en 22 mil millones de dólares. Inversión que es promovida, fomentada, estimulada y bendecida por el gobierno con una serie de ventajas y excepciones de impuestos. A los inversionistas extranjeros se les invita, les regalan  terrenos,  los  eximen de impuestos, les devuelve el IVA y se les bonifica, en efectivo, por su gran contribución</w:t>
      </w:r>
      <w:r>
        <w:rPr>
          <w:spacing w:val="35"/>
        </w:rPr>
        <w:t> </w:t>
      </w:r>
      <w:r>
        <w:rPr/>
        <w:t>al</w:t>
      </w:r>
      <w:r>
        <w:rPr>
          <w:spacing w:val="34"/>
        </w:rPr>
        <w:t> </w:t>
      </w:r>
      <w:r>
        <w:rPr/>
        <w:t>país</w:t>
      </w:r>
      <w:r>
        <w:rPr>
          <w:spacing w:val="31"/>
        </w:rPr>
        <w:t> </w:t>
      </w:r>
      <w:r>
        <w:rPr/>
        <w:t>por</w:t>
      </w:r>
      <w:r>
        <w:rPr>
          <w:spacing w:val="34"/>
        </w:rPr>
        <w:t> </w:t>
      </w:r>
      <w:r>
        <w:rPr/>
        <w:t>crear</w:t>
      </w:r>
      <w:r>
        <w:rPr>
          <w:spacing w:val="34"/>
        </w:rPr>
        <w:t> </w:t>
      </w:r>
      <w:r>
        <w:rPr/>
        <w:t>empleos.</w:t>
      </w:r>
      <w:r>
        <w:rPr>
          <w:spacing w:val="35"/>
        </w:rPr>
        <w:t> </w:t>
      </w:r>
      <w:r>
        <w:rPr/>
        <w:t>A</w:t>
      </w:r>
      <w:r>
        <w:rPr>
          <w:spacing w:val="33"/>
        </w:rPr>
        <w:t> </w:t>
      </w:r>
      <w:r>
        <w:rPr/>
        <w:t>los</w:t>
      </w:r>
      <w:r>
        <w:rPr>
          <w:spacing w:val="31"/>
        </w:rPr>
        <w:t> </w:t>
      </w:r>
      <w:r>
        <w:rPr/>
        <w:t>migrantes,</w:t>
      </w:r>
      <w:r>
        <w:rPr>
          <w:spacing w:val="33"/>
        </w:rPr>
        <w:t> </w:t>
      </w:r>
      <w:r>
        <w:rPr/>
        <w:t>por</w:t>
      </w:r>
      <w:r>
        <w:rPr>
          <w:spacing w:val="32"/>
        </w:rPr>
        <w:t> </w:t>
      </w:r>
      <w:r>
        <w:rPr/>
        <w:t>su</w:t>
      </w:r>
      <w:r>
        <w:rPr>
          <w:spacing w:val="33"/>
        </w:rPr>
        <w:t> </w:t>
      </w:r>
      <w:r>
        <w:rPr/>
        <w:t>parte,</w:t>
      </w:r>
      <w:r>
        <w:rPr>
          <w:spacing w:val="33"/>
        </w:rPr>
        <w:t> </w:t>
      </w:r>
      <w:r>
        <w:rPr/>
        <w:t>se</w:t>
      </w:r>
      <w:r>
        <w:rPr>
          <w:spacing w:val="30"/>
        </w:rPr>
        <w:t> </w:t>
      </w:r>
      <w:r>
        <w:rPr/>
        <w:t>les</w:t>
      </w:r>
      <w:r>
        <w:rPr>
          <w:spacing w:val="34"/>
        </w:rPr>
        <w:t> </w:t>
      </w:r>
      <w:r>
        <w:rPr/>
        <w:t>cobra</w:t>
      </w:r>
      <w:r>
        <w:rPr>
          <w:spacing w:val="30"/>
        </w:rPr>
        <w:t> </w:t>
      </w:r>
      <w:r>
        <w:rPr/>
        <w:t>la</w:t>
      </w:r>
    </w:p>
    <w:p>
      <w:pPr>
        <w:pStyle w:val="BodyText"/>
        <w:spacing w:line="331" w:lineRule="auto" w:before="5"/>
        <w:ind w:left="121" w:right="105"/>
        <w:jc w:val="both"/>
      </w:pPr>
      <w:r>
        <w:rPr/>
        <w:t>transferencia, los bancos se quedan con su comisión por el cambio de moneda y nadie les regala o deduce nada</w:t>
      </w:r>
      <w:r>
        <w:rPr>
          <w:position w:val="11"/>
          <w:sz w:val="15"/>
        </w:rPr>
        <w:t>100</w:t>
      </w:r>
      <w:r>
        <w:rPr/>
        <w:t>.</w:t>
      </w:r>
    </w:p>
    <w:p>
      <w:pPr>
        <w:pStyle w:val="BodyText"/>
        <w:spacing w:before="4"/>
        <w:rPr>
          <w:sz w:val="37"/>
        </w:rPr>
      </w:pPr>
    </w:p>
    <w:p>
      <w:pPr>
        <w:pStyle w:val="BodyText"/>
        <w:spacing w:line="364" w:lineRule="auto"/>
        <w:ind w:left="121" w:right="105"/>
        <w:jc w:val="both"/>
      </w:pPr>
      <w:r>
        <w:rPr/>
        <w:t>Las remesas han sido, desde hace décadas, uno de los mecanismos  más  exitosos  para la creación de empleos, negocios familiares y autoempleo. Las remesas son el principal dinamizador de la industria de la construcción en pueblos y ciudades medias  del país. Con 500 dólares una ama de casa puede iniciar su negocio de venta de ropa  en abonos, puede instalar un </w:t>
      </w:r>
      <w:r>
        <w:rPr>
          <w:i/>
        </w:rPr>
        <w:t>changarro, </w:t>
      </w:r>
      <w:r>
        <w:rPr/>
        <w:t>comprar la máquina que le faltaba al taller o financiar un puesto de venta de dulces, tortas o tamales. De acuerdo con el economista Edward Taylor, de la Universidad de California en Davis, las remesas tienen un efecto multiplicador de tres a</w:t>
      </w:r>
      <w:r>
        <w:rPr>
          <w:spacing w:val="28"/>
        </w:rPr>
        <w:t> </w:t>
      </w:r>
      <w:r>
        <w:rPr/>
        <w:t>uno.</w:t>
      </w:r>
    </w:p>
    <w:p>
      <w:pPr>
        <w:pStyle w:val="BodyText"/>
        <w:spacing w:before="8"/>
        <w:rPr>
          <w:sz w:val="29"/>
        </w:rPr>
      </w:pPr>
      <w:r>
        <w:rPr/>
        <w:pict>
          <v:line style="position:absolute;mso-position-horizontal-relative:page;mso-position-vertical-relative:paragraph;z-index:18184;mso-wrap-distance-left:0;mso-wrap-distance-right:0" from="70.080002pt,19.441746pt" to="210.239999pt,19.441746pt" stroked="true" strokeweight=".72pt" strokecolor="#000000">
            <w10:wrap type="topAndBottom"/>
          </v:line>
        </w:pict>
      </w:r>
    </w:p>
    <w:p>
      <w:pPr>
        <w:spacing w:line="239" w:lineRule="exact" w:before="39"/>
        <w:ind w:left="121" w:right="690" w:firstLine="0"/>
        <w:jc w:val="left"/>
        <w:rPr>
          <w:sz w:val="19"/>
        </w:rPr>
      </w:pPr>
      <w:r>
        <w:rPr>
          <w:w w:val="105"/>
          <w:position w:val="10"/>
          <w:sz w:val="12"/>
        </w:rPr>
        <w:t>99 </w:t>
      </w:r>
      <w:r>
        <w:rPr>
          <w:w w:val="105"/>
          <w:sz w:val="19"/>
        </w:rPr>
        <w:t>Op. Cit. Duran.</w:t>
      </w:r>
    </w:p>
    <w:p>
      <w:pPr>
        <w:spacing w:line="239" w:lineRule="exact" w:before="0"/>
        <w:ind w:left="121" w:right="690" w:firstLine="0"/>
        <w:jc w:val="left"/>
        <w:rPr>
          <w:sz w:val="19"/>
        </w:rPr>
      </w:pPr>
      <w:r>
        <w:rPr>
          <w:w w:val="105"/>
          <w:position w:val="10"/>
          <w:sz w:val="12"/>
        </w:rPr>
        <w:t>100 </w:t>
      </w:r>
      <w:r>
        <w:rPr>
          <w:w w:val="105"/>
          <w:sz w:val="19"/>
        </w:rPr>
        <w:t>Op. Cit Duran.</w:t>
      </w:r>
    </w:p>
    <w:p>
      <w:pPr>
        <w:spacing w:after="0" w:line="239" w:lineRule="exact"/>
        <w:jc w:val="left"/>
        <w:rPr>
          <w:sz w:val="19"/>
        </w:rPr>
        <w:sectPr>
          <w:pgSz w:w="11900" w:h="16840"/>
          <w:pgMar w:header="0" w:footer="1679" w:top="1600" w:bottom="1860" w:left="1280" w:right="1280"/>
        </w:sectPr>
      </w:pPr>
    </w:p>
    <w:p>
      <w:pPr>
        <w:pStyle w:val="BodyText"/>
        <w:rPr>
          <w:sz w:val="20"/>
        </w:rPr>
      </w:pPr>
    </w:p>
    <w:p>
      <w:pPr>
        <w:pStyle w:val="BodyText"/>
        <w:spacing w:before="7"/>
        <w:rPr>
          <w:sz w:val="18"/>
        </w:rPr>
      </w:pPr>
    </w:p>
    <w:p>
      <w:pPr>
        <w:pStyle w:val="Heading3"/>
        <w:numPr>
          <w:ilvl w:val="1"/>
          <w:numId w:val="32"/>
        </w:numPr>
        <w:tabs>
          <w:tab w:pos="655" w:val="left" w:leader="none"/>
        </w:tabs>
        <w:spacing w:line="240" w:lineRule="auto" w:before="69" w:after="0"/>
        <w:ind w:left="654" w:right="0" w:hanging="533"/>
        <w:jc w:val="both"/>
      </w:pPr>
      <w:r>
        <w:rPr/>
        <w:t>Caída de las remesas e incremento de la pobreza en</w:t>
      </w:r>
      <w:r>
        <w:rPr>
          <w:spacing w:val="45"/>
        </w:rPr>
        <w:t> </w:t>
      </w:r>
      <w:r>
        <w:rPr/>
        <w:t>México</w:t>
      </w:r>
    </w:p>
    <w:p>
      <w:pPr>
        <w:pStyle w:val="BodyText"/>
        <w:rPr>
          <w:b/>
          <w:sz w:val="26"/>
        </w:rPr>
      </w:pPr>
    </w:p>
    <w:p>
      <w:pPr>
        <w:pStyle w:val="BodyText"/>
        <w:spacing w:before="6"/>
        <w:rPr>
          <w:b/>
        </w:rPr>
      </w:pPr>
    </w:p>
    <w:p>
      <w:pPr>
        <w:pStyle w:val="BodyText"/>
        <w:spacing w:line="364" w:lineRule="auto"/>
        <w:ind w:left="121" w:right="105"/>
        <w:jc w:val="both"/>
      </w:pPr>
      <w:r>
        <w:rPr/>
        <w:t>Los trabajadores mexicanos residentes en el extranjero dejaron de enviar a sus familias en el país más de 3 mil 740 millones de dólares entre enero y noviembre pasados, lo  que representó una caída de 16.01 por ciento respecto del mismo periodo de 2008, informó el Banco de</w:t>
      </w:r>
      <w:r>
        <w:rPr>
          <w:spacing w:val="32"/>
        </w:rPr>
        <w:t> </w:t>
      </w:r>
      <w:r>
        <w:rPr/>
        <w:t>México.</w:t>
      </w:r>
    </w:p>
    <w:p>
      <w:pPr>
        <w:pStyle w:val="BodyText"/>
        <w:rPr>
          <w:sz w:val="22"/>
        </w:rPr>
      </w:pPr>
    </w:p>
    <w:p>
      <w:pPr>
        <w:pStyle w:val="BodyText"/>
        <w:spacing w:line="364" w:lineRule="auto" w:before="155"/>
        <w:ind w:left="121" w:right="105"/>
        <w:jc w:val="both"/>
      </w:pPr>
      <w:r>
        <w:rPr/>
        <w:t>Las remesas familiares se ubicaron en 19 mil 621.09 millones de dólares en los 11  meses de dicho periodo, que contrastan con los 23 mil 361.55 millones que se enviaron durante los mismos meses de</w:t>
      </w:r>
      <w:r>
        <w:rPr>
          <w:spacing w:val="43"/>
        </w:rPr>
        <w:t> </w:t>
      </w:r>
      <w:r>
        <w:rPr/>
        <w:t>2008.</w:t>
      </w:r>
    </w:p>
    <w:p>
      <w:pPr>
        <w:pStyle w:val="BodyText"/>
        <w:rPr>
          <w:sz w:val="22"/>
        </w:rPr>
      </w:pPr>
    </w:p>
    <w:p>
      <w:pPr>
        <w:pStyle w:val="BodyText"/>
        <w:spacing w:line="336" w:lineRule="auto" w:before="155"/>
        <w:ind w:left="121" w:right="105"/>
        <w:jc w:val="both"/>
      </w:pPr>
      <w:r>
        <w:rPr/>
        <w:t>Sólo durante noviembre se enviaron mil 495.06 millones de dólares, lo cual lo ubica como el peor mes en captación de remesas desde febrero de </w:t>
      </w:r>
      <w:r>
        <w:rPr>
          <w:spacing w:val="28"/>
        </w:rPr>
        <w:t> </w:t>
      </w:r>
      <w:r>
        <w:rPr/>
        <w:t>2005</w:t>
      </w:r>
      <w:r>
        <w:rPr>
          <w:position w:val="11"/>
          <w:sz w:val="15"/>
        </w:rPr>
        <w:t>101</w:t>
      </w:r>
      <w:r>
        <w:rPr/>
        <w:t>.</w:t>
      </w:r>
    </w:p>
    <w:p>
      <w:pPr>
        <w:pStyle w:val="BodyText"/>
        <w:spacing w:before="7"/>
        <w:rPr>
          <w:sz w:val="36"/>
        </w:rPr>
      </w:pPr>
    </w:p>
    <w:p>
      <w:pPr>
        <w:pStyle w:val="BodyText"/>
        <w:spacing w:line="355" w:lineRule="auto"/>
        <w:ind w:left="121" w:right="105"/>
        <w:jc w:val="both"/>
      </w:pPr>
      <w:r>
        <w:rPr/>
        <w:t>Gran número de hogares en México ha dejado de percibir ingresos provenientes del exterior, poco más de 275 mil entre 2006  y 2008, de acuerdo  con los datos de la  ENIGH (Encuesta Nacional de Ingreso Gasto en los Hogares, realizada por el Instituto Nacional de Estadística y</w:t>
      </w:r>
      <w:r>
        <w:rPr>
          <w:spacing w:val="50"/>
        </w:rPr>
        <w:t> </w:t>
      </w:r>
      <w:r>
        <w:rPr/>
        <w:t>Geografía)</w:t>
      </w:r>
      <w:r>
        <w:rPr>
          <w:position w:val="11"/>
          <w:sz w:val="15"/>
        </w:rPr>
        <w:t>102</w:t>
      </w:r>
      <w:r>
        <w:rPr/>
        <w:t>.</w:t>
      </w:r>
    </w:p>
    <w:p>
      <w:pPr>
        <w:pStyle w:val="BodyText"/>
        <w:spacing w:before="7"/>
        <w:rPr>
          <w:sz w:val="34"/>
        </w:rPr>
      </w:pPr>
    </w:p>
    <w:p>
      <w:pPr>
        <w:pStyle w:val="BodyText"/>
        <w:spacing w:line="364" w:lineRule="auto"/>
        <w:ind w:left="121" w:right="103"/>
        <w:jc w:val="both"/>
      </w:pPr>
      <w:r>
        <w:rPr/>
        <w:t>En términos generales, todos los estados del país resintieron la caída tanto en monto como en número de transferencias, según los reportes del Banco de  México.  La  entidad que tuvo el mayor retroceso, aunque con datos de enero a septiembre de 2009, fue Guanajuato, con una baja de 248 millones de dólares, pero esa cifra únicamente representa 14 por ciento del  total  que al  noveno mes  del  año había captado, por   </w:t>
      </w:r>
      <w:r>
        <w:rPr>
          <w:spacing w:val="40"/>
        </w:rPr>
        <w:t> </w:t>
      </w:r>
      <w:r>
        <w:rPr/>
        <w:t>mil</w:t>
      </w:r>
    </w:p>
    <w:p>
      <w:pPr>
        <w:pStyle w:val="BodyText"/>
        <w:spacing w:before="2"/>
        <w:ind w:left="121"/>
        <w:jc w:val="both"/>
      </w:pPr>
      <w:r>
        <w:rPr/>
        <w:t>521.8 millones de dólares.</w:t>
      </w:r>
    </w:p>
    <w:p>
      <w:pPr>
        <w:pStyle w:val="BodyText"/>
        <w:rPr>
          <w:sz w:val="22"/>
        </w:rPr>
      </w:pPr>
    </w:p>
    <w:p>
      <w:pPr>
        <w:pStyle w:val="BodyText"/>
        <w:spacing w:before="1"/>
        <w:rPr>
          <w:sz w:val="25"/>
        </w:rPr>
      </w:pPr>
    </w:p>
    <w:p>
      <w:pPr>
        <w:pStyle w:val="BodyText"/>
        <w:spacing w:line="364" w:lineRule="auto"/>
        <w:ind w:left="121" w:right="105"/>
        <w:jc w:val="both"/>
      </w:pPr>
      <w:r>
        <w:rPr/>
        <w:t>Por monto de desplome siguió el estado de México, con más de 247  millones  de dólares, que representaron un retroceso de 18.6 comparado con el mismo periodo de 2008;  a  septiembre  del  año  pasado  llegaron  a  Veracruz  223.7  millones  de dólares</w:t>
      </w:r>
    </w:p>
    <w:p>
      <w:pPr>
        <w:pStyle w:val="BodyText"/>
        <w:spacing w:before="10"/>
        <w:rPr>
          <w:sz w:val="22"/>
        </w:rPr>
      </w:pPr>
      <w:r>
        <w:rPr/>
        <w:pict>
          <v:line style="position:absolute;mso-position-horizontal-relative:page;mso-position-vertical-relative:paragraph;z-index:18208;mso-wrap-distance-left:0;mso-wrap-distance-right:0" from="70.080002pt,15.481754pt" to="210.239999pt,15.481754pt" stroked="true" strokeweight=".72pt" strokecolor="#000000">
            <w10:wrap type="topAndBottom"/>
          </v:line>
        </w:pict>
      </w:r>
    </w:p>
    <w:p>
      <w:pPr>
        <w:spacing w:line="234" w:lineRule="exact" w:before="42"/>
        <w:ind w:left="121" w:right="690" w:firstLine="0"/>
        <w:jc w:val="left"/>
        <w:rPr>
          <w:rFonts w:ascii="Times New Roman"/>
          <w:sz w:val="19"/>
        </w:rPr>
      </w:pPr>
      <w:r>
        <w:rPr>
          <w:rFonts w:ascii="Times New Roman"/>
          <w:w w:val="105"/>
          <w:position w:val="9"/>
          <w:sz w:val="12"/>
        </w:rPr>
        <w:t>101 </w:t>
      </w:r>
      <w:r>
        <w:rPr>
          <w:rFonts w:ascii="Times New Roman"/>
          <w:w w:val="105"/>
          <w:sz w:val="19"/>
        </w:rPr>
        <w:t>Op.cit. Duran.</w:t>
      </w:r>
    </w:p>
    <w:p>
      <w:pPr>
        <w:spacing w:line="234" w:lineRule="exact" w:before="0"/>
        <w:ind w:left="121" w:right="690" w:firstLine="0"/>
        <w:jc w:val="left"/>
        <w:rPr>
          <w:rFonts w:ascii="Times New Roman"/>
          <w:sz w:val="19"/>
        </w:rPr>
      </w:pPr>
      <w:r>
        <w:rPr>
          <w:rFonts w:ascii="Times New Roman"/>
          <w:position w:val="9"/>
          <w:sz w:val="12"/>
        </w:rPr>
        <w:t>102  </w:t>
      </w:r>
      <w:r>
        <w:rPr>
          <w:rFonts w:ascii="Times New Roman"/>
          <w:sz w:val="19"/>
        </w:rPr>
        <w:t>Encuesta Nacional de Ingresos del INEGI, noviembre de   2009.</w:t>
      </w:r>
    </w:p>
    <w:p>
      <w:pPr>
        <w:spacing w:after="0" w:line="234" w:lineRule="exact"/>
        <w:jc w:val="left"/>
        <w:rPr>
          <w:rFonts w:ascii="Times New Roman"/>
          <w:sz w:val="19"/>
        </w:rPr>
        <w:sectPr>
          <w:footerReference w:type="default" r:id="rId522"/>
          <w:pgSz w:w="11900" w:h="16840"/>
          <w:pgMar w:footer="1679" w:header="0" w:top="1600" w:bottom="1860" w:left="1280" w:right="1280"/>
          <w:pgNumType w:start="376"/>
        </w:sectPr>
      </w:pPr>
    </w:p>
    <w:p>
      <w:pPr>
        <w:pStyle w:val="BodyText"/>
        <w:rPr>
          <w:rFonts w:ascii="Times New Roman"/>
          <w:sz w:val="20"/>
        </w:rPr>
      </w:pPr>
    </w:p>
    <w:p>
      <w:pPr>
        <w:pStyle w:val="BodyText"/>
        <w:spacing w:before="8"/>
        <w:rPr>
          <w:rFonts w:ascii="Times New Roman"/>
          <w:sz w:val="18"/>
        </w:rPr>
      </w:pPr>
    </w:p>
    <w:p>
      <w:pPr>
        <w:pStyle w:val="BodyText"/>
        <w:spacing w:line="364" w:lineRule="auto" w:before="74"/>
        <w:ind w:left="121" w:right="105"/>
        <w:jc w:val="both"/>
      </w:pPr>
      <w:r>
        <w:rPr/>
        <w:t>menos que los reportados en el mismo mes de un año antes, y sólo se habían recibido mil 9 millones; Michoacán, uno de los mayores expulsores de mano de obra al  extranjero, al cierre del tercer trimestre de 2009 había captado mil 649 millones, cifra menor en 193.9 millones a la del año</w:t>
      </w:r>
      <w:r>
        <w:rPr>
          <w:spacing w:val="56"/>
        </w:rPr>
        <w:t> </w:t>
      </w:r>
      <w:r>
        <w:rPr/>
        <w:t>anterior.</w:t>
      </w:r>
    </w:p>
    <w:p>
      <w:pPr>
        <w:pStyle w:val="BodyText"/>
        <w:rPr>
          <w:sz w:val="22"/>
        </w:rPr>
      </w:pPr>
    </w:p>
    <w:p>
      <w:pPr>
        <w:pStyle w:val="BodyText"/>
        <w:spacing w:line="364" w:lineRule="auto" w:before="155"/>
        <w:ind w:left="121" w:right="104"/>
        <w:jc w:val="both"/>
      </w:pPr>
      <w:r>
        <w:rPr/>
        <w:t>Otros estados afectados por la reducción en el flujo de divisas fue Guerrero, con 161.2 millones de dólares menos, con sólo 894 millones. Esto es equivalente a 15.27 por  ciento</w:t>
      </w:r>
      <w:r>
        <w:rPr>
          <w:spacing w:val="21"/>
        </w:rPr>
        <w:t> </w:t>
      </w:r>
      <w:r>
        <w:rPr/>
        <w:t>por</w:t>
      </w:r>
      <w:r>
        <w:rPr>
          <w:spacing w:val="20"/>
        </w:rPr>
        <w:t> </w:t>
      </w:r>
      <w:r>
        <w:rPr/>
        <w:t>debajo</w:t>
      </w:r>
      <w:r>
        <w:rPr>
          <w:spacing w:val="18"/>
        </w:rPr>
        <w:t> </w:t>
      </w:r>
      <w:r>
        <w:rPr/>
        <w:t>de</w:t>
      </w:r>
      <w:r>
        <w:rPr>
          <w:spacing w:val="21"/>
        </w:rPr>
        <w:t> </w:t>
      </w:r>
      <w:r>
        <w:rPr/>
        <w:t>la</w:t>
      </w:r>
      <w:r>
        <w:rPr>
          <w:spacing w:val="21"/>
        </w:rPr>
        <w:t> </w:t>
      </w:r>
      <w:r>
        <w:rPr/>
        <w:t>cifra</w:t>
      </w:r>
      <w:r>
        <w:rPr>
          <w:spacing w:val="21"/>
        </w:rPr>
        <w:t> </w:t>
      </w:r>
      <w:r>
        <w:rPr/>
        <w:t>registrada</w:t>
      </w:r>
      <w:r>
        <w:rPr>
          <w:spacing w:val="23"/>
        </w:rPr>
        <w:t> </w:t>
      </w:r>
      <w:r>
        <w:rPr/>
        <w:t>a</w:t>
      </w:r>
      <w:r>
        <w:rPr>
          <w:spacing w:val="18"/>
        </w:rPr>
        <w:t> </w:t>
      </w:r>
      <w:r>
        <w:rPr/>
        <w:t>septiembre</w:t>
      </w:r>
      <w:r>
        <w:rPr>
          <w:spacing w:val="18"/>
        </w:rPr>
        <w:t> </w:t>
      </w:r>
      <w:r>
        <w:rPr/>
        <w:t>de</w:t>
      </w:r>
      <w:r>
        <w:rPr>
          <w:spacing w:val="21"/>
        </w:rPr>
        <w:t> </w:t>
      </w:r>
      <w:r>
        <w:rPr/>
        <w:t>2008;</w:t>
      </w:r>
      <w:r>
        <w:rPr>
          <w:spacing w:val="21"/>
        </w:rPr>
        <w:t> </w:t>
      </w:r>
      <w:r>
        <w:rPr/>
        <w:t>siguió</w:t>
      </w:r>
      <w:r>
        <w:rPr>
          <w:spacing w:val="21"/>
        </w:rPr>
        <w:t> </w:t>
      </w:r>
      <w:r>
        <w:rPr/>
        <w:t>Chiapas,</w:t>
      </w:r>
      <w:r>
        <w:rPr>
          <w:spacing w:val="23"/>
        </w:rPr>
        <w:t> </w:t>
      </w:r>
      <w:r>
        <w:rPr/>
        <w:t>que</w:t>
      </w:r>
      <w:r>
        <w:rPr>
          <w:spacing w:val="18"/>
        </w:rPr>
        <w:t> </w:t>
      </w:r>
      <w:r>
        <w:rPr/>
        <w:t>con</w:t>
      </w:r>
    </w:p>
    <w:p>
      <w:pPr>
        <w:pStyle w:val="BodyText"/>
        <w:spacing w:line="331" w:lineRule="auto" w:before="7"/>
        <w:ind w:left="121" w:right="105"/>
        <w:jc w:val="both"/>
      </w:pPr>
      <w:r>
        <w:rPr/>
        <w:t>sólo 472.2 millones resintió una disminución equivalente a 24 por ciento, es decir, 149.3 millones de dólares menos</w:t>
      </w:r>
      <w:r>
        <w:rPr>
          <w:position w:val="11"/>
          <w:sz w:val="15"/>
        </w:rPr>
        <w:t>103</w:t>
      </w:r>
      <w:r>
        <w:rPr/>
        <w:t>.</w:t>
      </w:r>
    </w:p>
    <w:p>
      <w:pPr>
        <w:pStyle w:val="BodyText"/>
        <w:rPr>
          <w:sz w:val="20"/>
        </w:rPr>
      </w:pPr>
    </w:p>
    <w:p>
      <w:pPr>
        <w:pStyle w:val="BodyText"/>
        <w:spacing w:before="11"/>
        <w:rPr>
          <w:sz w:val="13"/>
        </w:rPr>
      </w:pPr>
      <w:r>
        <w:rPr/>
        <w:drawing>
          <wp:anchor distT="0" distB="0" distL="0" distR="0" allowOverlap="1" layoutInCell="1" locked="0" behindDoc="0" simplePos="0" relativeHeight="18232">
            <wp:simplePos x="0" y="0"/>
            <wp:positionH relativeFrom="page">
              <wp:posOffset>937260</wp:posOffset>
            </wp:positionH>
            <wp:positionV relativeFrom="paragraph">
              <wp:posOffset>126838</wp:posOffset>
            </wp:positionV>
            <wp:extent cx="5719270" cy="2725864"/>
            <wp:effectExtent l="0" t="0" r="0" b="0"/>
            <wp:wrapTopAndBottom/>
            <wp:docPr id="13" name="image397.png" descr=""/>
            <wp:cNvGraphicFramePr>
              <a:graphicFrameLocks noChangeAspect="1"/>
            </wp:cNvGraphicFramePr>
            <a:graphic>
              <a:graphicData uri="http://schemas.openxmlformats.org/drawingml/2006/picture">
                <pic:pic>
                  <pic:nvPicPr>
                    <pic:cNvPr id="14" name="image397.png"/>
                    <pic:cNvPicPr/>
                  </pic:nvPicPr>
                  <pic:blipFill>
                    <a:blip r:embed="rId523" cstate="print"/>
                    <a:stretch>
                      <a:fillRect/>
                    </a:stretch>
                  </pic:blipFill>
                  <pic:spPr>
                    <a:xfrm>
                      <a:off x="0" y="0"/>
                      <a:ext cx="5719270" cy="2725864"/>
                    </a:xfrm>
                    <a:prstGeom prst="rect">
                      <a:avLst/>
                    </a:prstGeom>
                  </pic:spPr>
                </pic:pic>
              </a:graphicData>
            </a:graphic>
          </wp:anchor>
        </w:drawing>
      </w:r>
    </w:p>
    <w:p>
      <w:pPr>
        <w:pStyle w:val="BodyText"/>
        <w:spacing w:before="8"/>
        <w:rPr>
          <w:sz w:val="24"/>
        </w:rPr>
      </w:pPr>
    </w:p>
    <w:p>
      <w:pPr>
        <w:pStyle w:val="BodyText"/>
        <w:ind w:left="2571" w:right="690"/>
      </w:pPr>
      <w:r>
        <w:rPr/>
        <w:t>Fuente: Banco de México, informe 2009.</w:t>
      </w:r>
    </w:p>
    <w:p>
      <w:pPr>
        <w:pStyle w:val="BodyText"/>
        <w:rPr>
          <w:sz w:val="20"/>
        </w:rPr>
      </w:pPr>
    </w:p>
    <w:p>
      <w:pPr>
        <w:pStyle w:val="BodyText"/>
        <w:rPr>
          <w:sz w:val="20"/>
        </w:rPr>
      </w:pPr>
    </w:p>
    <w:p>
      <w:pPr>
        <w:pStyle w:val="BodyText"/>
        <w:rPr>
          <w:sz w:val="20"/>
        </w:rPr>
      </w:pPr>
    </w:p>
    <w:p>
      <w:pPr>
        <w:pStyle w:val="BodyText"/>
        <w:rPr>
          <w:sz w:val="16"/>
        </w:rPr>
      </w:pPr>
      <w:r>
        <w:rPr/>
        <w:pict>
          <v:line style="position:absolute;mso-position-horizontal-relative:page;mso-position-vertical-relative:paragraph;z-index:18256;mso-wrap-distance-left:0;mso-wrap-distance-right:0" from="70.080002pt,11.545403pt" to="210.239999pt,11.545403pt" stroked="true" strokeweight=".72pt" strokecolor="#000000">
            <w10:wrap type="topAndBottom"/>
          </v:line>
        </w:pict>
      </w:r>
    </w:p>
    <w:p>
      <w:pPr>
        <w:spacing w:before="39"/>
        <w:ind w:left="121" w:right="690" w:firstLine="0"/>
        <w:jc w:val="left"/>
        <w:rPr>
          <w:sz w:val="19"/>
        </w:rPr>
      </w:pPr>
      <w:r>
        <w:rPr>
          <w:position w:val="10"/>
          <w:sz w:val="12"/>
        </w:rPr>
        <w:t>103  </w:t>
      </w:r>
      <w:r>
        <w:rPr>
          <w:sz w:val="19"/>
        </w:rPr>
        <w:t>Banco de México, septiembre-noviembre  2009.</w:t>
      </w:r>
    </w:p>
    <w:p>
      <w:pPr>
        <w:spacing w:after="0"/>
        <w:jc w:val="left"/>
        <w:rPr>
          <w:sz w:val="19"/>
        </w:rPr>
        <w:sectPr>
          <w:pgSz w:w="11900" w:h="16840"/>
          <w:pgMar w:header="0" w:footer="1679" w:top="1600" w:bottom="1860" w:left="1280" w:right="1280"/>
        </w:sectPr>
      </w:pPr>
    </w:p>
    <w:p>
      <w:pPr>
        <w:pStyle w:val="BodyText"/>
        <w:rPr>
          <w:sz w:val="20"/>
        </w:rPr>
      </w:pPr>
    </w:p>
    <w:p>
      <w:pPr>
        <w:pStyle w:val="BodyText"/>
        <w:spacing w:before="8"/>
        <w:rPr>
          <w:sz w:val="18"/>
        </w:rPr>
      </w:pPr>
    </w:p>
    <w:p>
      <w:pPr>
        <w:pStyle w:val="BodyText"/>
        <w:spacing w:line="364" w:lineRule="auto" w:before="74"/>
        <w:ind w:left="121" w:right="105"/>
        <w:jc w:val="both"/>
      </w:pPr>
      <w:r>
        <w:rPr/>
        <w:t>A su vez, la relación que existe entre la caída de las remesas y el incremento de la pobreza en México, se expresa en la siguiente</w:t>
      </w:r>
      <w:r>
        <w:rPr>
          <w:spacing w:val="56"/>
        </w:rPr>
        <w:t> </w:t>
      </w:r>
      <w:r>
        <w:rPr/>
        <w:t>cita:</w:t>
      </w:r>
    </w:p>
    <w:p>
      <w:pPr>
        <w:pStyle w:val="BodyText"/>
        <w:rPr>
          <w:sz w:val="22"/>
        </w:rPr>
      </w:pPr>
    </w:p>
    <w:p>
      <w:pPr>
        <w:pStyle w:val="BodyText"/>
        <w:spacing w:line="364" w:lineRule="auto" w:before="155"/>
        <w:ind w:left="121" w:right="102"/>
        <w:jc w:val="both"/>
      </w:pPr>
      <w:r>
        <w:rPr/>
        <w:t>De acuerdo con datos del Banco Mundial, los niveles actuales de pobreza en México, son similares a los registrados en los años 90. Alrededor de 53% de los casi 110  millones de habitantes están en una situación de pobreza por la profunda desigualdad regional y étnica, así como por las diferencias en cuanto al “acceso a la salud, a la educación y a servicios públicos de buena</w:t>
      </w:r>
      <w:r>
        <w:rPr>
          <w:spacing w:val="57"/>
        </w:rPr>
        <w:t> </w:t>
      </w:r>
      <w:r>
        <w:rPr/>
        <w:t>calidad”.</w:t>
      </w:r>
    </w:p>
    <w:p>
      <w:pPr>
        <w:pStyle w:val="BodyText"/>
        <w:rPr>
          <w:sz w:val="22"/>
        </w:rPr>
      </w:pPr>
    </w:p>
    <w:p>
      <w:pPr>
        <w:pStyle w:val="BodyText"/>
        <w:spacing w:line="364" w:lineRule="auto" w:before="155"/>
        <w:ind w:left="121" w:right="103"/>
        <w:jc w:val="both"/>
      </w:pPr>
      <w:r>
        <w:rPr/>
        <w:t>Además, cerca de 24% de la población es considerada “extremadamente pobre”, esto es, con un ingreso insuficiente incluso para una nutrición adecuada, lo que demuestra que una política de corte asistencialista no tiene la capacidad de modificar los niveles   de pobreza a menos que se acompañe de una política integral para el desarrollo, que genere los empleos en número y calidad suficientes que permitan a los  trabajadores llevar una vida digna. Con datos del Consejo Nacional de Población, se  ha  incrementado el número de hogares que reciben remesas. Para el año de 1992, 6.2% (270 mil 564), ubicados en localidades rurales, es decir, aquellas que tienen menos de   2 mil 500 habitantes, recibieron 35.1% del monto total de remesas. Y para el año  </w:t>
      </w:r>
      <w:r>
        <w:rPr>
          <w:spacing w:val="55"/>
        </w:rPr>
        <w:t> </w:t>
      </w:r>
      <w:r>
        <w:rPr/>
        <w:t>2006,</w:t>
      </w:r>
    </w:p>
    <w:p>
      <w:pPr>
        <w:pStyle w:val="BodyText"/>
        <w:spacing w:line="331" w:lineRule="auto" w:before="7"/>
        <w:ind w:left="121" w:right="107"/>
        <w:jc w:val="both"/>
      </w:pPr>
      <w:r>
        <w:rPr/>
        <w:t>estos hogares se incrementaron a 14.8% (867 mil 232) y recibieron 46.9% del monto total</w:t>
      </w:r>
      <w:r>
        <w:rPr>
          <w:position w:val="11"/>
          <w:sz w:val="15"/>
        </w:rPr>
        <w:t>104</w:t>
      </w:r>
      <w:r>
        <w:rPr/>
        <w:t>.</w:t>
      </w:r>
    </w:p>
    <w:p>
      <w:pPr>
        <w:pStyle w:val="BodyText"/>
        <w:spacing w:before="4"/>
        <w:rPr>
          <w:sz w:val="37"/>
        </w:rPr>
      </w:pPr>
    </w:p>
    <w:p>
      <w:pPr>
        <w:pStyle w:val="BodyText"/>
        <w:ind w:left="121"/>
        <w:jc w:val="both"/>
      </w:pPr>
      <w:r>
        <w:rPr/>
        <w:t>Si comparamos con las localidades urbanas, es decir, aquellas que tienen más de 2   mil</w:t>
      </w:r>
    </w:p>
    <w:p>
      <w:pPr>
        <w:pStyle w:val="BodyText"/>
        <w:spacing w:line="355" w:lineRule="auto" w:before="138"/>
        <w:ind w:left="121" w:right="104"/>
        <w:jc w:val="both"/>
      </w:pPr>
      <w:r>
        <w:rPr/>
        <w:t>500 habitantes, también los números son muy relevantes, pues 2.9% de los que recibieron remesas (389 mil 109) en 1992 habían percibido 64.9 por ciento del monto total de las remesas. Para 2006, los hogares se incrementaron a 4.8% (991 mil 526) y recibieron 53.1% del monto total de las  remesas</w:t>
      </w:r>
      <w:r>
        <w:rPr>
          <w:position w:val="11"/>
          <w:sz w:val="15"/>
        </w:rPr>
        <w:t>105</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3"/>
        </w:rPr>
      </w:pPr>
      <w:r>
        <w:rPr/>
        <w:pict>
          <v:line style="position:absolute;mso-position-horizontal-relative:page;mso-position-vertical-relative:paragraph;z-index:18280;mso-wrap-distance-left:0;mso-wrap-distance-right:0" from="70.080002pt,9.819615pt" to="210.239999pt,9.819615pt" stroked="true" strokeweight=".72pt" strokecolor="#000000">
            <w10:wrap type="topAndBottom"/>
          </v:line>
        </w:pict>
      </w:r>
    </w:p>
    <w:p>
      <w:pPr>
        <w:spacing w:line="239" w:lineRule="exact" w:before="39"/>
        <w:ind w:left="121" w:right="690" w:firstLine="0"/>
        <w:jc w:val="left"/>
        <w:rPr>
          <w:sz w:val="19"/>
        </w:rPr>
      </w:pPr>
      <w:r>
        <w:rPr>
          <w:position w:val="10"/>
          <w:sz w:val="12"/>
        </w:rPr>
        <w:t>104  </w:t>
      </w:r>
      <w:r>
        <w:rPr>
          <w:sz w:val="19"/>
        </w:rPr>
        <w:t>Aragonés Ana María. Diferencias Abismales. La Jornada 20 de junio de   2009.</w:t>
      </w:r>
    </w:p>
    <w:p>
      <w:pPr>
        <w:spacing w:line="239" w:lineRule="exact" w:before="0"/>
        <w:ind w:left="121" w:right="690" w:firstLine="0"/>
        <w:jc w:val="left"/>
        <w:rPr>
          <w:sz w:val="19"/>
        </w:rPr>
      </w:pPr>
      <w:r>
        <w:rPr>
          <w:w w:val="105"/>
          <w:position w:val="10"/>
          <w:sz w:val="12"/>
        </w:rPr>
        <w:t>105 </w:t>
      </w:r>
      <w:r>
        <w:rPr>
          <w:w w:val="105"/>
          <w:sz w:val="19"/>
        </w:rPr>
        <w:t>Op. cit. Aragonés.</w:t>
      </w:r>
    </w:p>
    <w:p>
      <w:pPr>
        <w:spacing w:after="0" w:line="239" w:lineRule="exact"/>
        <w:jc w:val="left"/>
        <w:rPr>
          <w:sz w:val="19"/>
        </w:rPr>
        <w:sectPr>
          <w:pgSz w:w="11900" w:h="16840"/>
          <w:pgMar w:header="0" w:footer="1679" w:top="1600" w:bottom="1860" w:left="1280" w:right="1280"/>
        </w:sectPr>
      </w:pPr>
    </w:p>
    <w:p>
      <w:pPr>
        <w:pStyle w:val="BodyText"/>
        <w:rPr>
          <w:sz w:val="20"/>
        </w:rPr>
      </w:pPr>
    </w:p>
    <w:p>
      <w:pPr>
        <w:pStyle w:val="BodyText"/>
        <w:spacing w:before="8"/>
        <w:rPr>
          <w:sz w:val="18"/>
        </w:rPr>
      </w:pPr>
    </w:p>
    <w:p>
      <w:pPr>
        <w:pStyle w:val="BodyText"/>
        <w:spacing w:line="364" w:lineRule="auto" w:before="74"/>
        <w:ind w:left="121" w:right="105"/>
        <w:jc w:val="both"/>
      </w:pPr>
      <w:r>
        <w:rPr/>
        <w:t>Sin duda alguna la caída de las remesas ha impactado en el incremento de la pobreza en el país, ya que ésta se ha incrementado de manera considerable durante los años   de 2008 y 2009, como lo muestran las cifras</w:t>
      </w:r>
      <w:r>
        <w:rPr>
          <w:spacing w:val="60"/>
        </w:rPr>
        <w:t> </w:t>
      </w:r>
      <w:r>
        <w:rPr/>
        <w:t>oficiales.</w:t>
      </w:r>
    </w:p>
    <w:p>
      <w:pPr>
        <w:pStyle w:val="BodyText"/>
        <w:rPr>
          <w:sz w:val="22"/>
        </w:rPr>
      </w:pPr>
    </w:p>
    <w:p>
      <w:pPr>
        <w:pStyle w:val="BodyText"/>
        <w:spacing w:line="364" w:lineRule="auto" w:before="155"/>
        <w:ind w:left="121" w:right="102"/>
        <w:jc w:val="both"/>
      </w:pPr>
      <w:r>
        <w:rPr/>
        <w:t>Recordemos el informe del CONEVAL (18 de julio de 2009): “de acuerdo con la información de la ENIGH 2008, en ese año, 50.6 millones de mexicanos eran pobres de patrimonio, es decir, no contaban con un ingreso suficiente para satisfacer sus necesidades de salud, de educación, de alimentación, de vivienda, de vestido y de transporte público, aun si dedicaran la totalidad de sus recursos económicos a ese propósito. Asimismo, 19.5 millones eran pobres alimentarios, es decir, quienes tienen ingresos insuficientes para adquirir una canasta básica de alimentos, incluso si los destinaran exclusivamente para ese fin. De los pobres alimentarios en 2008, 7.2  millones habitaban en zonas urbanas (localidades de 15 mil o más  habitantes),  mientras 12.2 millones residían en el área rural. Entre 2006 y 2008 aumentó la  incidencia de la pobreza de patrimonio (el porcentaje de personas pobres), la cual pasó de 42.6 a 47.4%; a su vez, la incidencia de la pobreza alimentaria aumentó de 13.8 a 18.2%. En términos absolutos, el incremento fue de 5.9 y 5.1 millones de personas, al pasar</w:t>
      </w:r>
      <w:r>
        <w:rPr>
          <w:spacing w:val="49"/>
        </w:rPr>
        <w:t> </w:t>
      </w:r>
      <w:r>
        <w:rPr/>
        <w:t>de</w:t>
      </w:r>
      <w:r>
        <w:rPr>
          <w:spacing w:val="47"/>
        </w:rPr>
        <w:t> </w:t>
      </w:r>
      <w:r>
        <w:rPr/>
        <w:t>44.7</w:t>
      </w:r>
      <w:r>
        <w:rPr>
          <w:spacing w:val="49"/>
        </w:rPr>
        <w:t> </w:t>
      </w:r>
      <w:r>
        <w:rPr/>
        <w:t>a</w:t>
      </w:r>
      <w:r>
        <w:rPr>
          <w:spacing w:val="47"/>
        </w:rPr>
        <w:t> </w:t>
      </w:r>
      <w:r>
        <w:rPr/>
        <w:t>50.6</w:t>
      </w:r>
      <w:r>
        <w:rPr>
          <w:spacing w:val="47"/>
        </w:rPr>
        <w:t> </w:t>
      </w:r>
      <w:r>
        <w:rPr/>
        <w:t>millones</w:t>
      </w:r>
      <w:r>
        <w:rPr>
          <w:spacing w:val="48"/>
        </w:rPr>
        <w:t> </w:t>
      </w:r>
      <w:r>
        <w:rPr/>
        <w:t>de</w:t>
      </w:r>
      <w:r>
        <w:rPr>
          <w:spacing w:val="47"/>
        </w:rPr>
        <w:t> </w:t>
      </w:r>
      <w:r>
        <w:rPr/>
        <w:t>personas</w:t>
      </w:r>
      <w:r>
        <w:rPr>
          <w:spacing w:val="48"/>
        </w:rPr>
        <w:t> </w:t>
      </w:r>
      <w:r>
        <w:rPr/>
        <w:t>y</w:t>
      </w:r>
      <w:r>
        <w:rPr>
          <w:spacing w:val="46"/>
        </w:rPr>
        <w:t> </w:t>
      </w:r>
      <w:r>
        <w:rPr/>
        <w:t>de</w:t>
      </w:r>
      <w:r>
        <w:rPr>
          <w:spacing w:val="47"/>
        </w:rPr>
        <w:t> </w:t>
      </w:r>
      <w:r>
        <w:rPr/>
        <w:t>14.4</w:t>
      </w:r>
      <w:r>
        <w:rPr>
          <w:spacing w:val="47"/>
        </w:rPr>
        <w:t> </w:t>
      </w:r>
      <w:r>
        <w:rPr/>
        <w:t>a</w:t>
      </w:r>
      <w:r>
        <w:rPr>
          <w:spacing w:val="47"/>
        </w:rPr>
        <w:t> </w:t>
      </w:r>
      <w:r>
        <w:rPr/>
        <w:t>19.5</w:t>
      </w:r>
      <w:r>
        <w:rPr>
          <w:spacing w:val="47"/>
        </w:rPr>
        <w:t> </w:t>
      </w:r>
      <w:r>
        <w:rPr/>
        <w:t>millones</w:t>
      </w:r>
      <w:r>
        <w:rPr>
          <w:spacing w:val="51"/>
        </w:rPr>
        <w:t> </w:t>
      </w:r>
      <w:r>
        <w:rPr/>
        <w:t>de</w:t>
      </w:r>
      <w:r>
        <w:rPr>
          <w:spacing w:val="49"/>
        </w:rPr>
        <w:t> </w:t>
      </w:r>
      <w:r>
        <w:rPr/>
        <w:t>personas,</w:t>
      </w:r>
    </w:p>
    <w:p>
      <w:pPr>
        <w:pStyle w:val="BodyText"/>
        <w:spacing w:line="272" w:lineRule="exact"/>
        <w:ind w:left="121"/>
        <w:jc w:val="both"/>
      </w:pPr>
      <w:r>
        <w:rPr/>
        <w:t>respectivamente”</w:t>
      </w:r>
      <w:r>
        <w:rPr>
          <w:position w:val="11"/>
          <w:sz w:val="15"/>
        </w:rPr>
        <w:t>106</w:t>
      </w:r>
      <w:r>
        <w:rPr/>
        <w:t>.</w:t>
      </w:r>
    </w:p>
    <w:p>
      <w:pPr>
        <w:pStyle w:val="BodyText"/>
        <w:rPr>
          <w:sz w:val="28"/>
        </w:rPr>
      </w:pPr>
    </w:p>
    <w:p>
      <w:pPr>
        <w:pStyle w:val="BodyText"/>
        <w:spacing w:line="364" w:lineRule="auto" w:before="220"/>
        <w:ind w:left="121" w:right="105"/>
        <w:jc w:val="both"/>
      </w:pPr>
      <w:r>
        <w:rPr/>
        <w:t>Así mismo, existe una estrecha relación entre el ingreso de las remesas en el país y la agudización de la crisis agrícola, como se observa en los siguientes  párrafos:</w:t>
      </w:r>
    </w:p>
    <w:p>
      <w:pPr>
        <w:pStyle w:val="BodyText"/>
        <w:rPr>
          <w:sz w:val="22"/>
        </w:rPr>
      </w:pPr>
    </w:p>
    <w:p>
      <w:pPr>
        <w:pStyle w:val="BodyText"/>
        <w:spacing w:line="364" w:lineRule="auto" w:before="155"/>
        <w:ind w:left="121" w:right="105"/>
        <w:jc w:val="both"/>
      </w:pPr>
      <w:r>
        <w:rPr/>
        <w:t>Es paradójico, pero los casi 10 mil millones de dólares que anualmente llegan a las  zonas rurales más marginadas de México, por concepto de remesas de los migrantes,  no están contribuyendo al desarrollo agrícola de las comunidades –más bien inciden en su contra, y aunque ese dinero está mejorando la seguridad de las familias y  su progreso</w:t>
      </w:r>
      <w:r>
        <w:rPr>
          <w:spacing w:val="22"/>
        </w:rPr>
        <w:t> </w:t>
      </w:r>
      <w:r>
        <w:rPr/>
        <w:t>en</w:t>
      </w:r>
      <w:r>
        <w:rPr>
          <w:spacing w:val="22"/>
        </w:rPr>
        <w:t> </w:t>
      </w:r>
      <w:r>
        <w:rPr/>
        <w:t>términos</w:t>
      </w:r>
      <w:r>
        <w:rPr>
          <w:spacing w:val="25"/>
        </w:rPr>
        <w:t> </w:t>
      </w:r>
      <w:r>
        <w:rPr/>
        <w:t>de</w:t>
      </w:r>
      <w:r>
        <w:rPr>
          <w:spacing w:val="24"/>
        </w:rPr>
        <w:t> </w:t>
      </w:r>
      <w:r>
        <w:rPr/>
        <w:t>educación,</w:t>
      </w:r>
      <w:r>
        <w:rPr>
          <w:spacing w:val="24"/>
        </w:rPr>
        <w:t> </w:t>
      </w:r>
      <w:r>
        <w:rPr/>
        <w:t>alimentación</w:t>
      </w:r>
      <w:r>
        <w:rPr>
          <w:spacing w:val="24"/>
        </w:rPr>
        <w:t> </w:t>
      </w:r>
      <w:r>
        <w:rPr/>
        <w:t>y</w:t>
      </w:r>
      <w:r>
        <w:rPr>
          <w:spacing w:val="19"/>
        </w:rPr>
        <w:t> </w:t>
      </w:r>
      <w:r>
        <w:rPr/>
        <w:t>salud,</w:t>
      </w:r>
      <w:r>
        <w:rPr>
          <w:spacing w:val="24"/>
        </w:rPr>
        <w:t> </w:t>
      </w:r>
      <w:r>
        <w:rPr/>
        <w:t>la</w:t>
      </w:r>
      <w:r>
        <w:rPr>
          <w:spacing w:val="24"/>
        </w:rPr>
        <w:t> </w:t>
      </w:r>
      <w:r>
        <w:rPr/>
        <w:t>principal</w:t>
      </w:r>
      <w:r>
        <w:rPr>
          <w:spacing w:val="25"/>
        </w:rPr>
        <w:t> </w:t>
      </w:r>
      <w:r>
        <w:rPr/>
        <w:t>estrategia</w:t>
      </w:r>
      <w:r>
        <w:rPr>
          <w:spacing w:val="18"/>
        </w:rPr>
        <w:t> </w:t>
      </w:r>
      <w:r>
        <w:rPr/>
        <w:t>de</w:t>
      </w:r>
      <w:r>
        <w:rPr>
          <w:spacing w:val="18"/>
        </w:rPr>
        <w:t> </w:t>
      </w:r>
      <w:r>
        <w:rPr/>
        <w:t>los</w:t>
      </w:r>
    </w:p>
    <w:p>
      <w:pPr>
        <w:pStyle w:val="BodyText"/>
        <w:rPr>
          <w:sz w:val="20"/>
        </w:rPr>
      </w:pPr>
    </w:p>
    <w:p>
      <w:pPr>
        <w:pStyle w:val="BodyText"/>
        <w:rPr>
          <w:sz w:val="20"/>
        </w:rPr>
      </w:pPr>
    </w:p>
    <w:p>
      <w:pPr>
        <w:pStyle w:val="BodyText"/>
        <w:rPr>
          <w:sz w:val="20"/>
        </w:rPr>
      </w:pPr>
    </w:p>
    <w:p>
      <w:pPr>
        <w:pStyle w:val="BodyText"/>
        <w:spacing w:before="4"/>
      </w:pPr>
      <w:r>
        <w:rPr/>
        <w:pict>
          <v:line style="position:absolute;mso-position-horizontal-relative:page;mso-position-vertical-relative:paragraph;z-index:18304;mso-wrap-distance-left:0;mso-wrap-distance-right:0" from="70.080002pt,15.784673pt" to="210.239999pt,15.784673pt" stroked="true" strokeweight=".72pt" strokecolor="#000000">
            <w10:wrap type="topAndBottom"/>
          </v:line>
        </w:pict>
      </w:r>
    </w:p>
    <w:p>
      <w:pPr>
        <w:spacing w:before="39"/>
        <w:ind w:left="121" w:right="690" w:firstLine="0"/>
        <w:jc w:val="left"/>
        <w:rPr>
          <w:sz w:val="19"/>
        </w:rPr>
      </w:pPr>
      <w:r>
        <w:rPr>
          <w:position w:val="10"/>
          <w:sz w:val="12"/>
        </w:rPr>
        <w:t>106  </w:t>
      </w:r>
      <w:r>
        <w:rPr>
          <w:sz w:val="19"/>
        </w:rPr>
        <w:t>Coneval, 18 de julio de 2009.</w:t>
      </w:r>
    </w:p>
    <w:p>
      <w:pPr>
        <w:spacing w:after="0"/>
        <w:jc w:val="left"/>
        <w:rPr>
          <w:sz w:val="19"/>
        </w:rPr>
        <w:sectPr>
          <w:pgSz w:w="11900" w:h="16840"/>
          <w:pgMar w:header="0" w:footer="1679" w:top="1600" w:bottom="1860" w:left="1280" w:right="1280"/>
        </w:sectPr>
      </w:pPr>
    </w:p>
    <w:p>
      <w:pPr>
        <w:pStyle w:val="BodyText"/>
        <w:rPr>
          <w:sz w:val="20"/>
        </w:rPr>
      </w:pPr>
    </w:p>
    <w:p>
      <w:pPr>
        <w:pStyle w:val="BodyText"/>
        <w:spacing w:before="8"/>
        <w:rPr>
          <w:sz w:val="18"/>
        </w:rPr>
      </w:pPr>
    </w:p>
    <w:p>
      <w:pPr>
        <w:pStyle w:val="BodyText"/>
        <w:spacing w:line="331" w:lineRule="auto" w:before="74"/>
        <w:ind w:left="121" w:right="104"/>
        <w:jc w:val="both"/>
      </w:pPr>
      <w:r>
        <w:rPr/>
        <w:t>campesinos es el ahorro, la acumulación de recursos para enfrentar un futuro incierto, y muy poco se invierte en actividades</w:t>
      </w:r>
      <w:r>
        <w:rPr>
          <w:spacing w:val="61"/>
        </w:rPr>
        <w:t> </w:t>
      </w:r>
      <w:r>
        <w:rPr/>
        <w:t>productivas</w:t>
      </w:r>
      <w:r>
        <w:rPr>
          <w:position w:val="11"/>
          <w:sz w:val="15"/>
        </w:rPr>
        <w:t>107</w:t>
      </w:r>
      <w:r>
        <w:rPr/>
        <w:t>.</w:t>
      </w:r>
    </w:p>
    <w:p>
      <w:pPr>
        <w:pStyle w:val="BodyText"/>
        <w:spacing w:before="4"/>
        <w:rPr>
          <w:sz w:val="37"/>
        </w:rPr>
      </w:pPr>
    </w:p>
    <w:p>
      <w:pPr>
        <w:pStyle w:val="BodyText"/>
        <w:spacing w:line="360" w:lineRule="auto"/>
        <w:ind w:left="121" w:right="105"/>
        <w:jc w:val="both"/>
      </w:pPr>
      <w:r>
        <w:rPr/>
        <w:t>La estadística muestra que en 2007 México captó 25 mil millones de dólares de  remesas (con 70 millones de operaciones de envíos, cada uno de más de 350 dólares  en promedio). De ese dinero, 40% llegó a zonas rurales marginadas, donde sólo 6% de la población tiene acceso a servicios financieros; el resto cuenta con pocas opciones  más allá de guardar el dinero bajo el colchón, o de adquirir activos tales como casas o terrenos</w:t>
      </w:r>
      <w:r>
        <w:rPr>
          <w:position w:val="11"/>
          <w:sz w:val="15"/>
        </w:rPr>
        <w:t>108</w:t>
      </w:r>
      <w:r>
        <w:rPr/>
        <w:t>.</w:t>
      </w:r>
    </w:p>
    <w:p>
      <w:pPr>
        <w:pStyle w:val="BodyText"/>
        <w:rPr>
          <w:sz w:val="28"/>
        </w:rPr>
      </w:pPr>
    </w:p>
    <w:p>
      <w:pPr>
        <w:pStyle w:val="BodyText"/>
        <w:spacing w:before="1"/>
        <w:rPr>
          <w:sz w:val="40"/>
        </w:rPr>
      </w:pPr>
    </w:p>
    <w:p>
      <w:pPr>
        <w:pStyle w:val="BodyText"/>
        <w:spacing w:line="364" w:lineRule="auto"/>
        <w:ind w:left="121" w:right="105"/>
        <w:jc w:val="both"/>
      </w:pPr>
      <w:r>
        <w:rPr/>
        <w:t>En las comunidades que migran, el excedente monetario genera inflación, y eso daña a las familias donde no hay migrantes y a comunidades vecinas porque aumenta el costo de la mano de obra, “pues la gente compara y dice prefiero trabajar en Estados Unidos (EU) y ganar en dos meses lo que aquí obtengo en un año”. La situación desincentiva    el cultivo agrícola y las familias siembran menos superficie (tan sólo lo que pueden trabajar  ellas  mismas,  o  lo  que  logra  la  esposa  del  migrante  si  puede     </w:t>
      </w:r>
      <w:r>
        <w:rPr>
          <w:spacing w:val="6"/>
        </w:rPr>
        <w:t> </w:t>
      </w:r>
      <w:r>
        <w:rPr/>
        <w:t>contratar</w:t>
      </w:r>
    </w:p>
    <w:p>
      <w:pPr>
        <w:pStyle w:val="BodyText"/>
        <w:spacing w:line="270" w:lineRule="exact"/>
        <w:ind w:left="121"/>
        <w:jc w:val="both"/>
      </w:pPr>
      <w:r>
        <w:rPr/>
        <w:t>jornaleros)</w:t>
      </w:r>
      <w:r>
        <w:rPr>
          <w:position w:val="11"/>
          <w:sz w:val="15"/>
        </w:rPr>
        <w:t>109</w:t>
      </w:r>
      <w:r>
        <w:rPr/>
        <w:t>.</w:t>
      </w:r>
    </w:p>
    <w:p>
      <w:pPr>
        <w:pStyle w:val="BodyText"/>
        <w:rPr>
          <w:sz w:val="28"/>
        </w:rPr>
      </w:pPr>
    </w:p>
    <w:p>
      <w:pPr>
        <w:pStyle w:val="BodyText"/>
        <w:rPr>
          <w:sz w:val="28"/>
        </w:rPr>
      </w:pPr>
    </w:p>
    <w:p>
      <w:pPr>
        <w:pStyle w:val="BodyText"/>
        <w:spacing w:before="10"/>
        <w:rPr>
          <w:sz w:val="24"/>
        </w:rPr>
      </w:pPr>
    </w:p>
    <w:p>
      <w:pPr>
        <w:pStyle w:val="BodyText"/>
        <w:spacing w:line="364" w:lineRule="auto" w:before="1"/>
        <w:ind w:left="121" w:right="105"/>
        <w:jc w:val="both"/>
      </w:pPr>
      <w:r>
        <w:rPr/>
        <w:t>Vemos que son los viejos los que quieren seguir financiando la producción de maíz, del frijol; los jóvenes migrantes mandan dinero y no están de acuerdo en que se utilice para el campo. Es previsible que, con el cambio generacional, la agricultura se vaya a desplomar. Los migrantes que regresan dan la espalda al campo y realizan inversiones en servicios, pequeño comercio, incluso invernaderos, pues quieren replicar lo  que vieron en EU.</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r>
        <w:rPr/>
        <w:pict>
          <v:line style="position:absolute;mso-position-horizontal-relative:page;mso-position-vertical-relative:paragraph;z-index:18328;mso-wrap-distance-left:0;mso-wrap-distance-right:0" from="70.080002pt,12.385633pt" to="210.239999pt,12.385633pt" stroked="true" strokeweight=".6pt" strokecolor="#000000">
            <w10:wrap type="topAndBottom"/>
          </v:line>
        </w:pict>
      </w:r>
    </w:p>
    <w:p>
      <w:pPr>
        <w:spacing w:line="247" w:lineRule="auto" w:before="39"/>
        <w:ind w:left="121" w:right="690" w:firstLine="0"/>
        <w:jc w:val="left"/>
        <w:rPr>
          <w:sz w:val="19"/>
        </w:rPr>
      </w:pPr>
      <w:r>
        <w:rPr>
          <w:position w:val="10"/>
          <w:sz w:val="12"/>
        </w:rPr>
        <w:t>107 </w:t>
      </w:r>
      <w:r>
        <w:rPr>
          <w:sz w:val="19"/>
        </w:rPr>
        <w:t>Rudiño Lourdes Edith, Remesas: Consumo y ahorro, no inversión. La Jornada del Campo, 12 de febrero de 2008.</w:t>
      </w:r>
    </w:p>
    <w:p>
      <w:pPr>
        <w:spacing w:line="201" w:lineRule="exact" w:before="0"/>
        <w:ind w:left="121" w:right="690" w:firstLine="0"/>
        <w:jc w:val="left"/>
        <w:rPr>
          <w:sz w:val="19"/>
        </w:rPr>
      </w:pPr>
      <w:r>
        <w:rPr>
          <w:w w:val="105"/>
          <w:position w:val="10"/>
          <w:sz w:val="12"/>
        </w:rPr>
        <w:t>108 </w:t>
      </w:r>
      <w:r>
        <w:rPr>
          <w:w w:val="105"/>
          <w:sz w:val="19"/>
        </w:rPr>
        <w:t>Op cit. Rudiño.</w:t>
      </w:r>
    </w:p>
    <w:p>
      <w:pPr>
        <w:spacing w:line="239" w:lineRule="exact" w:before="0"/>
        <w:ind w:left="121" w:right="690" w:firstLine="0"/>
        <w:jc w:val="left"/>
        <w:rPr>
          <w:sz w:val="19"/>
        </w:rPr>
      </w:pPr>
      <w:r>
        <w:rPr>
          <w:w w:val="105"/>
          <w:position w:val="10"/>
          <w:sz w:val="12"/>
        </w:rPr>
        <w:t>109 </w:t>
      </w:r>
      <w:r>
        <w:rPr>
          <w:w w:val="105"/>
          <w:sz w:val="19"/>
        </w:rPr>
        <w:t>OP cit. Rudiño.</w:t>
      </w:r>
    </w:p>
    <w:p>
      <w:pPr>
        <w:spacing w:after="0" w:line="239" w:lineRule="exact"/>
        <w:jc w:val="left"/>
        <w:rPr>
          <w:sz w:val="19"/>
        </w:rPr>
        <w:sectPr>
          <w:footerReference w:type="default" r:id="rId524"/>
          <w:pgSz w:w="11900" w:h="16840"/>
          <w:pgMar w:footer="1679" w:header="0" w:top="1600" w:bottom="1860" w:left="1280" w:right="1280"/>
          <w:pgNumType w:start="380"/>
        </w:sectPr>
      </w:pPr>
    </w:p>
    <w:p>
      <w:pPr>
        <w:pStyle w:val="BodyText"/>
        <w:rPr>
          <w:sz w:val="20"/>
        </w:rPr>
      </w:pPr>
    </w:p>
    <w:p>
      <w:pPr>
        <w:pStyle w:val="BodyText"/>
        <w:spacing w:before="4"/>
        <w:rPr>
          <w:sz w:val="19"/>
        </w:rPr>
      </w:pPr>
    </w:p>
    <w:p>
      <w:pPr>
        <w:pStyle w:val="Heading2"/>
        <w:numPr>
          <w:ilvl w:val="0"/>
          <w:numId w:val="31"/>
        </w:numPr>
        <w:tabs>
          <w:tab w:pos="568" w:val="left" w:leader="none"/>
        </w:tabs>
        <w:spacing w:line="240" w:lineRule="auto" w:before="61" w:after="0"/>
        <w:ind w:left="567" w:right="0" w:hanging="466"/>
        <w:jc w:val="both"/>
      </w:pPr>
      <w:r>
        <w:rPr/>
        <w:t>CONCLUSIONES</w:t>
      </w:r>
    </w:p>
    <w:p>
      <w:pPr>
        <w:pStyle w:val="BodyText"/>
        <w:spacing w:before="10"/>
        <w:rPr>
          <w:b/>
          <w:sz w:val="32"/>
        </w:rPr>
      </w:pPr>
    </w:p>
    <w:p>
      <w:pPr>
        <w:pStyle w:val="BodyText"/>
        <w:spacing w:line="364" w:lineRule="auto"/>
        <w:ind w:left="101" w:right="105"/>
        <w:jc w:val="both"/>
      </w:pPr>
      <w:r>
        <w:rPr/>
        <w:t>La crisis del capitalismo internacional iniciada en el segundo semestre del 2008 que impactó principalmente a la economía estadounidense, ha traído como resultado un profundo desempleo en la nación más rica del mundo que alcanza las cifras del 10 por ciento, prácticamente el doble del desempleo que existía en ese país durante los años del ciclo de expansión económica de 2002 a</w:t>
      </w:r>
      <w:r>
        <w:rPr>
          <w:spacing w:val="59"/>
        </w:rPr>
        <w:t> </w:t>
      </w:r>
      <w:r>
        <w:rPr/>
        <w:t>2007.</w:t>
      </w:r>
    </w:p>
    <w:p>
      <w:pPr>
        <w:pStyle w:val="BodyText"/>
        <w:spacing w:before="4"/>
        <w:rPr>
          <w:sz w:val="17"/>
        </w:rPr>
      </w:pPr>
    </w:p>
    <w:p>
      <w:pPr>
        <w:pStyle w:val="BodyText"/>
        <w:spacing w:line="364" w:lineRule="auto"/>
        <w:ind w:left="101" w:right="104"/>
        <w:jc w:val="both"/>
      </w:pPr>
      <w:r>
        <w:rPr/>
        <w:t>A su vez, los niveles de desempleo son superiores en la población de origen latina, el cual se estima en aproximadamente 16% y de manera particular en los trabadores migrantes indocumentados, debido a la cantidad de obreros que laboraban en  la industria de la construcción, sin duda alguna la más golpeada por la actual crisis económica.</w:t>
      </w:r>
    </w:p>
    <w:p>
      <w:pPr>
        <w:pStyle w:val="BodyText"/>
        <w:rPr>
          <w:sz w:val="22"/>
        </w:rPr>
      </w:pPr>
    </w:p>
    <w:p>
      <w:pPr>
        <w:pStyle w:val="BodyText"/>
        <w:rPr>
          <w:sz w:val="22"/>
        </w:rPr>
      </w:pPr>
    </w:p>
    <w:p>
      <w:pPr>
        <w:pStyle w:val="BodyText"/>
        <w:spacing w:before="3"/>
        <w:rPr>
          <w:sz w:val="25"/>
        </w:rPr>
      </w:pPr>
    </w:p>
    <w:p>
      <w:pPr>
        <w:pStyle w:val="BodyText"/>
        <w:spacing w:line="364" w:lineRule="auto"/>
        <w:ind w:left="101" w:right="105"/>
        <w:jc w:val="both"/>
      </w:pPr>
      <w:r>
        <w:rPr/>
        <w:t>El desempleo en los trabajadores migrantes y con ello la reducción de sus ingresos ha traído como resultado la caída de las remesas o migradólares que han servido de sustento a miles de familias mexicanas que utilizan dichos ingresos para satisfacer sus necesidades básicas, de tal manera que, en la medida en que las familias dejan de recibir los migradólares, se integran a la población que vive en los niveles de pobreza reconocidos por los organismos internacionales y </w:t>
      </w:r>
      <w:r>
        <w:rPr>
          <w:spacing w:val="5"/>
        </w:rPr>
        <w:t> </w:t>
      </w:r>
      <w:r>
        <w:rPr/>
        <w:t>nacionales.</w:t>
      </w:r>
    </w:p>
    <w:p>
      <w:pPr>
        <w:pStyle w:val="BodyText"/>
        <w:spacing w:before="4"/>
        <w:rPr>
          <w:sz w:val="17"/>
        </w:rPr>
      </w:pPr>
    </w:p>
    <w:p>
      <w:pPr>
        <w:pStyle w:val="BodyText"/>
        <w:spacing w:line="364" w:lineRule="auto"/>
        <w:ind w:left="101" w:right="104"/>
        <w:jc w:val="both"/>
      </w:pPr>
      <w:r>
        <w:rPr/>
        <w:t>Aparentemente, el incremento de la pobreza en México es resultado de que las familias de los migrantes dejan de recibir los migradólares. Es decir, se explica por factores externos, como lo repiten de manera irresponsable los voceros de la clase gobernante del país. Por el contrario, un análisis crítico del incremento de la pobreza en México demuestra que ésta es resultado de factores internos, principalmente se debe a la incapacidad del capitalismo del país para generar empleos remunerados que eviten la exportación de mano de obra desempleada a Estados Unidos, pues resulta claro que el vecino país del norte utiliza esta mano de obra en función de la demanda,  y ante la  crisis actual, millones de migrantes mexicanos y centroamericanos  se  han  transformado en mano de obra superflua para la nación más rica del </w:t>
      </w:r>
      <w:r>
        <w:rPr>
          <w:spacing w:val="20"/>
        </w:rPr>
        <w:t> </w:t>
      </w:r>
      <w:r>
        <w:rPr/>
        <w:t>mundo.</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4"/>
        <w:rPr>
          <w:sz w:val="19"/>
        </w:rPr>
      </w:pPr>
    </w:p>
    <w:p>
      <w:pPr>
        <w:pStyle w:val="Heading2"/>
        <w:numPr>
          <w:ilvl w:val="0"/>
          <w:numId w:val="31"/>
        </w:numPr>
        <w:tabs>
          <w:tab w:pos="481" w:val="left" w:leader="none"/>
        </w:tabs>
        <w:spacing w:line="240" w:lineRule="auto" w:before="61" w:after="0"/>
        <w:ind w:left="480" w:right="0" w:hanging="379"/>
        <w:jc w:val="both"/>
      </w:pPr>
      <w:r>
        <w:rPr/>
        <w:t>REFERENCIAS</w:t>
      </w:r>
      <w:r>
        <w:rPr>
          <w:spacing w:val="9"/>
        </w:rPr>
        <w:t> </w:t>
      </w:r>
      <w:r>
        <w:rPr/>
        <w:t>BIBLIOGRÁFICAS</w:t>
      </w:r>
    </w:p>
    <w:p>
      <w:pPr>
        <w:pStyle w:val="BodyText"/>
        <w:spacing w:before="10"/>
        <w:rPr>
          <w:b/>
          <w:sz w:val="32"/>
        </w:rPr>
      </w:pPr>
    </w:p>
    <w:p>
      <w:pPr>
        <w:pStyle w:val="BodyText"/>
        <w:spacing w:line="367" w:lineRule="auto"/>
        <w:ind w:left="101" w:right="102"/>
      </w:pPr>
      <w:r>
        <w:rPr/>
        <w:t>Alvina G., R. y R. Torres. 2004. Migración y el impacto de las remesas en la Economía Nacional. En: Análisis Económico, UAM A. número 41,  México.</w:t>
      </w:r>
    </w:p>
    <w:p>
      <w:pPr>
        <w:pStyle w:val="BodyText"/>
        <w:spacing w:before="197"/>
        <w:ind w:left="101"/>
        <w:jc w:val="both"/>
      </w:pPr>
      <w:r>
        <w:rPr/>
        <w:t>Aragonés,  A. M. 2009. Diferencias Abismales. La Jornada 20 de junio de  2009.</w:t>
      </w:r>
    </w:p>
    <w:p>
      <w:pPr>
        <w:pStyle w:val="BodyText"/>
        <w:spacing w:before="8"/>
        <w:rPr>
          <w:sz w:val="28"/>
        </w:rPr>
      </w:pPr>
    </w:p>
    <w:p>
      <w:pPr>
        <w:pStyle w:val="BodyText"/>
        <w:spacing w:line="364" w:lineRule="auto"/>
        <w:ind w:left="101" w:right="102"/>
      </w:pPr>
      <w:r>
        <w:rPr/>
        <w:t>Levine, E. 1996. Los mexicanos que migran a Estado Unidos: costos y beneficios. En Problemas del Desarrollo, número 104, Edit. UNAM,  México.</w:t>
      </w:r>
    </w:p>
    <w:p>
      <w:pPr>
        <w:pStyle w:val="BodyText"/>
        <w:spacing w:before="6"/>
        <w:rPr>
          <w:sz w:val="17"/>
        </w:rPr>
      </w:pPr>
    </w:p>
    <w:p>
      <w:pPr>
        <w:pStyle w:val="BodyText"/>
        <w:spacing w:line="364" w:lineRule="auto"/>
        <w:ind w:left="101" w:right="103"/>
        <w:jc w:val="both"/>
      </w:pPr>
      <w:r>
        <w:rPr/>
        <w:t>Peña L., A. 2000. Los trabajadores mexicanos en Estados Unidos, recurso estratégico para el mercado laboral estadounidense. En: Nuevas Fronteras del Siglo XXI, Edit. UNAM, México.</w:t>
      </w:r>
    </w:p>
    <w:p>
      <w:pPr>
        <w:pStyle w:val="BodyText"/>
        <w:spacing w:before="4"/>
        <w:rPr>
          <w:sz w:val="17"/>
        </w:rPr>
      </w:pPr>
    </w:p>
    <w:p>
      <w:pPr>
        <w:pStyle w:val="BodyText"/>
        <w:spacing w:line="364" w:lineRule="auto"/>
        <w:ind w:left="101" w:right="318"/>
      </w:pPr>
      <w:r>
        <w:rPr/>
        <w:t>Rudiño, L. E. 2008. Remesas: consumo y ahorro, no inversión. La Jornada del Campo, 12 de febrero de 2008.</w:t>
      </w:r>
    </w:p>
    <w:p>
      <w:pPr>
        <w:pStyle w:val="BodyText"/>
        <w:spacing w:before="4"/>
        <w:rPr>
          <w:sz w:val="17"/>
        </w:rPr>
      </w:pPr>
    </w:p>
    <w:p>
      <w:pPr>
        <w:pStyle w:val="BodyText"/>
        <w:spacing w:line="542" w:lineRule="auto"/>
        <w:ind w:left="101" w:right="3864"/>
      </w:pPr>
      <w:r>
        <w:rPr/>
        <w:t>Banco de México, septiembre-noviembre 2009. Banco Mundial 2006.</w:t>
      </w:r>
    </w:p>
    <w:p>
      <w:pPr>
        <w:pStyle w:val="BodyText"/>
        <w:spacing w:before="7"/>
        <w:ind w:left="101"/>
        <w:jc w:val="both"/>
      </w:pPr>
      <w:r>
        <w:rPr/>
        <w:t>Coneval, 18 de julio de 2009.</w:t>
      </w:r>
    </w:p>
    <w:p>
      <w:pPr>
        <w:pStyle w:val="BodyText"/>
        <w:spacing w:line="590" w:lineRule="atLeast" w:before="10"/>
        <w:ind w:left="101" w:right="2233"/>
      </w:pPr>
      <w:r>
        <w:rPr/>
        <w:t>Durand, J. Los Migradólares. La Jornada 22 de noviembre de 2009. Durand, J. Migración a la Baja. La Jornada 15 de marzo de  2009.</w:t>
      </w:r>
    </w:p>
    <w:p>
      <w:pPr>
        <w:pStyle w:val="BodyText"/>
        <w:spacing w:before="138"/>
        <w:ind w:left="101"/>
        <w:jc w:val="both"/>
      </w:pPr>
      <w:r>
        <w:rPr/>
        <w:t>Durand, J. Punto de Saturación. La Jornada 15 de octubre de  2009.</w:t>
      </w:r>
    </w:p>
    <w:p>
      <w:pPr>
        <w:pStyle w:val="BodyText"/>
        <w:spacing w:before="8"/>
        <w:rPr>
          <w:sz w:val="28"/>
        </w:rPr>
      </w:pPr>
    </w:p>
    <w:p>
      <w:pPr>
        <w:pStyle w:val="BodyText"/>
        <w:ind w:left="101"/>
        <w:jc w:val="both"/>
      </w:pPr>
      <w:r>
        <w:rPr/>
        <w:t>Encuesta Nacional de Ingresos del INEGI, noviembre de  2009.</w:t>
      </w:r>
    </w:p>
    <w:p>
      <w:pPr>
        <w:pStyle w:val="BodyText"/>
        <w:spacing w:before="141"/>
        <w:ind w:left="101"/>
        <w:jc w:val="both"/>
      </w:pPr>
      <w:r>
        <w:rPr/>
        <w:t>Informe del  Sistema Económico para América Latina  y el Caribe,  2009.</w:t>
      </w:r>
    </w:p>
    <w:p>
      <w:pPr>
        <w:spacing w:after="0"/>
        <w:jc w:val="both"/>
        <w:sectPr>
          <w:pgSz w:w="11900" w:h="16840"/>
          <w:pgMar w:header="0" w:footer="1679" w:top="1600" w:bottom="1860" w:left="1300" w:right="1280"/>
        </w:sectPr>
      </w:pPr>
    </w:p>
    <w:p>
      <w:pPr>
        <w:pStyle w:val="BodyText"/>
        <w:rPr>
          <w:sz w:val="20"/>
        </w:rPr>
      </w:pPr>
    </w:p>
    <w:p>
      <w:pPr>
        <w:pStyle w:val="BodyText"/>
        <w:spacing w:before="6"/>
        <w:rPr>
          <w:sz w:val="19"/>
        </w:rPr>
      </w:pPr>
    </w:p>
    <w:p>
      <w:pPr>
        <w:pStyle w:val="Heading1"/>
        <w:numPr>
          <w:ilvl w:val="3"/>
          <w:numId w:val="28"/>
        </w:numPr>
        <w:tabs>
          <w:tab w:pos="745" w:val="left" w:leader="none"/>
        </w:tabs>
        <w:spacing w:line="362" w:lineRule="auto" w:before="55" w:after="0"/>
        <w:ind w:left="2777" w:right="165" w:hanging="2618"/>
        <w:jc w:val="left"/>
      </w:pPr>
      <w:bookmarkStart w:name="_TOC_250000" w:id="3"/>
      <w:r>
        <w:rPr/>
        <w:t>EDUCACIÓN Y EMIGRACIÓN INTERNACIONAL EN AMAYUCA,</w:t>
      </w:r>
      <w:r>
        <w:rPr>
          <w:spacing w:val="-2"/>
        </w:rPr>
        <w:t> </w:t>
      </w:r>
      <w:bookmarkEnd w:id="3"/>
      <w:r>
        <w:rPr/>
        <w:t>MORELOS</w:t>
      </w:r>
    </w:p>
    <w:p>
      <w:pPr>
        <w:pStyle w:val="Heading4"/>
        <w:spacing w:before="199"/>
        <w:ind w:left="345" w:right="351"/>
        <w:jc w:val="center"/>
      </w:pPr>
      <w:r>
        <w:rPr/>
        <w:t>Gerónimo Barrios Puente</w:t>
      </w:r>
    </w:p>
    <w:p>
      <w:pPr>
        <w:spacing w:before="8"/>
        <w:ind w:left="345" w:right="350" w:firstLine="0"/>
        <w:jc w:val="center"/>
        <w:rPr>
          <w:sz w:val="19"/>
        </w:rPr>
      </w:pPr>
      <w:r>
        <w:rPr>
          <w:sz w:val="19"/>
        </w:rPr>
        <w:t>Universidad  Autónoma  Chapingo, </w:t>
      </w:r>
      <w:hyperlink r:id="rId16">
        <w:r>
          <w:rPr>
            <w:sz w:val="19"/>
          </w:rPr>
          <w:t>gbarrios_puente@yahoo.com.mx</w:t>
        </w:r>
      </w:hyperlink>
    </w:p>
    <w:p>
      <w:pPr>
        <w:pStyle w:val="BodyText"/>
        <w:spacing w:before="5"/>
      </w:pPr>
    </w:p>
    <w:p>
      <w:pPr>
        <w:pStyle w:val="Heading4"/>
        <w:ind w:left="345" w:right="352"/>
        <w:jc w:val="center"/>
      </w:pPr>
      <w:r>
        <w:rPr/>
        <w:t>Esther Figueroa Hernández</w:t>
      </w:r>
    </w:p>
    <w:p>
      <w:pPr>
        <w:spacing w:before="10"/>
        <w:ind w:left="345" w:right="353" w:firstLine="0"/>
        <w:jc w:val="center"/>
        <w:rPr>
          <w:sz w:val="19"/>
        </w:rPr>
      </w:pPr>
      <w:r>
        <w:rPr>
          <w:sz w:val="19"/>
        </w:rPr>
        <w:t>Universidad Autónoma del Estado de México,   </w:t>
      </w:r>
      <w:hyperlink r:id="rId17">
        <w:r>
          <w:rPr>
            <w:sz w:val="19"/>
          </w:rPr>
          <w:t>esfigue_3@yahoo.com.mx</w:t>
        </w:r>
      </w:hyperlink>
    </w:p>
    <w:p>
      <w:pPr>
        <w:pStyle w:val="BodyText"/>
        <w:spacing w:before="8"/>
        <w:rPr>
          <w:sz w:val="16"/>
        </w:rPr>
      </w:pPr>
    </w:p>
    <w:p>
      <w:pPr>
        <w:pStyle w:val="Heading4"/>
        <w:spacing w:before="1"/>
        <w:ind w:left="345" w:right="353"/>
        <w:jc w:val="center"/>
      </w:pPr>
      <w:r>
        <w:rPr/>
        <w:t>Francisco Pérez Soto</w:t>
      </w:r>
    </w:p>
    <w:p>
      <w:pPr>
        <w:spacing w:before="8"/>
        <w:ind w:left="345" w:right="348" w:firstLine="0"/>
        <w:jc w:val="center"/>
        <w:rPr>
          <w:sz w:val="19"/>
        </w:rPr>
      </w:pPr>
      <w:r>
        <w:rPr>
          <w:sz w:val="19"/>
        </w:rPr>
        <w:t>Universidad  Autónoma  Chapingo, </w:t>
      </w:r>
      <w:hyperlink r:id="rId19">
        <w:r>
          <w:rPr>
            <w:sz w:val="19"/>
          </w:rPr>
          <w:t>perezsotof@hotmail.com</w:t>
        </w:r>
      </w:hyperlink>
    </w:p>
    <w:p>
      <w:pPr>
        <w:pStyle w:val="BodyText"/>
        <w:spacing w:before="5"/>
      </w:pPr>
    </w:p>
    <w:p>
      <w:pPr>
        <w:pStyle w:val="Heading4"/>
        <w:ind w:left="345" w:right="351"/>
        <w:jc w:val="center"/>
      </w:pPr>
      <w:r>
        <w:rPr/>
        <w:t>Orsohe Ramírez Abarca</w:t>
      </w:r>
    </w:p>
    <w:p>
      <w:pPr>
        <w:spacing w:before="13"/>
        <w:ind w:left="345" w:right="348" w:firstLine="0"/>
        <w:jc w:val="center"/>
        <w:rPr>
          <w:sz w:val="19"/>
        </w:rPr>
      </w:pPr>
      <w:r>
        <w:rPr>
          <w:sz w:val="19"/>
        </w:rPr>
        <w:t>Universidad Autónoma del Estado de México,   </w:t>
      </w:r>
      <w:hyperlink r:id="rId525">
        <w:r>
          <w:rPr>
            <w:sz w:val="19"/>
          </w:rPr>
          <w:t>orshoe@yahoo.com.mx</w:t>
        </w:r>
      </w:hyperlink>
    </w:p>
    <w:p>
      <w:pPr>
        <w:pStyle w:val="BodyText"/>
        <w:spacing w:before="8"/>
        <w:rPr>
          <w:sz w:val="16"/>
        </w:rPr>
      </w:pPr>
    </w:p>
    <w:p>
      <w:pPr>
        <w:pStyle w:val="Heading4"/>
        <w:spacing w:before="1"/>
        <w:ind w:left="345" w:right="350"/>
        <w:jc w:val="center"/>
      </w:pPr>
      <w:r>
        <w:rPr/>
        <w:t>Jesús Loera Martínez</w:t>
      </w:r>
    </w:p>
    <w:p>
      <w:pPr>
        <w:spacing w:before="8"/>
        <w:ind w:left="345" w:right="350" w:firstLine="0"/>
        <w:jc w:val="center"/>
        <w:rPr>
          <w:sz w:val="19"/>
        </w:rPr>
      </w:pPr>
      <w:r>
        <w:rPr>
          <w:sz w:val="19"/>
        </w:rPr>
        <w:t>Universidad  Autónoma  Chapingo.  jloeramtz2004@yahoo.com.mx; </w:t>
      </w:r>
      <w:hyperlink r:id="rId20">
        <w:r>
          <w:rPr>
            <w:sz w:val="19"/>
          </w:rPr>
          <w:t>jloeramtz2004@gmail.com</w:t>
        </w:r>
      </w:hyperlink>
    </w:p>
    <w:p>
      <w:pPr>
        <w:pStyle w:val="BodyText"/>
        <w:spacing w:before="4"/>
        <w:rPr>
          <w:sz w:val="21"/>
        </w:rPr>
      </w:pPr>
    </w:p>
    <w:p>
      <w:pPr>
        <w:pStyle w:val="Heading4"/>
        <w:ind w:left="345" w:right="354"/>
        <w:jc w:val="center"/>
      </w:pPr>
      <w:r>
        <w:rPr/>
        <w:t>Hernán Efraín Pérez Camargo</w:t>
      </w:r>
    </w:p>
    <w:p>
      <w:pPr>
        <w:spacing w:before="8"/>
        <w:ind w:left="345" w:right="349" w:firstLine="0"/>
        <w:jc w:val="center"/>
        <w:rPr>
          <w:sz w:val="21"/>
        </w:rPr>
      </w:pPr>
      <w:r>
        <w:rPr>
          <w:sz w:val="21"/>
        </w:rPr>
        <w:t>Universidad Autónoma Chapingo</w:t>
      </w:r>
    </w:p>
    <w:p>
      <w:pPr>
        <w:pStyle w:val="BodyText"/>
        <w:rPr>
          <w:sz w:val="20"/>
        </w:rPr>
      </w:pPr>
    </w:p>
    <w:p>
      <w:pPr>
        <w:pStyle w:val="BodyText"/>
        <w:rPr>
          <w:sz w:val="20"/>
        </w:rPr>
      </w:pPr>
    </w:p>
    <w:p>
      <w:pPr>
        <w:pStyle w:val="BodyText"/>
        <w:rPr>
          <w:sz w:val="20"/>
        </w:rPr>
      </w:pPr>
    </w:p>
    <w:p>
      <w:pPr>
        <w:pStyle w:val="ListParagraph"/>
        <w:numPr>
          <w:ilvl w:val="0"/>
          <w:numId w:val="33"/>
        </w:numPr>
        <w:tabs>
          <w:tab w:pos="361" w:val="left" w:leader="none"/>
        </w:tabs>
        <w:spacing w:line="240" w:lineRule="auto" w:before="158" w:after="0"/>
        <w:ind w:left="360" w:right="0" w:hanging="259"/>
        <w:jc w:val="both"/>
        <w:rPr>
          <w:b/>
          <w:sz w:val="31"/>
        </w:rPr>
      </w:pPr>
      <w:r>
        <w:rPr>
          <w:b/>
          <w:sz w:val="31"/>
        </w:rPr>
        <w:t>INTRODUCCIÓN</w:t>
      </w:r>
    </w:p>
    <w:p>
      <w:pPr>
        <w:pStyle w:val="BodyText"/>
        <w:rPr>
          <w:b/>
          <w:sz w:val="30"/>
        </w:rPr>
      </w:pPr>
    </w:p>
    <w:p>
      <w:pPr>
        <w:pStyle w:val="BodyText"/>
        <w:spacing w:before="4"/>
        <w:rPr>
          <w:b/>
          <w:sz w:val="43"/>
        </w:rPr>
      </w:pPr>
    </w:p>
    <w:p>
      <w:pPr>
        <w:pStyle w:val="BodyText"/>
        <w:spacing w:line="364" w:lineRule="auto"/>
        <w:ind w:left="101" w:right="105"/>
        <w:jc w:val="both"/>
      </w:pPr>
      <w:r>
        <w:rPr/>
        <w:t>A pesar de la reciente incorporación del estado de Morelos a  la  emigración  internacional en el año 2000, ese estado se ubicaba ya en el 5º lugar  entre  las  entidades federativas mexicanas de mayor intensidad migratoria internacional (Alba, 2001:11). Al respecto, el caso de Amayuca puede ser útil para ilustrar la dinámica que  en dicho estado han registrado, especialmente en el caso del sector rural, tales movimientos</w:t>
      </w:r>
      <w:r>
        <w:rPr>
          <w:spacing w:val="25"/>
        </w:rPr>
        <w:t> </w:t>
      </w:r>
      <w:r>
        <w:rPr/>
        <w:t>migratorios.</w:t>
      </w:r>
    </w:p>
    <w:p>
      <w:pPr>
        <w:pStyle w:val="BodyText"/>
        <w:rPr>
          <w:sz w:val="22"/>
        </w:rPr>
      </w:pPr>
    </w:p>
    <w:p>
      <w:pPr>
        <w:pStyle w:val="BodyText"/>
        <w:rPr>
          <w:sz w:val="22"/>
        </w:rPr>
      </w:pPr>
    </w:p>
    <w:p>
      <w:pPr>
        <w:pStyle w:val="BodyText"/>
        <w:spacing w:line="364" w:lineRule="auto" w:before="135"/>
        <w:ind w:left="101" w:right="105"/>
        <w:jc w:val="both"/>
      </w:pPr>
      <w:r>
        <w:rPr/>
        <w:t>La importancia de la emigración mexicana hacia los Estados Unidos se deriva de varios hechos: La remesas que envían los migrantes a sus familiares en México, que son  fuente de dinamismo para las economías locales y regionales; el que se le considere como un soporte estructural del funcionamiento económico y de la productividad de   </w:t>
      </w:r>
      <w:r>
        <w:rPr>
          <w:spacing w:val="3"/>
        </w:rPr>
        <w:t> </w:t>
      </w:r>
      <w:r>
        <w:rPr/>
        <w:t>los</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21" w:right="105"/>
        <w:jc w:val="both"/>
      </w:pPr>
      <w:r>
        <w:rPr/>
        <w:t>Estados Unidos en el entorno internacional y del hecho que la migración como un fenómeno sociopolítico ha sido también fuente de conflictos entre ambas  naciones.</w:t>
      </w:r>
    </w:p>
    <w:p>
      <w:pPr>
        <w:pStyle w:val="BodyText"/>
        <w:spacing w:line="364" w:lineRule="auto" w:before="122"/>
        <w:ind w:left="121" w:right="105"/>
        <w:jc w:val="both"/>
      </w:pPr>
      <w:r>
        <w:rPr/>
        <w:t>Las remesas son en primer término el sustento principal de las familias de  los  migrantes; su aplicación directa se materializa en la satisfacción de las necesidades de subsistencia y el mejoramiento de la vivienda, y en menor medida en inversión, otros gastos y el</w:t>
      </w:r>
      <w:r>
        <w:rPr>
          <w:spacing w:val="20"/>
        </w:rPr>
        <w:t> </w:t>
      </w:r>
      <w:r>
        <w:rPr/>
        <w:t>ahorro.</w:t>
      </w:r>
    </w:p>
    <w:p>
      <w:pPr>
        <w:pStyle w:val="BodyText"/>
        <w:spacing w:line="364" w:lineRule="auto" w:before="122"/>
        <w:ind w:left="121" w:right="104"/>
        <w:jc w:val="both"/>
      </w:pPr>
      <w:r>
        <w:rPr/>
        <w:t>Para la economía nacional, la suma de las remesas totales adquiere una connotación económica relevante pues para el gobierno es una variable  macroeconómica  de  primera importancia al constituir sistemáticamente la segunda fuente de divisas, categoría que la vuelve imprescindible en el alivio del déficit histórico de la cuenta corriente (Santiago, 2001:44,45), puesto que en México, país tecnológicamente dependiente, las divisas son empleadas principalmente en la adquisición  de  maquinaria, equipo e insumos para la producción y desde los años 1980s para financiar la compra externa de bienes agroalimentarios (Ortiz, </w:t>
      </w:r>
      <w:r>
        <w:rPr>
          <w:spacing w:val="3"/>
        </w:rPr>
        <w:t> </w:t>
      </w:r>
      <w:r>
        <w:rPr/>
        <w:t>1995:3).</w:t>
      </w:r>
    </w:p>
    <w:p>
      <w:pPr>
        <w:pStyle w:val="BodyText"/>
        <w:rPr>
          <w:sz w:val="22"/>
        </w:rPr>
      </w:pPr>
    </w:p>
    <w:p>
      <w:pPr>
        <w:pStyle w:val="BodyText"/>
        <w:spacing w:line="357" w:lineRule="auto" w:before="155"/>
        <w:ind w:left="121" w:right="104"/>
        <w:jc w:val="both"/>
      </w:pPr>
      <w:r>
        <w:rPr/>
        <w:t>La migración mexicana significa para los Estados Unidos un complemento muy importante de su fuerza laboral</w:t>
      </w:r>
      <w:r>
        <w:rPr>
          <w:position w:val="11"/>
          <w:sz w:val="15"/>
        </w:rPr>
        <w:t>110</w:t>
      </w:r>
      <w:r>
        <w:rPr/>
        <w:t>. Lollock (2001:3) muestra que la pirámide de edades de los nacidos en el extranjero compagina notablemente con la figura respectiva de los nativos y entre aquellos “la población nacida en México ha sido el grupo extranjero más grande</w:t>
      </w:r>
      <w:r>
        <w:rPr>
          <w:spacing w:val="46"/>
        </w:rPr>
        <w:t> </w:t>
      </w:r>
      <w:r>
        <w:rPr/>
        <w:t>dentro</w:t>
      </w:r>
      <w:r>
        <w:rPr>
          <w:spacing w:val="41"/>
        </w:rPr>
        <w:t> </w:t>
      </w:r>
      <w:r>
        <w:rPr/>
        <w:t>de</w:t>
      </w:r>
      <w:r>
        <w:rPr>
          <w:spacing w:val="44"/>
        </w:rPr>
        <w:t> </w:t>
      </w:r>
      <w:r>
        <w:rPr/>
        <w:t>la</w:t>
      </w:r>
      <w:r>
        <w:rPr>
          <w:spacing w:val="41"/>
        </w:rPr>
        <w:t> </w:t>
      </w:r>
      <w:r>
        <w:rPr/>
        <w:t>población</w:t>
      </w:r>
      <w:r>
        <w:rPr>
          <w:spacing w:val="41"/>
        </w:rPr>
        <w:t> </w:t>
      </w:r>
      <w:r>
        <w:rPr/>
        <w:t>de</w:t>
      </w:r>
      <w:r>
        <w:rPr>
          <w:spacing w:val="44"/>
        </w:rPr>
        <w:t> </w:t>
      </w:r>
      <w:r>
        <w:rPr/>
        <w:t>los</w:t>
      </w:r>
      <w:r>
        <w:rPr>
          <w:spacing w:val="42"/>
        </w:rPr>
        <w:t> </w:t>
      </w:r>
      <w:r>
        <w:rPr/>
        <w:t>Estados</w:t>
      </w:r>
      <w:r>
        <w:rPr>
          <w:spacing w:val="42"/>
        </w:rPr>
        <w:t> </w:t>
      </w:r>
      <w:r>
        <w:rPr/>
        <w:t>Unidos</w:t>
      </w:r>
      <w:r>
        <w:rPr>
          <w:spacing w:val="44"/>
        </w:rPr>
        <w:t> </w:t>
      </w:r>
      <w:r>
        <w:rPr/>
        <w:t>al</w:t>
      </w:r>
      <w:r>
        <w:rPr>
          <w:spacing w:val="47"/>
        </w:rPr>
        <w:t> </w:t>
      </w:r>
      <w:r>
        <w:rPr/>
        <w:t>menos</w:t>
      </w:r>
      <w:r>
        <w:rPr>
          <w:spacing w:val="45"/>
        </w:rPr>
        <w:t> </w:t>
      </w:r>
      <w:r>
        <w:rPr/>
        <w:t>en</w:t>
      </w:r>
      <w:r>
        <w:rPr>
          <w:spacing w:val="41"/>
        </w:rPr>
        <w:t> </w:t>
      </w:r>
      <w:r>
        <w:rPr/>
        <w:t>(las</w:t>
      </w:r>
      <w:r>
        <w:rPr>
          <w:spacing w:val="47"/>
        </w:rPr>
        <w:t> </w:t>
      </w:r>
      <w:r>
        <w:rPr/>
        <w:t>últimas)</w:t>
      </w:r>
      <w:r>
        <w:rPr>
          <w:spacing w:val="43"/>
        </w:rPr>
        <w:t> </w:t>
      </w:r>
      <w:r>
        <w:rPr/>
        <w:t>dos</w:t>
      </w:r>
    </w:p>
    <w:p>
      <w:pPr>
        <w:pStyle w:val="BodyText"/>
        <w:spacing w:line="364" w:lineRule="auto" w:before="15"/>
        <w:ind w:left="121" w:right="105"/>
        <w:jc w:val="both"/>
      </w:pPr>
      <w:r>
        <w:rPr/>
        <w:t>décadas y ahora es cerca de cuatro veces mayor que el grupo de los filipinos (segundo lugar)” (Passel, 1997:18).</w:t>
      </w:r>
    </w:p>
    <w:p>
      <w:pPr>
        <w:pStyle w:val="BodyText"/>
        <w:spacing w:before="10"/>
        <w:rPr>
          <w:sz w:val="20"/>
        </w:rPr>
      </w:pPr>
    </w:p>
    <w:p>
      <w:pPr>
        <w:pStyle w:val="BodyText"/>
        <w:spacing w:line="364" w:lineRule="auto"/>
        <w:ind w:left="121" w:right="105"/>
        <w:jc w:val="both"/>
      </w:pPr>
      <w:r>
        <w:rPr/>
        <w:pict>
          <v:line style="position:absolute;mso-position-horizontal-relative:page;mso-position-vertical-relative:paragraph;z-index:18352;mso-wrap-distance-left:0;mso-wrap-distance-right:0" from="70.080002pt,45.946373pt" to="210.239999pt,45.946373pt" stroked="true" strokeweight=".72pt" strokecolor="#000000">
            <w10:wrap type="topAndBottom"/>
          </v:line>
        </w:pict>
      </w:r>
      <w:r>
        <w:rPr/>
        <w:t>El estatus de indocumentados mantiene inermes a gran parte de los inmigrantes mexicanos</w:t>
      </w:r>
      <w:r>
        <w:rPr>
          <w:spacing w:val="51"/>
        </w:rPr>
        <w:t> </w:t>
      </w:r>
      <w:r>
        <w:rPr/>
        <w:t>y conjuntamente con su reducida escolaridad los</w:t>
      </w:r>
      <w:r>
        <w:rPr>
          <w:spacing w:val="51"/>
        </w:rPr>
        <w:t> </w:t>
      </w:r>
      <w:r>
        <w:rPr/>
        <w:t>conduce a</w:t>
      </w:r>
      <w:r>
        <w:rPr>
          <w:spacing w:val="52"/>
        </w:rPr>
        <w:t> </w:t>
      </w:r>
      <w:r>
        <w:rPr/>
        <w:t>aceptar una</w:t>
      </w:r>
    </w:p>
    <w:p>
      <w:pPr>
        <w:spacing w:line="283" w:lineRule="auto" w:before="41"/>
        <w:ind w:left="121" w:right="104" w:firstLine="0"/>
        <w:jc w:val="both"/>
        <w:rPr>
          <w:sz w:val="19"/>
        </w:rPr>
      </w:pPr>
      <w:r>
        <w:rPr>
          <w:position w:val="10"/>
          <w:sz w:val="12"/>
        </w:rPr>
        <w:t>110 </w:t>
      </w:r>
      <w:r>
        <w:rPr>
          <w:sz w:val="19"/>
        </w:rPr>
        <w:t>Cornelius (1989: 46-49) muestra que las empresas que emplean migrantes que no sobrevivirían si expulsaran a los indocumentados eran el 50% en la agricultura, 50% en mantenimiento de edificios y jardines, 69% en ropa el calzado y cuero y 44 % en restaurantes. En promedio, incluyendo otras ramas</w:t>
      </w:r>
    </w:p>
    <w:p>
      <w:pPr>
        <w:spacing w:line="283" w:lineRule="auto" w:before="2"/>
        <w:ind w:left="121" w:right="105" w:firstLine="0"/>
        <w:jc w:val="both"/>
        <w:rPr>
          <w:sz w:val="19"/>
        </w:rPr>
      </w:pPr>
      <w:r>
        <w:rPr>
          <w:sz w:val="19"/>
        </w:rPr>
        <w:t>69 % prefieren contratar a los recomendados de sus propios  empleados,  50%  con  hablantes  monolingües de español: 80% en agricultura, 63% en elaboración de alimentos y 61% en  hoteles.  Pagando entre las 10 ramas un 50% menos por hora (cuatro dólares en lugar de seis cuando que el  periodo de aprendizaje promedio es de siete días) a los obreros recién contratados, destacando entre   ellas: construcción (–70%), mantenimiento de edificios y jardines (-85%) y hoteles  </w:t>
      </w:r>
      <w:r>
        <w:rPr>
          <w:spacing w:val="48"/>
          <w:sz w:val="19"/>
        </w:rPr>
        <w:t> </w:t>
      </w:r>
      <w:r>
        <w:rPr>
          <w:sz w:val="19"/>
        </w:rPr>
        <w:t>(-67%).</w:t>
      </w:r>
    </w:p>
    <w:p>
      <w:pPr>
        <w:spacing w:after="0" w:line="283" w:lineRule="auto"/>
        <w:jc w:val="both"/>
        <w:rPr>
          <w:sz w:val="19"/>
        </w:rPr>
        <w:sectPr>
          <w:pgSz w:w="11900" w:h="16840"/>
          <w:pgMar w:header="0" w:footer="1679" w:top="1600" w:bottom="1860" w:left="1280" w:right="1280"/>
        </w:sectPr>
      </w:pPr>
    </w:p>
    <w:p>
      <w:pPr>
        <w:pStyle w:val="BodyText"/>
        <w:rPr>
          <w:sz w:val="20"/>
        </w:rPr>
      </w:pPr>
    </w:p>
    <w:p>
      <w:pPr>
        <w:pStyle w:val="BodyText"/>
        <w:spacing w:before="8"/>
        <w:rPr>
          <w:sz w:val="18"/>
        </w:rPr>
      </w:pPr>
    </w:p>
    <w:p>
      <w:pPr>
        <w:pStyle w:val="BodyText"/>
        <w:spacing w:line="357" w:lineRule="auto" w:before="74"/>
        <w:ind w:left="121" w:right="105"/>
        <w:jc w:val="both"/>
      </w:pPr>
      <w:r>
        <w:rPr/>
        <w:t>menor remuneración monetaria y social de su trabajo. A pesar de ello, sigue siendo atractivo el trabajo estadounidense y los trabajadores continúan yendo cada vez en mayor número y desde una cantidad mayor de orígenes en México</w:t>
      </w:r>
      <w:r>
        <w:rPr>
          <w:position w:val="11"/>
          <w:sz w:val="15"/>
        </w:rPr>
        <w:t>111</w:t>
      </w:r>
      <w:r>
        <w:rPr/>
        <w:t>. La condición de “ilegalidad” ocasiona también que los trabajadores mexicanos en los Estados Unidos estén dispuestos a aceptar trabajos muchas veces con escasa o nula relación con su</w:t>
      </w:r>
    </w:p>
    <w:p>
      <w:pPr>
        <w:pStyle w:val="BodyText"/>
        <w:spacing w:before="13"/>
        <w:ind w:left="121"/>
        <w:jc w:val="both"/>
      </w:pPr>
      <w:r>
        <w:rPr/>
        <w:t>preparación educativa y por ello menos</w:t>
      </w:r>
      <w:r>
        <w:rPr>
          <w:spacing w:val="54"/>
        </w:rPr>
        <w:t> </w:t>
      </w:r>
      <w:r>
        <w:rPr/>
        <w:t>pagados.</w:t>
      </w:r>
    </w:p>
    <w:p>
      <w:pPr>
        <w:pStyle w:val="BodyText"/>
        <w:spacing w:before="3"/>
        <w:rPr>
          <w:sz w:val="32"/>
        </w:rPr>
      </w:pPr>
    </w:p>
    <w:p>
      <w:pPr>
        <w:pStyle w:val="BodyText"/>
        <w:spacing w:line="364" w:lineRule="auto"/>
        <w:ind w:left="121" w:right="104"/>
        <w:jc w:val="both"/>
      </w:pPr>
      <w:r>
        <w:rPr/>
        <w:t>Esto ha conducido, por mucho tiempo, a que los inmigrantes de origen mexicano se hayan caracterizado por contar con acervos de educación formal relativamente bajos    los cuales han sido uno de los impedimentos para su regularización  migratoria  y  cuando ésta ha sido posible se han convertido en un obstáculo para ascender en la escala laboral; aunque de acuerdo a Marcelli y Cornelius (2001:106,107), a partir de los años 1980s, la demanda de inmigrantes mexicanos se  ha vuelto  menos selectiva   </w:t>
      </w:r>
      <w:r>
        <w:rPr>
          <w:spacing w:val="44"/>
        </w:rPr>
        <w:t> </w:t>
      </w:r>
      <w:r>
        <w:rPr/>
        <w:t>con</w:t>
      </w:r>
    </w:p>
    <w:p>
      <w:pPr>
        <w:pStyle w:val="BodyText"/>
        <w:spacing w:line="272" w:lineRule="exact"/>
        <w:ind w:left="121"/>
        <w:jc w:val="both"/>
      </w:pPr>
      <w:r>
        <w:rPr/>
        <w:t>respecto al nivel de educación</w:t>
      </w:r>
      <w:r>
        <w:rPr>
          <w:position w:val="11"/>
          <w:sz w:val="15"/>
        </w:rPr>
        <w:t>112</w:t>
      </w:r>
      <w:r>
        <w:rPr/>
        <w:t>.</w:t>
      </w:r>
    </w:p>
    <w:p>
      <w:pPr>
        <w:pStyle w:val="BodyText"/>
        <w:rPr>
          <w:sz w:val="22"/>
        </w:rPr>
      </w:pPr>
    </w:p>
    <w:p>
      <w:pPr>
        <w:pStyle w:val="BodyText"/>
        <w:spacing w:line="364" w:lineRule="auto" w:before="1"/>
        <w:ind w:left="121" w:right="104"/>
        <w:jc w:val="both"/>
      </w:pPr>
      <w:r>
        <w:rPr/>
        <w:t>Si del desempeño de los migrantes, en la economía estadounidense, se  producen efectos benéficos también para México y si a eso agregamos razones de carácter humanitario, debiera ser una</w:t>
      </w:r>
      <w:r>
        <w:rPr>
          <w:spacing w:val="50"/>
        </w:rPr>
        <w:t> </w:t>
      </w:r>
      <w:r>
        <w:rPr/>
        <w:t>preocupación de primera importancia la exploración de</w:t>
      </w:r>
    </w:p>
    <w:p>
      <w:pPr>
        <w:pStyle w:val="BodyText"/>
        <w:spacing w:before="1"/>
        <w:rPr>
          <w:sz w:val="14"/>
        </w:rPr>
      </w:pPr>
      <w:r>
        <w:rPr/>
        <w:pict>
          <v:line style="position:absolute;mso-position-horizontal-relative:page;mso-position-vertical-relative:paragraph;z-index:18376;mso-wrap-distance-left:0;mso-wrap-distance-right:0" from="70.080002pt,10.441661pt" to="210.239999pt,10.441661pt" stroked="true" strokeweight=".72pt" strokecolor="#000000">
            <w10:wrap type="topAndBottom"/>
          </v:line>
        </w:pict>
      </w:r>
    </w:p>
    <w:p>
      <w:pPr>
        <w:spacing w:line="283" w:lineRule="auto" w:before="41"/>
        <w:ind w:left="121" w:right="105" w:firstLine="0"/>
        <w:jc w:val="both"/>
        <w:rPr>
          <w:sz w:val="19"/>
        </w:rPr>
      </w:pPr>
      <w:r>
        <w:rPr>
          <w:position w:val="10"/>
          <w:sz w:val="12"/>
        </w:rPr>
        <w:t>111  </w:t>
      </w:r>
      <w:r>
        <w:rPr>
          <w:sz w:val="19"/>
        </w:rPr>
        <w:t>“Los hogares encabezados por inmigrantes recientes de México tienen ingresos promedio de sólo 23   mil dólares, esto es nada más el 56% del ingreso de los hogares cuyo jefe es nativo. Otros grupos de inmigrantes recientes también tienen ingresos por debajo de los nativos,  pero no tan bajos como lo de     los hogares encabezados por inmigrantes mexicanos...Estas comparaciones en realidad subestiman la magnitud de la diferencia entre los ingresos de los hogares de personas nacidas en México y los de los nativos y de otros inmigrantes. Los hogares de los nacidos en México  tiene  un  número  considerablemente mayor de personas que los de cualquiera de los demás grupos, pues los mexicanos tienen una mayor fertilidad y es probable que varias generaciones vivan en el mismo hogar o que renten cuartos o acepten huéspedes. Por lo tanto, el ingreso disponible por persona en los hogares de personas nacidas en México es mucho menor que el de otros grupos y esto produce una considerable presión económica sobre los hogares. Cuando el jefe de la familia es un inmigrante mexicano reciente, el ingreso  de las personas que conforman el hogar es cerca de la tercera parte del ingreso por persona que se encuentra en los hogares con jefes de familia nativos y que los encabezados por inmigrantes legales provenientes de otros países que ya han residido largo tiempo en los estados Unidos (5,200 dólares en comparación con 16000 o 16500 dólares)” Passel </w:t>
      </w:r>
      <w:r>
        <w:rPr>
          <w:spacing w:val="44"/>
          <w:sz w:val="19"/>
        </w:rPr>
        <w:t> </w:t>
      </w:r>
      <w:r>
        <w:rPr>
          <w:sz w:val="19"/>
        </w:rPr>
        <w:t>1997:20.</w:t>
      </w:r>
    </w:p>
    <w:p>
      <w:pPr>
        <w:spacing w:line="283" w:lineRule="auto" w:before="157"/>
        <w:ind w:left="121" w:right="103" w:firstLine="0"/>
        <w:jc w:val="both"/>
        <w:rPr>
          <w:sz w:val="19"/>
        </w:rPr>
      </w:pPr>
      <w:r>
        <w:rPr>
          <w:position w:val="10"/>
          <w:sz w:val="12"/>
        </w:rPr>
        <w:t>112 </w:t>
      </w:r>
      <w:r>
        <w:rPr>
          <w:sz w:val="19"/>
        </w:rPr>
        <w:t>En relación al nivel educativo, Reyes (1998:Anexo 2), encontró que los emigrantes de Cerano, Guanajuato no habían sobrepasado la educación preparatoria contando el 90 % con educación de secundaria o menos y Arroyo, De León y Valenzuela (1991:114) encontraron que en Jalisco solamente el</w:t>
      </w:r>
    </w:p>
    <w:p>
      <w:pPr>
        <w:spacing w:before="2"/>
        <w:ind w:left="121" w:right="0" w:firstLine="0"/>
        <w:jc w:val="both"/>
        <w:rPr>
          <w:sz w:val="19"/>
        </w:rPr>
      </w:pPr>
      <w:r>
        <w:rPr>
          <w:sz w:val="19"/>
        </w:rPr>
        <w:t>1.3 % de los emigrantes devueltos sobrepasaron el nivel   preparatoria.</w:t>
      </w:r>
    </w:p>
    <w:p>
      <w:pPr>
        <w:spacing w:after="0"/>
        <w:jc w:val="both"/>
        <w:rPr>
          <w:sz w:val="19"/>
        </w:rPr>
        <w:sectPr>
          <w:pgSz w:w="11900" w:h="16840"/>
          <w:pgMar w:header="0" w:footer="1679" w:top="1600" w:bottom="1860" w:left="1280" w:right="1280"/>
        </w:sectPr>
      </w:pPr>
    </w:p>
    <w:p>
      <w:pPr>
        <w:pStyle w:val="BodyText"/>
        <w:rPr>
          <w:sz w:val="20"/>
        </w:rPr>
      </w:pPr>
    </w:p>
    <w:p>
      <w:pPr>
        <w:pStyle w:val="BodyText"/>
        <w:spacing w:before="8"/>
        <w:rPr>
          <w:sz w:val="18"/>
        </w:rPr>
      </w:pPr>
    </w:p>
    <w:p>
      <w:pPr>
        <w:pStyle w:val="BodyText"/>
        <w:spacing w:line="364" w:lineRule="auto" w:before="74"/>
        <w:ind w:left="101" w:right="104"/>
        <w:jc w:val="both"/>
      </w:pPr>
      <w:r>
        <w:rPr/>
        <w:t>alternativas para superar en la medida de lo posible, las restricciones existentes. En  este contexto, la educación reclama una porción importante de atención puesto que puede ser un elemento que incida en los ingresos alcanzables por los migrantes mexicanos, en el sentido de que les puede facilitar el acceso a otros “insumos”,  aumentar su visión con respecto a sus aptitudes para ciertos trabajos y mejorar sus relaciones sociales; en suma que le proporcionen una mayor movilidad geográfica y laboral.</w:t>
      </w:r>
    </w:p>
    <w:p>
      <w:pPr>
        <w:pStyle w:val="BodyText"/>
        <w:spacing w:line="364" w:lineRule="auto" w:before="120"/>
        <w:ind w:left="101" w:right="105"/>
        <w:jc w:val="both"/>
      </w:pPr>
      <w:r>
        <w:rPr/>
        <w:t>Por ello, el objetivo central de este trabajo es analizar la manera en que la educación participa en la conformación de los salarios obtenidos  por los trabajadores mexicanos  en los Estados Unidos, en especial aquella proveniente de la educación formal e  informal de los migrantes. (Barrios, 2003 a y 2003</w:t>
      </w:r>
      <w:r>
        <w:rPr>
          <w:spacing w:val="61"/>
        </w:rPr>
        <w:t> </w:t>
      </w:r>
      <w:r>
        <w:rPr/>
        <w:t>b).</w:t>
      </w:r>
    </w:p>
    <w:p>
      <w:pPr>
        <w:pStyle w:val="BodyText"/>
        <w:spacing w:line="364" w:lineRule="auto" w:before="120"/>
        <w:ind w:left="101" w:right="105"/>
        <w:jc w:val="both"/>
      </w:pPr>
      <w:r>
        <w:rPr/>
        <w:t>Un punto de partida de la investigación es el supuesto de la existencia de una relación  de sustitución entre escolaridad  y experiencia en la conformación de los salarios que   los emigrantes mexicanos perciben en los Estados Unidos la cual se supone también que está matizada por el género y la posible incorporación de los migrantes a las redes sociales.</w:t>
      </w:r>
    </w:p>
    <w:p>
      <w:pPr>
        <w:pStyle w:val="BodyText"/>
        <w:spacing w:line="364" w:lineRule="auto" w:before="122"/>
        <w:ind w:left="101" w:right="105"/>
        <w:jc w:val="both"/>
      </w:pPr>
      <w:r>
        <w:rPr/>
        <w:t>La comprobación de estas hipótesis se torna apremiante especialmente en el momento económico que viven los Estados Unidos, quienes como lo ha  señalado  Aragonés (2001: 325) requieren una mayor flexibilidad de los trabajadores inmigrantes para enfrentar los efectos de las crisis económicas, de lo cual se desprende la reticencia del gobierno estadounidense ante la firma de un verdadero acuerdo migratorio pues ello significaría dotar a los inmigrantes mexicanos de mayores facultades para tratar de reubicarse en otras actividades y empresas donde pudieran obtener un salario más decoroso.</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7"/>
        <w:rPr>
          <w:sz w:val="18"/>
        </w:rPr>
      </w:pPr>
    </w:p>
    <w:p>
      <w:pPr>
        <w:pStyle w:val="Heading3"/>
        <w:spacing w:before="69"/>
      </w:pPr>
      <w:r>
        <w:rPr/>
        <w:t>Importancia de la educación y su evolución en México</w:t>
      </w:r>
    </w:p>
    <w:p>
      <w:pPr>
        <w:pStyle w:val="BodyText"/>
        <w:spacing w:before="5"/>
        <w:rPr>
          <w:b/>
          <w:sz w:val="24"/>
        </w:rPr>
      </w:pPr>
    </w:p>
    <w:p>
      <w:pPr>
        <w:pStyle w:val="BodyText"/>
        <w:spacing w:line="350" w:lineRule="auto"/>
        <w:ind w:left="121" w:right="102"/>
        <w:jc w:val="both"/>
      </w:pPr>
      <w:r>
        <w:rPr/>
        <w:t>La educación es importante porque constituye un factor de desarrollo personal y social: Al nivel del individuo la cantidad y calidad de la educación son un  requisito  indispensable para su desenvolvimiento y a la vez una fuente de movilidad </w:t>
      </w:r>
      <w:r>
        <w:rPr>
          <w:spacing w:val="34"/>
        </w:rPr>
        <w:t> </w:t>
      </w:r>
      <w:r>
        <w:rPr/>
        <w:t>social</w:t>
      </w:r>
      <w:r>
        <w:rPr>
          <w:position w:val="11"/>
          <w:sz w:val="15"/>
        </w:rPr>
        <w:t>113</w:t>
      </w:r>
      <w:r>
        <w:rPr/>
        <w:t>.</w:t>
      </w:r>
    </w:p>
    <w:p>
      <w:pPr>
        <w:pStyle w:val="BodyText"/>
        <w:rPr>
          <w:sz w:val="28"/>
        </w:rPr>
      </w:pPr>
    </w:p>
    <w:p>
      <w:pPr>
        <w:pStyle w:val="BodyText"/>
        <w:spacing w:before="6"/>
        <w:rPr>
          <w:sz w:val="24"/>
        </w:rPr>
      </w:pPr>
    </w:p>
    <w:p>
      <w:pPr>
        <w:pStyle w:val="BodyText"/>
        <w:spacing w:line="364" w:lineRule="auto"/>
        <w:ind w:left="121" w:right="101"/>
        <w:jc w:val="both"/>
      </w:pPr>
      <w:r>
        <w:rPr/>
        <w:t>Como es sabido, el proceso educativo formal e informal</w:t>
      </w:r>
      <w:r>
        <w:rPr>
          <w:position w:val="11"/>
          <w:sz w:val="15"/>
        </w:rPr>
        <w:t>114 </w:t>
      </w:r>
      <w:r>
        <w:rPr/>
        <w:t>se basa  entre  otros  principios en la creación de expectativas, y tiene entre sus objetivos la intención de   dotar al individuo de la capacidad para superar su condición instintiva innata y  desarrollar hasta donde el entorno lo permita todas las potencialidades del ser </w:t>
      </w:r>
      <w:r>
        <w:rPr>
          <w:spacing w:val="29"/>
        </w:rPr>
        <w:t> </w:t>
      </w:r>
      <w:r>
        <w:rPr/>
        <w:t>humano.</w:t>
      </w:r>
    </w:p>
    <w:p>
      <w:pPr>
        <w:pStyle w:val="BodyText"/>
        <w:spacing w:line="350" w:lineRule="auto" w:before="120"/>
        <w:ind w:left="121" w:right="105"/>
        <w:jc w:val="both"/>
      </w:pPr>
      <w:r>
        <w:rPr/>
        <w:t>Por su parte, para la sociedad, el nivel de educación es importante  porque  se  constituye en un activo (intangible) base de la actividad productiva, de la cultura, de la política y de la acción social; en suma del progreso</w:t>
      </w:r>
      <w:r>
        <w:rPr>
          <w:position w:val="11"/>
          <w:sz w:val="15"/>
        </w:rPr>
        <w:t>115, </w:t>
      </w:r>
      <w:r>
        <w:rPr>
          <w:spacing w:val="33"/>
          <w:position w:val="11"/>
          <w:sz w:val="15"/>
        </w:rPr>
        <w:t> </w:t>
      </w:r>
      <w:r>
        <w:rPr>
          <w:position w:val="11"/>
          <w:sz w:val="15"/>
        </w:rPr>
        <w:t>116</w:t>
      </w:r>
      <w:r>
        <w:rPr/>
        <w:t>.</w:t>
      </w:r>
    </w:p>
    <w:p>
      <w:pPr>
        <w:pStyle w:val="BodyText"/>
        <w:rPr>
          <w:sz w:val="28"/>
        </w:rPr>
      </w:pPr>
    </w:p>
    <w:p>
      <w:pPr>
        <w:pStyle w:val="BodyText"/>
        <w:spacing w:before="1"/>
        <w:rPr>
          <w:sz w:val="41"/>
        </w:rPr>
      </w:pPr>
    </w:p>
    <w:p>
      <w:pPr>
        <w:pStyle w:val="BodyText"/>
        <w:spacing w:line="364" w:lineRule="auto" w:before="1"/>
        <w:ind w:left="121" w:right="105"/>
        <w:jc w:val="both"/>
      </w:pPr>
      <w:r>
        <w:rPr/>
        <w:t>Pero el aprovechamiento de toda la capacidad adicional de trabajo generada por la educación está dejando mucho que desearen México. Los sectores comercial  e  industrial y gubernamental pudieron absorber fácilmente, hasta la década de los cincuenta,  a los  egresados  de la enseñanza  superior.  Entre  1950  y 1960,  la</w:t>
      </w:r>
      <w:r>
        <w:rPr>
          <w:spacing w:val="-5"/>
        </w:rPr>
        <w:t> </w:t>
      </w:r>
      <w:r>
        <w:rPr/>
        <w:t>relación</w:t>
      </w:r>
    </w:p>
    <w:p>
      <w:pPr>
        <w:pStyle w:val="BodyText"/>
        <w:spacing w:before="9"/>
        <w:rPr>
          <w:sz w:val="26"/>
        </w:rPr>
      </w:pPr>
      <w:r>
        <w:rPr/>
        <w:pict>
          <v:line style="position:absolute;mso-position-horizontal-relative:page;mso-position-vertical-relative:paragraph;z-index:18400;mso-wrap-distance-left:0;mso-wrap-distance-right:0" from="70.080002pt,17.761658pt" to="210.239999pt,17.761658pt" stroked="true" strokeweight=".72pt" strokecolor="#000000">
            <w10:wrap type="topAndBottom"/>
          </v:line>
        </w:pict>
      </w:r>
    </w:p>
    <w:p>
      <w:pPr>
        <w:spacing w:line="283" w:lineRule="auto" w:before="41"/>
        <w:ind w:left="121" w:right="106" w:firstLine="0"/>
        <w:jc w:val="both"/>
        <w:rPr>
          <w:sz w:val="19"/>
        </w:rPr>
      </w:pPr>
      <w:r>
        <w:rPr>
          <w:position w:val="10"/>
          <w:sz w:val="12"/>
        </w:rPr>
        <w:t>113 </w:t>
      </w:r>
      <w:r>
        <w:rPr>
          <w:sz w:val="19"/>
        </w:rPr>
        <w:t>Pescador (1977) y Quintero (1978) mostraron que los subsidios a la educación superior estaban financiando la movilidad social aunque de manera desigual a favor de algunos grupos urbanos (Noriega, 1998:375).</w:t>
      </w:r>
    </w:p>
    <w:p>
      <w:pPr>
        <w:pStyle w:val="BodyText"/>
        <w:spacing w:before="1"/>
        <w:rPr>
          <w:sz w:val="14"/>
        </w:rPr>
      </w:pPr>
    </w:p>
    <w:p>
      <w:pPr>
        <w:spacing w:line="283" w:lineRule="auto" w:before="0"/>
        <w:ind w:left="121" w:right="103" w:firstLine="0"/>
        <w:jc w:val="both"/>
        <w:rPr>
          <w:sz w:val="19"/>
        </w:rPr>
      </w:pPr>
      <w:r>
        <w:rPr>
          <w:position w:val="10"/>
          <w:sz w:val="12"/>
        </w:rPr>
        <w:t>114  </w:t>
      </w:r>
      <w:r>
        <w:rPr>
          <w:sz w:val="19"/>
        </w:rPr>
        <w:t>Aún ahora, en las comunidades rurales, especialmente las indígenas, se puede encontrar indicios de     la preocupación colectiva de educar a los individuos que no pudieron asistir a la  escuela.  En  este  contexto, la emigración forma una parte sustancial del proceso  </w:t>
      </w:r>
      <w:r>
        <w:rPr>
          <w:spacing w:val="18"/>
          <w:sz w:val="19"/>
        </w:rPr>
        <w:t> </w:t>
      </w:r>
      <w:r>
        <w:rPr>
          <w:sz w:val="19"/>
        </w:rPr>
        <w:t>educativo.</w:t>
      </w:r>
    </w:p>
    <w:p>
      <w:pPr>
        <w:pStyle w:val="BodyText"/>
        <w:spacing w:before="1"/>
        <w:rPr>
          <w:sz w:val="14"/>
        </w:rPr>
      </w:pPr>
    </w:p>
    <w:p>
      <w:pPr>
        <w:spacing w:line="283" w:lineRule="auto" w:before="0"/>
        <w:ind w:left="121" w:right="105" w:firstLine="0"/>
        <w:jc w:val="both"/>
        <w:rPr>
          <w:sz w:val="19"/>
        </w:rPr>
      </w:pPr>
      <w:r>
        <w:rPr>
          <w:position w:val="10"/>
          <w:sz w:val="12"/>
        </w:rPr>
        <w:t>115 </w:t>
      </w:r>
      <w:r>
        <w:rPr>
          <w:sz w:val="19"/>
        </w:rPr>
        <w:t>“...el valor de la educación es reconocido universalmente; puede diferir en cuánto o para qué y para quiénes es valiosa, pero se sabe que en la construcción de la nación, en la realización del progreso y la modernización o la revolución, la educación de los jóvenes y del ciudadano es una de las tareas más importantes que debe emprender el gobierno” (Padua. 1998:84) y el sector privado (Santiago y Avila. 2001:21).</w:t>
      </w:r>
    </w:p>
    <w:p>
      <w:pPr>
        <w:spacing w:line="283" w:lineRule="auto" w:before="160"/>
        <w:ind w:left="121" w:right="107" w:firstLine="0"/>
        <w:jc w:val="both"/>
        <w:rPr>
          <w:sz w:val="19"/>
        </w:rPr>
      </w:pPr>
      <w:r>
        <w:rPr>
          <w:position w:val="10"/>
          <w:sz w:val="12"/>
        </w:rPr>
        <w:t>116 </w:t>
      </w:r>
      <w:r>
        <w:rPr>
          <w:sz w:val="19"/>
        </w:rPr>
        <w:t>La educación pública también es útil para el crecimiento, debido a que da a la juventud derechos de propiedad sobre su propio capital humano, los cuales son equivalentes a los ingresos. Saint-Paul, 1994:    i).</w:t>
      </w:r>
    </w:p>
    <w:p>
      <w:pPr>
        <w:spacing w:after="0" w:line="283" w:lineRule="auto"/>
        <w:jc w:val="both"/>
        <w:rPr>
          <w:sz w:val="19"/>
        </w:rPr>
        <w:sectPr>
          <w:pgSz w:w="11900" w:h="16840"/>
          <w:pgMar w:header="0" w:footer="1679" w:top="1600" w:bottom="1860" w:left="1280" w:right="1280"/>
        </w:sectPr>
      </w:pPr>
    </w:p>
    <w:p>
      <w:pPr>
        <w:pStyle w:val="BodyText"/>
        <w:rPr>
          <w:sz w:val="20"/>
        </w:rPr>
      </w:pPr>
    </w:p>
    <w:p>
      <w:pPr>
        <w:pStyle w:val="BodyText"/>
        <w:spacing w:before="8"/>
        <w:rPr>
          <w:sz w:val="18"/>
        </w:rPr>
      </w:pPr>
    </w:p>
    <w:p>
      <w:pPr>
        <w:pStyle w:val="BodyText"/>
        <w:spacing w:line="357" w:lineRule="auto" w:before="74"/>
        <w:ind w:left="181" w:right="103"/>
        <w:jc w:val="both"/>
      </w:pPr>
      <w:r>
        <w:rPr/>
        <w:t>entre el número de empleados de nivel profesional y el de quienes egresaron de las instituciones de enseñanza superior (IES) era de 1.4 lo que significa que durante esos años existía más de un puesto de trabajo de ese nivel para cada egresado de las IES. Esa relación llegó a 0.27 en el periodo comprendido entre 1980 y 1990, tendencia que continuaría para las décadas siguientes</w:t>
      </w:r>
      <w:r>
        <w:rPr>
          <w:position w:val="11"/>
          <w:sz w:val="15"/>
        </w:rPr>
        <w:t>117  </w:t>
      </w:r>
      <w:r>
        <w:rPr/>
        <w:t>(Muñoz,</w:t>
      </w:r>
      <w:r>
        <w:rPr>
          <w:spacing w:val="57"/>
        </w:rPr>
        <w:t> </w:t>
      </w:r>
      <w:r>
        <w:rPr/>
        <w:t>1998:180,181).</w:t>
      </w:r>
    </w:p>
    <w:p>
      <w:pPr>
        <w:pStyle w:val="BodyText"/>
        <w:rPr>
          <w:sz w:val="28"/>
        </w:rPr>
      </w:pPr>
    </w:p>
    <w:p>
      <w:pPr>
        <w:pStyle w:val="BodyText"/>
        <w:spacing w:before="4"/>
        <w:rPr>
          <w:sz w:val="40"/>
        </w:rPr>
      </w:pPr>
    </w:p>
    <w:p>
      <w:pPr>
        <w:pStyle w:val="Heading4"/>
        <w:spacing w:line="364" w:lineRule="auto"/>
        <w:ind w:left="4340" w:right="403" w:hanging="3759"/>
      </w:pPr>
      <w:r>
        <w:rPr/>
        <w:t>Cuadro 1. Tasas de retorno por nivel de instrucción por grupos de edad en México</w:t>
      </w:r>
    </w:p>
    <w:p>
      <w:pPr>
        <w:pStyle w:val="BodyText"/>
        <w:spacing w:before="7"/>
        <w:rPr>
          <w:b/>
          <w:sz w:val="1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12"/>
        <w:gridCol w:w="2912"/>
        <w:gridCol w:w="2914"/>
      </w:tblGrid>
      <w:tr>
        <w:trPr>
          <w:trHeight w:val="396" w:hRule="exact"/>
        </w:trPr>
        <w:tc>
          <w:tcPr>
            <w:tcW w:w="2912" w:type="dxa"/>
            <w:tcBorders>
              <w:right w:val="single" w:sz="3" w:space="0" w:color="000000"/>
            </w:tcBorders>
          </w:tcPr>
          <w:p>
            <w:pPr>
              <w:pStyle w:val="TableParagraph"/>
              <w:spacing w:before="58"/>
              <w:ind w:left="62"/>
              <w:jc w:val="left"/>
              <w:rPr>
                <w:sz w:val="23"/>
              </w:rPr>
            </w:pPr>
            <w:r>
              <w:rPr>
                <w:sz w:val="23"/>
              </w:rPr>
              <w:t>Nivel de instrucción</w:t>
            </w:r>
          </w:p>
        </w:tc>
        <w:tc>
          <w:tcPr>
            <w:tcW w:w="2912" w:type="dxa"/>
            <w:tcBorders>
              <w:left w:val="single" w:sz="3" w:space="0" w:color="000000"/>
            </w:tcBorders>
          </w:tcPr>
          <w:p>
            <w:pPr>
              <w:pStyle w:val="TableParagraph"/>
              <w:spacing w:before="58"/>
              <w:ind w:left="65"/>
              <w:jc w:val="left"/>
              <w:rPr>
                <w:sz w:val="23"/>
              </w:rPr>
            </w:pPr>
            <w:r>
              <w:rPr>
                <w:sz w:val="23"/>
              </w:rPr>
              <w:t>20-34 Años</w:t>
            </w:r>
          </w:p>
        </w:tc>
        <w:tc>
          <w:tcPr>
            <w:tcW w:w="2914" w:type="dxa"/>
          </w:tcPr>
          <w:p>
            <w:pPr>
              <w:pStyle w:val="TableParagraph"/>
              <w:spacing w:before="58"/>
              <w:ind w:left="65"/>
              <w:jc w:val="left"/>
              <w:rPr>
                <w:sz w:val="23"/>
              </w:rPr>
            </w:pPr>
            <w:r>
              <w:rPr>
                <w:sz w:val="23"/>
              </w:rPr>
              <w:t>35-49 Años</w:t>
            </w:r>
          </w:p>
        </w:tc>
      </w:tr>
      <w:tr>
        <w:trPr>
          <w:trHeight w:val="394" w:hRule="exact"/>
        </w:trPr>
        <w:tc>
          <w:tcPr>
            <w:tcW w:w="2912" w:type="dxa"/>
            <w:tcBorders>
              <w:right w:val="single" w:sz="3" w:space="0" w:color="000000"/>
            </w:tcBorders>
          </w:tcPr>
          <w:p>
            <w:pPr>
              <w:pStyle w:val="TableParagraph"/>
              <w:spacing w:before="58"/>
              <w:ind w:left="62"/>
              <w:jc w:val="left"/>
              <w:rPr>
                <w:sz w:val="23"/>
              </w:rPr>
            </w:pPr>
            <w:r>
              <w:rPr>
                <w:sz w:val="23"/>
              </w:rPr>
              <w:t>1 a 3 años de primaria</w:t>
            </w:r>
          </w:p>
        </w:tc>
        <w:tc>
          <w:tcPr>
            <w:tcW w:w="2912" w:type="dxa"/>
            <w:tcBorders>
              <w:left w:val="single" w:sz="3" w:space="0" w:color="000000"/>
            </w:tcBorders>
          </w:tcPr>
          <w:p>
            <w:pPr>
              <w:pStyle w:val="TableParagraph"/>
              <w:spacing w:before="58"/>
              <w:ind w:left="65"/>
              <w:jc w:val="left"/>
              <w:rPr>
                <w:sz w:val="23"/>
              </w:rPr>
            </w:pPr>
            <w:r>
              <w:rPr>
                <w:sz w:val="23"/>
              </w:rPr>
              <w:t>12.98</w:t>
            </w:r>
          </w:p>
        </w:tc>
        <w:tc>
          <w:tcPr>
            <w:tcW w:w="2914" w:type="dxa"/>
          </w:tcPr>
          <w:p>
            <w:pPr>
              <w:pStyle w:val="TableParagraph"/>
              <w:spacing w:before="58"/>
              <w:ind w:left="65"/>
              <w:jc w:val="left"/>
              <w:rPr>
                <w:sz w:val="23"/>
              </w:rPr>
            </w:pPr>
            <w:r>
              <w:rPr>
                <w:sz w:val="23"/>
              </w:rPr>
              <w:t>15.30</w:t>
            </w:r>
          </w:p>
        </w:tc>
      </w:tr>
      <w:tr>
        <w:trPr>
          <w:trHeight w:val="396" w:hRule="exact"/>
        </w:trPr>
        <w:tc>
          <w:tcPr>
            <w:tcW w:w="2912" w:type="dxa"/>
            <w:tcBorders>
              <w:right w:val="single" w:sz="3" w:space="0" w:color="000000"/>
            </w:tcBorders>
          </w:tcPr>
          <w:p>
            <w:pPr>
              <w:pStyle w:val="TableParagraph"/>
              <w:spacing w:before="58"/>
              <w:ind w:left="62"/>
              <w:jc w:val="left"/>
              <w:rPr>
                <w:sz w:val="23"/>
              </w:rPr>
            </w:pPr>
            <w:r>
              <w:rPr>
                <w:sz w:val="23"/>
              </w:rPr>
              <w:t>4 a 5 años de primaria</w:t>
            </w:r>
          </w:p>
        </w:tc>
        <w:tc>
          <w:tcPr>
            <w:tcW w:w="2912" w:type="dxa"/>
            <w:tcBorders>
              <w:left w:val="single" w:sz="3" w:space="0" w:color="000000"/>
            </w:tcBorders>
          </w:tcPr>
          <w:p>
            <w:pPr>
              <w:pStyle w:val="TableParagraph"/>
              <w:spacing w:before="58"/>
              <w:ind w:left="194"/>
              <w:jc w:val="left"/>
              <w:rPr>
                <w:sz w:val="23"/>
              </w:rPr>
            </w:pPr>
            <w:r>
              <w:rPr>
                <w:sz w:val="23"/>
              </w:rPr>
              <w:t>5.48</w:t>
            </w:r>
          </w:p>
        </w:tc>
        <w:tc>
          <w:tcPr>
            <w:tcW w:w="2914" w:type="dxa"/>
          </w:tcPr>
          <w:p>
            <w:pPr>
              <w:pStyle w:val="TableParagraph"/>
              <w:spacing w:before="58"/>
              <w:ind w:left="129"/>
              <w:jc w:val="left"/>
              <w:rPr>
                <w:sz w:val="23"/>
              </w:rPr>
            </w:pPr>
            <w:r>
              <w:rPr>
                <w:sz w:val="23"/>
              </w:rPr>
              <w:t>-4.64</w:t>
            </w:r>
          </w:p>
        </w:tc>
      </w:tr>
      <w:tr>
        <w:trPr>
          <w:trHeight w:val="394" w:hRule="exact"/>
        </w:trPr>
        <w:tc>
          <w:tcPr>
            <w:tcW w:w="2912" w:type="dxa"/>
            <w:tcBorders>
              <w:right w:val="single" w:sz="3" w:space="0" w:color="000000"/>
            </w:tcBorders>
          </w:tcPr>
          <w:p>
            <w:pPr>
              <w:pStyle w:val="TableParagraph"/>
              <w:spacing w:before="58"/>
              <w:ind w:left="62"/>
              <w:jc w:val="left"/>
              <w:rPr>
                <w:sz w:val="23"/>
              </w:rPr>
            </w:pPr>
            <w:r>
              <w:rPr>
                <w:sz w:val="23"/>
              </w:rPr>
              <w:t>Primaria completa</w:t>
            </w:r>
          </w:p>
        </w:tc>
        <w:tc>
          <w:tcPr>
            <w:tcW w:w="2912" w:type="dxa"/>
            <w:tcBorders>
              <w:left w:val="single" w:sz="3" w:space="0" w:color="000000"/>
            </w:tcBorders>
          </w:tcPr>
          <w:p>
            <w:pPr>
              <w:pStyle w:val="TableParagraph"/>
              <w:spacing w:before="58"/>
              <w:ind w:left="194"/>
              <w:jc w:val="left"/>
              <w:rPr>
                <w:sz w:val="23"/>
              </w:rPr>
            </w:pPr>
            <w:r>
              <w:rPr>
                <w:sz w:val="23"/>
              </w:rPr>
              <w:t>8.48</w:t>
            </w:r>
          </w:p>
        </w:tc>
        <w:tc>
          <w:tcPr>
            <w:tcW w:w="2914" w:type="dxa"/>
          </w:tcPr>
          <w:p>
            <w:pPr>
              <w:pStyle w:val="TableParagraph"/>
              <w:spacing w:before="58"/>
              <w:ind w:left="64"/>
              <w:jc w:val="left"/>
              <w:rPr>
                <w:sz w:val="23"/>
              </w:rPr>
            </w:pPr>
            <w:r>
              <w:rPr>
                <w:sz w:val="23"/>
              </w:rPr>
              <w:t>22.25</w:t>
            </w:r>
          </w:p>
        </w:tc>
      </w:tr>
      <w:tr>
        <w:trPr>
          <w:trHeight w:val="396" w:hRule="exact"/>
        </w:trPr>
        <w:tc>
          <w:tcPr>
            <w:tcW w:w="2912" w:type="dxa"/>
            <w:tcBorders>
              <w:right w:val="single" w:sz="3" w:space="0" w:color="000000"/>
            </w:tcBorders>
          </w:tcPr>
          <w:p>
            <w:pPr>
              <w:pStyle w:val="TableParagraph"/>
              <w:spacing w:before="58"/>
              <w:ind w:left="62"/>
              <w:jc w:val="left"/>
              <w:rPr>
                <w:sz w:val="23"/>
              </w:rPr>
            </w:pPr>
            <w:r>
              <w:rPr>
                <w:sz w:val="23"/>
              </w:rPr>
              <w:t>Primaria +capacitación</w:t>
            </w:r>
          </w:p>
        </w:tc>
        <w:tc>
          <w:tcPr>
            <w:tcW w:w="2912" w:type="dxa"/>
            <w:tcBorders>
              <w:left w:val="single" w:sz="3" w:space="0" w:color="000000"/>
            </w:tcBorders>
          </w:tcPr>
          <w:p>
            <w:pPr>
              <w:pStyle w:val="TableParagraph"/>
              <w:spacing w:before="58"/>
              <w:ind w:left="65"/>
              <w:jc w:val="left"/>
              <w:rPr>
                <w:sz w:val="23"/>
              </w:rPr>
            </w:pPr>
            <w:r>
              <w:rPr>
                <w:sz w:val="23"/>
              </w:rPr>
              <w:t>62.90</w:t>
            </w:r>
          </w:p>
        </w:tc>
        <w:tc>
          <w:tcPr>
            <w:tcW w:w="2914" w:type="dxa"/>
          </w:tcPr>
          <w:p>
            <w:pPr>
              <w:pStyle w:val="TableParagraph"/>
              <w:spacing w:before="58"/>
              <w:ind w:left="65"/>
              <w:jc w:val="left"/>
              <w:rPr>
                <w:sz w:val="23"/>
              </w:rPr>
            </w:pPr>
            <w:r>
              <w:rPr>
                <w:sz w:val="23"/>
              </w:rPr>
              <w:t>24.52</w:t>
            </w:r>
          </w:p>
        </w:tc>
      </w:tr>
      <w:tr>
        <w:trPr>
          <w:trHeight w:val="394" w:hRule="exact"/>
        </w:trPr>
        <w:tc>
          <w:tcPr>
            <w:tcW w:w="2912" w:type="dxa"/>
            <w:tcBorders>
              <w:right w:val="single" w:sz="3" w:space="0" w:color="000000"/>
            </w:tcBorders>
          </w:tcPr>
          <w:p>
            <w:pPr>
              <w:pStyle w:val="TableParagraph"/>
              <w:spacing w:before="60"/>
              <w:ind w:left="62"/>
              <w:jc w:val="left"/>
              <w:rPr>
                <w:sz w:val="23"/>
              </w:rPr>
            </w:pPr>
            <w:r>
              <w:rPr>
                <w:sz w:val="23"/>
              </w:rPr>
              <w:t>Secundaria incompleta</w:t>
            </w:r>
          </w:p>
        </w:tc>
        <w:tc>
          <w:tcPr>
            <w:tcW w:w="2912" w:type="dxa"/>
            <w:tcBorders>
              <w:left w:val="single" w:sz="3" w:space="0" w:color="000000"/>
            </w:tcBorders>
          </w:tcPr>
          <w:p>
            <w:pPr>
              <w:pStyle w:val="TableParagraph"/>
              <w:spacing w:before="60"/>
              <w:ind w:left="65"/>
              <w:jc w:val="left"/>
              <w:rPr>
                <w:sz w:val="23"/>
              </w:rPr>
            </w:pPr>
            <w:r>
              <w:rPr>
                <w:sz w:val="23"/>
              </w:rPr>
              <w:t>16.99</w:t>
            </w:r>
          </w:p>
        </w:tc>
        <w:tc>
          <w:tcPr>
            <w:tcW w:w="2914" w:type="dxa"/>
          </w:tcPr>
          <w:p>
            <w:pPr>
              <w:pStyle w:val="TableParagraph"/>
              <w:spacing w:before="60"/>
              <w:ind w:left="65"/>
              <w:jc w:val="left"/>
              <w:rPr>
                <w:sz w:val="23"/>
              </w:rPr>
            </w:pPr>
            <w:r>
              <w:rPr>
                <w:sz w:val="23"/>
              </w:rPr>
              <w:t>18.43</w:t>
            </w:r>
          </w:p>
        </w:tc>
      </w:tr>
      <w:tr>
        <w:trPr>
          <w:trHeight w:val="398" w:hRule="exact"/>
        </w:trPr>
        <w:tc>
          <w:tcPr>
            <w:tcW w:w="2912" w:type="dxa"/>
            <w:tcBorders>
              <w:right w:val="single" w:sz="3" w:space="0" w:color="000000"/>
            </w:tcBorders>
          </w:tcPr>
          <w:p>
            <w:pPr>
              <w:pStyle w:val="TableParagraph"/>
              <w:spacing w:before="60"/>
              <w:ind w:left="62"/>
              <w:jc w:val="left"/>
              <w:rPr>
                <w:sz w:val="23"/>
              </w:rPr>
            </w:pPr>
            <w:r>
              <w:rPr>
                <w:sz w:val="23"/>
              </w:rPr>
              <w:t>Secundaria completa</w:t>
            </w:r>
          </w:p>
        </w:tc>
        <w:tc>
          <w:tcPr>
            <w:tcW w:w="2912" w:type="dxa"/>
            <w:tcBorders>
              <w:left w:val="single" w:sz="3" w:space="0" w:color="000000"/>
            </w:tcBorders>
          </w:tcPr>
          <w:p>
            <w:pPr>
              <w:pStyle w:val="TableParagraph"/>
              <w:spacing w:before="60"/>
              <w:ind w:left="129"/>
              <w:jc w:val="left"/>
              <w:rPr>
                <w:sz w:val="23"/>
              </w:rPr>
            </w:pPr>
            <w:r>
              <w:rPr>
                <w:sz w:val="23"/>
              </w:rPr>
              <w:t>-4.87</w:t>
            </w:r>
          </w:p>
        </w:tc>
        <w:tc>
          <w:tcPr>
            <w:tcW w:w="2914" w:type="dxa"/>
          </w:tcPr>
          <w:p>
            <w:pPr>
              <w:pStyle w:val="TableParagraph"/>
              <w:spacing w:before="60"/>
              <w:ind w:left="194"/>
              <w:jc w:val="left"/>
              <w:rPr>
                <w:sz w:val="23"/>
              </w:rPr>
            </w:pPr>
            <w:r>
              <w:rPr>
                <w:sz w:val="23"/>
              </w:rPr>
              <w:t>6.76</w:t>
            </w:r>
          </w:p>
        </w:tc>
      </w:tr>
      <w:tr>
        <w:trPr>
          <w:trHeight w:val="394" w:hRule="exact"/>
        </w:trPr>
        <w:tc>
          <w:tcPr>
            <w:tcW w:w="2912" w:type="dxa"/>
            <w:tcBorders>
              <w:right w:val="single" w:sz="3" w:space="0" w:color="000000"/>
            </w:tcBorders>
          </w:tcPr>
          <w:p>
            <w:pPr>
              <w:pStyle w:val="TableParagraph"/>
              <w:spacing w:before="58"/>
              <w:ind w:left="62"/>
              <w:jc w:val="left"/>
              <w:rPr>
                <w:sz w:val="23"/>
              </w:rPr>
            </w:pPr>
            <w:r>
              <w:rPr>
                <w:sz w:val="23"/>
              </w:rPr>
              <w:t>Preparatoria</w:t>
            </w:r>
          </w:p>
        </w:tc>
        <w:tc>
          <w:tcPr>
            <w:tcW w:w="2912" w:type="dxa"/>
            <w:tcBorders>
              <w:left w:val="single" w:sz="3" w:space="0" w:color="000000"/>
            </w:tcBorders>
          </w:tcPr>
          <w:p>
            <w:pPr>
              <w:pStyle w:val="TableParagraph"/>
              <w:spacing w:before="58"/>
              <w:ind w:left="64"/>
              <w:jc w:val="left"/>
              <w:rPr>
                <w:sz w:val="23"/>
              </w:rPr>
            </w:pPr>
            <w:r>
              <w:rPr>
                <w:sz w:val="23"/>
              </w:rPr>
              <w:t>12.68</w:t>
            </w:r>
          </w:p>
        </w:tc>
        <w:tc>
          <w:tcPr>
            <w:tcW w:w="2914" w:type="dxa"/>
          </w:tcPr>
          <w:p>
            <w:pPr>
              <w:pStyle w:val="TableParagraph"/>
              <w:spacing w:before="58"/>
              <w:ind w:left="65"/>
              <w:jc w:val="left"/>
              <w:rPr>
                <w:sz w:val="23"/>
              </w:rPr>
            </w:pPr>
            <w:r>
              <w:rPr>
                <w:sz w:val="23"/>
              </w:rPr>
              <w:t>12.84</w:t>
            </w:r>
          </w:p>
        </w:tc>
      </w:tr>
      <w:tr>
        <w:trPr>
          <w:trHeight w:val="396" w:hRule="exact"/>
        </w:trPr>
        <w:tc>
          <w:tcPr>
            <w:tcW w:w="2912" w:type="dxa"/>
            <w:tcBorders>
              <w:right w:val="single" w:sz="3" w:space="0" w:color="000000"/>
            </w:tcBorders>
          </w:tcPr>
          <w:p>
            <w:pPr>
              <w:pStyle w:val="TableParagraph"/>
              <w:spacing w:before="58"/>
              <w:ind w:left="62"/>
              <w:jc w:val="left"/>
              <w:rPr>
                <w:sz w:val="23"/>
              </w:rPr>
            </w:pPr>
            <w:r>
              <w:rPr>
                <w:sz w:val="23"/>
              </w:rPr>
              <w:t>Técnico medio</w:t>
            </w:r>
          </w:p>
        </w:tc>
        <w:tc>
          <w:tcPr>
            <w:tcW w:w="2912" w:type="dxa"/>
            <w:tcBorders>
              <w:left w:val="single" w:sz="3" w:space="0" w:color="000000"/>
            </w:tcBorders>
          </w:tcPr>
          <w:p>
            <w:pPr>
              <w:pStyle w:val="TableParagraph"/>
              <w:spacing w:before="58"/>
              <w:ind w:left="64"/>
              <w:jc w:val="left"/>
              <w:rPr>
                <w:sz w:val="23"/>
              </w:rPr>
            </w:pPr>
            <w:r>
              <w:rPr>
                <w:sz w:val="23"/>
              </w:rPr>
              <w:t>13.03</w:t>
            </w:r>
          </w:p>
        </w:tc>
        <w:tc>
          <w:tcPr>
            <w:tcW w:w="2914" w:type="dxa"/>
          </w:tcPr>
          <w:p>
            <w:pPr>
              <w:pStyle w:val="TableParagraph"/>
              <w:spacing w:before="58"/>
              <w:ind w:left="194"/>
              <w:jc w:val="left"/>
              <w:rPr>
                <w:sz w:val="23"/>
              </w:rPr>
            </w:pPr>
            <w:r>
              <w:rPr>
                <w:sz w:val="23"/>
              </w:rPr>
              <w:t>0.80</w:t>
            </w:r>
          </w:p>
        </w:tc>
      </w:tr>
      <w:tr>
        <w:trPr>
          <w:trHeight w:val="394" w:hRule="exact"/>
        </w:trPr>
        <w:tc>
          <w:tcPr>
            <w:tcW w:w="2912" w:type="dxa"/>
            <w:tcBorders>
              <w:right w:val="single" w:sz="3" w:space="0" w:color="000000"/>
            </w:tcBorders>
          </w:tcPr>
          <w:p>
            <w:pPr>
              <w:pStyle w:val="TableParagraph"/>
              <w:spacing w:before="58"/>
              <w:ind w:left="62"/>
              <w:jc w:val="left"/>
              <w:rPr>
                <w:sz w:val="23"/>
              </w:rPr>
            </w:pPr>
            <w:r>
              <w:rPr>
                <w:sz w:val="23"/>
              </w:rPr>
              <w:t>Técnico superior</w:t>
            </w:r>
          </w:p>
        </w:tc>
        <w:tc>
          <w:tcPr>
            <w:tcW w:w="2912" w:type="dxa"/>
            <w:tcBorders>
              <w:left w:val="single" w:sz="3" w:space="0" w:color="000000"/>
            </w:tcBorders>
          </w:tcPr>
          <w:p>
            <w:pPr>
              <w:pStyle w:val="TableParagraph"/>
              <w:spacing w:before="58"/>
              <w:ind w:left="194"/>
              <w:jc w:val="left"/>
              <w:rPr>
                <w:sz w:val="23"/>
              </w:rPr>
            </w:pPr>
            <w:r>
              <w:rPr>
                <w:sz w:val="23"/>
              </w:rPr>
              <w:t>3.66</w:t>
            </w:r>
          </w:p>
        </w:tc>
        <w:tc>
          <w:tcPr>
            <w:tcW w:w="2914" w:type="dxa"/>
          </w:tcPr>
          <w:p>
            <w:pPr>
              <w:pStyle w:val="TableParagraph"/>
              <w:spacing w:before="58"/>
              <w:ind w:left="129"/>
              <w:jc w:val="left"/>
              <w:rPr>
                <w:sz w:val="23"/>
              </w:rPr>
            </w:pPr>
            <w:r>
              <w:rPr>
                <w:sz w:val="23"/>
              </w:rPr>
              <w:t>-4.17</w:t>
            </w:r>
          </w:p>
        </w:tc>
      </w:tr>
      <w:tr>
        <w:trPr>
          <w:trHeight w:val="396" w:hRule="exact"/>
        </w:trPr>
        <w:tc>
          <w:tcPr>
            <w:tcW w:w="2912" w:type="dxa"/>
            <w:tcBorders>
              <w:right w:val="single" w:sz="3" w:space="0" w:color="000000"/>
            </w:tcBorders>
          </w:tcPr>
          <w:p>
            <w:pPr>
              <w:pStyle w:val="TableParagraph"/>
              <w:spacing w:before="58"/>
              <w:ind w:left="62"/>
              <w:jc w:val="left"/>
              <w:rPr>
                <w:sz w:val="23"/>
              </w:rPr>
            </w:pPr>
            <w:r>
              <w:rPr>
                <w:sz w:val="23"/>
              </w:rPr>
              <w:t>Universitaria</w:t>
            </w:r>
          </w:p>
        </w:tc>
        <w:tc>
          <w:tcPr>
            <w:tcW w:w="2912" w:type="dxa"/>
            <w:tcBorders>
              <w:left w:val="single" w:sz="3" w:space="0" w:color="000000"/>
            </w:tcBorders>
          </w:tcPr>
          <w:p>
            <w:pPr>
              <w:pStyle w:val="TableParagraph"/>
              <w:spacing w:before="58"/>
              <w:ind w:left="65"/>
              <w:jc w:val="left"/>
              <w:rPr>
                <w:sz w:val="23"/>
              </w:rPr>
            </w:pPr>
            <w:r>
              <w:rPr>
                <w:sz w:val="23"/>
              </w:rPr>
              <w:t>14.98</w:t>
            </w:r>
          </w:p>
        </w:tc>
        <w:tc>
          <w:tcPr>
            <w:tcW w:w="2914" w:type="dxa"/>
          </w:tcPr>
          <w:p>
            <w:pPr>
              <w:pStyle w:val="TableParagraph"/>
              <w:spacing w:before="58"/>
              <w:ind w:left="194"/>
              <w:jc w:val="left"/>
              <w:rPr>
                <w:sz w:val="23"/>
              </w:rPr>
            </w:pPr>
            <w:r>
              <w:rPr>
                <w:sz w:val="23"/>
              </w:rPr>
              <w:t>8.48</w:t>
            </w:r>
          </w:p>
        </w:tc>
      </w:tr>
    </w:tbl>
    <w:p>
      <w:pPr>
        <w:spacing w:before="0"/>
        <w:ind w:left="181" w:right="0" w:firstLine="0"/>
        <w:jc w:val="both"/>
        <w:rPr>
          <w:sz w:val="21"/>
        </w:rPr>
      </w:pPr>
      <w:r>
        <w:rPr>
          <w:sz w:val="21"/>
        </w:rPr>
        <w:t>Fuente: Padua (1998:129).</w:t>
      </w:r>
    </w:p>
    <w:p>
      <w:pPr>
        <w:pStyle w:val="BodyText"/>
        <w:spacing w:before="3"/>
        <w:rPr>
          <w:sz w:val="28"/>
        </w:rPr>
      </w:pPr>
    </w:p>
    <w:p>
      <w:pPr>
        <w:pStyle w:val="BodyText"/>
        <w:spacing w:line="364" w:lineRule="auto"/>
        <w:ind w:left="181" w:right="105"/>
        <w:jc w:val="both"/>
      </w:pPr>
      <w:r>
        <w:rPr/>
        <w:pict>
          <v:line style="position:absolute;mso-position-horizontal-relative:page;mso-position-vertical-relative:paragraph;z-index:18424;mso-wrap-distance-left:0;mso-wrap-distance-right:0" from="70.080002pt,105.826355pt" to="210.239999pt,105.826355pt" stroked="true" strokeweight=".72pt" strokecolor="#000000">
            <w10:wrap type="topAndBottom"/>
          </v:line>
        </w:pict>
      </w:r>
      <w:r>
        <w:rPr/>
        <w:t>En cuanto a las tasas de retorno a la educación en México, los datos del Cuadro 1 representan sólo los diferenciales con respecto al nivel inmediato anterior, por lo cual la tasa de retorno total para un determinado nivel de educación es el resultado de sumar  los números  anteriores. Empero, según Muñoz (1998:186), durante los últimos años,   las tasas de rendimiento de las inversiones en educación han tendido hacia la </w:t>
      </w:r>
      <w:r>
        <w:rPr>
          <w:spacing w:val="27"/>
        </w:rPr>
        <w:t> </w:t>
      </w:r>
      <w:r>
        <w:rPr/>
        <w:t>baja.</w:t>
      </w:r>
    </w:p>
    <w:p>
      <w:pPr>
        <w:spacing w:line="283" w:lineRule="auto" w:before="39"/>
        <w:ind w:left="181" w:right="104" w:firstLine="0"/>
        <w:jc w:val="both"/>
        <w:rPr>
          <w:sz w:val="19"/>
        </w:rPr>
      </w:pPr>
      <w:r>
        <w:rPr>
          <w:position w:val="10"/>
          <w:sz w:val="12"/>
        </w:rPr>
        <w:t>117 </w:t>
      </w:r>
      <w:r>
        <w:rPr>
          <w:sz w:val="19"/>
        </w:rPr>
        <w:t>Esto quiere decir que además del nivel educativo hay algo que está impidiendo el ingreso de la  población al sector productivo. Un nuevo paradigma empresarial con un contenido social más alto es posible. Al respecto, Adelman y Taylor (1990:400), han descubierto  que  una  política de  salarios  más altos produce un sorpresivo crecimiento relativo en los sectores productivos de bienes salario, especialmente en los sectores productores de alimentos. Esto llevaría no solo a dinamizar la economía  rural si no a todo el sistema económico en su conjunto favoreciendo al creación de   </w:t>
      </w:r>
      <w:r>
        <w:rPr>
          <w:spacing w:val="10"/>
          <w:sz w:val="19"/>
        </w:rPr>
        <w:t> </w:t>
      </w:r>
      <w:r>
        <w:rPr>
          <w:sz w:val="19"/>
        </w:rPr>
        <w:t>más empleos.</w:t>
      </w:r>
    </w:p>
    <w:p>
      <w:pPr>
        <w:spacing w:after="0" w:line="283" w:lineRule="auto"/>
        <w:jc w:val="both"/>
        <w:rPr>
          <w:sz w:val="19"/>
        </w:rPr>
        <w:sectPr>
          <w:pgSz w:w="11900" w:h="16840"/>
          <w:pgMar w:header="0" w:footer="1679" w:top="1600" w:bottom="1860" w:left="1220" w:right="1280"/>
        </w:sectPr>
      </w:pPr>
    </w:p>
    <w:p>
      <w:pPr>
        <w:pStyle w:val="BodyText"/>
        <w:rPr>
          <w:sz w:val="20"/>
        </w:rPr>
      </w:pPr>
    </w:p>
    <w:p>
      <w:pPr>
        <w:pStyle w:val="BodyText"/>
        <w:spacing w:before="8"/>
        <w:rPr>
          <w:sz w:val="18"/>
        </w:rPr>
      </w:pPr>
    </w:p>
    <w:p>
      <w:pPr>
        <w:pStyle w:val="BodyText"/>
        <w:spacing w:line="364" w:lineRule="auto" w:before="74"/>
        <w:ind w:left="181" w:right="103"/>
        <w:jc w:val="both"/>
      </w:pPr>
      <w:r>
        <w:rPr/>
        <w:t>Es posible relacionar las diferenciales negativas en las tasas de retorno  a  la  escolaridad con la emigración considerando que los empleadores tienen ciertas preferencias con respecto a la edad y la escolaridad de sus empleados creando una sobre oferta relativa de fuerza de trabajo, para ese tipo de empleos y rangos de edad, que para sostenerse ha de emigrar o refugiarse en el sector informal donde </w:t>
      </w:r>
      <w:r>
        <w:rPr>
          <w:i/>
        </w:rPr>
        <w:t>prevalecen </w:t>
      </w:r>
      <w:r>
        <w:rPr/>
        <w:t>los menores salarios (Muñoz,</w:t>
      </w:r>
      <w:r>
        <w:rPr>
          <w:spacing w:val="41"/>
        </w:rPr>
        <w:t> </w:t>
      </w:r>
      <w:r>
        <w:rPr/>
        <w:t>1998:189).</w:t>
      </w:r>
    </w:p>
    <w:p>
      <w:pPr>
        <w:pStyle w:val="BodyText"/>
        <w:spacing w:before="4"/>
        <w:rPr>
          <w:sz w:val="17"/>
        </w:rPr>
      </w:pPr>
    </w:p>
    <w:p>
      <w:pPr>
        <w:pStyle w:val="BodyText"/>
        <w:spacing w:line="364" w:lineRule="auto"/>
        <w:ind w:left="181" w:right="104"/>
        <w:jc w:val="both"/>
      </w:pPr>
      <w:r>
        <w:rPr/>
        <w:t>Un punto de vista complementario radica en que: “El hecho de que los más preparados se encuentren en una posición ventajosa y tengan mayores probabilidades de hallar empleos urbanos mejor remunerados que los menos educados no se debe tanto a su adiestramiento superior como al fenómeno generalizado de la ‘filtración hacia abajo’ o    el ‘desplazamiento ocupacional’ que caracteriza los mercados de mano de obra de los países menos desarrollados. Frente a un número de solicitantes mayor que el de los empleos disponibles, los gobiernos y los empleadores privados tienden a seleccionar individuos de acuerdo con su nivel de certificación </w:t>
      </w:r>
      <w:r>
        <w:rPr>
          <w:spacing w:val="3"/>
        </w:rPr>
        <w:t> </w:t>
      </w:r>
      <w:r>
        <w:rPr/>
        <w:t>educativa.</w:t>
      </w:r>
    </w:p>
    <w:p>
      <w:pPr>
        <w:pStyle w:val="Heading4"/>
        <w:spacing w:line="364" w:lineRule="auto" w:before="194"/>
        <w:ind w:left="181" w:right="105"/>
        <w:jc w:val="both"/>
      </w:pPr>
      <w:r>
        <w:rPr/>
        <w:t>Cuadro 2. Escolaridad de la población que desempeña ocupaciones formales e informales, 1988 en los municipios de 100 mil y más habitantes.  México</w:t>
      </w:r>
    </w:p>
    <w:p>
      <w:pPr>
        <w:pStyle w:val="BodyText"/>
        <w:spacing w:before="6"/>
        <w:rPr>
          <w:b/>
          <w:sz w:val="1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51"/>
        <w:gridCol w:w="2899"/>
        <w:gridCol w:w="3288"/>
      </w:tblGrid>
      <w:tr>
        <w:trPr>
          <w:trHeight w:val="394" w:hRule="exact"/>
        </w:trPr>
        <w:tc>
          <w:tcPr>
            <w:tcW w:w="2551" w:type="dxa"/>
          </w:tcPr>
          <w:p>
            <w:pPr>
              <w:pStyle w:val="TableParagraph"/>
              <w:spacing w:before="58"/>
              <w:ind w:left="62"/>
              <w:jc w:val="left"/>
              <w:rPr>
                <w:sz w:val="23"/>
              </w:rPr>
            </w:pPr>
            <w:r>
              <w:rPr>
                <w:sz w:val="23"/>
              </w:rPr>
              <w:t>Escolaridad</w:t>
            </w:r>
          </w:p>
        </w:tc>
        <w:tc>
          <w:tcPr>
            <w:tcW w:w="2899" w:type="dxa"/>
          </w:tcPr>
          <w:p>
            <w:pPr>
              <w:pStyle w:val="TableParagraph"/>
              <w:spacing w:before="58"/>
              <w:ind w:left="64"/>
              <w:jc w:val="left"/>
              <w:rPr>
                <w:sz w:val="23"/>
              </w:rPr>
            </w:pPr>
            <w:r>
              <w:rPr>
                <w:sz w:val="23"/>
              </w:rPr>
              <w:t>Ocupaciones formales (%)</w:t>
            </w:r>
          </w:p>
        </w:tc>
        <w:tc>
          <w:tcPr>
            <w:tcW w:w="3288" w:type="dxa"/>
          </w:tcPr>
          <w:p>
            <w:pPr>
              <w:pStyle w:val="TableParagraph"/>
              <w:spacing w:before="58"/>
              <w:ind w:left="62"/>
              <w:jc w:val="left"/>
              <w:rPr>
                <w:sz w:val="23"/>
              </w:rPr>
            </w:pPr>
            <w:r>
              <w:rPr>
                <w:sz w:val="23"/>
              </w:rPr>
              <w:t>Ocupaciones informales (%)</w:t>
            </w:r>
          </w:p>
        </w:tc>
      </w:tr>
      <w:tr>
        <w:trPr>
          <w:trHeight w:val="396" w:hRule="exact"/>
        </w:trPr>
        <w:tc>
          <w:tcPr>
            <w:tcW w:w="2551" w:type="dxa"/>
          </w:tcPr>
          <w:p>
            <w:pPr>
              <w:pStyle w:val="TableParagraph"/>
              <w:spacing w:before="58"/>
              <w:ind w:left="62"/>
              <w:jc w:val="left"/>
              <w:rPr>
                <w:sz w:val="23"/>
              </w:rPr>
            </w:pPr>
            <w:r>
              <w:rPr>
                <w:sz w:val="23"/>
              </w:rPr>
              <w:t>Sin escolaridad</w:t>
            </w:r>
          </w:p>
        </w:tc>
        <w:tc>
          <w:tcPr>
            <w:tcW w:w="2899" w:type="dxa"/>
          </w:tcPr>
          <w:p>
            <w:pPr>
              <w:pStyle w:val="TableParagraph"/>
              <w:spacing w:before="58"/>
              <w:ind w:left="194"/>
              <w:jc w:val="left"/>
              <w:rPr>
                <w:sz w:val="23"/>
              </w:rPr>
            </w:pPr>
            <w:r>
              <w:rPr>
                <w:sz w:val="23"/>
              </w:rPr>
              <w:t>2.2</w:t>
            </w:r>
          </w:p>
        </w:tc>
        <w:tc>
          <w:tcPr>
            <w:tcW w:w="3288" w:type="dxa"/>
          </w:tcPr>
          <w:p>
            <w:pPr>
              <w:pStyle w:val="TableParagraph"/>
              <w:spacing w:before="58"/>
              <w:ind w:left="192"/>
              <w:jc w:val="left"/>
              <w:rPr>
                <w:sz w:val="23"/>
              </w:rPr>
            </w:pPr>
            <w:r>
              <w:rPr>
                <w:sz w:val="23"/>
              </w:rPr>
              <w:t>9.0</w:t>
            </w:r>
          </w:p>
        </w:tc>
      </w:tr>
      <w:tr>
        <w:trPr>
          <w:trHeight w:val="394" w:hRule="exact"/>
        </w:trPr>
        <w:tc>
          <w:tcPr>
            <w:tcW w:w="2551" w:type="dxa"/>
          </w:tcPr>
          <w:p>
            <w:pPr>
              <w:pStyle w:val="TableParagraph"/>
              <w:spacing w:before="58"/>
              <w:ind w:left="62"/>
              <w:jc w:val="left"/>
              <w:rPr>
                <w:sz w:val="23"/>
              </w:rPr>
            </w:pPr>
            <w:r>
              <w:rPr>
                <w:sz w:val="23"/>
              </w:rPr>
              <w:t>1-3 grados</w:t>
            </w:r>
          </w:p>
        </w:tc>
        <w:tc>
          <w:tcPr>
            <w:tcW w:w="2899" w:type="dxa"/>
          </w:tcPr>
          <w:p>
            <w:pPr>
              <w:pStyle w:val="TableParagraph"/>
              <w:spacing w:before="58"/>
              <w:ind w:left="64"/>
              <w:jc w:val="left"/>
              <w:rPr>
                <w:sz w:val="23"/>
              </w:rPr>
            </w:pPr>
            <w:r>
              <w:rPr>
                <w:sz w:val="23"/>
              </w:rPr>
              <w:t>16.0</w:t>
            </w:r>
          </w:p>
        </w:tc>
        <w:tc>
          <w:tcPr>
            <w:tcW w:w="3288" w:type="dxa"/>
          </w:tcPr>
          <w:p>
            <w:pPr>
              <w:pStyle w:val="TableParagraph"/>
              <w:spacing w:before="58"/>
              <w:ind w:left="62"/>
              <w:jc w:val="left"/>
              <w:rPr>
                <w:sz w:val="23"/>
              </w:rPr>
            </w:pPr>
            <w:r>
              <w:rPr>
                <w:sz w:val="23"/>
              </w:rPr>
              <w:t>19.9</w:t>
            </w:r>
          </w:p>
        </w:tc>
      </w:tr>
      <w:tr>
        <w:trPr>
          <w:trHeight w:val="396" w:hRule="exact"/>
        </w:trPr>
        <w:tc>
          <w:tcPr>
            <w:tcW w:w="2551" w:type="dxa"/>
          </w:tcPr>
          <w:p>
            <w:pPr>
              <w:pStyle w:val="TableParagraph"/>
              <w:spacing w:before="58"/>
              <w:ind w:left="62"/>
              <w:jc w:val="left"/>
              <w:rPr>
                <w:sz w:val="23"/>
              </w:rPr>
            </w:pPr>
            <w:r>
              <w:rPr>
                <w:sz w:val="23"/>
              </w:rPr>
              <w:t>4-5 grados</w:t>
            </w:r>
          </w:p>
        </w:tc>
        <w:tc>
          <w:tcPr>
            <w:tcW w:w="2899" w:type="dxa"/>
          </w:tcPr>
          <w:p>
            <w:pPr>
              <w:pStyle w:val="TableParagraph"/>
              <w:spacing w:before="58"/>
              <w:ind w:left="194"/>
              <w:jc w:val="left"/>
              <w:rPr>
                <w:sz w:val="23"/>
              </w:rPr>
            </w:pPr>
            <w:r>
              <w:rPr>
                <w:sz w:val="23"/>
              </w:rPr>
              <w:t>3.8</w:t>
            </w:r>
          </w:p>
        </w:tc>
        <w:tc>
          <w:tcPr>
            <w:tcW w:w="3288" w:type="dxa"/>
          </w:tcPr>
          <w:p>
            <w:pPr>
              <w:pStyle w:val="TableParagraph"/>
              <w:spacing w:before="58"/>
              <w:ind w:left="191"/>
              <w:jc w:val="left"/>
              <w:rPr>
                <w:sz w:val="23"/>
              </w:rPr>
            </w:pPr>
            <w:r>
              <w:rPr>
                <w:sz w:val="23"/>
              </w:rPr>
              <w:t>8.4</w:t>
            </w:r>
          </w:p>
        </w:tc>
      </w:tr>
      <w:tr>
        <w:trPr>
          <w:trHeight w:val="396" w:hRule="exact"/>
        </w:trPr>
        <w:tc>
          <w:tcPr>
            <w:tcW w:w="2551" w:type="dxa"/>
          </w:tcPr>
          <w:p>
            <w:pPr>
              <w:pStyle w:val="TableParagraph"/>
              <w:spacing w:before="58"/>
              <w:ind w:left="62"/>
              <w:jc w:val="left"/>
              <w:rPr>
                <w:sz w:val="23"/>
              </w:rPr>
            </w:pPr>
            <w:r>
              <w:rPr>
                <w:sz w:val="23"/>
              </w:rPr>
              <w:t>6 grados</w:t>
            </w:r>
          </w:p>
        </w:tc>
        <w:tc>
          <w:tcPr>
            <w:tcW w:w="2899" w:type="dxa"/>
          </w:tcPr>
          <w:p>
            <w:pPr>
              <w:pStyle w:val="TableParagraph"/>
              <w:spacing w:before="58"/>
              <w:ind w:left="64"/>
              <w:jc w:val="left"/>
              <w:rPr>
                <w:sz w:val="23"/>
              </w:rPr>
            </w:pPr>
            <w:r>
              <w:rPr>
                <w:sz w:val="23"/>
              </w:rPr>
              <w:t>17.7</w:t>
            </w:r>
          </w:p>
        </w:tc>
        <w:tc>
          <w:tcPr>
            <w:tcW w:w="3288" w:type="dxa"/>
          </w:tcPr>
          <w:p>
            <w:pPr>
              <w:pStyle w:val="TableParagraph"/>
              <w:spacing w:before="58"/>
              <w:ind w:left="62"/>
              <w:jc w:val="left"/>
              <w:rPr>
                <w:sz w:val="23"/>
              </w:rPr>
            </w:pPr>
            <w:r>
              <w:rPr>
                <w:sz w:val="23"/>
              </w:rPr>
              <w:t>25.1</w:t>
            </w:r>
          </w:p>
        </w:tc>
      </w:tr>
      <w:tr>
        <w:trPr>
          <w:trHeight w:val="396" w:hRule="exact"/>
        </w:trPr>
        <w:tc>
          <w:tcPr>
            <w:tcW w:w="2551" w:type="dxa"/>
          </w:tcPr>
          <w:p>
            <w:pPr>
              <w:pStyle w:val="TableParagraph"/>
              <w:spacing w:before="58"/>
              <w:ind w:left="62"/>
              <w:jc w:val="left"/>
              <w:rPr>
                <w:sz w:val="23"/>
              </w:rPr>
            </w:pPr>
            <w:r>
              <w:rPr>
                <w:sz w:val="23"/>
              </w:rPr>
              <w:t>7-9 grados</w:t>
            </w:r>
          </w:p>
        </w:tc>
        <w:tc>
          <w:tcPr>
            <w:tcW w:w="2899" w:type="dxa"/>
          </w:tcPr>
          <w:p>
            <w:pPr>
              <w:pStyle w:val="TableParagraph"/>
              <w:spacing w:before="58"/>
              <w:ind w:left="194"/>
              <w:jc w:val="left"/>
              <w:rPr>
                <w:sz w:val="23"/>
              </w:rPr>
            </w:pPr>
            <w:r>
              <w:rPr>
                <w:sz w:val="23"/>
              </w:rPr>
              <w:t>8.4</w:t>
            </w:r>
          </w:p>
        </w:tc>
        <w:tc>
          <w:tcPr>
            <w:tcW w:w="3288" w:type="dxa"/>
          </w:tcPr>
          <w:p>
            <w:pPr>
              <w:pStyle w:val="TableParagraph"/>
              <w:spacing w:before="58"/>
              <w:ind w:left="62"/>
              <w:jc w:val="left"/>
              <w:rPr>
                <w:sz w:val="23"/>
              </w:rPr>
            </w:pPr>
            <w:r>
              <w:rPr>
                <w:sz w:val="23"/>
              </w:rPr>
              <w:t>11.1</w:t>
            </w:r>
          </w:p>
        </w:tc>
      </w:tr>
      <w:tr>
        <w:trPr>
          <w:trHeight w:val="394" w:hRule="exact"/>
        </w:trPr>
        <w:tc>
          <w:tcPr>
            <w:tcW w:w="2551" w:type="dxa"/>
          </w:tcPr>
          <w:p>
            <w:pPr>
              <w:pStyle w:val="TableParagraph"/>
              <w:spacing w:before="55"/>
              <w:ind w:left="62"/>
              <w:jc w:val="left"/>
              <w:rPr>
                <w:sz w:val="23"/>
              </w:rPr>
            </w:pPr>
            <w:r>
              <w:rPr>
                <w:sz w:val="23"/>
              </w:rPr>
              <w:t>10 y más grados</w:t>
            </w:r>
          </w:p>
        </w:tc>
        <w:tc>
          <w:tcPr>
            <w:tcW w:w="2899" w:type="dxa"/>
          </w:tcPr>
          <w:p>
            <w:pPr>
              <w:pStyle w:val="TableParagraph"/>
              <w:spacing w:before="55"/>
              <w:ind w:left="64"/>
              <w:jc w:val="left"/>
              <w:rPr>
                <w:sz w:val="23"/>
              </w:rPr>
            </w:pPr>
            <w:r>
              <w:rPr>
                <w:sz w:val="23"/>
              </w:rPr>
              <w:t>51.9</w:t>
            </w:r>
          </w:p>
        </w:tc>
        <w:tc>
          <w:tcPr>
            <w:tcW w:w="3288" w:type="dxa"/>
          </w:tcPr>
          <w:p>
            <w:pPr>
              <w:pStyle w:val="TableParagraph"/>
              <w:spacing w:before="55"/>
              <w:ind w:left="62"/>
              <w:jc w:val="left"/>
              <w:rPr>
                <w:sz w:val="23"/>
              </w:rPr>
            </w:pPr>
            <w:r>
              <w:rPr>
                <w:sz w:val="23"/>
              </w:rPr>
              <w:t>26.5</w:t>
            </w:r>
          </w:p>
        </w:tc>
      </w:tr>
    </w:tbl>
    <w:p>
      <w:pPr>
        <w:spacing w:before="2"/>
        <w:ind w:left="181" w:right="0" w:firstLine="0"/>
        <w:jc w:val="both"/>
        <w:rPr>
          <w:sz w:val="21"/>
        </w:rPr>
      </w:pPr>
      <w:r>
        <w:rPr>
          <w:sz w:val="21"/>
        </w:rPr>
        <w:t>Fuente: (Muñoz I., 1998:193).</w:t>
      </w:r>
    </w:p>
    <w:p>
      <w:pPr>
        <w:pStyle w:val="BodyText"/>
        <w:spacing w:before="10"/>
        <w:rPr>
          <w:sz w:val="27"/>
        </w:rPr>
      </w:pPr>
    </w:p>
    <w:p>
      <w:pPr>
        <w:pStyle w:val="BodyText"/>
        <w:spacing w:line="364" w:lineRule="auto"/>
        <w:ind w:left="181" w:right="103"/>
        <w:jc w:val="both"/>
      </w:pPr>
      <w:r>
        <w:rPr/>
        <w:t>A medida que la oferta de mano de obra urbana sigue superando a la demanda, se ponen en acción dos fuerzas. Del lado de la demanda, los empleos que antes se   cubrían con aspirantes poseedores de una escolaridad de primaria, por ejemplo, requieren ahora un certificado de la escuela secundaria. Del lado de la oferta, los aspirantes a un empleo deben obtener ahora algunos años adicionales de educación,  </w:t>
      </w:r>
      <w:r>
        <w:rPr>
          <w:spacing w:val="20"/>
        </w:rPr>
        <w:t> </w:t>
      </w:r>
      <w:r>
        <w:rPr/>
        <w:t>a</w:t>
      </w:r>
    </w:p>
    <w:p>
      <w:pPr>
        <w:spacing w:after="0" w:line="364" w:lineRule="auto"/>
        <w:jc w:val="both"/>
        <w:sectPr>
          <w:pgSz w:w="11900" w:h="16840"/>
          <w:pgMar w:header="0" w:footer="1679" w:top="1600" w:bottom="1860" w:left="1220" w:right="1280"/>
        </w:sectPr>
      </w:pPr>
    </w:p>
    <w:p>
      <w:pPr>
        <w:pStyle w:val="BodyText"/>
        <w:rPr>
          <w:sz w:val="20"/>
        </w:rPr>
      </w:pPr>
    </w:p>
    <w:p>
      <w:pPr>
        <w:pStyle w:val="BodyText"/>
        <w:spacing w:before="8"/>
        <w:rPr>
          <w:sz w:val="18"/>
        </w:rPr>
      </w:pPr>
    </w:p>
    <w:p>
      <w:pPr>
        <w:pStyle w:val="BodyText"/>
        <w:spacing w:line="331" w:lineRule="auto" w:before="74"/>
        <w:ind w:left="121" w:right="107"/>
        <w:jc w:val="both"/>
      </w:pPr>
      <w:r>
        <w:rPr/>
        <w:t>fin de ‘calificar’ para empleos que apenas unos años antes eran ocupados  por  individuos dotados de menor educación” (Todaro, </w:t>
      </w:r>
      <w:r>
        <w:rPr>
          <w:spacing w:val="9"/>
        </w:rPr>
        <w:t> </w:t>
      </w:r>
      <w:r>
        <w:rPr/>
        <w:t>1987:444)</w:t>
      </w:r>
      <w:r>
        <w:rPr>
          <w:position w:val="11"/>
          <w:sz w:val="15"/>
        </w:rPr>
        <w:t>118</w:t>
      </w:r>
      <w:r>
        <w:rPr/>
        <w:t>.</w:t>
      </w:r>
    </w:p>
    <w:p>
      <w:pPr>
        <w:pStyle w:val="BodyText"/>
        <w:spacing w:line="364" w:lineRule="auto" w:before="221"/>
        <w:ind w:left="121" w:right="103"/>
        <w:jc w:val="both"/>
      </w:pPr>
      <w:r>
        <w:rPr/>
        <w:t>En efecto, de acuerdo a los datos del cuadro 2, el porcentaje de la población con nueve años o menos de escolaridad, que desempeña actividades informales es del 73.5% en tanto que este estrato es del 48.9% en el sector formal. De ahí también se deriva que   en un mercado laboral segmentado como el mexicano, el carecer de educación formal, haber estado a punto de concluir un nivel de instrucción, o haber cumplido la educación secundaria, deshabilita para el empleo pero en mayor proporción en el sector </w:t>
      </w:r>
      <w:r>
        <w:rPr>
          <w:spacing w:val="32"/>
        </w:rPr>
        <w:t> </w:t>
      </w:r>
      <w:r>
        <w:rPr/>
        <w:t>formal.</w:t>
      </w:r>
    </w:p>
    <w:p>
      <w:pPr>
        <w:pStyle w:val="BodyText"/>
        <w:spacing w:before="7"/>
      </w:pPr>
    </w:p>
    <w:p>
      <w:pPr>
        <w:pStyle w:val="Heading3"/>
        <w:numPr>
          <w:ilvl w:val="0"/>
          <w:numId w:val="33"/>
        </w:numPr>
        <w:tabs>
          <w:tab w:pos="427" w:val="left" w:leader="none"/>
        </w:tabs>
        <w:spacing w:line="240" w:lineRule="auto" w:before="1" w:after="0"/>
        <w:ind w:left="426" w:right="0" w:hanging="305"/>
        <w:jc w:val="both"/>
      </w:pPr>
      <w:r>
        <w:rPr/>
        <w:t>Educación y Capital</w:t>
      </w:r>
      <w:r>
        <w:rPr>
          <w:spacing w:val="27"/>
        </w:rPr>
        <w:t> </w:t>
      </w:r>
      <w:r>
        <w:rPr/>
        <w:t>Humano</w:t>
      </w:r>
    </w:p>
    <w:p>
      <w:pPr>
        <w:pStyle w:val="BodyText"/>
        <w:rPr>
          <w:b/>
          <w:sz w:val="38"/>
        </w:rPr>
      </w:pPr>
    </w:p>
    <w:p>
      <w:pPr>
        <w:pStyle w:val="BodyText"/>
        <w:spacing w:line="357" w:lineRule="auto"/>
        <w:ind w:left="121" w:right="103"/>
        <w:jc w:val="both"/>
      </w:pPr>
      <w:r>
        <w:rPr/>
        <w:t>Haciendo énfasis en las contribuciones del capital humano al crecimiento económico, Mercado (2002:280,281) subraya que la competitividad basada en la formación de recursos humanos</w:t>
      </w:r>
      <w:r>
        <w:rPr>
          <w:position w:val="11"/>
          <w:sz w:val="15"/>
        </w:rPr>
        <w:t>119 </w:t>
      </w:r>
      <w:r>
        <w:rPr/>
        <w:t>fue un rasgo sobresaliente del desarrollo mundial del último decenio; que la tasa de rendimiento de la educación tiende a subir, revalorando a los profesionistas y haciendo crecer la ventaja competitiva de las empresas. Otros autores han hecho resaltar la necesidad de coordinar la inversión en capital humano con las medidas de liberalización comercial y la inversión extranjera en los países en desarrollo (O’Connor y Lunati, 2002:298)</w:t>
      </w:r>
      <w:r>
        <w:rPr>
          <w:position w:val="11"/>
          <w:sz w:val="15"/>
        </w:rPr>
        <w:t>120</w:t>
      </w:r>
      <w:r>
        <w:rPr/>
        <w:t>.</w:t>
      </w:r>
    </w:p>
    <w:p>
      <w:pPr>
        <w:pStyle w:val="BodyText"/>
        <w:rPr>
          <w:sz w:val="25"/>
        </w:rPr>
      </w:pPr>
      <w:r>
        <w:rPr/>
        <w:pict>
          <v:line style="position:absolute;mso-position-horizontal-relative:page;mso-position-vertical-relative:paragraph;z-index:18448;mso-wrap-distance-left:0;mso-wrap-distance-right:0" from="70.080002pt,16.746433pt" to="210.239999pt,16.746433pt" stroked="true" strokeweight=".72pt" strokecolor="#000000">
            <w10:wrap type="topAndBottom"/>
          </v:line>
        </w:pict>
      </w:r>
    </w:p>
    <w:p>
      <w:pPr>
        <w:spacing w:line="285" w:lineRule="auto" w:before="39"/>
        <w:ind w:left="121" w:right="107" w:firstLine="0"/>
        <w:jc w:val="both"/>
        <w:rPr>
          <w:sz w:val="19"/>
        </w:rPr>
      </w:pPr>
      <w:r>
        <w:rPr>
          <w:position w:val="10"/>
          <w:sz w:val="12"/>
        </w:rPr>
        <w:t>118 </w:t>
      </w:r>
      <w:r>
        <w:rPr>
          <w:sz w:val="19"/>
        </w:rPr>
        <w:t>“...En cambio, les exigen mayor escolaridad para el desempeño de labores rutinarias. Por tanto, los trabajadores son seleccionados de acuerdo con la escolaridad que han adquirido todos aquellos que compiten por los distintos puestos. (Muñoz.,  1998:191).</w:t>
      </w:r>
    </w:p>
    <w:p>
      <w:pPr>
        <w:spacing w:line="283" w:lineRule="auto" w:before="155"/>
        <w:ind w:left="121" w:right="105" w:firstLine="0"/>
        <w:jc w:val="both"/>
        <w:rPr>
          <w:sz w:val="19"/>
        </w:rPr>
      </w:pPr>
      <w:r>
        <w:rPr>
          <w:position w:val="10"/>
          <w:sz w:val="12"/>
        </w:rPr>
        <w:t>119 </w:t>
      </w:r>
      <w:r>
        <w:rPr>
          <w:sz w:val="19"/>
        </w:rPr>
        <w:t>Hoy en día las empresas requieren de sistemas administrativos competitivos que reconozcan la verdadera importancia del factor humano. “Es muy cierto que no existe una única forma de cómo las empresas pueden ganar flexibilidad. La </w:t>
      </w:r>
      <w:r>
        <w:rPr>
          <w:i/>
          <w:sz w:val="19"/>
        </w:rPr>
        <w:t>mejor estrategia </w:t>
      </w:r>
      <w:r>
        <w:rPr>
          <w:sz w:val="19"/>
        </w:rPr>
        <w:t>variará definitivamente con el giro de la empresa    y el entorno en donde opera. Sin embargo, para que el cambio organizacional sea perdurable, debe incorporar una visión de eficiencia de largo plazo, que incluye la inversión en </w:t>
      </w:r>
      <w:r>
        <w:rPr>
          <w:i/>
          <w:sz w:val="19"/>
        </w:rPr>
        <w:t>intangibles</w:t>
      </w:r>
      <w:r>
        <w:rPr>
          <w:sz w:val="19"/>
        </w:rPr>
        <w:t>, tal como lo es      la inversión en capital humano” (Iturbide y Meyer,  </w:t>
      </w:r>
      <w:r>
        <w:rPr>
          <w:spacing w:val="2"/>
          <w:sz w:val="19"/>
        </w:rPr>
        <w:t> </w:t>
      </w:r>
      <w:r>
        <w:rPr>
          <w:sz w:val="19"/>
        </w:rPr>
        <w:t>1998:39,40).</w:t>
      </w:r>
    </w:p>
    <w:p>
      <w:pPr>
        <w:pStyle w:val="BodyText"/>
        <w:spacing w:before="1"/>
        <w:rPr>
          <w:sz w:val="14"/>
        </w:rPr>
      </w:pPr>
    </w:p>
    <w:p>
      <w:pPr>
        <w:spacing w:line="283" w:lineRule="auto" w:before="0"/>
        <w:ind w:left="121" w:right="105" w:firstLine="0"/>
        <w:jc w:val="both"/>
        <w:rPr>
          <w:sz w:val="19"/>
        </w:rPr>
      </w:pPr>
      <w:r>
        <w:rPr>
          <w:position w:val="10"/>
          <w:sz w:val="12"/>
        </w:rPr>
        <w:t>120 </w:t>
      </w:r>
      <w:r>
        <w:rPr>
          <w:sz w:val="19"/>
        </w:rPr>
        <w:t>Otros autores comparten la opinión en torno a la importancia que el  capital  humano  tiene  en  el contexto de globalización, según los cuales en dicho ambiente han ido cobrando fuerza el concebir la educación como un bien comercial y la visión empresarial, que plantea nuevas y exigentes demandas de eficacia y responsabilidad al sistema educativo. También ha surgido una nueva versión de la teoría del capital humano, según la cual la  educación se torna central para elevar la productividad de la  fuerza  laboral y, en consecuencia, elevar la competitividad de un país; al mismo tiempo, se concibe como instrumento  para  erradicar  la  pobreza  (Noriega,  1998:378).  “El  avance  tecnológico,  un  ambiente  </w:t>
      </w:r>
      <w:r>
        <w:rPr>
          <w:spacing w:val="42"/>
          <w:sz w:val="19"/>
        </w:rPr>
        <w:t> </w:t>
      </w:r>
      <w:r>
        <w:rPr>
          <w:sz w:val="19"/>
        </w:rPr>
        <w:t>de</w:t>
      </w:r>
    </w:p>
    <w:p>
      <w:pPr>
        <w:spacing w:after="0" w:line="283" w:lineRule="auto"/>
        <w:jc w:val="both"/>
        <w:rPr>
          <w:sz w:val="19"/>
        </w:rPr>
        <w:sectPr>
          <w:footerReference w:type="default" r:id="rId526"/>
          <w:pgSz w:w="11900" w:h="16840"/>
          <w:pgMar w:footer="1679" w:header="0" w:top="1600" w:bottom="1860" w:left="1280" w:right="1280"/>
          <w:pgNumType w:start="390"/>
        </w:sectPr>
      </w:pPr>
    </w:p>
    <w:p>
      <w:pPr>
        <w:pStyle w:val="BodyText"/>
        <w:rPr>
          <w:sz w:val="20"/>
        </w:rPr>
      </w:pPr>
    </w:p>
    <w:p>
      <w:pPr>
        <w:pStyle w:val="BodyText"/>
        <w:spacing w:before="8"/>
        <w:rPr>
          <w:sz w:val="18"/>
        </w:rPr>
      </w:pPr>
    </w:p>
    <w:p>
      <w:pPr>
        <w:pStyle w:val="BodyText"/>
        <w:spacing w:line="364" w:lineRule="auto" w:before="74"/>
        <w:ind w:left="121" w:right="103"/>
        <w:jc w:val="both"/>
      </w:pPr>
      <w:r>
        <w:rPr/>
        <w:t>En el mismo contexto, una visión restringida de la teoría del capital humano indica que   el nivel de educación determina los ingresos de los trabajadores a lo largo del ciclo de vida laboral (Mendoza, 2002:301). Esta teoría nace ante la necesidad de entender un remanente de la producción que no había sido posible de explicar bajo los enfoques previamente existentes (Santiago y Avila, 2001:4) y que fue denominada en sus inicios como el factor X de la eficiencia (Levin,</w:t>
      </w:r>
      <w:r>
        <w:rPr>
          <w:spacing w:val="58"/>
        </w:rPr>
        <w:t> </w:t>
      </w:r>
      <w:r>
        <w:rPr/>
        <w:t>1995:17).</w:t>
      </w:r>
    </w:p>
    <w:p>
      <w:pPr>
        <w:pStyle w:val="BodyText"/>
        <w:spacing w:before="4"/>
        <w:rPr>
          <w:sz w:val="17"/>
        </w:rPr>
      </w:pPr>
    </w:p>
    <w:p>
      <w:pPr>
        <w:pStyle w:val="BodyText"/>
        <w:spacing w:line="357" w:lineRule="auto"/>
        <w:ind w:left="121" w:right="104"/>
        <w:jc w:val="both"/>
      </w:pPr>
      <w:r>
        <w:rPr/>
        <w:t>En la evolución reciente de la teoría del capital humano ha incidido la opinión de Hirschman, quien en 1958 atribuyó un papel central a las capacidades empresariales como un factor de desarrollo en las economías atrasadas</w:t>
      </w:r>
      <w:r>
        <w:rPr>
          <w:position w:val="11"/>
          <w:sz w:val="15"/>
        </w:rPr>
        <w:t>121</w:t>
      </w:r>
      <w:r>
        <w:rPr/>
        <w:t>. Al mismo tiempo Mincer (1958) se enfrenta a la interrogante de por qué, si las habilidades naturales se  distribuyen   en   forma   normal,   los   ingresos   laborales   presentan   una </w:t>
      </w:r>
      <w:r>
        <w:rPr>
          <w:spacing w:val="21"/>
        </w:rPr>
        <w:t> </w:t>
      </w:r>
      <w:r>
        <w:rPr/>
        <w:t>distribución</w:t>
      </w:r>
    </w:p>
    <w:p>
      <w:pPr>
        <w:pStyle w:val="BodyText"/>
        <w:spacing w:line="364" w:lineRule="auto" w:before="15"/>
        <w:ind w:left="121" w:right="104"/>
        <w:jc w:val="both"/>
      </w:pPr>
      <w:r>
        <w:rPr/>
        <w:t>asimétrica, lo cual reflejaría los distintos niveles de preparación de  cada  individuo” Freyre y Vite.1993: 5).</w:t>
      </w:r>
    </w:p>
    <w:p>
      <w:pPr>
        <w:pStyle w:val="BodyText"/>
        <w:spacing w:line="364" w:lineRule="auto" w:before="122"/>
        <w:ind w:left="121" w:right="105"/>
        <w:jc w:val="both"/>
      </w:pPr>
      <w:r>
        <w:rPr/>
        <w:t>En relación a la incorporación del cambio tecnológico al desarrollo rural, destacan las aportaciones hechas por Shultz (1961)  y Mellor (1966). Dichos  planteamientos  han  sido expresados así: “Pese a que la educación no es en sí misma una condición suficiente para el desarrollo de la agricultura, es ciertamente una condición </w:t>
      </w:r>
      <w:r>
        <w:rPr>
          <w:spacing w:val="30"/>
        </w:rPr>
        <w:t> </w:t>
      </w:r>
      <w:r>
        <w:rPr/>
        <w:t>necesaria.</w:t>
      </w:r>
    </w:p>
    <w:p>
      <w:pPr>
        <w:pStyle w:val="BodyText"/>
        <w:spacing w:before="6"/>
        <w:rPr>
          <w:sz w:val="17"/>
        </w:rPr>
      </w:pPr>
    </w:p>
    <w:p>
      <w:pPr>
        <w:pStyle w:val="BodyText"/>
        <w:spacing w:line="348" w:lineRule="auto"/>
        <w:ind w:left="121" w:right="103"/>
        <w:jc w:val="both"/>
        <w:rPr>
          <w:sz w:val="15"/>
        </w:rPr>
      </w:pPr>
      <w:r>
        <w:rPr/>
        <w:t>Casi todos los elementos que integran el complejo del desarrollo tienen su base en mejoras en la fuerza de trabajo, las que, a su vez, son producto  de  la  educación....</w:t>
      </w:r>
      <w:r>
        <w:rPr>
          <w:position w:val="11"/>
          <w:sz w:val="15"/>
        </w:rPr>
        <w:t>122,123.</w:t>
      </w:r>
    </w:p>
    <w:p>
      <w:pPr>
        <w:pStyle w:val="BodyText"/>
        <w:rPr>
          <w:sz w:val="20"/>
        </w:rPr>
      </w:pPr>
    </w:p>
    <w:p>
      <w:pPr>
        <w:pStyle w:val="BodyText"/>
        <w:spacing w:before="2"/>
        <w:rPr>
          <w:sz w:val="13"/>
        </w:rPr>
      </w:pPr>
      <w:r>
        <w:rPr/>
        <w:pict>
          <v:line style="position:absolute;mso-position-horizontal-relative:page;mso-position-vertical-relative:paragraph;z-index:18472;mso-wrap-distance-left:0;mso-wrap-distance-right:0" from="70.080002pt,9.916487pt" to="525.599992pt,9.916487pt" stroked="true" strokeweight=".72pt" strokecolor="#000000">
            <w10:wrap type="topAndBottom"/>
          </v:line>
        </w:pict>
      </w:r>
    </w:p>
    <w:p>
      <w:pPr>
        <w:spacing w:line="283" w:lineRule="auto" w:before="75"/>
        <w:ind w:left="121" w:right="102" w:firstLine="0"/>
        <w:jc w:val="both"/>
        <w:rPr>
          <w:sz w:val="19"/>
        </w:rPr>
      </w:pPr>
      <w:r>
        <w:rPr>
          <w:sz w:val="19"/>
        </w:rPr>
        <w:t>mayor competitividad, [y] los cambios [repentinos] en las preferencias del consumidor, han conducido a    las empresas e instituciones a darse cuentan que sus principales activos no son [los] materiales...sino el recurso humano...” (Iturbide y Meyer, 1998:38). Estas opiniones, incluyendo a Lanusse (2001:81) y  Schotter (1996:637) se han centrado casi exclusivamente en el factor educativo dejando de lado a los   otros elementos del capital </w:t>
      </w:r>
      <w:r>
        <w:rPr>
          <w:spacing w:val="9"/>
          <w:sz w:val="19"/>
        </w:rPr>
        <w:t> </w:t>
      </w:r>
      <w:r>
        <w:rPr>
          <w:sz w:val="19"/>
        </w:rPr>
        <w:t>humano.</w:t>
      </w:r>
    </w:p>
    <w:p>
      <w:pPr>
        <w:spacing w:line="247" w:lineRule="auto" w:before="160"/>
        <w:ind w:left="121" w:right="103" w:firstLine="0"/>
        <w:jc w:val="both"/>
        <w:rPr>
          <w:sz w:val="19"/>
        </w:rPr>
      </w:pPr>
      <w:r>
        <w:rPr>
          <w:position w:val="10"/>
          <w:sz w:val="12"/>
        </w:rPr>
        <w:t>121 </w:t>
      </w:r>
      <w:r>
        <w:rPr>
          <w:sz w:val="19"/>
        </w:rPr>
        <w:t>“...la inversión [fuente del desarrollo económico] depende del ahorro y de otros factores, como la educación técnica, el saber como organizar una empresa...la capacidad de un país para absorber capital puede ser menor que los fondos disponibles para la inversión a causa de la escases de habilidades (Hirschman, 1981:45,47).</w:t>
      </w:r>
    </w:p>
    <w:p>
      <w:pPr>
        <w:pStyle w:val="BodyText"/>
        <w:spacing w:before="4"/>
        <w:rPr>
          <w:sz w:val="18"/>
        </w:rPr>
      </w:pPr>
    </w:p>
    <w:p>
      <w:pPr>
        <w:spacing w:line="244" w:lineRule="auto" w:before="0"/>
        <w:ind w:left="121" w:right="105" w:firstLine="0"/>
        <w:jc w:val="both"/>
        <w:rPr>
          <w:sz w:val="19"/>
        </w:rPr>
      </w:pPr>
      <w:r>
        <w:rPr>
          <w:position w:val="10"/>
          <w:sz w:val="12"/>
        </w:rPr>
        <w:t>122 </w:t>
      </w:r>
      <w:r>
        <w:rPr>
          <w:sz w:val="19"/>
        </w:rPr>
        <w:t>Dado que la educación es de importancia crucial en el desarrollo agrícola y que requiere un capital considerable, es en realidad una ventaja que la  educación vaya  también  directamente  de  acuerdo con los objetivos primordiales del proceso de desarrollo (Mellor,  </w:t>
      </w:r>
      <w:r>
        <w:rPr>
          <w:spacing w:val="12"/>
          <w:sz w:val="19"/>
        </w:rPr>
        <w:t> </w:t>
      </w:r>
      <w:r>
        <w:rPr>
          <w:sz w:val="19"/>
        </w:rPr>
        <w:t>1975:336).</w:t>
      </w:r>
    </w:p>
    <w:p>
      <w:pPr>
        <w:spacing w:after="0" w:line="244" w:lineRule="auto"/>
        <w:jc w:val="both"/>
        <w:rPr>
          <w:sz w:val="19"/>
        </w:rPr>
        <w:sectPr>
          <w:pgSz w:w="11900" w:h="16840"/>
          <w:pgMar w:header="0" w:footer="1679" w:top="1600" w:bottom="1860" w:left="1280" w:right="1280"/>
        </w:sectPr>
      </w:pPr>
    </w:p>
    <w:p>
      <w:pPr>
        <w:pStyle w:val="BodyText"/>
        <w:rPr>
          <w:sz w:val="20"/>
        </w:rPr>
      </w:pPr>
    </w:p>
    <w:p>
      <w:pPr>
        <w:pStyle w:val="BodyText"/>
        <w:spacing w:before="8"/>
        <w:rPr>
          <w:sz w:val="18"/>
        </w:rPr>
      </w:pPr>
    </w:p>
    <w:p>
      <w:pPr>
        <w:pStyle w:val="BodyText"/>
        <w:spacing w:line="364" w:lineRule="auto" w:before="74"/>
        <w:ind w:left="121" w:right="103"/>
        <w:jc w:val="both"/>
      </w:pPr>
      <w:r>
        <w:rPr/>
        <w:t>En 1981, Shultz “enfatizó el hecho de que mucho de lo que se denomina consumo, constituye en realidad una inversión en capital humano: la educación, la migración y la salud constituyen una inversión en la medida que esos gastos contribuyen a elevar la calidad del trabajo a través de la adquisición de conocimientos, habilidades y técnicas que influyen sobre la capacidad del hombre para trabajar; aumentan la productividad de la mano de obra y generan una tasa de rendimiento” (Freyre y Vite. 1993: 6)   semejante</w:t>
      </w:r>
    </w:p>
    <w:p>
      <w:pPr>
        <w:pStyle w:val="BodyText"/>
        <w:spacing w:line="270" w:lineRule="exact"/>
        <w:ind w:left="121"/>
        <w:jc w:val="both"/>
      </w:pPr>
      <w:r>
        <w:rPr/>
        <w:t>al que proporcionaría una inversión en capital  físico</w:t>
      </w:r>
      <w:r>
        <w:rPr>
          <w:position w:val="11"/>
          <w:sz w:val="15"/>
        </w:rPr>
        <w:t>124,125</w:t>
      </w:r>
      <w:r>
        <w:rPr/>
        <w:t>.</w:t>
      </w:r>
    </w:p>
    <w:p>
      <w:pPr>
        <w:pStyle w:val="BodyText"/>
        <w:spacing w:before="11"/>
        <w:rPr>
          <w:sz w:val="28"/>
        </w:rPr>
      </w:pPr>
    </w:p>
    <w:p>
      <w:pPr>
        <w:pStyle w:val="BodyText"/>
        <w:spacing w:line="364" w:lineRule="auto"/>
        <w:ind w:left="121" w:right="105"/>
        <w:jc w:val="both"/>
      </w:pPr>
      <w:r>
        <w:rPr/>
        <w:t>En una versión más reciente, la teoría del capital humano es concebida como el estudio del comportamiento de los individuos al invertir en educación, entrenamiento, capacitación o cualquier otra actividad, que enriquezca o perfeccione sus habilidades para desempeñarse en el mercado del trabajo (Freyre y Vite.  1993:1).</w:t>
      </w:r>
    </w:p>
    <w:p>
      <w:pPr>
        <w:pStyle w:val="BodyText"/>
        <w:spacing w:before="6"/>
        <w:rPr>
          <w:sz w:val="17"/>
        </w:rPr>
      </w:pPr>
    </w:p>
    <w:p>
      <w:pPr>
        <w:pStyle w:val="BodyText"/>
        <w:spacing w:line="364" w:lineRule="auto"/>
        <w:ind w:left="121" w:right="104"/>
        <w:jc w:val="both"/>
      </w:pPr>
      <w:r>
        <w:rPr/>
        <w:t>Parte fundamental sobre la cual se ha desarrollado más recientemente el estudio del capital humano fue desarrollada por Bécquer (1961) quien, en 1975, define inversión en capital humano como “...toda aquella actividad que influye sobre el ingreso futuro monetario o en especie por medio de aumentos en los recursos de las personas...y  todas esas formas que puede tomar esa inversión incluyen escuela, entrenamiento en   el  trabajo,  cuidado  médico,  migración,  y  búsqueda  de  información  sobre  precios </w:t>
      </w:r>
      <w:r>
        <w:rPr>
          <w:spacing w:val="36"/>
        </w:rPr>
        <w:t> </w:t>
      </w:r>
      <w:r>
        <w:rPr/>
        <w:t>e</w:t>
      </w:r>
    </w:p>
    <w:p>
      <w:pPr>
        <w:pStyle w:val="BodyText"/>
        <w:spacing w:line="270" w:lineRule="exact"/>
        <w:ind w:left="121"/>
        <w:jc w:val="both"/>
      </w:pPr>
      <w:r>
        <w:rPr/>
        <w:t>ingreso” Freyre y Vite. 1993:7) </w:t>
      </w:r>
      <w:r>
        <w:rPr>
          <w:position w:val="11"/>
          <w:sz w:val="15"/>
        </w:rPr>
        <w:t>126</w:t>
      </w:r>
      <w:r>
        <w:rPr/>
        <w:t>.</w:t>
      </w:r>
    </w:p>
    <w:p>
      <w:pPr>
        <w:pStyle w:val="BodyText"/>
        <w:rPr>
          <w:sz w:val="20"/>
        </w:rPr>
      </w:pPr>
    </w:p>
    <w:p>
      <w:pPr>
        <w:pStyle w:val="BodyText"/>
        <w:rPr>
          <w:sz w:val="20"/>
        </w:rPr>
      </w:pPr>
    </w:p>
    <w:p>
      <w:pPr>
        <w:pStyle w:val="BodyText"/>
        <w:spacing w:before="10"/>
        <w:rPr>
          <w:sz w:val="22"/>
        </w:rPr>
      </w:pPr>
      <w:r>
        <w:rPr/>
        <w:pict>
          <v:line style="position:absolute;mso-position-horizontal-relative:page;mso-position-vertical-relative:paragraph;z-index:18496;mso-wrap-distance-left:0;mso-wrap-distance-right:0" from="70.080002pt,15.424403pt" to="525.599992pt,15.424403pt" stroked="true" strokeweight=".6pt" strokecolor="#000000">
            <w10:wrap type="topAndBottom"/>
          </v:line>
        </w:pict>
      </w:r>
    </w:p>
    <w:p>
      <w:pPr>
        <w:spacing w:line="283" w:lineRule="auto" w:before="41"/>
        <w:ind w:left="121" w:right="105" w:firstLine="0"/>
        <w:jc w:val="both"/>
        <w:rPr>
          <w:sz w:val="19"/>
        </w:rPr>
      </w:pPr>
      <w:r>
        <w:rPr>
          <w:position w:val="10"/>
          <w:sz w:val="12"/>
        </w:rPr>
        <w:t>123 </w:t>
      </w:r>
      <w:r>
        <w:rPr>
          <w:sz w:val="19"/>
        </w:rPr>
        <w:t>“Algunos de los procesos de cambio cultural en que la educación puede haber  actuado  como  facilitador, a través de la difusión de innovaciones en el sistema productivo, podrían mostrar sus efectos midiendo los rendimientos diferenciales de los productos agrícolas [por hectárea] o industriales (Padua 1998:119).</w:t>
      </w:r>
    </w:p>
    <w:p>
      <w:pPr>
        <w:pStyle w:val="BodyText"/>
        <w:spacing w:before="1"/>
        <w:rPr>
          <w:sz w:val="14"/>
        </w:rPr>
      </w:pPr>
    </w:p>
    <w:p>
      <w:pPr>
        <w:spacing w:line="283" w:lineRule="auto" w:before="0"/>
        <w:ind w:left="121" w:right="103" w:firstLine="0"/>
        <w:jc w:val="both"/>
        <w:rPr>
          <w:sz w:val="19"/>
        </w:rPr>
      </w:pPr>
      <w:r>
        <w:rPr>
          <w:position w:val="10"/>
          <w:sz w:val="12"/>
        </w:rPr>
        <w:t>124 </w:t>
      </w:r>
      <w:r>
        <w:rPr>
          <w:sz w:val="19"/>
        </w:rPr>
        <w:t>Considerando que la educación es sólo una de las formas del capital humano,  los  costos  de  la inversión vienen dados por los costos directos de la educación (colegiaturas, inscripciones, material didáctico, etc.) y los costos indirectos o de oportunidad que consisten en los ingresos no ganados por el individuo durante el periodo del aprendizaje. Los beneficios de la educación consisten en el diferencial de ingresos que se logra como resultado del mayor nivel educativo. (Zamudio.   1995:49).</w:t>
      </w:r>
    </w:p>
    <w:p>
      <w:pPr>
        <w:spacing w:line="247" w:lineRule="auto" w:before="155"/>
        <w:ind w:left="121" w:right="105" w:firstLine="0"/>
        <w:jc w:val="both"/>
        <w:rPr>
          <w:sz w:val="19"/>
        </w:rPr>
      </w:pPr>
      <w:r>
        <w:rPr>
          <w:position w:val="10"/>
          <w:sz w:val="12"/>
        </w:rPr>
        <w:t>125 </w:t>
      </w:r>
      <w:r>
        <w:rPr>
          <w:sz w:val="19"/>
        </w:rPr>
        <w:t>Si bien en la educación existen factores motivacionales distintos a los recursos  monetarios,  la  estructura de salarios constituye una fuente de incentivos para aumentar la productividad y calidad del servicio, y son importantes para atraer a la profesión a personas capacitadas...” (Montoya y Brassiolo. 1999:78).</w:t>
      </w:r>
    </w:p>
    <w:p>
      <w:pPr>
        <w:spacing w:line="283" w:lineRule="auto" w:before="84"/>
        <w:ind w:left="121" w:right="106" w:firstLine="0"/>
        <w:jc w:val="both"/>
        <w:rPr>
          <w:sz w:val="19"/>
        </w:rPr>
      </w:pPr>
      <w:r>
        <w:rPr>
          <w:position w:val="10"/>
          <w:sz w:val="12"/>
        </w:rPr>
        <w:t>126 </w:t>
      </w:r>
      <w:r>
        <w:rPr>
          <w:sz w:val="19"/>
        </w:rPr>
        <w:t>El mecanismo crucial es, otra vez, la habilidad del capital para ganar ingresos: los retornos al capital humano son iguales al costo de adquirir educación del trabajador marginal. El ingreso total para el capital</w:t>
      </w:r>
    </w:p>
    <w:p>
      <w:pPr>
        <w:spacing w:after="0" w:line="283" w:lineRule="auto"/>
        <w:jc w:val="both"/>
        <w:rPr>
          <w:sz w:val="19"/>
        </w:rPr>
        <w:sectPr>
          <w:pgSz w:w="11900" w:h="16840"/>
          <w:pgMar w:header="0" w:footer="1679" w:top="1600" w:bottom="1860" w:left="1280" w:right="1280"/>
        </w:sectPr>
      </w:pPr>
    </w:p>
    <w:p>
      <w:pPr>
        <w:pStyle w:val="BodyText"/>
        <w:rPr>
          <w:sz w:val="20"/>
        </w:rPr>
      </w:pPr>
    </w:p>
    <w:p>
      <w:pPr>
        <w:pStyle w:val="BodyText"/>
        <w:spacing w:before="8"/>
        <w:rPr>
          <w:sz w:val="18"/>
        </w:rPr>
      </w:pPr>
    </w:p>
    <w:p>
      <w:pPr>
        <w:pStyle w:val="BodyText"/>
        <w:spacing w:line="364" w:lineRule="auto" w:before="74"/>
        <w:ind w:left="121" w:right="102"/>
        <w:jc w:val="both"/>
      </w:pPr>
      <w:r>
        <w:rPr/>
        <w:t>Para la sociedad la calificación de sus integrantes, en general, será siempre benéfica.  En este sentido, la inversión en la población con el objetivo de generar condiciones promotoras del desarrollo, puede entenderse como la inversión en capital humano, el cual se refiere a la formación de capacidades, habilidades </w:t>
      </w:r>
      <w:r>
        <w:rPr>
          <w:spacing w:val="-4"/>
        </w:rPr>
        <w:t>y,</w:t>
      </w:r>
      <w:r>
        <w:rPr>
          <w:spacing w:val="55"/>
        </w:rPr>
        <w:t> </w:t>
      </w:r>
      <w:r>
        <w:rPr/>
        <w:t>en general,  de  condiciones en la gente, con miras a mejorar sus posibilidades de participación en la  vida económica, social y política, pero que igualmente facultan y califican a esa  población para intervenir de manera más eficiente en el proceso del desarrollo económico (Santiago y Ávila,</w:t>
      </w:r>
      <w:r>
        <w:rPr>
          <w:spacing w:val="39"/>
        </w:rPr>
        <w:t> </w:t>
      </w:r>
      <w:r>
        <w:rPr/>
        <w:t>2001:7).</w:t>
      </w:r>
    </w:p>
    <w:p>
      <w:pPr>
        <w:pStyle w:val="Heading3"/>
        <w:spacing w:before="195"/>
      </w:pPr>
      <w:r>
        <w:rPr/>
        <w:t>La educación como factor de emigración internacional</w:t>
      </w:r>
    </w:p>
    <w:p>
      <w:pPr>
        <w:pStyle w:val="BodyText"/>
        <w:spacing w:before="4"/>
        <w:rPr>
          <w:b/>
          <w:sz w:val="31"/>
        </w:rPr>
      </w:pPr>
    </w:p>
    <w:p>
      <w:pPr>
        <w:pStyle w:val="BodyText"/>
        <w:spacing w:line="364" w:lineRule="auto"/>
        <w:ind w:left="121" w:right="102"/>
        <w:jc w:val="both"/>
      </w:pPr>
      <w:r>
        <w:rPr/>
        <w:t>Según Todaro (1987:443-444), muchos factores influyen sobre la decisión de emigrar, pero los factores económicos [en apariencia] predominan. Las encuestas revelan invariablemente que la razón más importante de la migración de las personas es la existencia de mayores oportunidades de empleo bien remuneradas en las áreas  urbanas y demuestran consistentemente que los habitantes de las áreas rurales que   han</w:t>
      </w:r>
      <w:r>
        <w:rPr>
          <w:spacing w:val="52"/>
        </w:rPr>
        <w:t> </w:t>
      </w:r>
      <w:r>
        <w:rPr/>
        <w:t>asistido</w:t>
      </w:r>
      <w:r>
        <w:rPr>
          <w:spacing w:val="52"/>
        </w:rPr>
        <w:t> </w:t>
      </w:r>
      <w:r>
        <w:rPr/>
        <w:t>a</w:t>
      </w:r>
      <w:r>
        <w:rPr>
          <w:spacing w:val="52"/>
        </w:rPr>
        <w:t> </w:t>
      </w:r>
      <w:r>
        <w:rPr/>
        <w:t>la</w:t>
      </w:r>
      <w:r>
        <w:rPr>
          <w:spacing w:val="52"/>
        </w:rPr>
        <w:t> </w:t>
      </w:r>
      <w:r>
        <w:rPr/>
        <w:t>escuela</w:t>
      </w:r>
      <w:r>
        <w:rPr>
          <w:spacing w:val="52"/>
        </w:rPr>
        <w:t> </w:t>
      </w:r>
      <w:r>
        <w:rPr/>
        <w:t>tenderán</w:t>
      </w:r>
      <w:r>
        <w:rPr>
          <w:spacing w:val="54"/>
        </w:rPr>
        <w:t> </w:t>
      </w:r>
      <w:r>
        <w:rPr/>
        <w:t>a</w:t>
      </w:r>
      <w:r>
        <w:rPr>
          <w:spacing w:val="52"/>
        </w:rPr>
        <w:t> </w:t>
      </w:r>
      <w:r>
        <w:rPr/>
        <w:t>emigrar</w:t>
      </w:r>
      <w:r>
        <w:rPr>
          <w:spacing w:val="57"/>
        </w:rPr>
        <w:t> </w:t>
      </w:r>
      <w:r>
        <w:rPr/>
        <w:t>en</w:t>
      </w:r>
      <w:r>
        <w:rPr>
          <w:spacing w:val="52"/>
        </w:rPr>
        <w:t> </w:t>
      </w:r>
      <w:r>
        <w:rPr/>
        <w:t>mayor</w:t>
      </w:r>
      <w:r>
        <w:rPr>
          <w:spacing w:val="54"/>
        </w:rPr>
        <w:t> </w:t>
      </w:r>
      <w:r>
        <w:rPr/>
        <w:t>medida</w:t>
      </w:r>
      <w:r>
        <w:rPr>
          <w:spacing w:val="58"/>
        </w:rPr>
        <w:t> </w:t>
      </w:r>
      <w:r>
        <w:rPr/>
        <w:t>que</w:t>
      </w:r>
      <w:r>
        <w:rPr>
          <w:spacing w:val="52"/>
        </w:rPr>
        <w:t> </w:t>
      </w:r>
      <w:r>
        <w:rPr/>
        <w:t>quienes</w:t>
      </w:r>
      <w:r>
        <w:rPr>
          <w:spacing w:val="53"/>
        </w:rPr>
        <w:t> </w:t>
      </w:r>
      <w:r>
        <w:rPr/>
        <w:t>tienen</w:t>
      </w:r>
    </w:p>
    <w:p>
      <w:pPr>
        <w:pStyle w:val="BodyText"/>
        <w:spacing w:line="270" w:lineRule="exact"/>
        <w:ind w:left="121"/>
        <w:jc w:val="both"/>
      </w:pPr>
      <w:r>
        <w:rPr/>
        <w:t>escasa o ninguna educación</w:t>
      </w:r>
      <w:r>
        <w:rPr>
          <w:spacing w:val="61"/>
        </w:rPr>
        <w:t> </w:t>
      </w:r>
      <w:r>
        <w:rPr/>
        <w:t>formal</w:t>
      </w:r>
      <w:r>
        <w:rPr>
          <w:position w:val="11"/>
          <w:sz w:val="15"/>
        </w:rPr>
        <w:t>127,128</w:t>
      </w:r>
      <w:r>
        <w:rPr/>
        <w:t>.</w:t>
      </w:r>
    </w:p>
    <w:p>
      <w:pPr>
        <w:pStyle w:val="BodyText"/>
        <w:spacing w:before="2"/>
        <w:rPr>
          <w:sz w:val="29"/>
        </w:rPr>
      </w:pPr>
    </w:p>
    <w:p>
      <w:pPr>
        <w:pStyle w:val="BodyText"/>
        <w:spacing w:line="364" w:lineRule="auto"/>
        <w:ind w:left="121" w:right="105"/>
        <w:jc w:val="both"/>
      </w:pPr>
      <w:r>
        <w:rPr/>
        <w:t>La educación y la emigración internacional pueden ser relacionados de varias maneras: la</w:t>
      </w:r>
      <w:r>
        <w:rPr>
          <w:spacing w:val="54"/>
        </w:rPr>
        <w:t> </w:t>
      </w:r>
      <w:r>
        <w:rPr/>
        <w:t>educación</w:t>
      </w:r>
      <w:r>
        <w:rPr>
          <w:spacing w:val="54"/>
        </w:rPr>
        <w:t> </w:t>
      </w:r>
      <w:r>
        <w:rPr/>
        <w:t>puede</w:t>
      </w:r>
      <w:r>
        <w:rPr>
          <w:spacing w:val="54"/>
        </w:rPr>
        <w:t> </w:t>
      </w:r>
      <w:r>
        <w:rPr/>
        <w:t>ser</w:t>
      </w:r>
      <w:r>
        <w:rPr>
          <w:spacing w:val="54"/>
        </w:rPr>
        <w:t> </w:t>
      </w:r>
      <w:r>
        <w:rPr/>
        <w:t>vista</w:t>
      </w:r>
      <w:r>
        <w:rPr>
          <w:spacing w:val="52"/>
        </w:rPr>
        <w:t> </w:t>
      </w:r>
      <w:r>
        <w:rPr/>
        <w:t>como</w:t>
      </w:r>
      <w:r>
        <w:rPr>
          <w:spacing w:val="54"/>
        </w:rPr>
        <w:t> </w:t>
      </w:r>
      <w:r>
        <w:rPr/>
        <w:t>un</w:t>
      </w:r>
      <w:r>
        <w:rPr>
          <w:spacing w:val="54"/>
        </w:rPr>
        <w:t> </w:t>
      </w:r>
      <w:r>
        <w:rPr/>
        <w:t>factor</w:t>
      </w:r>
      <w:r>
        <w:rPr>
          <w:spacing w:val="57"/>
        </w:rPr>
        <w:t> </w:t>
      </w:r>
      <w:r>
        <w:rPr/>
        <w:t>de</w:t>
      </w:r>
      <w:r>
        <w:rPr>
          <w:spacing w:val="58"/>
        </w:rPr>
        <w:t> </w:t>
      </w:r>
      <w:r>
        <w:rPr/>
        <w:t>emigración</w:t>
      </w:r>
      <w:r>
        <w:rPr>
          <w:spacing w:val="52"/>
        </w:rPr>
        <w:t> </w:t>
      </w:r>
      <w:r>
        <w:rPr/>
        <w:t>pero</w:t>
      </w:r>
      <w:r>
        <w:rPr>
          <w:spacing w:val="54"/>
        </w:rPr>
        <w:t> </w:t>
      </w:r>
      <w:r>
        <w:rPr/>
        <w:t>también</w:t>
      </w:r>
      <w:r>
        <w:rPr>
          <w:spacing w:val="52"/>
        </w:rPr>
        <w:t> </w:t>
      </w:r>
      <w:r>
        <w:rPr/>
        <w:t>como</w:t>
      </w:r>
      <w:r>
        <w:rPr>
          <w:spacing w:val="54"/>
        </w:rPr>
        <w:t> </w:t>
      </w:r>
      <w:r>
        <w:rPr/>
        <w:t>un</w:t>
      </w:r>
    </w:p>
    <w:p>
      <w:pPr>
        <w:pStyle w:val="BodyText"/>
        <w:rPr>
          <w:sz w:val="20"/>
        </w:rPr>
      </w:pPr>
    </w:p>
    <w:p>
      <w:pPr>
        <w:pStyle w:val="BodyText"/>
        <w:spacing w:before="3"/>
        <w:rPr>
          <w:sz w:val="12"/>
        </w:rPr>
      </w:pPr>
      <w:r>
        <w:rPr/>
        <w:pict>
          <v:line style="position:absolute;mso-position-horizontal-relative:page;mso-position-vertical-relative:paragraph;z-index:18520;mso-wrap-distance-left:0;mso-wrap-distance-right:0" from="70.080002pt,9.382659pt" to="525.599992pt,9.382659pt" stroked="true" strokeweight=".72pt" strokecolor="#000000">
            <w10:wrap type="topAndBottom"/>
          </v:line>
        </w:pict>
      </w:r>
    </w:p>
    <w:p>
      <w:pPr>
        <w:spacing w:line="283" w:lineRule="auto" w:before="75"/>
        <w:ind w:left="121" w:right="105" w:firstLine="0"/>
        <w:jc w:val="both"/>
        <w:rPr>
          <w:sz w:val="19"/>
        </w:rPr>
      </w:pPr>
      <w:r>
        <w:rPr>
          <w:sz w:val="19"/>
        </w:rPr>
        <w:t>humano está por ello determinado por la suma de las diferencias entre ese costo marginal y el propio    costo de todos los trabajadores educados. (Saint-Paul,  </w:t>
      </w:r>
      <w:r>
        <w:rPr>
          <w:spacing w:val="4"/>
          <w:sz w:val="19"/>
        </w:rPr>
        <w:t> </w:t>
      </w:r>
      <w:r>
        <w:rPr>
          <w:sz w:val="19"/>
        </w:rPr>
        <w:t>1994:3).</w:t>
      </w:r>
    </w:p>
    <w:p>
      <w:pPr>
        <w:pStyle w:val="BodyText"/>
        <w:spacing w:before="1"/>
        <w:rPr>
          <w:sz w:val="14"/>
        </w:rPr>
      </w:pPr>
    </w:p>
    <w:p>
      <w:pPr>
        <w:spacing w:line="283" w:lineRule="auto" w:before="0"/>
        <w:ind w:left="121" w:right="106" w:firstLine="0"/>
        <w:jc w:val="both"/>
        <w:rPr>
          <w:sz w:val="19"/>
        </w:rPr>
      </w:pPr>
      <w:r>
        <w:rPr>
          <w:position w:val="10"/>
          <w:sz w:val="12"/>
        </w:rPr>
        <w:t>127 </w:t>
      </w:r>
      <w:r>
        <w:rPr>
          <w:sz w:val="19"/>
        </w:rPr>
        <w:t>En efecto parece haber una correlación positiva entre el nivel de educación de un individuo y su propensión a emigrar debido a que “los individuos que tienen una certificación educativa de mayor nivel tienden a poseer una propensión mayor a la emigración que quienes tienen menor educación porque 1)     es mayor la diferencia del ingreso entre lo que pueden ganar en las áreas rurales, y 2) tienen mayores probabilidades de obtener un empleo lucrativo en el sector moderno” (Todaro,  </w:t>
      </w:r>
      <w:r>
        <w:rPr>
          <w:spacing w:val="44"/>
          <w:sz w:val="19"/>
        </w:rPr>
        <w:t> </w:t>
      </w:r>
      <w:r>
        <w:rPr>
          <w:sz w:val="19"/>
        </w:rPr>
        <w:t>1987:444)</w:t>
      </w:r>
    </w:p>
    <w:p>
      <w:pPr>
        <w:spacing w:line="283" w:lineRule="auto" w:before="160"/>
        <w:ind w:left="121" w:right="103" w:firstLine="0"/>
        <w:jc w:val="both"/>
        <w:rPr>
          <w:sz w:val="19"/>
        </w:rPr>
      </w:pPr>
      <w:r>
        <w:rPr>
          <w:position w:val="10"/>
          <w:sz w:val="12"/>
        </w:rPr>
        <w:t>128 </w:t>
      </w:r>
      <w:r>
        <w:rPr>
          <w:sz w:val="19"/>
        </w:rPr>
        <w:t>“Lo anterior significa muy probablemente que, en virtud de la población que  ha  tenido  acceso  a mayores dosis de escolaridad tiene una mayor capacidad económica,  puede  soportar  durante  más  tiempo los costos de oportunidad implícitos en el hecho de permanecer fuera de la población económicamente ocupada hasta el momento en que sea posible encontrar un empleo que satisfaga en mayor grado las expectativas ocupacionales y salariales de  los  diferentes  sujetos....  Este  problema  afecta más a los sujetos menores de 27 años (8%) que a los que se encuentran en la situación contraria      y se registra más en las mujeres (8.3%) que en los hombres (6.1%)  </w:t>
      </w:r>
      <w:r>
        <w:rPr>
          <w:spacing w:val="49"/>
          <w:sz w:val="19"/>
        </w:rPr>
        <w:t> </w:t>
      </w:r>
      <w:r>
        <w:rPr>
          <w:sz w:val="19"/>
        </w:rPr>
        <w:t>(Muñoz I., 1998:182).</w:t>
      </w:r>
    </w:p>
    <w:p>
      <w:pPr>
        <w:spacing w:after="0" w:line="283" w:lineRule="auto"/>
        <w:jc w:val="both"/>
        <w:rPr>
          <w:sz w:val="19"/>
        </w:rPr>
        <w:sectPr>
          <w:pgSz w:w="11900" w:h="16840"/>
          <w:pgMar w:header="0" w:footer="1679" w:top="1600" w:bottom="1860" w:left="1280" w:right="1280"/>
        </w:sectPr>
      </w:pPr>
    </w:p>
    <w:p>
      <w:pPr>
        <w:pStyle w:val="BodyText"/>
        <w:rPr>
          <w:sz w:val="20"/>
        </w:rPr>
      </w:pPr>
    </w:p>
    <w:p>
      <w:pPr>
        <w:pStyle w:val="BodyText"/>
        <w:spacing w:before="8"/>
        <w:rPr>
          <w:sz w:val="18"/>
        </w:rPr>
      </w:pPr>
    </w:p>
    <w:p>
      <w:pPr>
        <w:pStyle w:val="BodyText"/>
        <w:spacing w:line="364" w:lineRule="auto" w:before="74"/>
        <w:ind w:left="101" w:right="104"/>
        <w:jc w:val="both"/>
      </w:pPr>
      <w:r>
        <w:rPr/>
        <w:t>elemento que posibilita el funcionamiento laboral en el propio país y en el extranjero y  por lo tanto como un factor de ingreso además de ser parte del proceso educativo en sí misma.</w:t>
      </w:r>
    </w:p>
    <w:p>
      <w:pPr>
        <w:pStyle w:val="BodyText"/>
        <w:spacing w:line="367" w:lineRule="auto" w:before="118"/>
        <w:ind w:left="101" w:right="103"/>
        <w:jc w:val="both"/>
      </w:pPr>
      <w:r>
        <w:rPr/>
        <w:t>Al respecto De Janvry </w:t>
      </w:r>
      <w:r>
        <w:rPr>
          <w:i/>
        </w:rPr>
        <w:t>et al </w:t>
      </w:r>
      <w:r>
        <w:rPr/>
        <w:t>(1997:16) encontraron que un cierto nivel mínimo de capacitación es necesario para la migración internacional, pero el retorno a un limitado nivel de educación es bajo, en tanto que los acervos de capital humano, en conjunto,  son altamente significativos en la explicación de la decisión de </w:t>
      </w:r>
      <w:r>
        <w:rPr>
          <w:spacing w:val="12"/>
        </w:rPr>
        <w:t> </w:t>
      </w:r>
      <w:r>
        <w:rPr/>
        <w:t>migrar.</w:t>
      </w:r>
    </w:p>
    <w:p>
      <w:pPr>
        <w:pStyle w:val="BodyText"/>
        <w:spacing w:line="364" w:lineRule="auto" w:before="197"/>
        <w:ind w:left="101" w:right="104"/>
        <w:jc w:val="both"/>
      </w:pPr>
      <w:r>
        <w:rPr/>
        <w:t>Otros estudios permiten detectar otro tipo de particularidades. Por ejemplo, Fox y Stark (1987: cuadros 6 y 8) al examinar, en conjunto, los datos de 1969 y 1979 de los censos de EU para los inmigrantes mexicanos de sexo masculino con 16 o más años de edad encontraron que el número de horas trabajadas se relacionaron positiva y significativamente con la educación. Las pruebas realizadas con al ahorro no fueron significativas (Tabla 10) y las remesas resultaron  relacionadas  negativamente  a  un nivel de significancia del 90% aproximadamente (cuadro 9). A su vez  Rodríguez  y Horton (1996:188) concluyeron que en el caso de los filipinos la educación es un factor no significativo en el envío de remesas desde el  exterior.</w:t>
      </w:r>
    </w:p>
    <w:p>
      <w:pPr>
        <w:pStyle w:val="BodyText"/>
        <w:spacing w:line="364" w:lineRule="auto" w:before="197"/>
        <w:ind w:left="101" w:right="104"/>
        <w:jc w:val="both"/>
      </w:pPr>
      <w:r>
        <w:rPr/>
        <w:t>Massey y Phillips (1997:127) Sostienen que la educación tiene un efecto positivo y significativo en los salarios de los migrantes mexicanos varones en los Estados Unidos para todos los años y en menor medida pera el periodo pre IRCA pero no para el  periodo post IRCA. Un efecto similar fue encontrado en el hecho de tener padre  migrante y habilidades del idioma inglés, pero el efecto de las redes sociales es más significativo en el periodo post</w:t>
      </w:r>
      <w:r>
        <w:rPr>
          <w:spacing w:val="37"/>
        </w:rPr>
        <w:t> </w:t>
      </w:r>
      <w:r>
        <w:rPr/>
        <w:t>IRCA.</w:t>
      </w:r>
    </w:p>
    <w:p>
      <w:pPr>
        <w:pStyle w:val="BodyText"/>
        <w:spacing w:before="4"/>
        <w:rPr>
          <w:sz w:val="17"/>
        </w:rPr>
      </w:pPr>
    </w:p>
    <w:p>
      <w:pPr>
        <w:pStyle w:val="BodyText"/>
        <w:spacing w:line="364" w:lineRule="auto"/>
        <w:ind w:left="101" w:right="104"/>
        <w:jc w:val="both"/>
      </w:pPr>
      <w:r>
        <w:rPr/>
        <w:t>A su vez, Zahniser and Greenwood (1998:3:1144, descubrieron que la relación entre ingresos y educación es negativa y significativa en 42 comunidades migratorias mexicanas, estudiadas entre 1982 y 1996. La influencia del género es negativa y significante; la experiencia en México es positiva pero se vuelve irrelevante en tanto   que la experiencia en los estados Unidos adquiere relevancia con el tiempo. Cuando se ajusta por experiencia en los estados Unidos, la experiencia mexicana se vuelve totalmente</w:t>
      </w:r>
      <w:r>
        <w:rPr>
          <w:spacing w:val="27"/>
        </w:rPr>
        <w:t> </w:t>
      </w:r>
      <w:r>
        <w:rPr/>
        <w:t>negativa,</w:t>
      </w:r>
      <w:r>
        <w:rPr>
          <w:spacing w:val="24"/>
        </w:rPr>
        <w:t> </w:t>
      </w:r>
      <w:r>
        <w:rPr/>
        <w:t>el</w:t>
      </w:r>
      <w:r>
        <w:rPr>
          <w:spacing w:val="29"/>
        </w:rPr>
        <w:t> </w:t>
      </w:r>
      <w:r>
        <w:rPr/>
        <w:t>género</w:t>
      </w:r>
      <w:r>
        <w:rPr>
          <w:spacing w:val="24"/>
        </w:rPr>
        <w:t> </w:t>
      </w:r>
      <w:r>
        <w:rPr/>
        <w:t>permanece</w:t>
      </w:r>
      <w:r>
        <w:rPr>
          <w:spacing w:val="24"/>
        </w:rPr>
        <w:t> </w:t>
      </w:r>
      <w:r>
        <w:rPr/>
        <w:t>negativo</w:t>
      </w:r>
      <w:r>
        <w:rPr>
          <w:spacing w:val="22"/>
        </w:rPr>
        <w:t> </w:t>
      </w:r>
      <w:r>
        <w:rPr/>
        <w:t>pero</w:t>
      </w:r>
      <w:r>
        <w:rPr>
          <w:spacing w:val="24"/>
        </w:rPr>
        <w:t> </w:t>
      </w:r>
      <w:r>
        <w:rPr/>
        <w:t>más</w:t>
      </w:r>
      <w:r>
        <w:rPr>
          <w:spacing w:val="26"/>
        </w:rPr>
        <w:t> </w:t>
      </w:r>
      <w:r>
        <w:rPr/>
        <w:t>significante,</w:t>
      </w:r>
      <w:r>
        <w:rPr>
          <w:spacing w:val="24"/>
        </w:rPr>
        <w:t> </w:t>
      </w:r>
      <w:r>
        <w:rPr/>
        <w:t>al</w:t>
      </w:r>
      <w:r>
        <w:rPr>
          <w:spacing w:val="26"/>
        </w:rPr>
        <w:t> </w:t>
      </w:r>
      <w:r>
        <w:rPr/>
        <w:t>igual</w:t>
      </w:r>
      <w:r>
        <w:rPr>
          <w:spacing w:val="26"/>
        </w:rPr>
        <w:t> </w:t>
      </w:r>
      <w:r>
        <w:rPr/>
        <w:t>que</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4"/>
        <w:jc w:val="both"/>
      </w:pPr>
      <w:r>
        <w:rPr/>
        <w:t>la educación; pero la educación superior deja de ser significativa y las redes funcionan en sentido positivo cuando se representan por el padre pero negativas con respecto a   la</w:t>
      </w:r>
      <w:r>
        <w:rPr>
          <w:spacing w:val="9"/>
        </w:rPr>
        <w:t> </w:t>
      </w:r>
      <w:r>
        <w:rPr/>
        <w:t>madre.</w:t>
      </w:r>
    </w:p>
    <w:p>
      <w:pPr>
        <w:pStyle w:val="BodyText"/>
        <w:spacing w:before="6"/>
        <w:rPr>
          <w:sz w:val="17"/>
        </w:rPr>
      </w:pPr>
    </w:p>
    <w:p>
      <w:pPr>
        <w:pStyle w:val="BodyText"/>
        <w:spacing w:line="364" w:lineRule="auto"/>
        <w:ind w:left="101" w:right="102"/>
        <w:jc w:val="both"/>
      </w:pPr>
      <w:r>
        <w:rPr/>
        <w:t>De Brauw, Taylor and Rozelle (1999) calcularon que en China, la experiencia del jefe    de familia es significativa en el número de migrantes, ingreso agrícola  (negativo),  ingreso de autoempleo (negativo) y salario local, fuera de la finca. La educación es significativa en el número de emigrantes y en salario local, fuera de la </w:t>
      </w:r>
      <w:r>
        <w:rPr>
          <w:spacing w:val="18"/>
        </w:rPr>
        <w:t> </w:t>
      </w:r>
      <w:r>
        <w:rPr/>
        <w:t>finca.</w:t>
      </w:r>
    </w:p>
    <w:p>
      <w:pPr>
        <w:pStyle w:val="BodyText"/>
        <w:spacing w:before="7"/>
        <w:rPr>
          <w:sz w:val="20"/>
        </w:rPr>
      </w:pPr>
    </w:p>
    <w:p>
      <w:pPr>
        <w:pStyle w:val="BodyText"/>
        <w:spacing w:line="364" w:lineRule="auto" w:before="1"/>
        <w:ind w:left="101" w:right="105"/>
        <w:jc w:val="both"/>
      </w:pPr>
      <w:r>
        <w:rPr/>
        <w:t>Adams (1999:36) encontró una relación positiva y significativa entre la educación superior y los ingresos rurales no agrícolas pero sin alguna significancia para transferencia y</w:t>
      </w:r>
      <w:r>
        <w:rPr>
          <w:spacing w:val="23"/>
        </w:rPr>
        <w:t> </w:t>
      </w:r>
      <w:r>
        <w:rPr/>
        <w:t>rentas</w:t>
      </w:r>
    </w:p>
    <w:p>
      <w:pPr>
        <w:pStyle w:val="BodyText"/>
        <w:spacing w:before="7"/>
        <w:rPr>
          <w:sz w:val="20"/>
        </w:rPr>
      </w:pPr>
    </w:p>
    <w:p>
      <w:pPr>
        <w:pStyle w:val="BodyText"/>
        <w:spacing w:line="364" w:lineRule="auto" w:before="1"/>
        <w:ind w:left="101" w:right="105"/>
        <w:jc w:val="both"/>
      </w:pPr>
      <w:r>
        <w:rPr/>
        <w:t>En un contexto que abarca lo expuesto en este apartado, considerando un periodo que va desde 1967 hasta 1999, Taylor y Yúnez (1999) revisaron cerca de 60 estudios relacionados con la migración y la producción, el ingreso o la productividad. De todos ellos 36 estaban relacionados con la educación y la productividad, en 23 de los cuales encontraron por lo menos  alguna relación positiva y significativa a más del 90%, pero  en otros 10 la relación hallada fue negativa y significativa y en tres más la relación carecía de</w:t>
      </w:r>
      <w:r>
        <w:rPr>
          <w:spacing w:val="22"/>
        </w:rPr>
        <w:t> </w:t>
      </w:r>
      <w:r>
        <w:rPr/>
        <w:t>significancia.</w:t>
      </w:r>
    </w:p>
    <w:p>
      <w:pPr>
        <w:pStyle w:val="BodyText"/>
        <w:spacing w:before="10"/>
        <w:rPr>
          <w:sz w:val="20"/>
        </w:rPr>
      </w:pPr>
    </w:p>
    <w:p>
      <w:pPr>
        <w:pStyle w:val="BodyText"/>
        <w:spacing w:line="364" w:lineRule="auto"/>
        <w:ind w:left="101" w:right="102"/>
        <w:jc w:val="both"/>
      </w:pPr>
      <w:r>
        <w:rPr/>
        <w:t>Otros 15 estudios adicionales examinados por dichos autores relacionan escolaridad   con migración interna e internacional: Los resultados muestran en su mayoría alguna relación positiva de alta significancia; cuatro de ellos alguna relación negativa (uno para Bostwana y tres para el caso de México en la emigración internacional  y  positiva cuando se refiere a la migración interna). Otros cuatro se reportan con no significancia estadística o relación negativa para la migración</w:t>
      </w:r>
      <w:r>
        <w:rPr>
          <w:spacing w:val="61"/>
        </w:rPr>
        <w:t> </w:t>
      </w:r>
      <w:r>
        <w:rPr/>
        <w:t>interna.</w:t>
      </w:r>
    </w:p>
    <w:p>
      <w:pPr>
        <w:pStyle w:val="BodyText"/>
        <w:spacing w:before="7"/>
        <w:rPr>
          <w:sz w:val="20"/>
        </w:rPr>
      </w:pPr>
    </w:p>
    <w:p>
      <w:pPr>
        <w:pStyle w:val="BodyText"/>
        <w:spacing w:line="364" w:lineRule="auto" w:before="1"/>
        <w:ind w:left="101" w:right="105"/>
        <w:jc w:val="both"/>
      </w:pPr>
      <w:r>
        <w:rPr/>
        <w:t>Además, del número total analizado, otros 10 estudios  relacionan  migración,  producción e ingreso rural: tres de ellos reportan una relación negativa y/o no  significativa y el resto una relación positiva</w:t>
      </w:r>
      <w:r>
        <w:rPr>
          <w:spacing w:val="55"/>
        </w:rPr>
        <w:t> </w:t>
      </w:r>
      <w:r>
        <w:rPr/>
        <w:t>significativa.</w:t>
      </w:r>
    </w:p>
    <w:p>
      <w:pPr>
        <w:pStyle w:val="BodyText"/>
        <w:spacing w:line="364" w:lineRule="auto" w:before="122"/>
        <w:ind w:left="101" w:right="105"/>
        <w:jc w:val="both"/>
      </w:pPr>
      <w:r>
        <w:rPr/>
        <w:t>De su análisis los autores concluyen que a pesar de que la educación es la piedra angular de la política de desarrollo en los países en vías de desarrollo, la influencia   que</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2"/>
        <w:jc w:val="both"/>
      </w:pPr>
      <w:r>
        <w:rPr/>
        <w:t>tiene a través de los impactos en las áreas  rurales, donde los niveles de escolaridad  son los más bajos, todavía no es suficientemente entendida. La razón fundamental que arguyen estos autores es que se ha estado buscando los beneficios de la educación en los lugares y sectores equivocados. En las economías domésticas agrícolas diversificadas que caracterizan a la mayoría de las economías rurales, los beneficios primarios de la educación pueden ser encontrados en las actividades productivas no tradicionales (cultivos comerciales, actividades no agrícolas y migración) en las cuales los retornos económicos de la educación tienen la probabilidad de ser más altos. Ello    se debe a que en cuanto los hogares rurales aumentan su educación, su ‘portafolio de producción’ se ve alterado mediante el la reasignación de recursos  entre  las  actividades tradicionales y las nuevas. Es en estas actividades donde pueden ser encontrados los retornos más altos a la educación (Taylor and Yúnez, </w:t>
      </w:r>
      <w:r>
        <w:rPr>
          <w:spacing w:val="24"/>
        </w:rPr>
        <w:t> </w:t>
      </w:r>
      <w:r>
        <w:rPr/>
        <w:t>1999:9).</w:t>
      </w:r>
    </w:p>
    <w:p>
      <w:pPr>
        <w:pStyle w:val="BodyText"/>
        <w:rPr>
          <w:sz w:val="22"/>
        </w:rPr>
      </w:pPr>
    </w:p>
    <w:p>
      <w:pPr>
        <w:pStyle w:val="BodyText"/>
        <w:rPr>
          <w:sz w:val="22"/>
        </w:rPr>
      </w:pPr>
    </w:p>
    <w:p>
      <w:pPr>
        <w:pStyle w:val="BodyText"/>
        <w:spacing w:before="11"/>
        <w:rPr>
          <w:sz w:val="21"/>
        </w:rPr>
      </w:pPr>
    </w:p>
    <w:p>
      <w:pPr>
        <w:pStyle w:val="BodyText"/>
        <w:spacing w:line="364" w:lineRule="auto"/>
        <w:ind w:left="101" w:right="105"/>
        <w:jc w:val="both"/>
      </w:pPr>
      <w:r>
        <w:rPr/>
        <w:t>Cuando, además, se considera en la metodología la escolaridad de toda la familia y no sólo la del jefe, los resultados obtenidos a partir de una muestra de hogares de ocho comunidades rurales en México revelan que, controlando los efectos por participación y selectividad, “los retornos económicos de la escolaridad son uniformemente más altos  en el nivel de más de secundaria, y ellos son al menos tan altos en la agricultura como en la producción no agrícola. Este descubrimiento es importante, debido a que sugiere que la mayoría de los retornos privados de la educación rural en México, permanecen  en la economía rural - si bien no necesariamente dentro del sector de la producción agrícola” (Taylor and Yúnez,</w:t>
      </w:r>
      <w:r>
        <w:rPr>
          <w:spacing w:val="38"/>
        </w:rPr>
        <w:t> </w:t>
      </w:r>
      <w:r>
        <w:rPr/>
        <w:t>1999:9)</w:t>
      </w:r>
    </w:p>
    <w:p>
      <w:pPr>
        <w:pStyle w:val="BodyText"/>
        <w:spacing w:before="10"/>
        <w:rPr>
          <w:sz w:val="20"/>
        </w:rPr>
      </w:pPr>
    </w:p>
    <w:p>
      <w:pPr>
        <w:pStyle w:val="BodyText"/>
        <w:spacing w:line="364" w:lineRule="auto"/>
        <w:ind w:left="101" w:right="105"/>
        <w:jc w:val="both"/>
      </w:pPr>
      <w:r>
        <w:rPr/>
        <w:t>“Más aún, los retornos de la escolaridad varían ampliamente a través de los niveles de educación. En la producción agrícola, los efectos de una escolaridad de 7 a 9 años es solamente tan grande como la décima parte de los de 9 años o más. La discrepancia    en retornos entre estos dos niveles de escolaridad es más pequeña para actividades no agrícolas, pero es aún más significativa. Los retornos para la educación primaria son no significantes (o, en el caso de los cultivos básicos, negativa) en  las  actividades  agrícolas y no agrícolas. Sin embargo, compartiendo el punto de vista de De Janvry et   al</w:t>
      </w:r>
      <w:r>
        <w:rPr>
          <w:spacing w:val="23"/>
        </w:rPr>
        <w:t> </w:t>
      </w:r>
      <w:r>
        <w:rPr/>
        <w:t>(supra)</w:t>
      </w:r>
      <w:r>
        <w:rPr>
          <w:spacing w:val="24"/>
        </w:rPr>
        <w:t> </w:t>
      </w:r>
      <w:r>
        <w:rPr/>
        <w:t>los</w:t>
      </w:r>
      <w:r>
        <w:rPr>
          <w:spacing w:val="21"/>
        </w:rPr>
        <w:t> </w:t>
      </w:r>
      <w:r>
        <w:rPr/>
        <w:t>niveles</w:t>
      </w:r>
      <w:r>
        <w:rPr>
          <w:spacing w:val="25"/>
        </w:rPr>
        <w:t> </w:t>
      </w:r>
      <w:r>
        <w:rPr/>
        <w:t>de</w:t>
      </w:r>
      <w:r>
        <w:rPr>
          <w:spacing w:val="22"/>
        </w:rPr>
        <w:t> </w:t>
      </w:r>
      <w:r>
        <w:rPr/>
        <w:t>4</w:t>
      </w:r>
      <w:r>
        <w:rPr>
          <w:spacing w:val="22"/>
        </w:rPr>
        <w:t> </w:t>
      </w:r>
      <w:r>
        <w:rPr/>
        <w:t>a</w:t>
      </w:r>
      <w:r>
        <w:rPr>
          <w:spacing w:val="20"/>
        </w:rPr>
        <w:t> </w:t>
      </w:r>
      <w:r>
        <w:rPr/>
        <w:t>9</w:t>
      </w:r>
      <w:r>
        <w:rPr>
          <w:spacing w:val="24"/>
        </w:rPr>
        <w:t> </w:t>
      </w:r>
      <w:r>
        <w:rPr/>
        <w:t>años</w:t>
      </w:r>
      <w:r>
        <w:rPr>
          <w:spacing w:val="23"/>
        </w:rPr>
        <w:t> </w:t>
      </w:r>
      <w:r>
        <w:rPr/>
        <w:t>promueven</w:t>
      </w:r>
      <w:r>
        <w:rPr>
          <w:spacing w:val="22"/>
        </w:rPr>
        <w:t> </w:t>
      </w:r>
      <w:r>
        <w:rPr/>
        <w:t>la</w:t>
      </w:r>
      <w:r>
        <w:rPr>
          <w:spacing w:val="22"/>
        </w:rPr>
        <w:t> </w:t>
      </w:r>
      <w:r>
        <w:rPr/>
        <w:t>migración</w:t>
      </w:r>
      <w:r>
        <w:rPr>
          <w:spacing w:val="22"/>
        </w:rPr>
        <w:t> </w:t>
      </w:r>
      <w:r>
        <w:rPr/>
        <w:t>México-Estados</w:t>
      </w:r>
      <w:r>
        <w:rPr>
          <w:spacing w:val="23"/>
        </w:rPr>
        <w:t> </w:t>
      </w:r>
      <w:r>
        <w:rPr/>
        <w:t>Unidos</w:t>
      </w:r>
      <w:r>
        <w:rPr>
          <w:spacing w:val="23"/>
        </w:rPr>
        <w:t> </w:t>
      </w:r>
      <w:r>
        <w:rPr/>
        <w:t>y</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4"/>
        <w:jc w:val="both"/>
      </w:pPr>
      <w:r>
        <w:rPr/>
        <w:t>generan retornos significativos en la forma de remesas migratorias a los hogares  rurales. También de sus resultados se puede ver que la educación de nueve años  o  más tiene efectos negativos sobre casi todas las actividades en que fue dividido el ingreso y sin significancia alguna (Taylor and Yúnez, </w:t>
      </w:r>
      <w:r>
        <w:rPr>
          <w:spacing w:val="5"/>
        </w:rPr>
        <w:t> </w:t>
      </w:r>
      <w:r>
        <w:rPr/>
        <w:t>1999:10,70).</w:t>
      </w:r>
    </w:p>
    <w:p>
      <w:pPr>
        <w:pStyle w:val="BodyText"/>
        <w:spacing w:before="7"/>
        <w:rPr>
          <w:sz w:val="20"/>
        </w:rPr>
      </w:pPr>
    </w:p>
    <w:p>
      <w:pPr>
        <w:pStyle w:val="BodyText"/>
        <w:spacing w:line="364" w:lineRule="auto" w:before="1"/>
        <w:ind w:left="101" w:right="102"/>
        <w:jc w:val="both"/>
      </w:pPr>
      <w:r>
        <w:rPr/>
        <w:t>“En cambio, la migración internacional promueve la participación de las familias en la producción agrícola comercial. La migración no es solamente una fuente de ingreso de los hogares rurales; también contribuye a disminuir restricciones en la producción comercial, mediante el aprovisionamiento a lo hogares rurales de liquidez y/o seguridad en el ingreso (Taylor and Yúnez, 1999:10).</w:t>
      </w:r>
    </w:p>
    <w:p>
      <w:pPr>
        <w:pStyle w:val="BodyText"/>
        <w:spacing w:before="7"/>
        <w:rPr>
          <w:sz w:val="20"/>
        </w:rPr>
      </w:pPr>
    </w:p>
    <w:p>
      <w:pPr>
        <w:pStyle w:val="BodyText"/>
        <w:spacing w:line="364" w:lineRule="auto" w:before="1"/>
        <w:ind w:left="101" w:right="104"/>
        <w:jc w:val="both"/>
      </w:pPr>
      <w:r>
        <w:rPr/>
        <w:t>Por otro lado, Bustamante (2000:37) explica a detalle las razones de porque entre los indocumentados, un nivel educativo alto no tiene mayor repercusión en el ingreso. Este autor menciona que en lo que se refiere a la educación o a la información sobre ‘capital humano’ derivada del Proyecto Cañón Zapata (PCZ), los datos muestran una mejoría significativa. “Esto parece indicarse por la tendencia disminuida de aquellos migrantes  en el nivel más bajo de educación formal. Sin embargo, el relativo declive en el porcentaje de ‘más de secundaria’ sugiere que la atracción ejercida por las oportunidades de trabajo en los Estados Unidos disminuye una vez que la persona ha alcanzado un cierto nivel de educación, debido tal vez a un incremento en sus posibilidades de trabajo en México, condicionadas a un mayor nivel de educación. Esto presenta una paradoja: que las demandas estadounidenses de fuerza de trabajo indocumentada mexicana son más atractivas para los migrantes menos preparados...Cuando se hace una comparación por género...la información sugiere una hipótesis de una especie de factor de retención que parece asociado a ciertos niveles   de educación de los migrantes indocumentados. Esto puede formularse como sigue: mientras más alto sea el porcentaje de migrantes en la categoría de educación secundaria, más alto será el factor de retención en el mercado laboral estadounidense. Este parece ser más claramente el caso entre las mujeres que entre los </w:t>
      </w:r>
      <w:r>
        <w:rPr>
          <w:spacing w:val="28"/>
        </w:rPr>
        <w:t> </w:t>
      </w:r>
      <w:r>
        <w:rPr/>
        <w:t>varones...”</w:t>
      </w:r>
    </w:p>
    <w:p>
      <w:pPr>
        <w:pStyle w:val="BodyText"/>
        <w:spacing w:line="364" w:lineRule="auto" w:before="197"/>
        <w:ind w:left="101" w:right="105"/>
        <w:jc w:val="both"/>
      </w:pPr>
      <w:r>
        <w:rPr/>
        <w:t>Además señala que las tendencias en las mujeres indocumentadas “...pueden estar ponderadas por la salud de la economía estadounidense. Esto es, que cuando hay   una</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21" w:right="105"/>
        <w:jc w:val="both"/>
      </w:pPr>
      <w:r>
        <w:rPr/>
        <w:t>expansión en la economía de Estados Unidos, su poder de retención de las mujeres migrantes indocumentadas con educación mayor de secundaria  aumenta.  Una tendencia similar de aparente desaliento para unirse al flujo migratorio hacia Estados Unidos después de cierto nivel de educación parece ocurrir también entre los varones, pero en una manera menos aguda. Independientemente de esta diferencia por género,  la información...parece reforzar la hipótesis de que, en general la demanda de trabajo estadounidense de migrantes indocumentados mexicanos se encuentra sesgada contra aquellos con un nivel más alto de educación. En otras palabras, mientras mayor sea el nivel de educación que se alcance en México, más baja será la atracción de migrar irregularmente en busca de un trabajo en Estados Unidos” (Bustamante 2000: 39, </w:t>
      </w:r>
      <w:r>
        <w:rPr>
          <w:spacing w:val="40"/>
        </w:rPr>
        <w:t> </w:t>
      </w:r>
      <w:r>
        <w:rPr/>
        <w:t>40)</w:t>
      </w:r>
    </w:p>
    <w:p>
      <w:pPr>
        <w:pStyle w:val="BodyText"/>
        <w:spacing w:before="4"/>
        <w:rPr>
          <w:sz w:val="17"/>
        </w:rPr>
      </w:pPr>
    </w:p>
    <w:p>
      <w:pPr>
        <w:pStyle w:val="BodyText"/>
        <w:spacing w:line="364" w:lineRule="auto"/>
        <w:ind w:left="121" w:right="105"/>
        <w:jc w:val="both"/>
      </w:pPr>
      <w:r>
        <w:rPr/>
        <w:t>Un estudio más reciente de Taylor y Yúnez (2000:295,296), indica que la educación familiar promedio está relacionada positiva y significativamente con la producción de cultivos básicos, la agricultura comercial y los salarios fuera de la finca, y que la educación del padre se relaciona de manera positiva y significativa con las cosechas comerciales y los salarios ganados fuera de la granja. La experiencia del  jefe  es  positiva y significativa en cuanto al ingreso salarial y a la migración internacional, y en este mismo sentido la familia en Estados Unidos favorece la migración internacional en tanto que la familia en otras regiones de México actúa favorablemente sobre la producción de básicos y la migración interna. Otras combinaciones también resultaron favorables. Al final concluyen que la educación del padre tiene  un retorno  anual  del 10% y la educación de toda la familia tan sólo del</w:t>
      </w:r>
      <w:r>
        <w:rPr>
          <w:spacing w:val="62"/>
        </w:rPr>
        <w:t> </w:t>
      </w:r>
      <w:r>
        <w:rPr/>
        <w:t>5.5%.</w:t>
      </w:r>
    </w:p>
    <w:p>
      <w:pPr>
        <w:pStyle w:val="BodyText"/>
        <w:spacing w:before="6"/>
        <w:rPr>
          <w:sz w:val="17"/>
        </w:rPr>
      </w:pPr>
    </w:p>
    <w:p>
      <w:pPr>
        <w:pStyle w:val="BodyText"/>
        <w:spacing w:line="343" w:lineRule="auto"/>
        <w:ind w:left="121" w:right="105"/>
        <w:jc w:val="both"/>
      </w:pPr>
      <w:r>
        <w:rPr/>
        <w:t>En relativa concordancia con Bustamante (supra), estudios previos realizados por De Janvry </w:t>
      </w:r>
      <w:r>
        <w:rPr>
          <w:i/>
        </w:rPr>
        <w:t>et al </w:t>
      </w:r>
      <w:r>
        <w:rPr/>
        <w:t>(1997:16), indican que la educación básica, si bien influye negativamente   en las decisiones migratorias</w:t>
      </w:r>
      <w:r>
        <w:rPr>
          <w:position w:val="11"/>
          <w:sz w:val="15"/>
        </w:rPr>
        <w:t>129</w:t>
      </w:r>
      <w:r>
        <w:rPr/>
        <w:t>, tiene retornos positivos en el desempeño migratorio internacional</w:t>
      </w:r>
      <w:r>
        <w:rPr>
          <w:position w:val="11"/>
          <w:sz w:val="15"/>
        </w:rPr>
        <w:t>130</w:t>
      </w:r>
      <w:r>
        <w:rPr/>
        <w:t>,</w:t>
      </w:r>
      <w:r>
        <w:rPr>
          <w:spacing w:val="37"/>
        </w:rPr>
        <w:t> </w:t>
      </w:r>
      <w:r>
        <w:rPr/>
        <w:t>y</w:t>
      </w:r>
      <w:r>
        <w:rPr>
          <w:spacing w:val="30"/>
        </w:rPr>
        <w:t> </w:t>
      </w:r>
      <w:r>
        <w:rPr/>
        <w:t>que</w:t>
      </w:r>
      <w:r>
        <w:rPr>
          <w:spacing w:val="31"/>
        </w:rPr>
        <w:t> </w:t>
      </w:r>
      <w:r>
        <w:rPr/>
        <w:t>la</w:t>
      </w:r>
      <w:r>
        <w:rPr>
          <w:spacing w:val="35"/>
        </w:rPr>
        <w:t> </w:t>
      </w:r>
      <w:r>
        <w:rPr/>
        <w:t>educación</w:t>
      </w:r>
      <w:r>
        <w:rPr>
          <w:spacing w:val="31"/>
        </w:rPr>
        <w:t> </w:t>
      </w:r>
      <w:r>
        <w:rPr/>
        <w:t>media</w:t>
      </w:r>
      <w:r>
        <w:rPr>
          <w:spacing w:val="37"/>
        </w:rPr>
        <w:t> </w:t>
      </w:r>
      <w:r>
        <w:rPr/>
        <w:t>y</w:t>
      </w:r>
      <w:r>
        <w:rPr>
          <w:spacing w:val="27"/>
        </w:rPr>
        <w:t> </w:t>
      </w:r>
      <w:r>
        <w:rPr/>
        <w:t>superior</w:t>
      </w:r>
      <w:r>
        <w:rPr>
          <w:spacing w:val="34"/>
        </w:rPr>
        <w:t> </w:t>
      </w:r>
      <w:r>
        <w:rPr/>
        <w:t>más</w:t>
      </w:r>
      <w:r>
        <w:rPr>
          <w:spacing w:val="36"/>
        </w:rPr>
        <w:t> </w:t>
      </w:r>
      <w:r>
        <w:rPr/>
        <w:t>bien</w:t>
      </w:r>
      <w:r>
        <w:rPr>
          <w:spacing w:val="35"/>
        </w:rPr>
        <w:t> </w:t>
      </w:r>
      <w:r>
        <w:rPr/>
        <w:t>propician</w:t>
      </w:r>
      <w:r>
        <w:rPr>
          <w:spacing w:val="35"/>
        </w:rPr>
        <w:t> </w:t>
      </w:r>
      <w:r>
        <w:rPr/>
        <w:t>la</w:t>
      </w:r>
      <w:r>
        <w:rPr>
          <w:spacing w:val="35"/>
        </w:rPr>
        <w:t> </w:t>
      </w:r>
      <w:r>
        <w:rPr/>
        <w:t>migración</w:t>
      </w:r>
    </w:p>
    <w:p>
      <w:pPr>
        <w:pStyle w:val="BodyText"/>
        <w:spacing w:before="1"/>
        <w:rPr>
          <w:sz w:val="19"/>
        </w:rPr>
      </w:pPr>
      <w:r>
        <w:rPr/>
        <w:pict>
          <v:line style="position:absolute;mso-position-horizontal-relative:page;mso-position-vertical-relative:paragraph;z-index:18544;mso-wrap-distance-left:0;mso-wrap-distance-right:0" from="70.080002pt,13.310086pt" to="210.239999pt,13.310086pt" stroked="true" strokeweight=".72pt" strokecolor="#000000">
            <w10:wrap type="topAndBottom"/>
          </v:line>
        </w:pict>
      </w:r>
    </w:p>
    <w:p>
      <w:pPr>
        <w:spacing w:line="247" w:lineRule="auto" w:before="34"/>
        <w:ind w:left="121" w:right="106" w:firstLine="0"/>
        <w:jc w:val="both"/>
        <w:rPr>
          <w:sz w:val="19"/>
        </w:rPr>
      </w:pPr>
      <w:r>
        <w:rPr>
          <w:position w:val="10"/>
          <w:sz w:val="12"/>
        </w:rPr>
        <w:t>129 </w:t>
      </w:r>
      <w:r>
        <w:rPr>
          <w:sz w:val="19"/>
        </w:rPr>
        <w:t>Que la educación sea negativa en la migración internacional no es sorprendente. Comprobar un alto retorno a la educación en un país extranjero puede ser difícil puesto que la información sobre educación      y capacitación se difícil de verificar, y, si la migración es ilegal, los trabajos que hacen juego con la educación no están accesibles (De Janvry </w:t>
      </w:r>
      <w:r>
        <w:rPr>
          <w:i/>
          <w:sz w:val="19"/>
        </w:rPr>
        <w:t>et al</w:t>
      </w:r>
      <w:r>
        <w:rPr>
          <w:sz w:val="19"/>
        </w:rPr>
        <w:t>, 1997: </w:t>
      </w:r>
      <w:r>
        <w:rPr>
          <w:spacing w:val="41"/>
          <w:sz w:val="19"/>
        </w:rPr>
        <w:t> </w:t>
      </w:r>
      <w:r>
        <w:rPr>
          <w:sz w:val="19"/>
        </w:rPr>
        <w:t>6).</w:t>
      </w:r>
    </w:p>
    <w:p>
      <w:pPr>
        <w:pStyle w:val="BodyText"/>
        <w:spacing w:before="5"/>
        <w:rPr>
          <w:sz w:val="16"/>
        </w:rPr>
      </w:pPr>
    </w:p>
    <w:p>
      <w:pPr>
        <w:spacing w:line="244" w:lineRule="auto" w:before="0"/>
        <w:ind w:left="121" w:right="105" w:firstLine="0"/>
        <w:jc w:val="both"/>
        <w:rPr>
          <w:sz w:val="19"/>
        </w:rPr>
      </w:pPr>
      <w:r>
        <w:rPr>
          <w:position w:val="10"/>
          <w:sz w:val="12"/>
        </w:rPr>
        <w:t>130 </w:t>
      </w:r>
      <w:r>
        <w:rPr>
          <w:sz w:val="19"/>
        </w:rPr>
        <w:t>Aquellos con un nivel medio de educación tienen más probabilidad para migrar internamente donde el retorno a la educación es más alto (Taylor, 1986). Solamente aquellos hogares con un promedio de 10 o más años de educación son más probables para migrar. Los coeficientes de educación y educación al</w:t>
      </w:r>
    </w:p>
    <w:p>
      <w:pPr>
        <w:spacing w:after="0" w:line="244" w:lineRule="auto"/>
        <w:jc w:val="both"/>
        <w:rPr>
          <w:sz w:val="19"/>
        </w:rPr>
        <w:sectPr>
          <w:pgSz w:w="11900" w:h="16840"/>
          <w:pgMar w:header="0" w:footer="1679" w:top="1600" w:bottom="1860" w:left="1280" w:right="1280"/>
        </w:sectPr>
      </w:pPr>
    </w:p>
    <w:p>
      <w:pPr>
        <w:pStyle w:val="BodyText"/>
        <w:rPr>
          <w:sz w:val="20"/>
        </w:rPr>
      </w:pPr>
    </w:p>
    <w:p>
      <w:pPr>
        <w:pStyle w:val="BodyText"/>
        <w:spacing w:before="8"/>
        <w:rPr>
          <w:sz w:val="18"/>
        </w:rPr>
      </w:pPr>
    </w:p>
    <w:p>
      <w:pPr>
        <w:pStyle w:val="BodyText"/>
        <w:spacing w:line="364" w:lineRule="auto" w:before="74"/>
        <w:ind w:left="121" w:right="108"/>
        <w:jc w:val="both"/>
      </w:pPr>
      <w:r>
        <w:rPr/>
        <w:t>interna cuando las condiciones de la economía nacional permiten derivar retornos laborales positivos desde el factor educativo.</w:t>
      </w:r>
    </w:p>
    <w:p>
      <w:pPr>
        <w:pStyle w:val="BodyText"/>
        <w:spacing w:before="7"/>
      </w:pPr>
    </w:p>
    <w:p>
      <w:pPr>
        <w:pStyle w:val="Heading3"/>
        <w:spacing w:before="1"/>
      </w:pPr>
      <w:r>
        <w:rPr/>
        <w:t>Características de la zona de estudio</w:t>
      </w:r>
    </w:p>
    <w:p>
      <w:pPr>
        <w:pStyle w:val="BodyText"/>
        <w:spacing w:before="2"/>
        <w:rPr>
          <w:b/>
          <w:sz w:val="38"/>
        </w:rPr>
      </w:pPr>
    </w:p>
    <w:p>
      <w:pPr>
        <w:pStyle w:val="BodyText"/>
        <w:spacing w:line="364" w:lineRule="auto" w:before="1"/>
        <w:ind w:left="121" w:right="105"/>
        <w:jc w:val="both"/>
      </w:pPr>
      <w:r>
        <w:rPr/>
        <w:t>Algo importante está ocurriendo en Amayuca. En una visita realizada el 11 de mayo de 2002, se efectuó un recuento de los establecimientos  comerciales,  resultando  que éstos han aumentado a un ritmo aproximado del 30% anual entre 1997 y la fecha indicada. Aunque la información de que se dispone no permite atribuir tal índice de crecimiento únicamente a el incremento de la emigración internacional, los datos extraídos en un conteo más reciente (7 de junio de 2002) reunidos con los obtenidos en 1997 indica que los flujos migratorios internacionales se incrementaron aproximadamente al 27% de 1997 a 2001 y que en el tercer semestre de 2002 lo  hicieron a una tasa equivalente al 32% anual; sin tomar en cuenta a los avecindados  que llegaron de poblaciones aledañas con el fin de unirse a los flujos de la migración internacional.</w:t>
      </w:r>
    </w:p>
    <w:p>
      <w:pPr>
        <w:pStyle w:val="BodyText"/>
        <w:rPr>
          <w:sz w:val="22"/>
        </w:rPr>
      </w:pPr>
    </w:p>
    <w:p>
      <w:pPr>
        <w:pStyle w:val="BodyText"/>
        <w:rPr>
          <w:sz w:val="22"/>
        </w:rPr>
      </w:pPr>
    </w:p>
    <w:p>
      <w:pPr>
        <w:pStyle w:val="BodyText"/>
        <w:spacing w:line="364" w:lineRule="auto" w:before="135"/>
        <w:ind w:left="121" w:right="103"/>
        <w:jc w:val="both"/>
      </w:pPr>
      <w:r>
        <w:rPr/>
        <w:t>Tal vez sería aventurado atribuir exclusivamente tal índice de crecimiento económico al envío de remesas desde el extranjero, pero tampoco se puede rechazar </w:t>
      </w:r>
      <w:r>
        <w:rPr>
          <w:i/>
        </w:rPr>
        <w:t>a priori </w:t>
      </w:r>
      <w:r>
        <w:rPr/>
        <w:t>que existe una influencia determinante que proviene de la emigración internacional, la cual seguramente ha incidido en la reducción de los niveles de pobreza en dicha localidad. Así lo confirman las cifras de todo el municipio en donde la cantidad de negocios aumentó al 4.6 % por año durante el periodo 1990-2000, siguiendo de cerca a la evolución del Producto Interno Bruto de la entidad (INEGI, 1990 y </w:t>
      </w:r>
      <w:r>
        <w:rPr>
          <w:spacing w:val="20"/>
        </w:rPr>
        <w:t> </w:t>
      </w:r>
      <w:r>
        <w:rPr/>
        <w:t>2000).</w:t>
      </w:r>
    </w:p>
    <w:p>
      <w:pPr>
        <w:pStyle w:val="BodyText"/>
        <w:spacing w:line="364" w:lineRule="auto" w:before="122"/>
        <w:ind w:left="121" w:right="105"/>
        <w:jc w:val="both"/>
      </w:pPr>
      <w:r>
        <w:rPr/>
        <w:t>Perteneciente al municipio de Jantetelco, Amayuca es una población representativa del estado de Morelos en cuanto a migración internacional se refiere. Su nombre significa “lugar amurallado de amates” o “en el corazón de los amates” y su un  clima  es  caluroso, semiseco, con un buen temporal y libre de heladas. Es un pueblo principalmente</w:t>
      </w:r>
      <w:r>
        <w:rPr>
          <w:spacing w:val="16"/>
        </w:rPr>
        <w:t> </w:t>
      </w:r>
      <w:r>
        <w:rPr/>
        <w:t>agrícola;</w:t>
      </w:r>
      <w:r>
        <w:rPr>
          <w:spacing w:val="16"/>
        </w:rPr>
        <w:t> </w:t>
      </w:r>
      <w:r>
        <w:rPr/>
        <w:t>cuenta</w:t>
      </w:r>
      <w:r>
        <w:rPr>
          <w:spacing w:val="13"/>
        </w:rPr>
        <w:t> </w:t>
      </w:r>
      <w:r>
        <w:rPr/>
        <w:t>con</w:t>
      </w:r>
      <w:r>
        <w:rPr>
          <w:spacing w:val="16"/>
        </w:rPr>
        <w:t> </w:t>
      </w:r>
      <w:r>
        <w:rPr/>
        <w:t>una</w:t>
      </w:r>
      <w:r>
        <w:rPr>
          <w:spacing w:val="16"/>
        </w:rPr>
        <w:t> </w:t>
      </w:r>
      <w:r>
        <w:rPr/>
        <w:t>superficie</w:t>
      </w:r>
      <w:r>
        <w:rPr>
          <w:spacing w:val="10"/>
        </w:rPr>
        <w:t> </w:t>
      </w:r>
      <w:r>
        <w:rPr/>
        <w:t>total</w:t>
      </w:r>
      <w:r>
        <w:rPr>
          <w:spacing w:val="15"/>
        </w:rPr>
        <w:t> </w:t>
      </w:r>
      <w:r>
        <w:rPr/>
        <w:t>de</w:t>
      </w:r>
      <w:r>
        <w:rPr>
          <w:spacing w:val="16"/>
        </w:rPr>
        <w:t> </w:t>
      </w:r>
      <w:r>
        <w:rPr/>
        <w:t>3</w:t>
      </w:r>
      <w:r>
        <w:rPr>
          <w:spacing w:val="13"/>
        </w:rPr>
        <w:t> </w:t>
      </w:r>
      <w:r>
        <w:rPr/>
        <w:t>000</w:t>
      </w:r>
      <w:r>
        <w:rPr>
          <w:spacing w:val="16"/>
        </w:rPr>
        <w:t> </w:t>
      </w:r>
      <w:r>
        <w:rPr/>
        <w:t>ha,</w:t>
      </w:r>
      <w:r>
        <w:rPr>
          <w:spacing w:val="16"/>
        </w:rPr>
        <w:t> </w:t>
      </w:r>
      <w:r>
        <w:rPr/>
        <w:t>y</w:t>
      </w:r>
      <w:r>
        <w:rPr>
          <w:spacing w:val="12"/>
        </w:rPr>
        <w:t> </w:t>
      </w:r>
      <w:r>
        <w:rPr/>
        <w:t>su</w:t>
      </w:r>
      <w:r>
        <w:rPr>
          <w:spacing w:val="16"/>
        </w:rPr>
        <w:t> </w:t>
      </w:r>
      <w:r>
        <w:rPr/>
        <w:t>estructura</w:t>
      </w:r>
      <w:r>
        <w:rPr>
          <w:spacing w:val="16"/>
        </w:rPr>
        <w:t> </w:t>
      </w:r>
      <w:r>
        <w:rPr/>
        <w:t>de</w:t>
      </w:r>
    </w:p>
    <w:p>
      <w:pPr>
        <w:pStyle w:val="BodyText"/>
        <w:spacing w:before="10"/>
        <w:rPr>
          <w:sz w:val="14"/>
        </w:rPr>
      </w:pPr>
      <w:r>
        <w:rPr/>
        <w:pict>
          <v:line style="position:absolute;mso-position-horizontal-relative:page;mso-position-vertical-relative:paragraph;z-index:18568;mso-wrap-distance-left:0;mso-wrap-distance-right:0" from="70.080002pt,10.921757pt" to="525.599992pt,10.921757pt" stroked="true" strokeweight=".72pt" strokecolor="#000000">
            <w10:wrap type="topAndBottom"/>
          </v:line>
        </w:pict>
      </w:r>
    </w:p>
    <w:p>
      <w:pPr>
        <w:spacing w:line="247" w:lineRule="auto" w:before="73"/>
        <w:ind w:left="121" w:right="285" w:firstLine="0"/>
        <w:jc w:val="left"/>
        <w:rPr>
          <w:sz w:val="19"/>
        </w:rPr>
      </w:pPr>
      <w:r>
        <w:rPr>
          <w:sz w:val="19"/>
        </w:rPr>
        <w:t>cuadrado [literacy] conjuntamente implican una interrelación no  lineal entre la  decisión  de  migrar  y el nivel de capacitación De Janvry </w:t>
      </w:r>
      <w:r>
        <w:rPr>
          <w:i/>
          <w:sz w:val="19"/>
        </w:rPr>
        <w:t>et al </w:t>
      </w:r>
      <w:r>
        <w:rPr>
          <w:i/>
          <w:spacing w:val="28"/>
          <w:sz w:val="19"/>
        </w:rPr>
        <w:t> </w:t>
      </w:r>
      <w:r>
        <w:rPr>
          <w:sz w:val="19"/>
        </w:rPr>
        <w:t>(1997:16).</w:t>
      </w:r>
    </w:p>
    <w:p>
      <w:pPr>
        <w:spacing w:after="0" w:line="247" w:lineRule="auto"/>
        <w:jc w:val="left"/>
        <w:rPr>
          <w:sz w:val="19"/>
        </w:rPr>
        <w:sectPr>
          <w:pgSz w:w="11900" w:h="16840"/>
          <w:pgMar w:header="0" w:footer="1679" w:top="1600" w:bottom="1860" w:left="1280" w:right="1280"/>
        </w:sectPr>
      </w:pPr>
    </w:p>
    <w:p>
      <w:pPr>
        <w:pStyle w:val="BodyText"/>
        <w:rPr>
          <w:sz w:val="20"/>
        </w:rPr>
      </w:pPr>
    </w:p>
    <w:p>
      <w:pPr>
        <w:pStyle w:val="BodyText"/>
        <w:spacing w:before="8"/>
        <w:rPr>
          <w:sz w:val="18"/>
        </w:rPr>
      </w:pPr>
    </w:p>
    <w:p>
      <w:pPr>
        <w:pStyle w:val="BodyText"/>
        <w:spacing w:line="364" w:lineRule="auto" w:before="74"/>
        <w:ind w:left="121" w:right="103"/>
        <w:jc w:val="both"/>
      </w:pPr>
      <w:r>
        <w:rPr/>
        <w:t>cultivos incluye: maíz, 44.2%; tomate de cáscara, 17%; cacahuate, 12.8%; frijol, 8.6%; calabacita, 7%; sorgo, 5.5%; pepino, 4.1% y otros, 0.7%. Del total de su superficie agrícola el 97.2% se siembra bajo el régimen de temporal y el 2.8% restante bajo condiciones de riego (Hernández, 2001 y Ortiz,  1995).</w:t>
      </w:r>
    </w:p>
    <w:p>
      <w:pPr>
        <w:pStyle w:val="BodyText"/>
        <w:spacing w:before="4"/>
        <w:rPr>
          <w:sz w:val="17"/>
        </w:rPr>
      </w:pPr>
    </w:p>
    <w:p>
      <w:pPr>
        <w:pStyle w:val="BodyText"/>
        <w:spacing w:line="357" w:lineRule="auto"/>
        <w:ind w:left="121" w:right="102"/>
        <w:jc w:val="both"/>
      </w:pPr>
      <w:r>
        <w:rPr/>
        <w:t>Aunque Amayuca no es la cabecera municipal, su importancia económica se refleja en  el hecho de que varias carreteras hacen cruce en éste lugar</w:t>
      </w:r>
      <w:r>
        <w:rPr>
          <w:position w:val="11"/>
          <w:sz w:val="15"/>
        </w:rPr>
        <w:t>131 </w:t>
      </w:r>
      <w:r>
        <w:rPr/>
        <w:t>y en la existencia de un mercado de hortalizas al mayoreo (por camiones) al aire libre, denominado “el  mezquite”, al cual (no obstante la existencia de la Central de Abastos de la ciudad de Cuautla)</w:t>
      </w:r>
      <w:r>
        <w:rPr>
          <w:spacing w:val="25"/>
        </w:rPr>
        <w:t> </w:t>
      </w:r>
      <w:r>
        <w:rPr/>
        <w:t>acuden</w:t>
      </w:r>
      <w:r>
        <w:rPr>
          <w:spacing w:val="23"/>
        </w:rPr>
        <w:t> </w:t>
      </w:r>
      <w:r>
        <w:rPr/>
        <w:t>compradores</w:t>
      </w:r>
      <w:r>
        <w:rPr>
          <w:spacing w:val="26"/>
        </w:rPr>
        <w:t> </w:t>
      </w:r>
      <w:r>
        <w:rPr/>
        <w:t>de</w:t>
      </w:r>
      <w:r>
        <w:rPr>
          <w:spacing w:val="25"/>
        </w:rPr>
        <w:t> </w:t>
      </w:r>
      <w:r>
        <w:rPr/>
        <w:t>la</w:t>
      </w:r>
      <w:r>
        <w:rPr>
          <w:spacing w:val="25"/>
        </w:rPr>
        <w:t> </w:t>
      </w:r>
      <w:r>
        <w:rPr/>
        <w:t>mayor</w:t>
      </w:r>
      <w:r>
        <w:rPr>
          <w:spacing w:val="25"/>
        </w:rPr>
        <w:t> </w:t>
      </w:r>
      <w:r>
        <w:rPr/>
        <w:t>Central</w:t>
      </w:r>
      <w:r>
        <w:rPr>
          <w:spacing w:val="30"/>
        </w:rPr>
        <w:t> </w:t>
      </w:r>
      <w:r>
        <w:rPr/>
        <w:t>de</w:t>
      </w:r>
      <w:r>
        <w:rPr>
          <w:spacing w:val="25"/>
        </w:rPr>
        <w:t> </w:t>
      </w:r>
      <w:r>
        <w:rPr/>
        <w:t>Abasto</w:t>
      </w:r>
      <w:r>
        <w:rPr>
          <w:spacing w:val="29"/>
        </w:rPr>
        <w:t> </w:t>
      </w:r>
      <w:r>
        <w:rPr/>
        <w:t>de</w:t>
      </w:r>
      <w:r>
        <w:rPr>
          <w:spacing w:val="25"/>
        </w:rPr>
        <w:t> </w:t>
      </w:r>
      <w:r>
        <w:rPr/>
        <w:t>la</w:t>
      </w:r>
      <w:r>
        <w:rPr>
          <w:spacing w:val="29"/>
        </w:rPr>
        <w:t> </w:t>
      </w:r>
      <w:r>
        <w:rPr/>
        <w:t>Ciudad</w:t>
      </w:r>
      <w:r>
        <w:rPr>
          <w:spacing w:val="23"/>
        </w:rPr>
        <w:t> </w:t>
      </w:r>
      <w:r>
        <w:rPr/>
        <w:t>de</w:t>
      </w:r>
      <w:r>
        <w:rPr>
          <w:spacing w:val="23"/>
        </w:rPr>
        <w:t> </w:t>
      </w:r>
      <w:r>
        <w:rPr/>
        <w:t>México</w:t>
      </w:r>
    </w:p>
    <w:p>
      <w:pPr>
        <w:pStyle w:val="BodyText"/>
        <w:spacing w:line="364" w:lineRule="auto" w:before="13"/>
        <w:ind w:left="121" w:right="107"/>
        <w:jc w:val="both"/>
      </w:pPr>
      <w:r>
        <w:rPr/>
        <w:t>(sita en la delegación de Iztapalapa), y vendedores de todos los municipios aledaños.  Ahí también se dan los contactos para la venta de cosechas en pie. Amayuca además  es el único pueblo del municipio que cuenta con un tianguis </w:t>
      </w:r>
      <w:r>
        <w:rPr>
          <w:spacing w:val="16"/>
        </w:rPr>
        <w:t> </w:t>
      </w:r>
      <w:r>
        <w:rPr/>
        <w:t>semanal.</w:t>
      </w:r>
    </w:p>
    <w:p>
      <w:pPr>
        <w:pStyle w:val="BodyText"/>
        <w:spacing w:line="364" w:lineRule="auto" w:before="197"/>
        <w:ind w:left="121" w:right="105"/>
        <w:jc w:val="both"/>
      </w:pPr>
      <w:r>
        <w:rPr/>
        <w:t>En esta localidad se pueden encontrar algunos servicios urbanos básicos, incluyendo el correo, el telégrafo, el teléfono y la medicina y se encuentra ubicada a unos 25 Km de   la ciudad de Cuautla, Mor. y a unos 80 Km de la Ciudad de </w:t>
      </w:r>
      <w:r>
        <w:rPr>
          <w:spacing w:val="14"/>
        </w:rPr>
        <w:t> </w:t>
      </w:r>
      <w:r>
        <w:rPr/>
        <w:t>México.</w:t>
      </w:r>
    </w:p>
    <w:p>
      <w:pPr>
        <w:pStyle w:val="BodyText"/>
        <w:spacing w:before="4"/>
        <w:rPr>
          <w:sz w:val="17"/>
        </w:rPr>
      </w:pPr>
    </w:p>
    <w:p>
      <w:pPr>
        <w:pStyle w:val="BodyText"/>
        <w:spacing w:line="364" w:lineRule="auto"/>
        <w:ind w:left="121" w:right="103"/>
        <w:jc w:val="both"/>
      </w:pPr>
      <w:r>
        <w:rPr/>
        <w:t>En el aspecto demográfico, Amayuca tiene un contingente demográfico mayor que la cabecera municipal y su crecimiento demográfico, (2.23% a nivel municipal) es mayor a  la media estatal (Instituto Nacional de Estadística Geografía e Informática (INEGI), 1995ª).</w:t>
      </w:r>
    </w:p>
    <w:p>
      <w:pPr>
        <w:pStyle w:val="BodyText"/>
        <w:spacing w:before="4"/>
        <w:rPr>
          <w:sz w:val="17"/>
        </w:rPr>
      </w:pPr>
    </w:p>
    <w:p>
      <w:pPr>
        <w:pStyle w:val="BodyText"/>
        <w:spacing w:line="364" w:lineRule="auto"/>
        <w:ind w:left="121" w:right="102"/>
        <w:jc w:val="both"/>
      </w:pPr>
      <w:r>
        <w:rPr/>
        <w:t>En 1980 la población total de la comunidad era de 3,598 habitantes de los cuales 1,233 constituían la Población Económicamente Activa (PEA): 56% en  el  sector  primario, 3.9% en el sector secundario, 13.8% en el sector terciario. En 1995 ya había alcanzado una población de 4,566 habitantes de cuya PEA el 45% estaba en el sector agropecuario, 29.3% en servicios y un poco más del 16% en el sector secundario. En ese año el índice de alfabetismo era del 89.3%. En el año 2000, la población de la comunidad  era  ya  de 5,156  habitantes  de  donde se desprende  que  a mediados  </w:t>
      </w:r>
      <w:r>
        <w:rPr>
          <w:spacing w:val="27"/>
        </w:rPr>
        <w:t> </w:t>
      </w:r>
      <w:r>
        <w:rPr/>
        <w:t>de</w:t>
      </w:r>
    </w:p>
    <w:p>
      <w:pPr>
        <w:pStyle w:val="BodyText"/>
        <w:spacing w:before="5"/>
        <w:rPr>
          <w:sz w:val="27"/>
        </w:rPr>
      </w:pPr>
      <w:r>
        <w:rPr/>
        <w:pict>
          <v:line style="position:absolute;mso-position-horizontal-relative:page;mso-position-vertical-relative:paragraph;z-index:18592;mso-wrap-distance-left:0;mso-wrap-distance-right:0" from="70.080002pt,18.061735pt" to="210.239999pt,18.061735pt" stroked="true" strokeweight=".6pt" strokecolor="#000000">
            <w10:wrap type="topAndBottom"/>
          </v:line>
        </w:pict>
      </w:r>
    </w:p>
    <w:p>
      <w:pPr>
        <w:spacing w:line="247" w:lineRule="auto" w:before="39"/>
        <w:ind w:left="121" w:right="105" w:firstLine="0"/>
        <w:jc w:val="both"/>
        <w:rPr>
          <w:sz w:val="19"/>
        </w:rPr>
      </w:pPr>
      <w:r>
        <w:rPr>
          <w:position w:val="10"/>
          <w:sz w:val="12"/>
        </w:rPr>
        <w:t>131 </w:t>
      </w:r>
      <w:r>
        <w:rPr>
          <w:sz w:val="19"/>
        </w:rPr>
        <w:t>En donde tienen que hacer trasbordo o al menos pasan por ahí los habitantes de al menos unas 20 comunidades cercanas de municipios aledaños del propio estado de Morelos y del estado de Puebla.     Esto se refleja en el hecho de que aproximadamente unos 250 taxis y unas 60 combis (camionetas) de pasaje colectivo tienen sus bases en </w:t>
      </w:r>
      <w:r>
        <w:rPr>
          <w:spacing w:val="26"/>
          <w:sz w:val="19"/>
        </w:rPr>
        <w:t> </w:t>
      </w:r>
      <w:r>
        <w:rPr>
          <w:sz w:val="19"/>
        </w:rPr>
        <w:t>Amayuca</w:t>
      </w:r>
    </w:p>
    <w:p>
      <w:pPr>
        <w:spacing w:after="0" w:line="247" w:lineRule="auto"/>
        <w:jc w:val="both"/>
        <w:rPr>
          <w:sz w:val="19"/>
        </w:rPr>
        <w:sectPr>
          <w:footerReference w:type="default" r:id="rId527"/>
          <w:pgSz w:w="11900" w:h="16840"/>
          <w:pgMar w:footer="1679" w:header="0" w:top="1600" w:bottom="1860" w:left="1280" w:right="1280"/>
          <w:pgNumType w:start="400"/>
        </w:sectPr>
      </w:pPr>
    </w:p>
    <w:p>
      <w:pPr>
        <w:pStyle w:val="BodyText"/>
        <w:rPr>
          <w:sz w:val="20"/>
        </w:rPr>
      </w:pPr>
    </w:p>
    <w:p>
      <w:pPr>
        <w:pStyle w:val="BodyText"/>
        <w:spacing w:before="8"/>
        <w:rPr>
          <w:sz w:val="18"/>
        </w:rPr>
      </w:pPr>
    </w:p>
    <w:p>
      <w:pPr>
        <w:pStyle w:val="BodyText"/>
        <w:spacing w:line="364" w:lineRule="auto" w:before="74"/>
        <w:ind w:left="101" w:right="105"/>
        <w:jc w:val="both"/>
      </w:pPr>
      <w:r>
        <w:rPr/>
        <w:t>2002 podría haber contado con más de 5,400 habitantes lo cual implicaría una  intensidad migratoria del 12% en números aproximados (INEGI, 1980; INEGI, 1995b, y Hernández,</w:t>
      </w:r>
      <w:r>
        <w:rPr>
          <w:spacing w:val="22"/>
        </w:rPr>
        <w:t> </w:t>
      </w:r>
      <w:r>
        <w:rPr/>
        <w:t>2001).</w:t>
      </w:r>
    </w:p>
    <w:p>
      <w:pPr>
        <w:pStyle w:val="BodyText"/>
        <w:spacing w:before="6"/>
        <w:rPr>
          <w:sz w:val="17"/>
        </w:rPr>
      </w:pPr>
    </w:p>
    <w:p>
      <w:pPr>
        <w:pStyle w:val="BodyText"/>
        <w:spacing w:line="364" w:lineRule="auto"/>
        <w:ind w:left="101" w:right="103"/>
        <w:jc w:val="both"/>
      </w:pPr>
      <w:r>
        <w:rPr/>
        <w:t>La comunicación con sus alrededores por medio de la red de carreteras pavimentadas, ha favorecido la atracción de individuos o familias por motivos laborales o migratorios. Sin contar con la presencia de la Ciudad de México, a donde se dirige y de donde proviene predominantemente la migración interna. La inmigración  interna  de  origen rural proviene de comunidades y municipios aledaños de los estados de  Guerrero, Puebla y Oaxaca y desde luego del propio estado de Morelos. En este aspecto también son importantes los aportes demográficos del estado de Veracruz (INEGI; </w:t>
      </w:r>
      <w:r>
        <w:rPr>
          <w:spacing w:val="28"/>
        </w:rPr>
        <w:t> </w:t>
      </w:r>
      <w:r>
        <w:rPr/>
        <w:t>1980).</w:t>
      </w:r>
    </w:p>
    <w:p>
      <w:pPr>
        <w:pStyle w:val="BodyText"/>
        <w:spacing w:before="4"/>
        <w:rPr>
          <w:sz w:val="17"/>
        </w:rPr>
      </w:pPr>
    </w:p>
    <w:p>
      <w:pPr>
        <w:pStyle w:val="BodyText"/>
        <w:spacing w:line="364" w:lineRule="auto"/>
        <w:ind w:left="101" w:right="103"/>
        <w:jc w:val="both"/>
      </w:pPr>
      <w:r>
        <w:rPr/>
        <w:t>Del total de 217 emigrantes que según la muestra levantada en el invierno 1997-1998, habían salido al extranjero se trató de entrevistar a todos los que en ese momento se encontraban en la comunidad. De los 35 individuos localizados, los  cuales  representaron un poco más del 16% de la población migrante fueron eliminadas siete encuestas por: pertenecer a personas que se desempeñan como  pequeños  empresarios en los Estados Unidos, por no contar con más de un año de trabajo en ese país, por tener educación superior y una repetición. Con ello la muestra final quedo constituida por 28 individuos los cuales representaron el 12.9% de la población total migrante con una confiabilidad del 90% y una precisión de 0.24 con respecto al acervo de escolaridad (bajo el marco de muestreo simple aleatorio sin reemplazo). Al respecto se aprecia también, que la localización de los migrantes entrevistados, en el interior de   la comunidad, es bastante homogénea, notándose que en los barrios de mayor  población existe una concentración relativamente proporcional de los migrantes  incluidos en la</w:t>
      </w:r>
      <w:r>
        <w:rPr>
          <w:spacing w:val="26"/>
        </w:rPr>
        <w:t> </w:t>
      </w:r>
      <w:r>
        <w:rPr/>
        <w:t>muestra.</w:t>
      </w:r>
    </w:p>
    <w:p>
      <w:pPr>
        <w:pStyle w:val="BodyText"/>
        <w:spacing w:line="364" w:lineRule="auto" w:before="120"/>
        <w:ind w:left="101" w:right="102"/>
        <w:jc w:val="both"/>
      </w:pPr>
      <w:r>
        <w:rPr/>
        <w:t>La educación formal fue limitada al rango de cero a menos de 12 años de escolaridad puesto que además de las razones expuestas más arriba, en la comunidad se identificó la existencia de al menos 12 migrantes con estudios  profesionales de los cuales sólo  dos habían regresado a los Estados Unidos y los demás en la mayoría de los casos no habían</w:t>
      </w:r>
      <w:r>
        <w:rPr>
          <w:spacing w:val="24"/>
        </w:rPr>
        <w:t> </w:t>
      </w:r>
      <w:r>
        <w:rPr/>
        <w:t>completado</w:t>
      </w:r>
      <w:r>
        <w:rPr>
          <w:spacing w:val="24"/>
        </w:rPr>
        <w:t> </w:t>
      </w:r>
      <w:r>
        <w:rPr/>
        <w:t>ni</w:t>
      </w:r>
      <w:r>
        <w:rPr>
          <w:spacing w:val="28"/>
        </w:rPr>
        <w:t> </w:t>
      </w:r>
      <w:r>
        <w:rPr/>
        <w:t>un</w:t>
      </w:r>
      <w:r>
        <w:rPr>
          <w:spacing w:val="24"/>
        </w:rPr>
        <w:t> </w:t>
      </w:r>
      <w:r>
        <w:rPr/>
        <w:t>solo</w:t>
      </w:r>
      <w:r>
        <w:rPr>
          <w:spacing w:val="24"/>
        </w:rPr>
        <w:t> </w:t>
      </w:r>
      <w:r>
        <w:rPr/>
        <w:t>año</w:t>
      </w:r>
      <w:r>
        <w:rPr>
          <w:spacing w:val="26"/>
        </w:rPr>
        <w:t> </w:t>
      </w:r>
      <w:r>
        <w:rPr/>
        <w:t>de</w:t>
      </w:r>
      <w:r>
        <w:rPr>
          <w:spacing w:val="24"/>
        </w:rPr>
        <w:t> </w:t>
      </w:r>
      <w:r>
        <w:rPr/>
        <w:t>estancia</w:t>
      </w:r>
      <w:r>
        <w:rPr>
          <w:spacing w:val="22"/>
        </w:rPr>
        <w:t> </w:t>
      </w:r>
      <w:r>
        <w:rPr/>
        <w:t>en</w:t>
      </w:r>
      <w:r>
        <w:rPr>
          <w:spacing w:val="24"/>
        </w:rPr>
        <w:t> </w:t>
      </w:r>
      <w:r>
        <w:rPr/>
        <w:t>ese</w:t>
      </w:r>
      <w:r>
        <w:rPr>
          <w:spacing w:val="23"/>
        </w:rPr>
        <w:t> </w:t>
      </w:r>
      <w:r>
        <w:rPr/>
        <w:t>país,</w:t>
      </w:r>
      <w:r>
        <w:rPr>
          <w:spacing w:val="26"/>
        </w:rPr>
        <w:t> </w:t>
      </w:r>
      <w:r>
        <w:rPr/>
        <w:t>probablemente</w:t>
      </w:r>
      <w:r>
        <w:rPr>
          <w:spacing w:val="26"/>
        </w:rPr>
        <w:t> </w:t>
      </w:r>
      <w:r>
        <w:rPr/>
        <w:t>porque</w:t>
      </w:r>
      <w:r>
        <w:rPr>
          <w:spacing w:val="24"/>
        </w:rPr>
        <w:t> </w:t>
      </w:r>
      <w:r>
        <w:rPr/>
        <w:t>las</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201" w:right="206"/>
        <w:jc w:val="both"/>
      </w:pPr>
      <w:r>
        <w:rPr/>
        <w:t>condiciones materiales de trabajo que encontraron no se correspondieron con las expectativas creadas por el alto grado de escolaridad  alcanzado.</w:t>
      </w:r>
    </w:p>
    <w:p>
      <w:pPr>
        <w:pStyle w:val="BodyText"/>
        <w:spacing w:line="364" w:lineRule="auto" w:before="122"/>
        <w:ind w:left="201" w:right="202"/>
        <w:jc w:val="both"/>
      </w:pPr>
      <w:r>
        <w:rPr/>
        <w:t>En Amayuca, entre 1963 y 1985 la emigración internacional fue esporádica pero se intensificó notablemente a fines de los años 1980s cuando los primeros migrantes, aprovechando las oportunidades de la IRCA pudieron legalizar su estancia y con ello servir de apoyo moral y financiero a sus parientes consanguíneos  y ceremoniales y a  sus</w:t>
      </w:r>
      <w:r>
        <w:rPr>
          <w:spacing w:val="12"/>
        </w:rPr>
        <w:t> </w:t>
      </w:r>
      <w:r>
        <w:rPr/>
        <w:t>amigos.</w:t>
      </w:r>
    </w:p>
    <w:p>
      <w:pPr>
        <w:pStyle w:val="BodyText"/>
        <w:spacing w:before="4"/>
        <w:rPr>
          <w:sz w:val="17"/>
        </w:rPr>
      </w:pPr>
    </w:p>
    <w:p>
      <w:pPr>
        <w:pStyle w:val="BodyText"/>
        <w:spacing w:line="364" w:lineRule="auto"/>
        <w:ind w:left="201" w:right="206"/>
        <w:jc w:val="both"/>
      </w:pPr>
      <w:r>
        <w:rPr/>
        <w:t>En 1997, los amayucanos en el extranjero, ubicaban su trabajo, principalmente, en los estados de Texas (40%), Georgia (20%), Florida (17%), Nueva York (17%) y otras entidades (6%), dentro de los Estados Unidos (Cuadro  3).</w:t>
      </w:r>
    </w:p>
    <w:p>
      <w:pPr>
        <w:pStyle w:val="BodyText"/>
        <w:rPr>
          <w:sz w:val="22"/>
        </w:rPr>
      </w:pPr>
    </w:p>
    <w:p>
      <w:pPr>
        <w:pStyle w:val="BodyText"/>
        <w:rPr>
          <w:sz w:val="22"/>
        </w:rPr>
      </w:pPr>
    </w:p>
    <w:p>
      <w:pPr>
        <w:pStyle w:val="BodyText"/>
        <w:spacing w:before="10"/>
        <w:rPr>
          <w:sz w:val="24"/>
        </w:rPr>
      </w:pPr>
    </w:p>
    <w:p>
      <w:pPr>
        <w:pStyle w:val="Heading4"/>
        <w:spacing w:line="364" w:lineRule="auto"/>
        <w:ind w:left="3873" w:hanging="3668"/>
      </w:pPr>
      <w:r>
        <w:rPr/>
        <w:t>Cuadro 3. Distribución de los emigrantes de Amayuca, Morelos por destino en los Estados Unidos</w:t>
      </w:r>
    </w:p>
    <w:p>
      <w:pPr>
        <w:pStyle w:val="BodyText"/>
        <w:spacing w:before="7"/>
        <w:rPr>
          <w:b/>
          <w:sz w:val="10"/>
        </w:rPr>
      </w:pPr>
    </w:p>
    <w:tbl>
      <w:tblPr>
        <w:tblW w:w="0" w:type="auto"/>
        <w:jc w:val="left"/>
        <w:tblInd w:w="11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500"/>
        <w:gridCol w:w="1064"/>
        <w:gridCol w:w="1242"/>
        <w:gridCol w:w="1092"/>
        <w:gridCol w:w="1553"/>
        <w:gridCol w:w="1397"/>
        <w:gridCol w:w="1397"/>
      </w:tblGrid>
      <w:tr>
        <w:trPr>
          <w:trHeight w:val="544" w:hRule="exact"/>
        </w:trPr>
        <w:tc>
          <w:tcPr>
            <w:tcW w:w="1500" w:type="dxa"/>
            <w:tcBorders>
              <w:bottom w:val="single" w:sz="5" w:space="0" w:color="000000"/>
              <w:right w:val="single" w:sz="6" w:space="0" w:color="000000"/>
            </w:tcBorders>
          </w:tcPr>
          <w:p>
            <w:pPr>
              <w:pStyle w:val="TableParagraph"/>
              <w:spacing w:before="60"/>
              <w:ind w:left="52"/>
              <w:jc w:val="left"/>
              <w:rPr>
                <w:sz w:val="23"/>
              </w:rPr>
            </w:pPr>
            <w:r>
              <w:rPr>
                <w:sz w:val="23"/>
              </w:rPr>
              <w:t>Estado</w:t>
            </w:r>
          </w:p>
        </w:tc>
        <w:tc>
          <w:tcPr>
            <w:tcW w:w="1064" w:type="dxa"/>
            <w:tcBorders>
              <w:left w:val="single" w:sz="6" w:space="0" w:color="000000"/>
              <w:bottom w:val="single" w:sz="5" w:space="0" w:color="000000"/>
              <w:right w:val="single" w:sz="5" w:space="0" w:color="000000"/>
            </w:tcBorders>
          </w:tcPr>
          <w:p>
            <w:pPr>
              <w:pStyle w:val="TableParagraph"/>
              <w:spacing w:before="60"/>
              <w:ind w:left="62"/>
              <w:jc w:val="left"/>
              <w:rPr>
                <w:sz w:val="23"/>
              </w:rPr>
            </w:pPr>
            <w:r>
              <w:rPr>
                <w:sz w:val="23"/>
              </w:rPr>
              <w:t>Texas</w:t>
            </w:r>
          </w:p>
        </w:tc>
        <w:tc>
          <w:tcPr>
            <w:tcW w:w="1242" w:type="dxa"/>
            <w:tcBorders>
              <w:left w:val="single" w:sz="5" w:space="0" w:color="000000"/>
              <w:bottom w:val="single" w:sz="5" w:space="0" w:color="000000"/>
              <w:right w:val="single" w:sz="6" w:space="0" w:color="000000"/>
            </w:tcBorders>
          </w:tcPr>
          <w:p>
            <w:pPr>
              <w:pStyle w:val="TableParagraph"/>
              <w:spacing w:before="60"/>
              <w:ind w:left="62"/>
              <w:jc w:val="left"/>
              <w:rPr>
                <w:sz w:val="23"/>
              </w:rPr>
            </w:pPr>
            <w:r>
              <w:rPr>
                <w:sz w:val="23"/>
              </w:rPr>
              <w:t>Georgia</w:t>
            </w:r>
          </w:p>
        </w:tc>
        <w:tc>
          <w:tcPr>
            <w:tcW w:w="1092" w:type="dxa"/>
            <w:tcBorders>
              <w:left w:val="single" w:sz="6" w:space="0" w:color="000000"/>
              <w:bottom w:val="single" w:sz="5" w:space="0" w:color="000000"/>
              <w:right w:val="single" w:sz="6" w:space="0" w:color="000000"/>
            </w:tcBorders>
          </w:tcPr>
          <w:p>
            <w:pPr>
              <w:pStyle w:val="TableParagraph"/>
              <w:spacing w:before="60"/>
              <w:ind w:left="62"/>
              <w:jc w:val="left"/>
              <w:rPr>
                <w:sz w:val="23"/>
              </w:rPr>
            </w:pPr>
            <w:r>
              <w:rPr>
                <w:sz w:val="23"/>
              </w:rPr>
              <w:t>Florida</w:t>
            </w:r>
          </w:p>
        </w:tc>
        <w:tc>
          <w:tcPr>
            <w:tcW w:w="1553" w:type="dxa"/>
            <w:tcBorders>
              <w:left w:val="single" w:sz="6" w:space="0" w:color="000000"/>
              <w:bottom w:val="single" w:sz="5" w:space="0" w:color="000000"/>
              <w:right w:val="single" w:sz="6" w:space="0" w:color="000000"/>
            </w:tcBorders>
          </w:tcPr>
          <w:p>
            <w:pPr>
              <w:pStyle w:val="TableParagraph"/>
              <w:spacing w:before="60"/>
              <w:ind w:left="60"/>
              <w:jc w:val="left"/>
              <w:rPr>
                <w:sz w:val="23"/>
              </w:rPr>
            </w:pPr>
            <w:r>
              <w:rPr>
                <w:sz w:val="23"/>
              </w:rPr>
              <w:t>Nueva York</w:t>
            </w:r>
          </w:p>
        </w:tc>
        <w:tc>
          <w:tcPr>
            <w:tcW w:w="1397" w:type="dxa"/>
            <w:tcBorders>
              <w:left w:val="single" w:sz="6" w:space="0" w:color="000000"/>
              <w:bottom w:val="single" w:sz="5" w:space="0" w:color="000000"/>
              <w:right w:val="single" w:sz="6" w:space="0" w:color="000000"/>
            </w:tcBorders>
          </w:tcPr>
          <w:p>
            <w:pPr>
              <w:pStyle w:val="TableParagraph"/>
              <w:spacing w:before="60"/>
              <w:ind w:left="60"/>
              <w:jc w:val="left"/>
              <w:rPr>
                <w:sz w:val="23"/>
              </w:rPr>
            </w:pPr>
            <w:r>
              <w:rPr>
                <w:sz w:val="23"/>
              </w:rPr>
              <w:t>California</w:t>
            </w:r>
          </w:p>
        </w:tc>
        <w:tc>
          <w:tcPr>
            <w:tcW w:w="1397" w:type="dxa"/>
            <w:tcBorders>
              <w:left w:val="single" w:sz="6" w:space="0" w:color="000000"/>
              <w:bottom w:val="single" w:sz="5" w:space="0" w:color="000000"/>
            </w:tcBorders>
          </w:tcPr>
          <w:p>
            <w:pPr>
              <w:pStyle w:val="TableParagraph"/>
              <w:spacing w:before="60"/>
              <w:ind w:left="59"/>
              <w:jc w:val="left"/>
              <w:rPr>
                <w:sz w:val="23"/>
              </w:rPr>
            </w:pPr>
            <w:r>
              <w:rPr>
                <w:sz w:val="23"/>
              </w:rPr>
              <w:t>Oklahoma</w:t>
            </w:r>
          </w:p>
        </w:tc>
      </w:tr>
      <w:tr>
        <w:trPr>
          <w:trHeight w:val="533" w:hRule="exact"/>
        </w:trPr>
        <w:tc>
          <w:tcPr>
            <w:tcW w:w="1500" w:type="dxa"/>
            <w:tcBorders>
              <w:top w:val="single" w:sz="5" w:space="0" w:color="000000"/>
              <w:bottom w:val="single" w:sz="5" w:space="0" w:color="000000"/>
              <w:right w:val="single" w:sz="6" w:space="0" w:color="000000"/>
            </w:tcBorders>
          </w:tcPr>
          <w:p>
            <w:pPr>
              <w:pStyle w:val="TableParagraph"/>
              <w:spacing w:before="60"/>
              <w:ind w:left="52"/>
              <w:jc w:val="left"/>
              <w:rPr>
                <w:sz w:val="23"/>
              </w:rPr>
            </w:pPr>
            <w:r>
              <w:rPr>
                <w:sz w:val="23"/>
              </w:rPr>
              <w:t>Migrantes</w:t>
            </w:r>
          </w:p>
        </w:tc>
        <w:tc>
          <w:tcPr>
            <w:tcW w:w="1064" w:type="dxa"/>
            <w:tcBorders>
              <w:top w:val="single" w:sz="5" w:space="0" w:color="000000"/>
              <w:left w:val="single" w:sz="6" w:space="0" w:color="000000"/>
              <w:bottom w:val="single" w:sz="5" w:space="0" w:color="000000"/>
              <w:right w:val="single" w:sz="5" w:space="0" w:color="000000"/>
            </w:tcBorders>
          </w:tcPr>
          <w:p>
            <w:pPr>
              <w:pStyle w:val="TableParagraph"/>
              <w:spacing w:before="60"/>
              <w:ind w:left="62"/>
              <w:jc w:val="left"/>
              <w:rPr>
                <w:sz w:val="23"/>
              </w:rPr>
            </w:pPr>
            <w:r>
              <w:rPr>
                <w:sz w:val="23"/>
              </w:rPr>
              <w:t>14</w:t>
            </w:r>
          </w:p>
        </w:tc>
        <w:tc>
          <w:tcPr>
            <w:tcW w:w="1242" w:type="dxa"/>
            <w:tcBorders>
              <w:top w:val="single" w:sz="5" w:space="0" w:color="000000"/>
              <w:left w:val="single" w:sz="5" w:space="0" w:color="000000"/>
              <w:bottom w:val="single" w:sz="5" w:space="0" w:color="000000"/>
              <w:right w:val="single" w:sz="6" w:space="0" w:color="000000"/>
            </w:tcBorders>
          </w:tcPr>
          <w:p>
            <w:pPr>
              <w:pStyle w:val="TableParagraph"/>
              <w:spacing w:before="60"/>
              <w:ind w:left="62"/>
              <w:jc w:val="left"/>
              <w:rPr>
                <w:sz w:val="23"/>
              </w:rPr>
            </w:pPr>
            <w:r>
              <w:rPr>
                <w:w w:val="101"/>
                <w:sz w:val="23"/>
              </w:rPr>
              <w:t>7</w:t>
            </w:r>
          </w:p>
        </w:tc>
        <w:tc>
          <w:tcPr>
            <w:tcW w:w="1092" w:type="dxa"/>
            <w:tcBorders>
              <w:top w:val="single" w:sz="5" w:space="0" w:color="000000"/>
              <w:left w:val="single" w:sz="6" w:space="0" w:color="000000"/>
              <w:bottom w:val="single" w:sz="5" w:space="0" w:color="000000"/>
              <w:right w:val="single" w:sz="6" w:space="0" w:color="000000"/>
            </w:tcBorders>
          </w:tcPr>
          <w:p>
            <w:pPr>
              <w:pStyle w:val="TableParagraph"/>
              <w:spacing w:before="60"/>
              <w:ind w:left="62"/>
              <w:jc w:val="left"/>
              <w:rPr>
                <w:sz w:val="23"/>
              </w:rPr>
            </w:pPr>
            <w:r>
              <w:rPr>
                <w:w w:val="101"/>
                <w:sz w:val="23"/>
              </w:rPr>
              <w:t>6</w:t>
            </w:r>
          </w:p>
        </w:tc>
        <w:tc>
          <w:tcPr>
            <w:tcW w:w="1553" w:type="dxa"/>
            <w:tcBorders>
              <w:top w:val="single" w:sz="5" w:space="0" w:color="000000"/>
              <w:left w:val="single" w:sz="6" w:space="0" w:color="000000"/>
              <w:bottom w:val="single" w:sz="5" w:space="0" w:color="000000"/>
              <w:right w:val="single" w:sz="6" w:space="0" w:color="000000"/>
            </w:tcBorders>
          </w:tcPr>
          <w:p>
            <w:pPr>
              <w:pStyle w:val="TableParagraph"/>
              <w:spacing w:before="60"/>
              <w:ind w:left="60"/>
              <w:jc w:val="left"/>
              <w:rPr>
                <w:sz w:val="23"/>
              </w:rPr>
            </w:pPr>
            <w:r>
              <w:rPr>
                <w:w w:val="101"/>
                <w:sz w:val="23"/>
              </w:rPr>
              <w:t>6</w:t>
            </w:r>
          </w:p>
        </w:tc>
        <w:tc>
          <w:tcPr>
            <w:tcW w:w="1397" w:type="dxa"/>
            <w:tcBorders>
              <w:top w:val="single" w:sz="5" w:space="0" w:color="000000"/>
              <w:left w:val="single" w:sz="6" w:space="0" w:color="000000"/>
              <w:bottom w:val="single" w:sz="5" w:space="0" w:color="000000"/>
              <w:right w:val="single" w:sz="6" w:space="0" w:color="000000"/>
            </w:tcBorders>
          </w:tcPr>
          <w:p>
            <w:pPr>
              <w:pStyle w:val="TableParagraph"/>
              <w:spacing w:before="60"/>
              <w:ind w:left="60"/>
              <w:jc w:val="left"/>
              <w:rPr>
                <w:sz w:val="23"/>
              </w:rPr>
            </w:pPr>
            <w:r>
              <w:rPr>
                <w:w w:val="101"/>
                <w:sz w:val="23"/>
              </w:rPr>
              <w:t>1</w:t>
            </w:r>
          </w:p>
        </w:tc>
        <w:tc>
          <w:tcPr>
            <w:tcW w:w="1397" w:type="dxa"/>
            <w:tcBorders>
              <w:top w:val="single" w:sz="5" w:space="0" w:color="000000"/>
              <w:left w:val="single" w:sz="6" w:space="0" w:color="000000"/>
              <w:bottom w:val="single" w:sz="5" w:space="0" w:color="000000"/>
            </w:tcBorders>
          </w:tcPr>
          <w:p>
            <w:pPr>
              <w:pStyle w:val="TableParagraph"/>
              <w:spacing w:before="60"/>
              <w:ind w:left="60"/>
              <w:jc w:val="left"/>
              <w:rPr>
                <w:sz w:val="23"/>
              </w:rPr>
            </w:pPr>
            <w:r>
              <w:rPr>
                <w:w w:val="101"/>
                <w:sz w:val="23"/>
              </w:rPr>
              <w:t>1</w:t>
            </w:r>
          </w:p>
        </w:tc>
      </w:tr>
      <w:tr>
        <w:trPr>
          <w:trHeight w:val="541" w:hRule="exact"/>
        </w:trPr>
        <w:tc>
          <w:tcPr>
            <w:tcW w:w="1500" w:type="dxa"/>
            <w:tcBorders>
              <w:top w:val="single" w:sz="5" w:space="0" w:color="000000"/>
              <w:right w:val="single" w:sz="6" w:space="0" w:color="000000"/>
            </w:tcBorders>
          </w:tcPr>
          <w:p>
            <w:pPr>
              <w:pStyle w:val="TableParagraph"/>
              <w:spacing w:before="62"/>
              <w:ind w:left="52"/>
              <w:jc w:val="left"/>
              <w:rPr>
                <w:sz w:val="23"/>
              </w:rPr>
            </w:pPr>
            <w:r>
              <w:rPr>
                <w:sz w:val="23"/>
              </w:rPr>
              <w:t>Porcentaje</w:t>
            </w:r>
          </w:p>
        </w:tc>
        <w:tc>
          <w:tcPr>
            <w:tcW w:w="1064" w:type="dxa"/>
            <w:tcBorders>
              <w:top w:val="single" w:sz="5" w:space="0" w:color="000000"/>
              <w:left w:val="single" w:sz="6" w:space="0" w:color="000000"/>
              <w:right w:val="single" w:sz="5" w:space="0" w:color="000000"/>
            </w:tcBorders>
          </w:tcPr>
          <w:p>
            <w:pPr>
              <w:pStyle w:val="TableParagraph"/>
              <w:spacing w:before="62"/>
              <w:ind w:left="62"/>
              <w:jc w:val="left"/>
              <w:rPr>
                <w:sz w:val="23"/>
              </w:rPr>
            </w:pPr>
            <w:r>
              <w:rPr>
                <w:sz w:val="23"/>
              </w:rPr>
              <w:t>40</w:t>
            </w:r>
          </w:p>
        </w:tc>
        <w:tc>
          <w:tcPr>
            <w:tcW w:w="1242" w:type="dxa"/>
            <w:tcBorders>
              <w:top w:val="single" w:sz="5" w:space="0" w:color="000000"/>
              <w:left w:val="single" w:sz="5" w:space="0" w:color="000000"/>
              <w:right w:val="single" w:sz="6" w:space="0" w:color="000000"/>
            </w:tcBorders>
          </w:tcPr>
          <w:p>
            <w:pPr>
              <w:pStyle w:val="TableParagraph"/>
              <w:spacing w:before="62"/>
              <w:ind w:left="62"/>
              <w:jc w:val="left"/>
              <w:rPr>
                <w:sz w:val="23"/>
              </w:rPr>
            </w:pPr>
            <w:r>
              <w:rPr>
                <w:sz w:val="23"/>
              </w:rPr>
              <w:t>20</w:t>
            </w:r>
          </w:p>
        </w:tc>
        <w:tc>
          <w:tcPr>
            <w:tcW w:w="1092" w:type="dxa"/>
            <w:tcBorders>
              <w:top w:val="single" w:sz="5" w:space="0" w:color="000000"/>
              <w:left w:val="single" w:sz="6" w:space="0" w:color="000000"/>
              <w:right w:val="single" w:sz="6" w:space="0" w:color="000000"/>
            </w:tcBorders>
          </w:tcPr>
          <w:p>
            <w:pPr>
              <w:pStyle w:val="TableParagraph"/>
              <w:spacing w:before="62"/>
              <w:ind w:left="62"/>
              <w:jc w:val="left"/>
              <w:rPr>
                <w:sz w:val="23"/>
              </w:rPr>
            </w:pPr>
            <w:r>
              <w:rPr>
                <w:sz w:val="23"/>
              </w:rPr>
              <w:t>17</w:t>
            </w:r>
          </w:p>
        </w:tc>
        <w:tc>
          <w:tcPr>
            <w:tcW w:w="1553" w:type="dxa"/>
            <w:tcBorders>
              <w:top w:val="single" w:sz="5" w:space="0" w:color="000000"/>
              <w:left w:val="single" w:sz="6" w:space="0" w:color="000000"/>
              <w:right w:val="single" w:sz="6" w:space="0" w:color="000000"/>
            </w:tcBorders>
          </w:tcPr>
          <w:p>
            <w:pPr>
              <w:pStyle w:val="TableParagraph"/>
              <w:spacing w:before="62"/>
              <w:ind w:left="60"/>
              <w:jc w:val="left"/>
              <w:rPr>
                <w:sz w:val="23"/>
              </w:rPr>
            </w:pPr>
            <w:r>
              <w:rPr>
                <w:sz w:val="23"/>
              </w:rPr>
              <w:t>17</w:t>
            </w:r>
          </w:p>
        </w:tc>
        <w:tc>
          <w:tcPr>
            <w:tcW w:w="1397" w:type="dxa"/>
            <w:tcBorders>
              <w:top w:val="single" w:sz="5" w:space="0" w:color="000000"/>
              <w:left w:val="single" w:sz="6" w:space="0" w:color="000000"/>
              <w:right w:val="single" w:sz="6" w:space="0" w:color="000000"/>
            </w:tcBorders>
          </w:tcPr>
          <w:p>
            <w:pPr>
              <w:pStyle w:val="TableParagraph"/>
              <w:spacing w:before="62"/>
              <w:ind w:left="60"/>
              <w:jc w:val="left"/>
              <w:rPr>
                <w:sz w:val="23"/>
              </w:rPr>
            </w:pPr>
            <w:r>
              <w:rPr>
                <w:w w:val="101"/>
                <w:sz w:val="23"/>
              </w:rPr>
              <w:t>3</w:t>
            </w:r>
          </w:p>
        </w:tc>
        <w:tc>
          <w:tcPr>
            <w:tcW w:w="1397" w:type="dxa"/>
            <w:tcBorders>
              <w:top w:val="single" w:sz="5" w:space="0" w:color="000000"/>
              <w:left w:val="single" w:sz="6" w:space="0" w:color="000000"/>
            </w:tcBorders>
          </w:tcPr>
          <w:p>
            <w:pPr>
              <w:pStyle w:val="TableParagraph"/>
              <w:spacing w:before="62"/>
              <w:ind w:left="60"/>
              <w:jc w:val="left"/>
              <w:rPr>
                <w:sz w:val="23"/>
              </w:rPr>
            </w:pPr>
            <w:r>
              <w:rPr>
                <w:w w:val="101"/>
                <w:sz w:val="23"/>
              </w:rPr>
              <w:t>3</w:t>
            </w:r>
          </w:p>
        </w:tc>
      </w:tr>
    </w:tbl>
    <w:p>
      <w:pPr>
        <w:pStyle w:val="BodyText"/>
        <w:rPr>
          <w:b/>
          <w:sz w:val="20"/>
        </w:rPr>
      </w:pPr>
    </w:p>
    <w:p>
      <w:pPr>
        <w:pStyle w:val="BodyText"/>
        <w:rPr>
          <w:b/>
          <w:sz w:val="26"/>
        </w:rPr>
      </w:pPr>
    </w:p>
    <w:p>
      <w:pPr>
        <w:pStyle w:val="BodyText"/>
        <w:spacing w:line="364" w:lineRule="auto" w:before="73"/>
        <w:ind w:left="201" w:right="203"/>
        <w:jc w:val="both"/>
      </w:pPr>
      <w:r>
        <w:rPr/>
        <w:t>La edad promedio a la primera emigración es de 24.5 años, distribuida de la siguiente forma: de 17 a 18 años 22.9%; de 19 a 34 de 65.7%, y de 35 a 54, de 11.4%. En  relación</w:t>
      </w:r>
      <w:r>
        <w:rPr>
          <w:spacing w:val="23"/>
        </w:rPr>
        <w:t> </w:t>
      </w:r>
      <w:r>
        <w:rPr/>
        <w:t>a</w:t>
      </w:r>
      <w:r>
        <w:rPr>
          <w:spacing w:val="18"/>
        </w:rPr>
        <w:t> </w:t>
      </w:r>
      <w:r>
        <w:rPr/>
        <w:t>la</w:t>
      </w:r>
      <w:r>
        <w:rPr>
          <w:spacing w:val="18"/>
        </w:rPr>
        <w:t> </w:t>
      </w:r>
      <w:r>
        <w:rPr/>
        <w:t>edad</w:t>
      </w:r>
      <w:r>
        <w:rPr>
          <w:spacing w:val="21"/>
        </w:rPr>
        <w:t> </w:t>
      </w:r>
      <w:r>
        <w:rPr/>
        <w:t>que</w:t>
      </w:r>
      <w:r>
        <w:rPr>
          <w:spacing w:val="21"/>
        </w:rPr>
        <w:t> </w:t>
      </w:r>
      <w:r>
        <w:rPr/>
        <w:t>actualmente</w:t>
      </w:r>
      <w:r>
        <w:rPr>
          <w:spacing w:val="21"/>
        </w:rPr>
        <w:t> </w:t>
      </w:r>
      <w:r>
        <w:rPr/>
        <w:t>tiene</w:t>
      </w:r>
      <w:r>
        <w:rPr>
          <w:spacing w:val="21"/>
        </w:rPr>
        <w:t> </w:t>
      </w:r>
      <w:r>
        <w:rPr/>
        <w:t>el</w:t>
      </w:r>
      <w:r>
        <w:rPr>
          <w:spacing w:val="22"/>
        </w:rPr>
        <w:t> </w:t>
      </w:r>
      <w:r>
        <w:rPr/>
        <w:t>migrante,</w:t>
      </w:r>
      <w:r>
        <w:rPr>
          <w:spacing w:val="21"/>
        </w:rPr>
        <w:t> </w:t>
      </w:r>
      <w:r>
        <w:rPr/>
        <w:t>el</w:t>
      </w:r>
      <w:r>
        <w:rPr>
          <w:spacing w:val="22"/>
        </w:rPr>
        <w:t> </w:t>
      </w:r>
      <w:r>
        <w:rPr/>
        <w:t>promedio</w:t>
      </w:r>
      <w:r>
        <w:rPr>
          <w:spacing w:val="21"/>
        </w:rPr>
        <w:t> </w:t>
      </w:r>
      <w:r>
        <w:rPr/>
        <w:t>de</w:t>
      </w:r>
      <w:r>
        <w:rPr>
          <w:spacing w:val="18"/>
        </w:rPr>
        <w:t> </w:t>
      </w:r>
      <w:r>
        <w:rPr/>
        <w:t>la</w:t>
      </w:r>
      <w:r>
        <w:rPr>
          <w:spacing w:val="18"/>
        </w:rPr>
        <w:t> </w:t>
      </w:r>
      <w:r>
        <w:rPr/>
        <w:t>muestra</w:t>
      </w:r>
      <w:r>
        <w:rPr>
          <w:spacing w:val="23"/>
        </w:rPr>
        <w:t> </w:t>
      </w:r>
      <w:r>
        <w:rPr/>
        <w:t>es</w:t>
      </w:r>
      <w:r>
        <w:rPr>
          <w:spacing w:val="22"/>
        </w:rPr>
        <w:t> </w:t>
      </w:r>
      <w:r>
        <w:rPr/>
        <w:t>de</w:t>
      </w:r>
    </w:p>
    <w:p>
      <w:pPr>
        <w:pStyle w:val="BodyText"/>
        <w:spacing w:line="364" w:lineRule="auto" w:before="5"/>
        <w:ind w:left="201" w:right="205"/>
        <w:jc w:val="both"/>
      </w:pPr>
      <w:r>
        <w:rPr/>
        <w:t>32.1 años: el 71.4% está ubicado en el estrato de 19 a 34 años, el 22.9% entre 35 y 54 años y el 5.7%, 55 años o más.</w:t>
      </w:r>
    </w:p>
    <w:p>
      <w:pPr>
        <w:pStyle w:val="BodyText"/>
        <w:spacing w:before="6"/>
        <w:rPr>
          <w:sz w:val="17"/>
        </w:rPr>
      </w:pPr>
    </w:p>
    <w:p>
      <w:pPr>
        <w:pStyle w:val="BodyText"/>
        <w:spacing w:line="364" w:lineRule="auto"/>
        <w:ind w:left="201" w:right="204"/>
        <w:jc w:val="both"/>
      </w:pPr>
      <w:r>
        <w:rPr/>
        <w:t>Entre los más jóvenes predomina el trabajo de pintura, decoración y remodelación y limpieza de edificios (trabajo que ellos denominan genéricamente como “pintura” 13 de 16 tienen ése trabajo con edades de 20 a 27 años. Con edades de 20 a 29 años han trabajado en una solo sector 18 migrantes, 15 de los cuales lo han hecho en la misma actividad  (“pintura”).  De  los  16  que  realizaron  su  primer  viaje  entre  1990  y    1995</w:t>
      </w:r>
    </w:p>
    <w:p>
      <w:pPr>
        <w:spacing w:after="0" w:line="364" w:lineRule="auto"/>
        <w:jc w:val="both"/>
        <w:sectPr>
          <w:pgSz w:w="11900" w:h="16840"/>
          <w:pgMar w:header="0" w:footer="1679" w:top="1600" w:bottom="1860" w:left="1200" w:right="1180"/>
        </w:sectPr>
      </w:pPr>
    </w:p>
    <w:p>
      <w:pPr>
        <w:pStyle w:val="BodyText"/>
        <w:rPr>
          <w:sz w:val="20"/>
        </w:rPr>
      </w:pPr>
    </w:p>
    <w:p>
      <w:pPr>
        <w:pStyle w:val="BodyText"/>
        <w:spacing w:before="8"/>
        <w:rPr>
          <w:sz w:val="18"/>
        </w:rPr>
      </w:pPr>
    </w:p>
    <w:p>
      <w:pPr>
        <w:pStyle w:val="BodyText"/>
        <w:spacing w:line="364" w:lineRule="auto" w:before="74"/>
        <w:ind w:left="121" w:right="104"/>
        <w:jc w:val="both"/>
      </w:pPr>
      <w:r>
        <w:rPr/>
        <w:t>inclusive, 14 tienen un solo tipo de trabajo, pero correspondientes todos a un mismo sector.</w:t>
      </w:r>
    </w:p>
    <w:p>
      <w:pPr>
        <w:pStyle w:val="Heading3"/>
        <w:spacing w:before="195"/>
      </w:pPr>
      <w:r>
        <w:rPr/>
        <w:t>El Modelo: W=f(S, E, X, A)</w:t>
      </w:r>
    </w:p>
    <w:p>
      <w:pPr>
        <w:pStyle w:val="BodyText"/>
        <w:spacing w:before="5"/>
        <w:rPr>
          <w:b/>
          <w:sz w:val="24"/>
        </w:rPr>
      </w:pPr>
    </w:p>
    <w:p>
      <w:pPr>
        <w:pStyle w:val="BodyText"/>
        <w:spacing w:line="364" w:lineRule="auto"/>
        <w:ind w:left="121" w:right="104"/>
        <w:jc w:val="both"/>
      </w:pPr>
      <w:r>
        <w:rPr/>
        <w:t>Como se ha visto, diversos estudios dan cuenta de la relación entre educación y retornos, bajo la forma de salarios o productividad en el trabajo o en la unidad  económica familiar. En algunos casos referidos a la migración interna la encuentran en una relación positiva y</w:t>
      </w:r>
      <w:r>
        <w:rPr>
          <w:spacing w:val="34"/>
        </w:rPr>
        <w:t> </w:t>
      </w:r>
      <w:r>
        <w:rPr/>
        <w:t>significativa.</w:t>
      </w:r>
    </w:p>
    <w:p>
      <w:pPr>
        <w:pStyle w:val="BodyText"/>
        <w:spacing w:line="360" w:lineRule="auto" w:before="120"/>
        <w:ind w:left="121" w:right="105"/>
        <w:jc w:val="both"/>
      </w:pPr>
      <w:r>
        <w:rPr/>
        <w:t>Sin embargo en el caso de la educación superior aunque ésta ha sido encontrada positiva para los desplazamientos internos, a nivel internacional esto no se cumple especialmente en el caso de la emigración indocumentada, donde incluso en algunos casos los niveles preuniversitarios no muestran alguna relación  positiva  de  significancia, sino que por el contrario llega a presentarse el caso de retornos negativos estadísticamente</w:t>
      </w:r>
      <w:r>
        <w:rPr>
          <w:spacing w:val="36"/>
        </w:rPr>
        <w:t> </w:t>
      </w:r>
      <w:r>
        <w:rPr/>
        <w:t>significativos</w:t>
      </w:r>
      <w:r>
        <w:rPr>
          <w:position w:val="11"/>
          <w:sz w:val="15"/>
        </w:rPr>
        <w:t>132</w:t>
      </w:r>
      <w:r>
        <w:rPr/>
        <w:t>.</w:t>
      </w:r>
    </w:p>
    <w:p>
      <w:pPr>
        <w:pStyle w:val="BodyText"/>
        <w:spacing w:line="364" w:lineRule="auto" w:before="106"/>
        <w:ind w:left="121" w:right="105"/>
        <w:jc w:val="both"/>
      </w:pPr>
      <w:r>
        <w:rPr/>
        <w:t>En el contexto de la teoría del capital humano, aquí se presenta el caso de los retornos salariales a la educación en el proceso de la migración internacional medida aquella a través de los años de escolaridad (mas los años de capacitación adquiridos  en  la escuela pública o por cuenta propia), y ponderada por otros factores como son la experiencia, el género y las redes</w:t>
      </w:r>
      <w:r>
        <w:rPr>
          <w:spacing w:val="50"/>
        </w:rPr>
        <w:t> </w:t>
      </w:r>
      <w:r>
        <w:rPr/>
        <w:t>sociales.</w:t>
      </w:r>
    </w:p>
    <w:p>
      <w:pPr>
        <w:pStyle w:val="BodyText"/>
        <w:spacing w:line="364" w:lineRule="auto" w:before="122"/>
        <w:ind w:left="121" w:right="102"/>
        <w:jc w:val="both"/>
      </w:pPr>
      <w:r>
        <w:rPr/>
        <w:t>En particular, una de las aplicaciones más importantes de la teoría del capital humano,  es el estudio de la causalidad de los diferenciales salariales, los cuales son explicados en buena medida por los diferenciales en educación, capacitación y experiencia </w:t>
      </w:r>
      <w:r>
        <w:rPr>
          <w:spacing w:val="41"/>
        </w:rPr>
        <w:t> </w:t>
      </w:r>
      <w:r>
        <w:rPr/>
        <w:t>laboral,</w:t>
      </w:r>
    </w:p>
    <w:p>
      <w:pPr>
        <w:pStyle w:val="BodyText"/>
        <w:spacing w:before="8"/>
        <w:rPr>
          <w:sz w:val="29"/>
        </w:rPr>
      </w:pPr>
      <w:r>
        <w:rPr/>
        <w:pict>
          <v:line style="position:absolute;mso-position-horizontal-relative:page;mso-position-vertical-relative:paragraph;z-index:18616;mso-wrap-distance-left:0;mso-wrap-distance-right:0" from="70.080002pt,19.441704pt" to="210.239999pt,19.441704pt" stroked="true" strokeweight=".72pt" strokecolor="#000000">
            <w10:wrap type="topAndBottom"/>
          </v:line>
        </w:pict>
      </w:r>
    </w:p>
    <w:p>
      <w:pPr>
        <w:spacing w:line="244" w:lineRule="auto" w:before="36"/>
        <w:ind w:left="121" w:right="103" w:firstLine="0"/>
        <w:jc w:val="both"/>
        <w:rPr>
          <w:sz w:val="19"/>
        </w:rPr>
      </w:pPr>
      <w:r>
        <w:rPr>
          <w:position w:val="10"/>
          <w:sz w:val="12"/>
        </w:rPr>
        <w:t>132 </w:t>
      </w:r>
      <w:r>
        <w:rPr>
          <w:sz w:val="19"/>
        </w:rPr>
        <w:t>No necesariamente este hecho resulta en una contradicción; puede depender de varias cosas: el nivel  de educación aludido, el tamaño de la familia, la posesión de activos, la magnitud de los retornos esperados, el desarrollo de las redes familiares, le evolución de la economía, etc. y sus combinaciones.   Por ejemplo en Gómez Farías, Michoacán,  uno puede encontrar que  el desarrollo alcanzado por  las  redes sociales y el hecho de que los trabajos que los migrantes van a desempeñar en California sean semejantes a los que desarrollan en su pueblo natal, produzca cierto desdén hacia la educación pues   como ellos dicen: “para cosecha fresas no se necesita estudiar y cualquiera puede cosechar fresas”  (López, 1986). De igual manera, los resultados del trabajo de campo de Macías (1997:67) en la mixteca poblana muestran que los jóvenes sólo esperan terminar la educación secundaria para incorporarse al proceso migratorio. En realidad, terminar la secundaria parece ser irrelevante; lo que se espera es que el joven cumpla cierto nivel de edad para que las redes  lo consideren ‘apto’ para migra a los  Estados  Unidos.</w:t>
      </w:r>
    </w:p>
    <w:p>
      <w:pPr>
        <w:spacing w:after="0" w:line="244" w:lineRule="auto"/>
        <w:jc w:val="both"/>
        <w:rPr>
          <w:sz w:val="19"/>
        </w:rPr>
        <w:sectPr>
          <w:pgSz w:w="11900" w:h="16840"/>
          <w:pgMar w:header="0" w:footer="1679" w:top="1600" w:bottom="1860" w:left="1280" w:right="1280"/>
        </w:sectPr>
      </w:pPr>
    </w:p>
    <w:p>
      <w:pPr>
        <w:pStyle w:val="BodyText"/>
        <w:rPr>
          <w:sz w:val="20"/>
        </w:rPr>
      </w:pPr>
    </w:p>
    <w:p>
      <w:pPr>
        <w:pStyle w:val="BodyText"/>
        <w:spacing w:before="8"/>
        <w:rPr>
          <w:sz w:val="18"/>
        </w:rPr>
      </w:pPr>
    </w:p>
    <w:p>
      <w:pPr>
        <w:pStyle w:val="BodyText"/>
        <w:spacing w:line="348" w:lineRule="auto" w:before="74"/>
        <w:ind w:left="121" w:right="105"/>
        <w:jc w:val="both"/>
      </w:pPr>
      <w:r>
        <w:rPr/>
        <w:t>viéndose influidos también por otras variables como: riesgo en el trabajo, información asimétrica, estacionalidad del empleo, género, sesgo en el trabajo por autoselección de la escolaridad, sindicatos, etc.</w:t>
      </w:r>
      <w:r>
        <w:rPr>
          <w:position w:val="11"/>
          <w:sz w:val="15"/>
        </w:rPr>
        <w:t>133  </w:t>
      </w:r>
      <w:r>
        <w:rPr/>
        <w:t>(Freyre y Vite. 1993:1).</w:t>
      </w:r>
    </w:p>
    <w:p>
      <w:pPr>
        <w:pStyle w:val="BodyText"/>
        <w:spacing w:line="352" w:lineRule="auto" w:before="203"/>
        <w:ind w:left="121" w:right="104"/>
        <w:jc w:val="both"/>
      </w:pPr>
      <w:r>
        <w:rPr/>
        <w:t>El hecho empírico de que la escolaridad explica una parte importante de la variación observada en los ingresos de los individuos, ha llevado a muchos investigadores a pensar que la educación es una forma de inversión para los individuos</w:t>
      </w:r>
      <w:r>
        <w:rPr>
          <w:position w:val="11"/>
          <w:sz w:val="15"/>
        </w:rPr>
        <w:t>134</w:t>
      </w:r>
      <w:r>
        <w:rPr/>
        <w:t>. Bajo este enfoque de la educación, esto es como una forma de inversión en capital</w:t>
      </w:r>
      <w:r>
        <w:rPr>
          <w:position w:val="11"/>
          <w:sz w:val="15"/>
        </w:rPr>
        <w:t>135</w:t>
      </w:r>
      <w:r>
        <w:rPr/>
        <w:t>, ha  resultado importante el  calcular la tasa de retorno a este tipo de inversión (Freyre y   Vite,</w:t>
      </w:r>
      <w:r>
        <w:rPr>
          <w:spacing w:val="11"/>
        </w:rPr>
        <w:t> </w:t>
      </w:r>
      <w:r>
        <w:rPr/>
        <w:t>1993).</w:t>
      </w:r>
    </w:p>
    <w:p>
      <w:pPr>
        <w:pStyle w:val="BodyText"/>
        <w:spacing w:before="5"/>
        <w:rPr>
          <w:sz w:val="18"/>
        </w:rPr>
      </w:pPr>
    </w:p>
    <w:p>
      <w:pPr>
        <w:pStyle w:val="BodyText"/>
        <w:spacing w:line="364" w:lineRule="auto"/>
        <w:ind w:left="121" w:right="105"/>
        <w:jc w:val="both"/>
      </w:pPr>
      <w:r>
        <w:rPr/>
        <w:t>En este contexto, “...los salarios son una compensación, en parte por el tiempo que se pasa en el empleo y en parte por los costos incurridos en la adquisición de habilidades: en adquirir capital humano. Cuanto más capital humano ofrezca una persona, mayores serán sus ingreso, con todo lo demás constante (Parkin,  1998:452).</w:t>
      </w:r>
    </w:p>
    <w:p>
      <w:pPr>
        <w:pStyle w:val="BodyText"/>
        <w:spacing w:before="4"/>
        <w:rPr>
          <w:sz w:val="17"/>
        </w:rPr>
      </w:pPr>
    </w:p>
    <w:p>
      <w:pPr>
        <w:pStyle w:val="BodyText"/>
        <w:ind w:left="121"/>
        <w:jc w:val="both"/>
      </w:pPr>
      <w:r>
        <w:rPr/>
        <w:t>La forma más simple de calcular los retornos es utilizar la llamada ecuación  minceriana.</w:t>
      </w:r>
    </w:p>
    <w:p>
      <w:pPr>
        <w:pStyle w:val="BodyText"/>
        <w:spacing w:before="11"/>
        <w:rPr>
          <w:sz w:val="28"/>
        </w:rPr>
      </w:pPr>
    </w:p>
    <w:p>
      <w:pPr>
        <w:pStyle w:val="BodyText"/>
        <w:spacing w:line="367" w:lineRule="auto"/>
        <w:ind w:left="121" w:right="105"/>
        <w:jc w:val="both"/>
      </w:pPr>
      <w:r>
        <w:rPr/>
        <w:t>Este método consiste en estimar por cuadrados mínimos ordinarios (CMO), la siguiente ecuación:</w:t>
      </w:r>
    </w:p>
    <w:p>
      <w:pPr>
        <w:pStyle w:val="Heading4"/>
        <w:spacing w:before="192"/>
        <w:ind w:left="121"/>
        <w:jc w:val="both"/>
        <w:rPr>
          <w:i/>
        </w:rPr>
      </w:pPr>
      <w:r>
        <w:rPr/>
        <w:t>Log (Y)=a+bE+cX+</w:t>
      </w:r>
      <w:r>
        <w:rPr>
          <w:i/>
        </w:rPr>
        <w:t>u</w:t>
      </w:r>
    </w:p>
    <w:p>
      <w:pPr>
        <w:pStyle w:val="BodyText"/>
        <w:rPr>
          <w:b/>
          <w:i/>
          <w:sz w:val="20"/>
        </w:rPr>
      </w:pPr>
    </w:p>
    <w:p>
      <w:pPr>
        <w:pStyle w:val="BodyText"/>
        <w:rPr>
          <w:b/>
          <w:i/>
          <w:sz w:val="20"/>
        </w:rPr>
      </w:pPr>
    </w:p>
    <w:p>
      <w:pPr>
        <w:pStyle w:val="BodyText"/>
        <w:rPr>
          <w:b/>
          <w:i/>
          <w:sz w:val="20"/>
        </w:rPr>
      </w:pPr>
    </w:p>
    <w:p>
      <w:pPr>
        <w:pStyle w:val="BodyText"/>
        <w:spacing w:before="8"/>
        <w:rPr>
          <w:b/>
          <w:i/>
          <w:sz w:val="13"/>
        </w:rPr>
      </w:pPr>
      <w:r>
        <w:rPr/>
        <w:pict>
          <v:line style="position:absolute;mso-position-horizontal-relative:page;mso-position-vertical-relative:paragraph;z-index:18640;mso-wrap-distance-left:0;mso-wrap-distance-right:0" from="70.080002pt,10.225374pt" to="210.239999pt,10.225374pt" stroked="true" strokeweight=".72pt" strokecolor="#000000">
            <w10:wrap type="topAndBottom"/>
          </v:line>
        </w:pict>
      </w:r>
    </w:p>
    <w:p>
      <w:pPr>
        <w:spacing w:line="283" w:lineRule="auto" w:before="39"/>
        <w:ind w:left="121" w:right="104" w:firstLine="0"/>
        <w:jc w:val="both"/>
        <w:rPr>
          <w:sz w:val="19"/>
        </w:rPr>
      </w:pPr>
      <w:r>
        <w:rPr>
          <w:position w:val="10"/>
          <w:sz w:val="12"/>
        </w:rPr>
        <w:t>133 </w:t>
      </w:r>
      <w:r>
        <w:rPr>
          <w:sz w:val="19"/>
        </w:rPr>
        <w:t>La importancia de este tipo de sesgo ha sido discutida por Z Griliches  (1977).  La  decisión  por  educarse es, en muchos casos, una decisión familiar. En el primer caso estarían las características personales, como habilidad o motivación, y en el segundo las familiares. (Zamudio,   </w:t>
      </w:r>
      <w:r>
        <w:rPr>
          <w:spacing w:val="1"/>
          <w:sz w:val="19"/>
        </w:rPr>
        <w:t> </w:t>
      </w:r>
      <w:r>
        <w:rPr>
          <w:sz w:val="19"/>
        </w:rPr>
        <w:t>1995:51).</w:t>
      </w:r>
    </w:p>
    <w:p>
      <w:pPr>
        <w:spacing w:line="283" w:lineRule="auto" w:before="160"/>
        <w:ind w:left="121" w:right="105" w:firstLine="0"/>
        <w:jc w:val="both"/>
        <w:rPr>
          <w:sz w:val="19"/>
        </w:rPr>
      </w:pPr>
      <w:r>
        <w:rPr>
          <w:position w:val="10"/>
          <w:sz w:val="12"/>
        </w:rPr>
        <w:t>134 </w:t>
      </w:r>
      <w:r>
        <w:rPr>
          <w:sz w:val="19"/>
        </w:rPr>
        <w:t>Un ejemplo de lo importante que resultan las relaciones sociales es dado por Baker and Benjamin (1997:705) cuando afirma que “...resultados favorables son obtenidos a partir del ‘modelo de inversión familiar’ en el cual las esposas en las familias inmigrantes toman trabajos extenuantes para financiar las inversiones en capital humano de sus  esposos</w:t>
      </w:r>
    </w:p>
    <w:p>
      <w:pPr>
        <w:spacing w:line="283" w:lineRule="auto" w:before="160"/>
        <w:ind w:left="121" w:right="105" w:firstLine="0"/>
        <w:jc w:val="both"/>
        <w:rPr>
          <w:sz w:val="19"/>
        </w:rPr>
      </w:pPr>
      <w:r>
        <w:rPr>
          <w:position w:val="10"/>
          <w:sz w:val="12"/>
        </w:rPr>
        <w:t>135 </w:t>
      </w:r>
      <w:r>
        <w:rPr>
          <w:sz w:val="19"/>
        </w:rPr>
        <w:t>Es difícil medir con cierta precisión el capital humano; sin embargo, existen algunos indicadores aproximados. Uno de ellos son los años de escolaridad de una persona.  Un segundo indicador son  los años de experiencia (Parkin, 1998:452).Un tercer indicador posible del capital humano es el número de interrupciones del empleo. Las interrupciones de una carrera trastornan y reducen la efectividad de la experiencia de trabajo y retrasan la acumulación de capital humano. Así mismo, durante una interrupción  del empleo, es posible que el capital humano se deprecie debido a falta de  </w:t>
      </w:r>
      <w:r>
        <w:rPr>
          <w:spacing w:val="34"/>
          <w:sz w:val="19"/>
        </w:rPr>
        <w:t> </w:t>
      </w:r>
      <w:r>
        <w:rPr>
          <w:sz w:val="19"/>
        </w:rPr>
        <w:t>uso.</w:t>
      </w:r>
    </w:p>
    <w:p>
      <w:pPr>
        <w:spacing w:after="0" w:line="283" w:lineRule="auto"/>
        <w:jc w:val="both"/>
        <w:rPr>
          <w:sz w:val="19"/>
        </w:rPr>
        <w:sectPr>
          <w:pgSz w:w="11900" w:h="16840"/>
          <w:pgMar w:header="0" w:footer="1679" w:top="1600" w:bottom="1860" w:left="1280" w:right="1280"/>
        </w:sectPr>
      </w:pPr>
    </w:p>
    <w:p>
      <w:pPr>
        <w:pStyle w:val="BodyText"/>
        <w:rPr>
          <w:sz w:val="20"/>
        </w:rPr>
      </w:pPr>
    </w:p>
    <w:p>
      <w:pPr>
        <w:pStyle w:val="BodyText"/>
        <w:spacing w:before="8"/>
        <w:rPr>
          <w:sz w:val="18"/>
        </w:rPr>
      </w:pPr>
    </w:p>
    <w:p>
      <w:pPr>
        <w:pStyle w:val="BodyText"/>
        <w:spacing w:line="355" w:lineRule="auto" w:before="74"/>
        <w:ind w:left="121" w:right="104"/>
        <w:jc w:val="both"/>
      </w:pPr>
      <w:r>
        <w:rPr/>
        <w:t>donde Y denota el sueldo individual (o el ingreso); E denota al nivel de escolaridad,    esto es los años de educación; X denota los años de experiencia laboral y </w:t>
      </w:r>
      <w:r>
        <w:rPr>
          <w:i/>
        </w:rPr>
        <w:t>u </w:t>
      </w:r>
      <w:r>
        <w:rPr/>
        <w:t>es un error aleatorio</w:t>
      </w:r>
      <w:r>
        <w:rPr>
          <w:position w:val="11"/>
          <w:sz w:val="15"/>
        </w:rPr>
        <w:t>136</w:t>
      </w:r>
      <w:r>
        <w:rPr/>
        <w:t>. En esta ecuación el parámetro b representa el retorno a la educación y  como la variable E es una variable compleja</w:t>
      </w:r>
      <w:r>
        <w:rPr>
          <w:position w:val="11"/>
          <w:sz w:val="15"/>
        </w:rPr>
        <w:t>137 </w:t>
      </w:r>
      <w:r>
        <w:rPr/>
        <w:t>se debería especificar  otra  ecuación  para esta variable (Zamudio, 1995:51). En lugar de eso, adicionaremos algunas  variables que sin ocasionar problemas estadísticos incorporen las tendencias de las demás, de la siguiente</w:t>
      </w:r>
      <w:r>
        <w:rPr>
          <w:spacing w:val="35"/>
        </w:rPr>
        <w:t> </w:t>
      </w:r>
      <w:r>
        <w:rPr/>
        <w:t>manera:</w:t>
      </w:r>
    </w:p>
    <w:p>
      <w:pPr>
        <w:pStyle w:val="BodyText"/>
        <w:rPr>
          <w:sz w:val="18"/>
        </w:rPr>
      </w:pPr>
    </w:p>
    <w:p>
      <w:pPr>
        <w:pStyle w:val="Heading4"/>
        <w:ind w:left="121"/>
        <w:jc w:val="both"/>
        <w:rPr>
          <w:i/>
        </w:rPr>
      </w:pPr>
      <w:r>
        <w:rPr/>
        <w:t>Ln</w:t>
      </w:r>
      <w:r>
        <w:rPr>
          <w:spacing w:val="55"/>
        </w:rPr>
        <w:t> </w:t>
      </w:r>
      <w:r>
        <w:rPr/>
        <w:t>(W)=a+bLn(S)+cLn(E)+dLn(X)+eLn(A)+</w:t>
      </w:r>
      <w:r>
        <w:rPr>
          <w:i/>
        </w:rPr>
        <w:t>u</w:t>
      </w:r>
    </w:p>
    <w:p>
      <w:pPr>
        <w:pStyle w:val="BodyText"/>
        <w:spacing w:before="2"/>
        <w:rPr>
          <w:b/>
          <w:i/>
          <w:sz w:val="29"/>
        </w:rPr>
      </w:pPr>
    </w:p>
    <w:p>
      <w:pPr>
        <w:pStyle w:val="BodyText"/>
        <w:spacing w:line="364" w:lineRule="auto"/>
        <w:ind w:left="121" w:right="106"/>
        <w:jc w:val="both"/>
      </w:pPr>
      <w:r>
        <w:rPr/>
        <w:t>En donde S=Sexo, E=Escolaridad, X=Experiencia, A=una forma particular de expresar  la influencia de las redes migratorias, b, c, d, e, son los retornos a cada uno de los factores incluidos, en forma de elasticidades y </w:t>
      </w:r>
      <w:r>
        <w:rPr>
          <w:i/>
        </w:rPr>
        <w:t>u </w:t>
      </w:r>
      <w:r>
        <w:rPr/>
        <w:t>es el término aleatorio de </w:t>
      </w:r>
      <w:r>
        <w:rPr>
          <w:spacing w:val="25"/>
        </w:rPr>
        <w:t> </w:t>
      </w:r>
      <w:r>
        <w:rPr/>
        <w:t>error.</w:t>
      </w:r>
    </w:p>
    <w:p>
      <w:pPr>
        <w:pStyle w:val="BodyText"/>
        <w:rPr>
          <w:sz w:val="22"/>
        </w:rPr>
      </w:pPr>
    </w:p>
    <w:p>
      <w:pPr>
        <w:pStyle w:val="BodyText"/>
        <w:rPr>
          <w:sz w:val="22"/>
        </w:rPr>
      </w:pPr>
    </w:p>
    <w:p>
      <w:pPr>
        <w:pStyle w:val="BodyText"/>
        <w:rPr>
          <w:sz w:val="25"/>
        </w:rPr>
      </w:pPr>
    </w:p>
    <w:p>
      <w:pPr>
        <w:pStyle w:val="Heading2"/>
        <w:numPr>
          <w:ilvl w:val="0"/>
          <w:numId w:val="33"/>
        </w:numPr>
        <w:tabs>
          <w:tab w:pos="909" w:val="left" w:leader="none"/>
        </w:tabs>
        <w:spacing w:line="240" w:lineRule="auto" w:before="0" w:after="0"/>
        <w:ind w:left="908" w:right="0" w:hanging="436"/>
        <w:jc w:val="left"/>
      </w:pPr>
      <w:r>
        <w:rPr/>
        <w:t>ANÁLISIS Y DISCUSIÓN DE</w:t>
      </w:r>
      <w:r>
        <w:rPr>
          <w:spacing w:val="9"/>
        </w:rPr>
        <w:t> </w:t>
      </w:r>
      <w:r>
        <w:rPr/>
        <w:t>RESULTADOS</w:t>
      </w:r>
    </w:p>
    <w:p>
      <w:pPr>
        <w:pStyle w:val="BodyText"/>
        <w:spacing w:before="10"/>
        <w:rPr>
          <w:b/>
          <w:sz w:val="32"/>
        </w:rPr>
      </w:pPr>
    </w:p>
    <w:p>
      <w:pPr>
        <w:pStyle w:val="BodyText"/>
        <w:spacing w:line="364" w:lineRule="auto"/>
        <w:ind w:left="121" w:right="105"/>
        <w:jc w:val="both"/>
      </w:pPr>
      <w:r>
        <w:rPr/>
        <w:t>Para poder encontrar una relación positiva que relacionara los salarios obtenidos en los Estados Unidos distinguiendo también los efectos de la experiencia acumulada fue necesario descontar los salarios mensuales entre el número de meses de experiencia efectiva. Así el modelo estimado mediante el procedimiento CMO fue el  siguiente:</w:t>
      </w:r>
    </w:p>
    <w:p>
      <w:pPr>
        <w:pStyle w:val="BodyText"/>
        <w:spacing w:before="164"/>
        <w:ind w:left="121"/>
        <w:jc w:val="both"/>
      </w:pPr>
      <w:r>
        <w:rPr/>
        <w:t>Ln(W/X</w:t>
      </w:r>
      <w:r>
        <w:rPr>
          <w:position w:val="11"/>
          <w:sz w:val="15"/>
        </w:rPr>
        <w:t>y</w:t>
      </w:r>
      <w:r>
        <w:rPr/>
        <w:t>)=a+bLn(E)+cLn(S)+dLn(A)+</w:t>
      </w:r>
      <w:r>
        <w:rPr>
          <w:i/>
        </w:rPr>
        <w:t>u</w:t>
      </w:r>
      <w:r>
        <w:rPr/>
        <w:t>, llegando a los siguientes  resultados:</w:t>
      </w:r>
    </w:p>
    <w:p>
      <w:pPr>
        <w:pStyle w:val="BodyText"/>
        <w:spacing w:before="1"/>
        <w:rPr>
          <w:sz w:val="26"/>
        </w:rPr>
      </w:pPr>
    </w:p>
    <w:p>
      <w:pPr>
        <w:pStyle w:val="BodyText"/>
        <w:ind w:left="121"/>
        <w:jc w:val="both"/>
      </w:pPr>
      <w:r>
        <w:rPr/>
        <w:t>Ln(W/X</w:t>
      </w:r>
      <w:r>
        <w:rPr>
          <w:position w:val="11"/>
          <w:sz w:val="15"/>
        </w:rPr>
        <w:t>0.502</w:t>
      </w:r>
      <w:r>
        <w:rPr/>
        <w:t>) = 2.895 + 0.32111Ln(S) + 1.0383Ln(E) + 0.50467Ln(A) con una R</w:t>
      </w:r>
      <w:r>
        <w:rPr>
          <w:position w:val="11"/>
          <w:sz w:val="15"/>
        </w:rPr>
        <w:t>2</w:t>
      </w:r>
      <w:r>
        <w:rPr/>
        <w:t>=0.71 y</w:t>
      </w:r>
    </w:p>
    <w:p>
      <w:pPr>
        <w:pStyle w:val="BodyText"/>
        <w:spacing w:line="364" w:lineRule="auto" w:before="136"/>
        <w:ind w:left="121" w:right="105"/>
        <w:jc w:val="both"/>
      </w:pPr>
      <w:r>
        <w:rPr/>
        <w:t>una confiabilidad individual para todas las variables mayor al 90%, el cual se convierte en:</w:t>
      </w:r>
    </w:p>
    <w:p>
      <w:pPr>
        <w:pStyle w:val="BodyText"/>
        <w:spacing w:line="355" w:lineRule="auto" w:before="164"/>
        <w:ind w:left="121" w:right="105"/>
        <w:jc w:val="both"/>
      </w:pPr>
      <w:r>
        <w:rPr/>
        <w:t>W/X</w:t>
      </w:r>
      <w:r>
        <w:rPr>
          <w:position w:val="11"/>
          <w:sz w:val="15"/>
        </w:rPr>
        <w:t>0.502</w:t>
      </w:r>
      <w:r>
        <w:rPr/>
        <w:t>=18.0834S</w:t>
      </w:r>
      <w:r>
        <w:rPr>
          <w:position w:val="11"/>
          <w:sz w:val="15"/>
        </w:rPr>
        <w:t>0.32111</w:t>
      </w:r>
      <w:r>
        <w:rPr/>
        <w:t>E</w:t>
      </w:r>
      <w:r>
        <w:rPr>
          <w:position w:val="11"/>
          <w:sz w:val="15"/>
        </w:rPr>
        <w:t>1.0383</w:t>
      </w:r>
      <w:r>
        <w:rPr/>
        <w:t>A</w:t>
      </w:r>
      <w:r>
        <w:rPr>
          <w:position w:val="11"/>
          <w:sz w:val="15"/>
        </w:rPr>
        <w:t>0.50467 </w:t>
      </w:r>
      <w:r>
        <w:rPr/>
        <w:t>la cual a su vez se puede transformar en: W=18.0834E</w:t>
      </w:r>
      <w:r>
        <w:rPr>
          <w:position w:val="11"/>
          <w:sz w:val="15"/>
        </w:rPr>
        <w:t>1.0383</w:t>
      </w:r>
      <w:r>
        <w:rPr/>
        <w:t>S</w:t>
      </w:r>
      <w:r>
        <w:rPr>
          <w:position w:val="11"/>
          <w:sz w:val="15"/>
        </w:rPr>
        <w:t>0.32111</w:t>
      </w:r>
      <w:r>
        <w:rPr/>
        <w:t>A</w:t>
      </w:r>
      <w:r>
        <w:rPr>
          <w:position w:val="11"/>
          <w:sz w:val="15"/>
        </w:rPr>
        <w:t>0.50467</w:t>
      </w:r>
      <w:r>
        <w:rPr/>
        <w:t>X</w:t>
      </w:r>
      <w:r>
        <w:rPr>
          <w:position w:val="11"/>
          <w:sz w:val="15"/>
        </w:rPr>
        <w:t>0.502</w:t>
      </w:r>
      <w:r>
        <w:rPr/>
        <w:t>, la cual a su vez da origen al Cuadro 5. Que  permite obtener directamente los retornos monetarios para ciertos niveles  de  escolaridad y experiencia cuando se permite que S y A varíen </w:t>
      </w:r>
      <w:r>
        <w:rPr>
          <w:spacing w:val="28"/>
        </w:rPr>
        <w:t> </w:t>
      </w:r>
      <w:r>
        <w:rPr/>
        <w:t>simultáneamente.</w:t>
      </w:r>
    </w:p>
    <w:p>
      <w:pPr>
        <w:pStyle w:val="BodyText"/>
        <w:spacing w:before="6"/>
        <w:rPr>
          <w:sz w:val="22"/>
        </w:rPr>
      </w:pPr>
      <w:r>
        <w:rPr/>
        <w:pict>
          <v:line style="position:absolute;mso-position-horizontal-relative:page;mso-position-vertical-relative:paragraph;z-index:18664;mso-wrap-distance-left:0;mso-wrap-distance-right:0" from="70.080002pt,15.275659pt" to="210.239999pt,15.275659pt" stroked="true" strokeweight=".72pt" strokecolor="#000000">
            <w10:wrap type="topAndBottom"/>
          </v:line>
        </w:pict>
      </w:r>
    </w:p>
    <w:p>
      <w:pPr>
        <w:spacing w:line="239" w:lineRule="exact" w:before="39"/>
        <w:ind w:left="121" w:right="690" w:firstLine="0"/>
        <w:jc w:val="left"/>
        <w:rPr>
          <w:sz w:val="19"/>
        </w:rPr>
      </w:pPr>
      <w:r>
        <w:rPr>
          <w:position w:val="10"/>
          <w:sz w:val="12"/>
        </w:rPr>
        <w:t>136  </w:t>
      </w:r>
      <w:r>
        <w:rPr>
          <w:sz w:val="19"/>
        </w:rPr>
        <w:t>En realidad, Mincer utilizó S para educación y E para experiencia   laboral.</w:t>
      </w:r>
    </w:p>
    <w:p>
      <w:pPr>
        <w:spacing w:line="239" w:lineRule="exact" w:before="0"/>
        <w:ind w:left="121" w:right="690" w:firstLine="0"/>
        <w:jc w:val="left"/>
        <w:rPr>
          <w:sz w:val="19"/>
        </w:rPr>
      </w:pPr>
      <w:r>
        <w:rPr>
          <w:w w:val="105"/>
          <w:position w:val="10"/>
          <w:sz w:val="12"/>
        </w:rPr>
        <w:t>137 </w:t>
      </w:r>
      <w:r>
        <w:rPr>
          <w:w w:val="105"/>
          <w:sz w:val="19"/>
        </w:rPr>
        <w:t>Compuesta</w:t>
      </w:r>
    </w:p>
    <w:p>
      <w:pPr>
        <w:spacing w:after="0" w:line="239" w:lineRule="exact"/>
        <w:jc w:val="left"/>
        <w:rPr>
          <w:sz w:val="19"/>
        </w:rPr>
        <w:sectPr>
          <w:pgSz w:w="11900" w:h="16840"/>
          <w:pgMar w:header="0" w:footer="1679" w:top="1600" w:bottom="1860" w:left="1280" w:right="1280"/>
        </w:sectPr>
      </w:pPr>
    </w:p>
    <w:p>
      <w:pPr>
        <w:pStyle w:val="BodyText"/>
        <w:rPr>
          <w:sz w:val="20"/>
        </w:rPr>
      </w:pPr>
    </w:p>
    <w:p>
      <w:pPr>
        <w:pStyle w:val="BodyText"/>
        <w:spacing w:before="8"/>
        <w:rPr>
          <w:sz w:val="18"/>
        </w:rPr>
      </w:pPr>
    </w:p>
    <w:p>
      <w:pPr>
        <w:pStyle w:val="BodyText"/>
        <w:spacing w:line="364" w:lineRule="auto" w:before="74"/>
        <w:ind w:left="101" w:right="103"/>
        <w:jc w:val="both"/>
      </w:pPr>
      <w:r>
        <w:rPr/>
        <w:t>De las elasticidades proporcionadas por la ecuación de ajuste se puede deducir directamente que el retorno a la educación es un poco más que proporcional, es decir,  el coeficiente de 1.0383 indica que un incremento del 10% en el acervo de educación formal produce un aumento de 10.383% en el salario mensual en términos generales.   De igual manera el exponente de X (0.502), indica que un aumento de 10% en la educación informal conduce a un incremento cercano al 5% en los  salarios  recibidos  por</w:t>
      </w:r>
      <w:r>
        <w:rPr>
          <w:spacing w:val="8"/>
        </w:rPr>
        <w:t> </w:t>
      </w:r>
      <w:r>
        <w:rPr/>
        <w:t>mes.</w:t>
      </w:r>
    </w:p>
    <w:p>
      <w:pPr>
        <w:pStyle w:val="BodyText"/>
        <w:spacing w:before="4"/>
        <w:rPr>
          <w:sz w:val="17"/>
        </w:rPr>
      </w:pPr>
    </w:p>
    <w:p>
      <w:pPr>
        <w:pStyle w:val="BodyText"/>
        <w:spacing w:line="364" w:lineRule="auto"/>
        <w:ind w:left="101" w:right="104"/>
        <w:jc w:val="both"/>
      </w:pPr>
      <w:r>
        <w:rPr/>
        <w:t>Más específicamente los datos del Cuadro 4 nos refieren que la variación en  los  retornos monetarios registran una variación reducida cuando son medidos por mes y específicamente que esas variación puede ser incrementada mediante el aumento de   los niveles de educación formal ya que los retornos provenientes de la experiencia parecen ser más altos en el caso de las mujeres que frecuentan destinos diferentes a Atlanta y para los hombres que se dedican a la “pintura” en Atlanta (la experiencia es  una variable que depende casi exclusivamente de la estancia en los Estados Unidos y  se va acumulando muy</w:t>
      </w:r>
      <w:r>
        <w:rPr>
          <w:spacing w:val="39"/>
        </w:rPr>
        <w:t> </w:t>
      </w:r>
      <w:r>
        <w:rPr/>
        <w:t>lentamente).</w:t>
      </w:r>
    </w:p>
    <w:p>
      <w:pPr>
        <w:pStyle w:val="BodyText"/>
        <w:spacing w:before="4"/>
        <w:rPr>
          <w:sz w:val="17"/>
        </w:rPr>
      </w:pPr>
    </w:p>
    <w:p>
      <w:pPr>
        <w:pStyle w:val="BodyText"/>
        <w:spacing w:line="364" w:lineRule="auto"/>
        <w:ind w:left="101" w:right="106"/>
        <w:jc w:val="both"/>
      </w:pPr>
      <w:r>
        <w:rPr/>
        <w:t>Esto se ve reflejado también, aunque de manera incipiente, en las actividades que los migrantes realizan cuando están de retorno en su localidad de  origen.</w:t>
      </w:r>
    </w:p>
    <w:p>
      <w:pPr>
        <w:pStyle w:val="BodyText"/>
        <w:spacing w:before="4"/>
        <w:rPr>
          <w:sz w:val="17"/>
        </w:rPr>
      </w:pPr>
    </w:p>
    <w:p>
      <w:pPr>
        <w:pStyle w:val="BodyText"/>
        <w:spacing w:line="364" w:lineRule="auto"/>
        <w:ind w:left="101" w:right="104"/>
        <w:jc w:val="both"/>
      </w:pPr>
      <w:r>
        <w:rPr/>
        <w:t>Del total de la muestra, durante el periodo 1995-1997, el 57.1% permaneció en la comunidad un mes o más, de ellos el 45% lo hicieron por periodos de 12 meses o más; el 20% por periodos de 6 ó 7 meses y el 5% durante dos ó tres </w:t>
      </w:r>
      <w:r>
        <w:rPr>
          <w:spacing w:val="22"/>
        </w:rPr>
        <w:t> </w:t>
      </w:r>
      <w:r>
        <w:rPr/>
        <w:t>meses.</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6"/>
        <w:rPr>
          <w:sz w:val="18"/>
        </w:rPr>
      </w:pPr>
    </w:p>
    <w:p>
      <w:pPr>
        <w:pStyle w:val="Heading4"/>
        <w:spacing w:before="74"/>
        <w:ind w:left="1773" w:right="403"/>
      </w:pPr>
      <w:r>
        <w:rPr/>
        <w:t>Cuadro 4. Retornos a la Escolaridad y la  Experiencia</w:t>
      </w:r>
    </w:p>
    <w:p>
      <w:pPr>
        <w:pStyle w:val="BodyText"/>
        <w:spacing w:before="9"/>
        <w:rPr>
          <w:b/>
          <w:sz w:val="1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3"/>
        <w:gridCol w:w="463"/>
        <w:gridCol w:w="653"/>
        <w:gridCol w:w="1601"/>
        <w:gridCol w:w="1903"/>
        <w:gridCol w:w="1812"/>
        <w:gridCol w:w="2278"/>
      </w:tblGrid>
      <w:tr>
        <w:trPr>
          <w:trHeight w:val="350" w:hRule="exact"/>
        </w:trPr>
        <w:tc>
          <w:tcPr>
            <w:tcW w:w="463" w:type="dxa"/>
            <w:vMerge w:val="restart"/>
          </w:tcPr>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line="309" w:lineRule="auto" w:before="148"/>
              <w:ind w:left="26" w:right="285"/>
              <w:jc w:val="both"/>
              <w:rPr>
                <w:sz w:val="19"/>
              </w:rPr>
            </w:pPr>
            <w:r>
              <w:rPr>
                <w:sz w:val="19"/>
              </w:rPr>
              <w:t>E X P E R I</w:t>
            </w:r>
          </w:p>
        </w:tc>
        <w:tc>
          <w:tcPr>
            <w:tcW w:w="8710" w:type="dxa"/>
            <w:gridSpan w:val="6"/>
            <w:tcBorders>
              <w:bottom w:val="nil"/>
            </w:tcBorders>
          </w:tcPr>
          <w:p>
            <w:pPr>
              <w:pStyle w:val="TableParagraph"/>
              <w:spacing w:before="64"/>
              <w:ind w:left="1413"/>
              <w:jc w:val="left"/>
              <w:rPr>
                <w:sz w:val="19"/>
              </w:rPr>
            </w:pPr>
            <w:r>
              <w:rPr>
                <w:sz w:val="19"/>
              </w:rPr>
              <w:t>RETORNOS:  MUJERES, OTROS DESTINOS</w:t>
            </w:r>
          </w:p>
        </w:tc>
      </w:tr>
      <w:tr>
        <w:trPr>
          <w:trHeight w:val="350" w:hRule="exact"/>
        </w:trPr>
        <w:tc>
          <w:tcPr>
            <w:tcW w:w="463" w:type="dxa"/>
            <w:vMerge/>
          </w:tcPr>
          <w:p>
            <w:pPr/>
          </w:p>
        </w:tc>
        <w:tc>
          <w:tcPr>
            <w:tcW w:w="463" w:type="dxa"/>
            <w:vMerge w:val="restart"/>
            <w:tcBorders>
              <w:top w:val="nil"/>
            </w:tcBorders>
          </w:tcPr>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line="309" w:lineRule="auto" w:before="137"/>
              <w:ind w:left="23" w:right="266"/>
              <w:jc w:val="both"/>
              <w:rPr>
                <w:sz w:val="19"/>
              </w:rPr>
            </w:pPr>
            <w:r>
              <w:rPr>
                <w:sz w:val="19"/>
              </w:rPr>
              <w:t>M E S E S</w:t>
            </w:r>
          </w:p>
        </w:tc>
        <w:tc>
          <w:tcPr>
            <w:tcW w:w="8246" w:type="dxa"/>
            <w:gridSpan w:val="5"/>
          </w:tcPr>
          <w:p>
            <w:pPr>
              <w:pStyle w:val="TableParagraph"/>
              <w:spacing w:before="64"/>
              <w:ind w:left="3765" w:right="2846"/>
              <w:jc w:val="center"/>
              <w:rPr>
                <w:sz w:val="19"/>
              </w:rPr>
            </w:pPr>
            <w:r>
              <w:rPr>
                <w:sz w:val="19"/>
              </w:rPr>
              <w:t>Escolaridad (años)</w:t>
            </w:r>
          </w:p>
        </w:tc>
      </w:tr>
      <w:tr>
        <w:trPr>
          <w:trHeight w:val="349" w:hRule="exact"/>
        </w:trPr>
        <w:tc>
          <w:tcPr>
            <w:tcW w:w="463" w:type="dxa"/>
            <w:vMerge/>
          </w:tcPr>
          <w:p>
            <w:pPr/>
          </w:p>
        </w:tc>
        <w:tc>
          <w:tcPr>
            <w:tcW w:w="463" w:type="dxa"/>
            <w:vMerge/>
          </w:tcPr>
          <w:p>
            <w:pPr/>
          </w:p>
        </w:tc>
        <w:tc>
          <w:tcPr>
            <w:tcW w:w="653" w:type="dxa"/>
            <w:tcBorders>
              <w:bottom w:val="nil"/>
              <w:right w:val="nil"/>
            </w:tcBorders>
          </w:tcPr>
          <w:p>
            <w:pPr/>
          </w:p>
        </w:tc>
        <w:tc>
          <w:tcPr>
            <w:tcW w:w="1601" w:type="dxa"/>
            <w:tcBorders>
              <w:left w:val="nil"/>
              <w:bottom w:val="nil"/>
              <w:right w:val="nil"/>
            </w:tcBorders>
          </w:tcPr>
          <w:p>
            <w:pPr>
              <w:pStyle w:val="TableParagraph"/>
              <w:spacing w:before="57"/>
              <w:ind w:left="302"/>
              <w:jc w:val="left"/>
              <w:rPr>
                <w:b/>
                <w:sz w:val="19"/>
              </w:rPr>
            </w:pPr>
            <w:r>
              <w:rPr>
                <w:b/>
                <w:w w:val="101"/>
                <w:sz w:val="19"/>
              </w:rPr>
              <w:t>4</w:t>
            </w:r>
          </w:p>
        </w:tc>
        <w:tc>
          <w:tcPr>
            <w:tcW w:w="1903" w:type="dxa"/>
            <w:tcBorders>
              <w:left w:val="nil"/>
              <w:bottom w:val="nil"/>
              <w:right w:val="nil"/>
            </w:tcBorders>
          </w:tcPr>
          <w:p>
            <w:pPr>
              <w:pStyle w:val="TableParagraph"/>
              <w:spacing w:before="57"/>
              <w:ind w:left="811"/>
              <w:jc w:val="left"/>
              <w:rPr>
                <w:b/>
                <w:sz w:val="19"/>
              </w:rPr>
            </w:pPr>
            <w:r>
              <w:rPr>
                <w:b/>
                <w:w w:val="101"/>
                <w:sz w:val="19"/>
              </w:rPr>
              <w:t>6</w:t>
            </w:r>
          </w:p>
        </w:tc>
        <w:tc>
          <w:tcPr>
            <w:tcW w:w="1812" w:type="dxa"/>
            <w:tcBorders>
              <w:left w:val="nil"/>
              <w:bottom w:val="nil"/>
              <w:right w:val="nil"/>
            </w:tcBorders>
          </w:tcPr>
          <w:p>
            <w:pPr>
              <w:pStyle w:val="TableParagraph"/>
              <w:spacing w:before="57"/>
              <w:ind w:left="604"/>
              <w:jc w:val="left"/>
              <w:rPr>
                <w:b/>
                <w:sz w:val="19"/>
              </w:rPr>
            </w:pPr>
            <w:r>
              <w:rPr>
                <w:b/>
                <w:w w:val="101"/>
                <w:sz w:val="19"/>
              </w:rPr>
              <w:t>9</w:t>
            </w:r>
          </w:p>
        </w:tc>
        <w:tc>
          <w:tcPr>
            <w:tcW w:w="2278" w:type="dxa"/>
            <w:tcBorders>
              <w:left w:val="nil"/>
              <w:bottom w:val="nil"/>
            </w:tcBorders>
          </w:tcPr>
          <w:p>
            <w:pPr>
              <w:pStyle w:val="TableParagraph"/>
              <w:spacing w:before="57"/>
              <w:ind w:left="720"/>
              <w:jc w:val="left"/>
              <w:rPr>
                <w:b/>
                <w:sz w:val="19"/>
              </w:rPr>
            </w:pPr>
            <w:r>
              <w:rPr>
                <w:b/>
                <w:sz w:val="19"/>
              </w:rPr>
              <w:t>12</w:t>
            </w:r>
          </w:p>
        </w:tc>
      </w:tr>
      <w:tr>
        <w:trPr>
          <w:trHeight w:val="343" w:hRule="exact"/>
        </w:trPr>
        <w:tc>
          <w:tcPr>
            <w:tcW w:w="463" w:type="dxa"/>
            <w:vMerge/>
          </w:tcPr>
          <w:p>
            <w:pPr/>
          </w:p>
        </w:tc>
        <w:tc>
          <w:tcPr>
            <w:tcW w:w="463" w:type="dxa"/>
            <w:vMerge/>
          </w:tcPr>
          <w:p>
            <w:pPr/>
          </w:p>
        </w:tc>
        <w:tc>
          <w:tcPr>
            <w:tcW w:w="653" w:type="dxa"/>
            <w:tcBorders>
              <w:top w:val="nil"/>
              <w:bottom w:val="nil"/>
              <w:right w:val="nil"/>
            </w:tcBorders>
          </w:tcPr>
          <w:p>
            <w:pPr>
              <w:pStyle w:val="TableParagraph"/>
              <w:spacing w:before="51"/>
              <w:ind w:left="21"/>
              <w:jc w:val="left"/>
              <w:rPr>
                <w:b/>
                <w:sz w:val="19"/>
              </w:rPr>
            </w:pPr>
            <w:r>
              <w:rPr>
                <w:b/>
                <w:sz w:val="19"/>
              </w:rPr>
              <w:t>24</w:t>
            </w:r>
          </w:p>
        </w:tc>
        <w:tc>
          <w:tcPr>
            <w:tcW w:w="1601" w:type="dxa"/>
            <w:tcBorders>
              <w:top w:val="nil"/>
              <w:left w:val="nil"/>
              <w:bottom w:val="nil"/>
              <w:right w:val="nil"/>
            </w:tcBorders>
          </w:tcPr>
          <w:p>
            <w:pPr>
              <w:pStyle w:val="TableParagraph"/>
              <w:spacing w:before="58"/>
              <w:ind w:left="302"/>
              <w:jc w:val="left"/>
              <w:rPr>
                <w:sz w:val="19"/>
              </w:rPr>
            </w:pPr>
            <w:r>
              <w:rPr>
                <w:sz w:val="19"/>
              </w:rPr>
              <w:t>36,92</w:t>
            </w:r>
          </w:p>
        </w:tc>
        <w:tc>
          <w:tcPr>
            <w:tcW w:w="1903" w:type="dxa"/>
            <w:tcBorders>
              <w:top w:val="nil"/>
              <w:left w:val="nil"/>
              <w:bottom w:val="nil"/>
              <w:right w:val="nil"/>
            </w:tcBorders>
          </w:tcPr>
          <w:p>
            <w:pPr>
              <w:pStyle w:val="TableParagraph"/>
              <w:spacing w:before="58"/>
              <w:ind w:left="811"/>
              <w:jc w:val="left"/>
              <w:rPr>
                <w:sz w:val="19"/>
              </w:rPr>
            </w:pPr>
            <w:r>
              <w:rPr>
                <w:sz w:val="19"/>
              </w:rPr>
              <w:t>37,50</w:t>
            </w:r>
          </w:p>
        </w:tc>
        <w:tc>
          <w:tcPr>
            <w:tcW w:w="1812" w:type="dxa"/>
            <w:tcBorders>
              <w:top w:val="nil"/>
              <w:left w:val="nil"/>
              <w:bottom w:val="nil"/>
              <w:right w:val="nil"/>
            </w:tcBorders>
          </w:tcPr>
          <w:p>
            <w:pPr>
              <w:pStyle w:val="TableParagraph"/>
              <w:spacing w:before="58"/>
              <w:ind w:left="604"/>
              <w:jc w:val="left"/>
              <w:rPr>
                <w:sz w:val="19"/>
              </w:rPr>
            </w:pPr>
            <w:r>
              <w:rPr>
                <w:sz w:val="19"/>
              </w:rPr>
              <w:t>38,08</w:t>
            </w:r>
          </w:p>
        </w:tc>
        <w:tc>
          <w:tcPr>
            <w:tcW w:w="2278" w:type="dxa"/>
            <w:tcBorders>
              <w:top w:val="nil"/>
              <w:left w:val="nil"/>
              <w:bottom w:val="nil"/>
            </w:tcBorders>
          </w:tcPr>
          <w:p>
            <w:pPr>
              <w:pStyle w:val="TableParagraph"/>
              <w:spacing w:before="58"/>
              <w:ind w:left="720"/>
              <w:jc w:val="left"/>
              <w:rPr>
                <w:sz w:val="19"/>
              </w:rPr>
            </w:pPr>
            <w:r>
              <w:rPr>
                <w:sz w:val="19"/>
              </w:rPr>
              <w:t>38,51</w:t>
            </w:r>
          </w:p>
        </w:tc>
      </w:tr>
      <w:tr>
        <w:trPr>
          <w:trHeight w:val="341" w:hRule="exact"/>
        </w:trPr>
        <w:tc>
          <w:tcPr>
            <w:tcW w:w="463" w:type="dxa"/>
            <w:vMerge/>
          </w:tcPr>
          <w:p>
            <w:pPr/>
          </w:p>
        </w:tc>
        <w:tc>
          <w:tcPr>
            <w:tcW w:w="463" w:type="dxa"/>
            <w:vMerge/>
          </w:tcPr>
          <w:p>
            <w:pPr/>
          </w:p>
        </w:tc>
        <w:tc>
          <w:tcPr>
            <w:tcW w:w="653" w:type="dxa"/>
            <w:tcBorders>
              <w:top w:val="nil"/>
              <w:bottom w:val="nil"/>
              <w:right w:val="nil"/>
            </w:tcBorders>
          </w:tcPr>
          <w:p>
            <w:pPr>
              <w:pStyle w:val="TableParagraph"/>
              <w:spacing w:before="48"/>
              <w:ind w:left="21"/>
              <w:jc w:val="left"/>
              <w:rPr>
                <w:b/>
                <w:sz w:val="19"/>
              </w:rPr>
            </w:pPr>
            <w:r>
              <w:rPr>
                <w:b/>
                <w:sz w:val="19"/>
              </w:rPr>
              <w:t>48</w:t>
            </w:r>
          </w:p>
        </w:tc>
        <w:tc>
          <w:tcPr>
            <w:tcW w:w="1601" w:type="dxa"/>
            <w:tcBorders>
              <w:top w:val="nil"/>
              <w:left w:val="nil"/>
              <w:bottom w:val="nil"/>
              <w:right w:val="nil"/>
            </w:tcBorders>
          </w:tcPr>
          <w:p>
            <w:pPr>
              <w:pStyle w:val="TableParagraph"/>
              <w:spacing w:before="56"/>
              <w:ind w:left="302"/>
              <w:jc w:val="left"/>
              <w:rPr>
                <w:sz w:val="19"/>
              </w:rPr>
            </w:pPr>
            <w:r>
              <w:rPr>
                <w:sz w:val="19"/>
              </w:rPr>
              <w:t>26,14</w:t>
            </w:r>
          </w:p>
        </w:tc>
        <w:tc>
          <w:tcPr>
            <w:tcW w:w="1903" w:type="dxa"/>
            <w:tcBorders>
              <w:top w:val="nil"/>
              <w:left w:val="nil"/>
              <w:bottom w:val="nil"/>
              <w:right w:val="nil"/>
            </w:tcBorders>
          </w:tcPr>
          <w:p>
            <w:pPr>
              <w:pStyle w:val="TableParagraph"/>
              <w:spacing w:before="56"/>
              <w:ind w:left="811"/>
              <w:jc w:val="left"/>
              <w:rPr>
                <w:sz w:val="19"/>
              </w:rPr>
            </w:pPr>
            <w:r>
              <w:rPr>
                <w:sz w:val="19"/>
              </w:rPr>
              <w:t>26,55</w:t>
            </w:r>
          </w:p>
        </w:tc>
        <w:tc>
          <w:tcPr>
            <w:tcW w:w="1812" w:type="dxa"/>
            <w:tcBorders>
              <w:top w:val="nil"/>
              <w:left w:val="nil"/>
              <w:bottom w:val="nil"/>
              <w:right w:val="nil"/>
            </w:tcBorders>
          </w:tcPr>
          <w:p>
            <w:pPr>
              <w:pStyle w:val="TableParagraph"/>
              <w:spacing w:before="56"/>
              <w:ind w:left="604"/>
              <w:jc w:val="left"/>
              <w:rPr>
                <w:sz w:val="19"/>
              </w:rPr>
            </w:pPr>
            <w:r>
              <w:rPr>
                <w:sz w:val="19"/>
              </w:rPr>
              <w:t>26,97</w:t>
            </w:r>
          </w:p>
        </w:tc>
        <w:tc>
          <w:tcPr>
            <w:tcW w:w="2278" w:type="dxa"/>
            <w:tcBorders>
              <w:top w:val="nil"/>
              <w:left w:val="nil"/>
              <w:bottom w:val="nil"/>
            </w:tcBorders>
          </w:tcPr>
          <w:p>
            <w:pPr>
              <w:pStyle w:val="TableParagraph"/>
              <w:spacing w:before="56"/>
              <w:ind w:left="720"/>
              <w:jc w:val="left"/>
              <w:rPr>
                <w:sz w:val="19"/>
              </w:rPr>
            </w:pPr>
            <w:r>
              <w:rPr>
                <w:sz w:val="19"/>
              </w:rPr>
              <w:t>27,27</w:t>
            </w:r>
          </w:p>
        </w:tc>
      </w:tr>
      <w:tr>
        <w:trPr>
          <w:trHeight w:val="341" w:hRule="exact"/>
        </w:trPr>
        <w:tc>
          <w:tcPr>
            <w:tcW w:w="463" w:type="dxa"/>
            <w:vMerge/>
          </w:tcPr>
          <w:p>
            <w:pPr/>
          </w:p>
        </w:tc>
        <w:tc>
          <w:tcPr>
            <w:tcW w:w="463" w:type="dxa"/>
            <w:vMerge/>
          </w:tcPr>
          <w:p>
            <w:pPr/>
          </w:p>
        </w:tc>
        <w:tc>
          <w:tcPr>
            <w:tcW w:w="653" w:type="dxa"/>
            <w:tcBorders>
              <w:top w:val="nil"/>
              <w:bottom w:val="nil"/>
              <w:right w:val="nil"/>
            </w:tcBorders>
          </w:tcPr>
          <w:p>
            <w:pPr>
              <w:pStyle w:val="TableParagraph"/>
              <w:spacing w:before="48"/>
              <w:ind w:left="21"/>
              <w:jc w:val="left"/>
              <w:rPr>
                <w:b/>
                <w:sz w:val="19"/>
              </w:rPr>
            </w:pPr>
            <w:r>
              <w:rPr>
                <w:b/>
                <w:sz w:val="19"/>
              </w:rPr>
              <w:t>96</w:t>
            </w:r>
          </w:p>
        </w:tc>
        <w:tc>
          <w:tcPr>
            <w:tcW w:w="1601" w:type="dxa"/>
            <w:tcBorders>
              <w:top w:val="nil"/>
              <w:left w:val="nil"/>
              <w:bottom w:val="nil"/>
              <w:right w:val="nil"/>
            </w:tcBorders>
          </w:tcPr>
          <w:p>
            <w:pPr>
              <w:pStyle w:val="TableParagraph"/>
              <w:spacing w:before="56"/>
              <w:ind w:left="302"/>
              <w:jc w:val="left"/>
              <w:rPr>
                <w:sz w:val="19"/>
              </w:rPr>
            </w:pPr>
            <w:r>
              <w:rPr>
                <w:sz w:val="19"/>
              </w:rPr>
              <w:t>18,51</w:t>
            </w:r>
          </w:p>
        </w:tc>
        <w:tc>
          <w:tcPr>
            <w:tcW w:w="1903" w:type="dxa"/>
            <w:tcBorders>
              <w:top w:val="nil"/>
              <w:left w:val="nil"/>
              <w:bottom w:val="nil"/>
              <w:right w:val="nil"/>
            </w:tcBorders>
          </w:tcPr>
          <w:p>
            <w:pPr>
              <w:pStyle w:val="TableParagraph"/>
              <w:spacing w:before="56"/>
              <w:ind w:left="811"/>
              <w:jc w:val="left"/>
              <w:rPr>
                <w:sz w:val="19"/>
              </w:rPr>
            </w:pPr>
            <w:r>
              <w:rPr>
                <w:sz w:val="19"/>
              </w:rPr>
              <w:t>18,80</w:t>
            </w:r>
          </w:p>
        </w:tc>
        <w:tc>
          <w:tcPr>
            <w:tcW w:w="1812" w:type="dxa"/>
            <w:tcBorders>
              <w:top w:val="nil"/>
              <w:left w:val="nil"/>
              <w:bottom w:val="nil"/>
              <w:right w:val="nil"/>
            </w:tcBorders>
          </w:tcPr>
          <w:p>
            <w:pPr>
              <w:pStyle w:val="TableParagraph"/>
              <w:spacing w:before="56"/>
              <w:ind w:left="604"/>
              <w:jc w:val="left"/>
              <w:rPr>
                <w:sz w:val="19"/>
              </w:rPr>
            </w:pPr>
            <w:r>
              <w:rPr>
                <w:sz w:val="19"/>
              </w:rPr>
              <w:t>19,10</w:t>
            </w:r>
          </w:p>
        </w:tc>
        <w:tc>
          <w:tcPr>
            <w:tcW w:w="2278" w:type="dxa"/>
            <w:tcBorders>
              <w:top w:val="nil"/>
              <w:left w:val="nil"/>
              <w:bottom w:val="nil"/>
            </w:tcBorders>
          </w:tcPr>
          <w:p>
            <w:pPr>
              <w:pStyle w:val="TableParagraph"/>
              <w:spacing w:before="56"/>
              <w:ind w:left="720"/>
              <w:jc w:val="left"/>
              <w:rPr>
                <w:sz w:val="19"/>
              </w:rPr>
            </w:pPr>
            <w:r>
              <w:rPr>
                <w:sz w:val="19"/>
              </w:rPr>
              <w:t>19,31</w:t>
            </w:r>
          </w:p>
        </w:tc>
      </w:tr>
      <w:tr>
        <w:trPr>
          <w:trHeight w:val="341" w:hRule="exact"/>
        </w:trPr>
        <w:tc>
          <w:tcPr>
            <w:tcW w:w="463" w:type="dxa"/>
            <w:vMerge/>
          </w:tcPr>
          <w:p>
            <w:pPr/>
          </w:p>
        </w:tc>
        <w:tc>
          <w:tcPr>
            <w:tcW w:w="463" w:type="dxa"/>
            <w:vMerge/>
          </w:tcPr>
          <w:p>
            <w:pPr/>
          </w:p>
        </w:tc>
        <w:tc>
          <w:tcPr>
            <w:tcW w:w="653" w:type="dxa"/>
            <w:tcBorders>
              <w:top w:val="nil"/>
              <w:bottom w:val="nil"/>
              <w:right w:val="nil"/>
            </w:tcBorders>
          </w:tcPr>
          <w:p>
            <w:pPr>
              <w:pStyle w:val="TableParagraph"/>
              <w:spacing w:before="48"/>
              <w:ind w:left="21"/>
              <w:jc w:val="left"/>
              <w:rPr>
                <w:b/>
                <w:sz w:val="19"/>
              </w:rPr>
            </w:pPr>
            <w:r>
              <w:rPr>
                <w:b/>
                <w:sz w:val="19"/>
              </w:rPr>
              <w:t>120</w:t>
            </w:r>
          </w:p>
        </w:tc>
        <w:tc>
          <w:tcPr>
            <w:tcW w:w="1601" w:type="dxa"/>
            <w:tcBorders>
              <w:top w:val="nil"/>
              <w:left w:val="nil"/>
              <w:bottom w:val="nil"/>
              <w:right w:val="nil"/>
            </w:tcBorders>
          </w:tcPr>
          <w:p>
            <w:pPr>
              <w:pStyle w:val="TableParagraph"/>
              <w:spacing w:before="56"/>
              <w:ind w:left="302"/>
              <w:jc w:val="left"/>
              <w:rPr>
                <w:sz w:val="19"/>
              </w:rPr>
            </w:pPr>
            <w:r>
              <w:rPr>
                <w:sz w:val="19"/>
              </w:rPr>
              <w:t>16,56</w:t>
            </w:r>
          </w:p>
        </w:tc>
        <w:tc>
          <w:tcPr>
            <w:tcW w:w="1903" w:type="dxa"/>
            <w:tcBorders>
              <w:top w:val="nil"/>
              <w:left w:val="nil"/>
              <w:bottom w:val="nil"/>
              <w:right w:val="nil"/>
            </w:tcBorders>
          </w:tcPr>
          <w:p>
            <w:pPr>
              <w:pStyle w:val="TableParagraph"/>
              <w:spacing w:before="56"/>
              <w:ind w:left="811"/>
              <w:jc w:val="left"/>
              <w:rPr>
                <w:sz w:val="19"/>
              </w:rPr>
            </w:pPr>
            <w:r>
              <w:rPr>
                <w:sz w:val="19"/>
              </w:rPr>
              <w:t>16,82</w:t>
            </w:r>
          </w:p>
        </w:tc>
        <w:tc>
          <w:tcPr>
            <w:tcW w:w="1812" w:type="dxa"/>
            <w:tcBorders>
              <w:top w:val="nil"/>
              <w:left w:val="nil"/>
              <w:bottom w:val="nil"/>
              <w:right w:val="nil"/>
            </w:tcBorders>
          </w:tcPr>
          <w:p>
            <w:pPr>
              <w:pStyle w:val="TableParagraph"/>
              <w:spacing w:before="56"/>
              <w:ind w:left="604"/>
              <w:jc w:val="left"/>
              <w:rPr>
                <w:sz w:val="19"/>
              </w:rPr>
            </w:pPr>
            <w:r>
              <w:rPr>
                <w:sz w:val="19"/>
              </w:rPr>
              <w:t>17,09</w:t>
            </w:r>
          </w:p>
        </w:tc>
        <w:tc>
          <w:tcPr>
            <w:tcW w:w="2278" w:type="dxa"/>
            <w:tcBorders>
              <w:top w:val="nil"/>
              <w:left w:val="nil"/>
              <w:bottom w:val="nil"/>
            </w:tcBorders>
          </w:tcPr>
          <w:p>
            <w:pPr>
              <w:pStyle w:val="TableParagraph"/>
              <w:spacing w:before="56"/>
              <w:ind w:left="720"/>
              <w:jc w:val="left"/>
              <w:rPr>
                <w:sz w:val="19"/>
              </w:rPr>
            </w:pPr>
            <w:r>
              <w:rPr>
                <w:sz w:val="19"/>
              </w:rPr>
              <w:t>17,28</w:t>
            </w:r>
          </w:p>
        </w:tc>
      </w:tr>
      <w:tr>
        <w:trPr>
          <w:trHeight w:val="342" w:hRule="exact"/>
        </w:trPr>
        <w:tc>
          <w:tcPr>
            <w:tcW w:w="463" w:type="dxa"/>
            <w:vMerge/>
            <w:tcBorders>
              <w:bottom w:val="nil"/>
            </w:tcBorders>
          </w:tcPr>
          <w:p>
            <w:pPr/>
          </w:p>
        </w:tc>
        <w:tc>
          <w:tcPr>
            <w:tcW w:w="463" w:type="dxa"/>
            <w:vMerge/>
          </w:tcPr>
          <w:p>
            <w:pPr/>
          </w:p>
        </w:tc>
        <w:tc>
          <w:tcPr>
            <w:tcW w:w="653" w:type="dxa"/>
            <w:tcBorders>
              <w:top w:val="nil"/>
              <w:right w:val="nil"/>
            </w:tcBorders>
          </w:tcPr>
          <w:p>
            <w:pPr>
              <w:pStyle w:val="TableParagraph"/>
              <w:spacing w:before="48"/>
              <w:ind w:left="21"/>
              <w:jc w:val="left"/>
              <w:rPr>
                <w:b/>
                <w:sz w:val="19"/>
              </w:rPr>
            </w:pPr>
            <w:r>
              <w:rPr>
                <w:b/>
                <w:sz w:val="19"/>
              </w:rPr>
              <w:t>144</w:t>
            </w:r>
          </w:p>
        </w:tc>
        <w:tc>
          <w:tcPr>
            <w:tcW w:w="1601" w:type="dxa"/>
            <w:tcBorders>
              <w:top w:val="nil"/>
              <w:left w:val="nil"/>
              <w:right w:val="nil"/>
            </w:tcBorders>
          </w:tcPr>
          <w:p>
            <w:pPr>
              <w:pStyle w:val="TableParagraph"/>
              <w:spacing w:before="56"/>
              <w:ind w:left="302"/>
              <w:jc w:val="left"/>
              <w:rPr>
                <w:sz w:val="19"/>
              </w:rPr>
            </w:pPr>
            <w:r>
              <w:rPr>
                <w:sz w:val="19"/>
              </w:rPr>
              <w:t>15,13</w:t>
            </w:r>
          </w:p>
        </w:tc>
        <w:tc>
          <w:tcPr>
            <w:tcW w:w="1903" w:type="dxa"/>
            <w:tcBorders>
              <w:top w:val="nil"/>
              <w:left w:val="nil"/>
              <w:right w:val="nil"/>
            </w:tcBorders>
          </w:tcPr>
          <w:p>
            <w:pPr>
              <w:pStyle w:val="TableParagraph"/>
              <w:spacing w:before="56"/>
              <w:ind w:left="811"/>
              <w:jc w:val="left"/>
              <w:rPr>
                <w:sz w:val="19"/>
              </w:rPr>
            </w:pPr>
            <w:r>
              <w:rPr>
                <w:sz w:val="19"/>
              </w:rPr>
              <w:t>15,36</w:t>
            </w:r>
          </w:p>
        </w:tc>
        <w:tc>
          <w:tcPr>
            <w:tcW w:w="1812" w:type="dxa"/>
            <w:tcBorders>
              <w:top w:val="nil"/>
              <w:left w:val="nil"/>
              <w:right w:val="nil"/>
            </w:tcBorders>
          </w:tcPr>
          <w:p>
            <w:pPr>
              <w:pStyle w:val="TableParagraph"/>
              <w:spacing w:before="56"/>
              <w:ind w:left="604"/>
              <w:jc w:val="left"/>
              <w:rPr>
                <w:sz w:val="19"/>
              </w:rPr>
            </w:pPr>
            <w:r>
              <w:rPr>
                <w:sz w:val="19"/>
              </w:rPr>
              <w:t>15,60</w:t>
            </w:r>
          </w:p>
        </w:tc>
        <w:tc>
          <w:tcPr>
            <w:tcW w:w="2278" w:type="dxa"/>
            <w:tcBorders>
              <w:top w:val="nil"/>
              <w:left w:val="nil"/>
            </w:tcBorders>
          </w:tcPr>
          <w:p>
            <w:pPr>
              <w:pStyle w:val="TableParagraph"/>
              <w:spacing w:before="56"/>
              <w:ind w:left="720"/>
              <w:jc w:val="left"/>
              <w:rPr>
                <w:sz w:val="19"/>
              </w:rPr>
            </w:pPr>
            <w:r>
              <w:rPr>
                <w:sz w:val="19"/>
              </w:rPr>
              <w:t>15,78</w:t>
            </w:r>
          </w:p>
        </w:tc>
      </w:tr>
      <w:tr>
        <w:trPr>
          <w:trHeight w:val="350" w:hRule="exact"/>
        </w:trPr>
        <w:tc>
          <w:tcPr>
            <w:tcW w:w="9173" w:type="dxa"/>
            <w:gridSpan w:val="7"/>
            <w:tcBorders>
              <w:top w:val="nil"/>
              <w:bottom w:val="nil"/>
            </w:tcBorders>
          </w:tcPr>
          <w:p>
            <w:pPr>
              <w:pStyle w:val="TableParagraph"/>
              <w:spacing w:line="136" w:lineRule="exact" w:before="0"/>
              <w:ind w:left="26"/>
              <w:jc w:val="left"/>
              <w:rPr>
                <w:sz w:val="19"/>
              </w:rPr>
            </w:pPr>
            <w:r>
              <w:rPr>
                <w:w w:val="101"/>
                <w:sz w:val="19"/>
              </w:rPr>
              <w:t>E</w:t>
            </w:r>
          </w:p>
          <w:p>
            <w:pPr>
              <w:pStyle w:val="TableParagraph"/>
              <w:spacing w:line="189" w:lineRule="exact" w:before="64"/>
              <w:ind w:left="26"/>
              <w:jc w:val="left"/>
              <w:rPr>
                <w:sz w:val="19"/>
              </w:rPr>
            </w:pPr>
            <w:r>
              <w:rPr>
                <w:w w:val="101"/>
                <w:sz w:val="19"/>
              </w:rPr>
              <w:t>N</w:t>
            </w:r>
          </w:p>
        </w:tc>
      </w:tr>
      <w:tr>
        <w:trPr>
          <w:trHeight w:val="350" w:hRule="exact"/>
        </w:trPr>
        <w:tc>
          <w:tcPr>
            <w:tcW w:w="463" w:type="dxa"/>
            <w:vMerge w:val="restart"/>
            <w:tcBorders>
              <w:top w:val="nil"/>
            </w:tcBorders>
          </w:tcPr>
          <w:p>
            <w:pPr>
              <w:pStyle w:val="TableParagraph"/>
              <w:spacing w:line="312" w:lineRule="auto" w:before="131"/>
              <w:ind w:left="26" w:right="270"/>
              <w:jc w:val="left"/>
              <w:rPr>
                <w:sz w:val="19"/>
              </w:rPr>
            </w:pPr>
            <w:r>
              <w:rPr>
                <w:sz w:val="19"/>
              </w:rPr>
              <w:t>C I A</w:t>
            </w:r>
          </w:p>
        </w:tc>
        <w:tc>
          <w:tcPr>
            <w:tcW w:w="8710" w:type="dxa"/>
            <w:gridSpan w:val="6"/>
            <w:tcBorders>
              <w:bottom w:val="nil"/>
            </w:tcBorders>
          </w:tcPr>
          <w:p>
            <w:pPr>
              <w:pStyle w:val="TableParagraph"/>
              <w:spacing w:before="59"/>
              <w:ind w:left="1413"/>
              <w:jc w:val="left"/>
              <w:rPr>
                <w:sz w:val="19"/>
              </w:rPr>
            </w:pPr>
            <w:r>
              <w:rPr>
                <w:sz w:val="19"/>
              </w:rPr>
              <w:t>RETORNOS:  MUJERES,  ATLANTA (PINTURA)</w:t>
            </w:r>
          </w:p>
        </w:tc>
      </w:tr>
      <w:tr>
        <w:trPr>
          <w:trHeight w:val="350" w:hRule="exact"/>
        </w:trPr>
        <w:tc>
          <w:tcPr>
            <w:tcW w:w="463" w:type="dxa"/>
            <w:vMerge/>
          </w:tcPr>
          <w:p>
            <w:pPr/>
          </w:p>
        </w:tc>
        <w:tc>
          <w:tcPr>
            <w:tcW w:w="463" w:type="dxa"/>
            <w:vMerge w:val="restart"/>
            <w:tcBorders>
              <w:top w:val="nil"/>
            </w:tcBorders>
          </w:tcPr>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line="309" w:lineRule="auto" w:before="134"/>
              <w:ind w:left="23" w:right="266"/>
              <w:jc w:val="both"/>
              <w:rPr>
                <w:sz w:val="19"/>
              </w:rPr>
            </w:pPr>
            <w:r>
              <w:rPr>
                <w:sz w:val="19"/>
              </w:rPr>
              <w:t>M E S E S</w:t>
            </w:r>
          </w:p>
        </w:tc>
        <w:tc>
          <w:tcPr>
            <w:tcW w:w="8246" w:type="dxa"/>
            <w:gridSpan w:val="5"/>
          </w:tcPr>
          <w:p>
            <w:pPr>
              <w:pStyle w:val="TableParagraph"/>
              <w:spacing w:before="59"/>
              <w:ind w:left="3765" w:right="2846"/>
              <w:jc w:val="center"/>
              <w:rPr>
                <w:sz w:val="19"/>
              </w:rPr>
            </w:pPr>
            <w:r>
              <w:rPr>
                <w:sz w:val="19"/>
              </w:rPr>
              <w:t>Escolaridad (años)</w:t>
            </w:r>
          </w:p>
        </w:tc>
      </w:tr>
      <w:tr>
        <w:trPr>
          <w:trHeight w:val="345" w:hRule="exact"/>
        </w:trPr>
        <w:tc>
          <w:tcPr>
            <w:tcW w:w="463" w:type="dxa"/>
            <w:vMerge/>
          </w:tcPr>
          <w:p>
            <w:pPr/>
          </w:p>
        </w:tc>
        <w:tc>
          <w:tcPr>
            <w:tcW w:w="463" w:type="dxa"/>
            <w:vMerge/>
          </w:tcPr>
          <w:p>
            <w:pPr/>
          </w:p>
        </w:tc>
        <w:tc>
          <w:tcPr>
            <w:tcW w:w="653" w:type="dxa"/>
            <w:tcBorders>
              <w:bottom w:val="nil"/>
              <w:right w:val="nil"/>
            </w:tcBorders>
          </w:tcPr>
          <w:p>
            <w:pPr/>
          </w:p>
        </w:tc>
        <w:tc>
          <w:tcPr>
            <w:tcW w:w="1601" w:type="dxa"/>
            <w:tcBorders>
              <w:left w:val="nil"/>
              <w:bottom w:val="nil"/>
              <w:right w:val="nil"/>
            </w:tcBorders>
          </w:tcPr>
          <w:p>
            <w:pPr>
              <w:pStyle w:val="TableParagraph"/>
              <w:spacing w:before="52"/>
              <w:ind w:left="302"/>
              <w:jc w:val="left"/>
              <w:rPr>
                <w:b/>
                <w:sz w:val="19"/>
              </w:rPr>
            </w:pPr>
            <w:r>
              <w:rPr>
                <w:b/>
                <w:w w:val="101"/>
                <w:sz w:val="19"/>
              </w:rPr>
              <w:t>4</w:t>
            </w:r>
          </w:p>
        </w:tc>
        <w:tc>
          <w:tcPr>
            <w:tcW w:w="1903" w:type="dxa"/>
            <w:tcBorders>
              <w:left w:val="nil"/>
              <w:bottom w:val="nil"/>
              <w:right w:val="nil"/>
            </w:tcBorders>
          </w:tcPr>
          <w:p>
            <w:pPr>
              <w:pStyle w:val="TableParagraph"/>
              <w:spacing w:before="52"/>
              <w:ind w:left="811"/>
              <w:jc w:val="left"/>
              <w:rPr>
                <w:b/>
                <w:sz w:val="19"/>
              </w:rPr>
            </w:pPr>
            <w:r>
              <w:rPr>
                <w:b/>
                <w:w w:val="101"/>
                <w:sz w:val="19"/>
              </w:rPr>
              <w:t>6</w:t>
            </w:r>
          </w:p>
        </w:tc>
        <w:tc>
          <w:tcPr>
            <w:tcW w:w="1812" w:type="dxa"/>
            <w:tcBorders>
              <w:left w:val="nil"/>
              <w:bottom w:val="nil"/>
              <w:right w:val="nil"/>
            </w:tcBorders>
          </w:tcPr>
          <w:p>
            <w:pPr>
              <w:pStyle w:val="TableParagraph"/>
              <w:spacing w:before="52"/>
              <w:ind w:left="604"/>
              <w:jc w:val="left"/>
              <w:rPr>
                <w:b/>
                <w:sz w:val="19"/>
              </w:rPr>
            </w:pPr>
            <w:r>
              <w:rPr>
                <w:b/>
                <w:w w:val="101"/>
                <w:sz w:val="19"/>
              </w:rPr>
              <w:t>9</w:t>
            </w:r>
          </w:p>
        </w:tc>
        <w:tc>
          <w:tcPr>
            <w:tcW w:w="2278" w:type="dxa"/>
            <w:tcBorders>
              <w:left w:val="nil"/>
              <w:bottom w:val="nil"/>
            </w:tcBorders>
          </w:tcPr>
          <w:p>
            <w:pPr>
              <w:pStyle w:val="TableParagraph"/>
              <w:spacing w:before="52"/>
              <w:ind w:left="720"/>
              <w:jc w:val="left"/>
              <w:rPr>
                <w:b/>
                <w:sz w:val="19"/>
              </w:rPr>
            </w:pPr>
            <w:r>
              <w:rPr>
                <w:b/>
                <w:sz w:val="19"/>
              </w:rPr>
              <w:t>12</w:t>
            </w:r>
          </w:p>
        </w:tc>
      </w:tr>
      <w:tr>
        <w:trPr>
          <w:trHeight w:val="343" w:hRule="exact"/>
        </w:trPr>
        <w:tc>
          <w:tcPr>
            <w:tcW w:w="463" w:type="dxa"/>
            <w:vMerge/>
          </w:tcPr>
          <w:p>
            <w:pPr/>
          </w:p>
        </w:tc>
        <w:tc>
          <w:tcPr>
            <w:tcW w:w="463" w:type="dxa"/>
            <w:vMerge/>
          </w:tcPr>
          <w:p>
            <w:pPr/>
          </w:p>
        </w:tc>
        <w:tc>
          <w:tcPr>
            <w:tcW w:w="653" w:type="dxa"/>
            <w:tcBorders>
              <w:top w:val="nil"/>
              <w:bottom w:val="nil"/>
              <w:right w:val="nil"/>
            </w:tcBorders>
          </w:tcPr>
          <w:p>
            <w:pPr>
              <w:pStyle w:val="TableParagraph"/>
              <w:spacing w:before="52"/>
              <w:ind w:left="21"/>
              <w:jc w:val="left"/>
              <w:rPr>
                <w:b/>
                <w:sz w:val="19"/>
              </w:rPr>
            </w:pPr>
            <w:r>
              <w:rPr>
                <w:b/>
                <w:sz w:val="19"/>
              </w:rPr>
              <w:t>24</w:t>
            </w:r>
          </w:p>
        </w:tc>
        <w:tc>
          <w:tcPr>
            <w:tcW w:w="1601" w:type="dxa"/>
            <w:tcBorders>
              <w:top w:val="nil"/>
              <w:left w:val="nil"/>
              <w:bottom w:val="nil"/>
              <w:right w:val="nil"/>
            </w:tcBorders>
          </w:tcPr>
          <w:p>
            <w:pPr>
              <w:pStyle w:val="TableParagraph"/>
              <w:spacing w:before="59"/>
              <w:ind w:left="302"/>
              <w:jc w:val="left"/>
              <w:rPr>
                <w:sz w:val="19"/>
              </w:rPr>
            </w:pPr>
            <w:r>
              <w:rPr>
                <w:sz w:val="19"/>
              </w:rPr>
              <w:t>31,91</w:t>
            </w:r>
          </w:p>
        </w:tc>
        <w:tc>
          <w:tcPr>
            <w:tcW w:w="1903" w:type="dxa"/>
            <w:tcBorders>
              <w:top w:val="nil"/>
              <w:left w:val="nil"/>
              <w:bottom w:val="nil"/>
              <w:right w:val="nil"/>
            </w:tcBorders>
          </w:tcPr>
          <w:p>
            <w:pPr>
              <w:pStyle w:val="TableParagraph"/>
              <w:spacing w:before="59"/>
              <w:ind w:left="811"/>
              <w:jc w:val="left"/>
              <w:rPr>
                <w:sz w:val="19"/>
              </w:rPr>
            </w:pPr>
            <w:r>
              <w:rPr>
                <w:sz w:val="19"/>
              </w:rPr>
              <w:t>32,36</w:t>
            </w:r>
          </w:p>
        </w:tc>
        <w:tc>
          <w:tcPr>
            <w:tcW w:w="1812" w:type="dxa"/>
            <w:tcBorders>
              <w:top w:val="nil"/>
              <w:left w:val="nil"/>
              <w:bottom w:val="nil"/>
              <w:right w:val="nil"/>
            </w:tcBorders>
          </w:tcPr>
          <w:p>
            <w:pPr>
              <w:pStyle w:val="TableParagraph"/>
              <w:spacing w:before="59"/>
              <w:ind w:left="604"/>
              <w:jc w:val="left"/>
              <w:rPr>
                <w:sz w:val="19"/>
              </w:rPr>
            </w:pPr>
            <w:r>
              <w:rPr>
                <w:sz w:val="19"/>
              </w:rPr>
              <w:t>32,82</w:t>
            </w:r>
          </w:p>
        </w:tc>
        <w:tc>
          <w:tcPr>
            <w:tcW w:w="2278" w:type="dxa"/>
            <w:tcBorders>
              <w:top w:val="nil"/>
              <w:left w:val="nil"/>
              <w:bottom w:val="nil"/>
            </w:tcBorders>
          </w:tcPr>
          <w:p>
            <w:pPr>
              <w:pStyle w:val="TableParagraph"/>
              <w:spacing w:before="59"/>
              <w:ind w:left="720"/>
              <w:jc w:val="left"/>
              <w:rPr>
                <w:sz w:val="19"/>
              </w:rPr>
            </w:pPr>
            <w:r>
              <w:rPr>
                <w:sz w:val="19"/>
              </w:rPr>
              <w:t>33,16</w:t>
            </w:r>
          </w:p>
        </w:tc>
      </w:tr>
      <w:tr>
        <w:trPr>
          <w:trHeight w:val="341" w:hRule="exact"/>
        </w:trPr>
        <w:tc>
          <w:tcPr>
            <w:tcW w:w="463" w:type="dxa"/>
            <w:vMerge/>
          </w:tcPr>
          <w:p>
            <w:pPr/>
          </w:p>
        </w:tc>
        <w:tc>
          <w:tcPr>
            <w:tcW w:w="463" w:type="dxa"/>
            <w:vMerge/>
          </w:tcPr>
          <w:p>
            <w:pPr/>
          </w:p>
        </w:tc>
        <w:tc>
          <w:tcPr>
            <w:tcW w:w="653" w:type="dxa"/>
            <w:tcBorders>
              <w:top w:val="nil"/>
              <w:bottom w:val="nil"/>
              <w:right w:val="nil"/>
            </w:tcBorders>
          </w:tcPr>
          <w:p>
            <w:pPr>
              <w:pStyle w:val="TableParagraph"/>
              <w:spacing w:before="47"/>
              <w:ind w:left="21"/>
              <w:jc w:val="left"/>
              <w:rPr>
                <w:b/>
                <w:sz w:val="19"/>
              </w:rPr>
            </w:pPr>
            <w:r>
              <w:rPr>
                <w:b/>
                <w:sz w:val="19"/>
              </w:rPr>
              <w:t>48</w:t>
            </w:r>
          </w:p>
        </w:tc>
        <w:tc>
          <w:tcPr>
            <w:tcW w:w="1601" w:type="dxa"/>
            <w:tcBorders>
              <w:top w:val="nil"/>
              <w:left w:val="nil"/>
              <w:bottom w:val="nil"/>
              <w:right w:val="nil"/>
            </w:tcBorders>
          </w:tcPr>
          <w:p>
            <w:pPr>
              <w:pStyle w:val="TableParagraph"/>
              <w:spacing w:before="54"/>
              <w:ind w:left="302"/>
              <w:jc w:val="left"/>
              <w:rPr>
                <w:sz w:val="19"/>
              </w:rPr>
            </w:pPr>
            <w:r>
              <w:rPr>
                <w:sz w:val="19"/>
              </w:rPr>
              <w:t>31,10</w:t>
            </w:r>
          </w:p>
        </w:tc>
        <w:tc>
          <w:tcPr>
            <w:tcW w:w="1903" w:type="dxa"/>
            <w:tcBorders>
              <w:top w:val="nil"/>
              <w:left w:val="nil"/>
              <w:bottom w:val="nil"/>
              <w:right w:val="nil"/>
            </w:tcBorders>
          </w:tcPr>
          <w:p>
            <w:pPr>
              <w:pStyle w:val="TableParagraph"/>
              <w:spacing w:before="54"/>
              <w:ind w:left="811"/>
              <w:jc w:val="left"/>
              <w:rPr>
                <w:sz w:val="19"/>
              </w:rPr>
            </w:pPr>
            <w:r>
              <w:rPr>
                <w:sz w:val="19"/>
              </w:rPr>
              <w:t>31,56</w:t>
            </w:r>
          </w:p>
        </w:tc>
        <w:tc>
          <w:tcPr>
            <w:tcW w:w="1812" w:type="dxa"/>
            <w:tcBorders>
              <w:top w:val="nil"/>
              <w:left w:val="nil"/>
              <w:bottom w:val="nil"/>
              <w:right w:val="nil"/>
            </w:tcBorders>
          </w:tcPr>
          <w:p>
            <w:pPr>
              <w:pStyle w:val="TableParagraph"/>
              <w:spacing w:before="54"/>
              <w:ind w:left="604"/>
              <w:jc w:val="left"/>
              <w:rPr>
                <w:sz w:val="19"/>
              </w:rPr>
            </w:pPr>
            <w:r>
              <w:rPr>
                <w:sz w:val="19"/>
              </w:rPr>
              <w:t>32,02</w:t>
            </w:r>
          </w:p>
        </w:tc>
        <w:tc>
          <w:tcPr>
            <w:tcW w:w="2278" w:type="dxa"/>
            <w:tcBorders>
              <w:top w:val="nil"/>
              <w:left w:val="nil"/>
              <w:bottom w:val="nil"/>
            </w:tcBorders>
          </w:tcPr>
          <w:p>
            <w:pPr>
              <w:pStyle w:val="TableParagraph"/>
              <w:spacing w:before="54"/>
              <w:ind w:left="720"/>
              <w:jc w:val="left"/>
              <w:rPr>
                <w:sz w:val="19"/>
              </w:rPr>
            </w:pPr>
            <w:r>
              <w:rPr>
                <w:sz w:val="19"/>
              </w:rPr>
              <w:t>32,36</w:t>
            </w:r>
          </w:p>
        </w:tc>
      </w:tr>
      <w:tr>
        <w:trPr>
          <w:trHeight w:val="341" w:hRule="exact"/>
        </w:trPr>
        <w:tc>
          <w:tcPr>
            <w:tcW w:w="463" w:type="dxa"/>
            <w:vMerge/>
          </w:tcPr>
          <w:p>
            <w:pPr/>
          </w:p>
        </w:tc>
        <w:tc>
          <w:tcPr>
            <w:tcW w:w="463" w:type="dxa"/>
            <w:vMerge/>
          </w:tcPr>
          <w:p>
            <w:pPr/>
          </w:p>
        </w:tc>
        <w:tc>
          <w:tcPr>
            <w:tcW w:w="653" w:type="dxa"/>
            <w:tcBorders>
              <w:top w:val="nil"/>
              <w:bottom w:val="nil"/>
              <w:right w:val="nil"/>
            </w:tcBorders>
          </w:tcPr>
          <w:p>
            <w:pPr>
              <w:pStyle w:val="TableParagraph"/>
              <w:spacing w:before="50"/>
              <w:ind w:left="21"/>
              <w:jc w:val="left"/>
              <w:rPr>
                <w:b/>
                <w:sz w:val="19"/>
              </w:rPr>
            </w:pPr>
            <w:r>
              <w:rPr>
                <w:b/>
                <w:sz w:val="19"/>
              </w:rPr>
              <w:t>96</w:t>
            </w:r>
          </w:p>
        </w:tc>
        <w:tc>
          <w:tcPr>
            <w:tcW w:w="1601" w:type="dxa"/>
            <w:tcBorders>
              <w:top w:val="nil"/>
              <w:left w:val="nil"/>
              <w:bottom w:val="nil"/>
              <w:right w:val="nil"/>
            </w:tcBorders>
          </w:tcPr>
          <w:p>
            <w:pPr>
              <w:pStyle w:val="TableParagraph"/>
              <w:spacing w:before="54"/>
              <w:ind w:left="302"/>
              <w:jc w:val="left"/>
              <w:rPr>
                <w:sz w:val="19"/>
              </w:rPr>
            </w:pPr>
            <w:r>
              <w:rPr>
                <w:sz w:val="19"/>
              </w:rPr>
              <w:t>30,54</w:t>
            </w:r>
          </w:p>
        </w:tc>
        <w:tc>
          <w:tcPr>
            <w:tcW w:w="1903" w:type="dxa"/>
            <w:tcBorders>
              <w:top w:val="nil"/>
              <w:left w:val="nil"/>
              <w:bottom w:val="nil"/>
              <w:right w:val="nil"/>
            </w:tcBorders>
          </w:tcPr>
          <w:p>
            <w:pPr>
              <w:pStyle w:val="TableParagraph"/>
              <w:spacing w:before="54"/>
              <w:ind w:left="811"/>
              <w:jc w:val="left"/>
              <w:rPr>
                <w:sz w:val="19"/>
              </w:rPr>
            </w:pPr>
            <w:r>
              <w:rPr>
                <w:sz w:val="19"/>
              </w:rPr>
              <w:t>30,99</w:t>
            </w:r>
          </w:p>
        </w:tc>
        <w:tc>
          <w:tcPr>
            <w:tcW w:w="1812" w:type="dxa"/>
            <w:tcBorders>
              <w:top w:val="nil"/>
              <w:left w:val="nil"/>
              <w:bottom w:val="nil"/>
              <w:right w:val="nil"/>
            </w:tcBorders>
          </w:tcPr>
          <w:p>
            <w:pPr>
              <w:pStyle w:val="TableParagraph"/>
              <w:spacing w:before="54"/>
              <w:ind w:left="604"/>
              <w:jc w:val="left"/>
              <w:rPr>
                <w:sz w:val="19"/>
              </w:rPr>
            </w:pPr>
            <w:r>
              <w:rPr>
                <w:sz w:val="19"/>
              </w:rPr>
              <w:t>31,46</w:t>
            </w:r>
          </w:p>
        </w:tc>
        <w:tc>
          <w:tcPr>
            <w:tcW w:w="2278" w:type="dxa"/>
            <w:tcBorders>
              <w:top w:val="nil"/>
              <w:left w:val="nil"/>
              <w:bottom w:val="nil"/>
            </w:tcBorders>
          </w:tcPr>
          <w:p>
            <w:pPr>
              <w:pStyle w:val="TableParagraph"/>
              <w:spacing w:before="54"/>
              <w:ind w:left="720"/>
              <w:jc w:val="left"/>
              <w:rPr>
                <w:sz w:val="19"/>
              </w:rPr>
            </w:pPr>
            <w:r>
              <w:rPr>
                <w:sz w:val="19"/>
              </w:rPr>
              <w:t>31,79</w:t>
            </w:r>
          </w:p>
        </w:tc>
      </w:tr>
      <w:tr>
        <w:trPr>
          <w:trHeight w:val="342" w:hRule="exact"/>
        </w:trPr>
        <w:tc>
          <w:tcPr>
            <w:tcW w:w="463" w:type="dxa"/>
            <w:vMerge/>
          </w:tcPr>
          <w:p>
            <w:pPr/>
          </w:p>
        </w:tc>
        <w:tc>
          <w:tcPr>
            <w:tcW w:w="463" w:type="dxa"/>
            <w:vMerge/>
          </w:tcPr>
          <w:p>
            <w:pPr/>
          </w:p>
        </w:tc>
        <w:tc>
          <w:tcPr>
            <w:tcW w:w="653" w:type="dxa"/>
            <w:tcBorders>
              <w:top w:val="nil"/>
              <w:bottom w:val="nil"/>
              <w:right w:val="nil"/>
            </w:tcBorders>
          </w:tcPr>
          <w:p>
            <w:pPr>
              <w:pStyle w:val="TableParagraph"/>
              <w:spacing w:before="50"/>
              <w:ind w:left="21"/>
              <w:jc w:val="left"/>
              <w:rPr>
                <w:b/>
                <w:sz w:val="19"/>
              </w:rPr>
            </w:pPr>
            <w:r>
              <w:rPr>
                <w:b/>
                <w:sz w:val="19"/>
              </w:rPr>
              <w:t>120</w:t>
            </w:r>
          </w:p>
        </w:tc>
        <w:tc>
          <w:tcPr>
            <w:tcW w:w="1601" w:type="dxa"/>
            <w:tcBorders>
              <w:top w:val="nil"/>
              <w:left w:val="nil"/>
              <w:bottom w:val="nil"/>
              <w:right w:val="nil"/>
            </w:tcBorders>
          </w:tcPr>
          <w:p>
            <w:pPr>
              <w:pStyle w:val="TableParagraph"/>
              <w:spacing w:before="57"/>
              <w:ind w:left="302"/>
              <w:jc w:val="left"/>
              <w:rPr>
                <w:sz w:val="19"/>
              </w:rPr>
            </w:pPr>
            <w:r>
              <w:rPr>
                <w:sz w:val="19"/>
              </w:rPr>
              <w:t>30,39</w:t>
            </w:r>
          </w:p>
        </w:tc>
        <w:tc>
          <w:tcPr>
            <w:tcW w:w="1903" w:type="dxa"/>
            <w:tcBorders>
              <w:top w:val="nil"/>
              <w:left w:val="nil"/>
              <w:bottom w:val="nil"/>
              <w:right w:val="nil"/>
            </w:tcBorders>
          </w:tcPr>
          <w:p>
            <w:pPr>
              <w:pStyle w:val="TableParagraph"/>
              <w:spacing w:before="57"/>
              <w:ind w:left="811"/>
              <w:jc w:val="left"/>
              <w:rPr>
                <w:sz w:val="19"/>
              </w:rPr>
            </w:pPr>
            <w:r>
              <w:rPr>
                <w:sz w:val="19"/>
              </w:rPr>
              <w:t>30,85</w:t>
            </w:r>
          </w:p>
        </w:tc>
        <w:tc>
          <w:tcPr>
            <w:tcW w:w="1812" w:type="dxa"/>
            <w:tcBorders>
              <w:top w:val="nil"/>
              <w:left w:val="nil"/>
              <w:bottom w:val="nil"/>
              <w:right w:val="nil"/>
            </w:tcBorders>
          </w:tcPr>
          <w:p>
            <w:pPr>
              <w:pStyle w:val="TableParagraph"/>
              <w:spacing w:before="57"/>
              <w:ind w:left="604"/>
              <w:jc w:val="left"/>
              <w:rPr>
                <w:sz w:val="19"/>
              </w:rPr>
            </w:pPr>
            <w:r>
              <w:rPr>
                <w:sz w:val="19"/>
              </w:rPr>
              <w:t>31,31</w:t>
            </w:r>
          </w:p>
        </w:tc>
        <w:tc>
          <w:tcPr>
            <w:tcW w:w="2278" w:type="dxa"/>
            <w:tcBorders>
              <w:top w:val="nil"/>
              <w:left w:val="nil"/>
              <w:bottom w:val="nil"/>
            </w:tcBorders>
          </w:tcPr>
          <w:p>
            <w:pPr>
              <w:pStyle w:val="TableParagraph"/>
              <w:spacing w:before="57"/>
              <w:ind w:left="720"/>
              <w:jc w:val="left"/>
              <w:rPr>
                <w:sz w:val="19"/>
              </w:rPr>
            </w:pPr>
            <w:r>
              <w:rPr>
                <w:sz w:val="19"/>
              </w:rPr>
              <w:t>31,64</w:t>
            </w:r>
          </w:p>
        </w:tc>
      </w:tr>
      <w:tr>
        <w:trPr>
          <w:trHeight w:val="341" w:hRule="exact"/>
        </w:trPr>
        <w:tc>
          <w:tcPr>
            <w:tcW w:w="463" w:type="dxa"/>
            <w:vMerge/>
            <w:tcBorders>
              <w:bottom w:val="single" w:sz="3" w:space="0" w:color="000000"/>
            </w:tcBorders>
          </w:tcPr>
          <w:p>
            <w:pPr/>
          </w:p>
        </w:tc>
        <w:tc>
          <w:tcPr>
            <w:tcW w:w="463" w:type="dxa"/>
            <w:vMerge/>
            <w:tcBorders>
              <w:bottom w:val="single" w:sz="3" w:space="0" w:color="000000"/>
            </w:tcBorders>
          </w:tcPr>
          <w:p>
            <w:pPr/>
          </w:p>
        </w:tc>
        <w:tc>
          <w:tcPr>
            <w:tcW w:w="653" w:type="dxa"/>
            <w:tcBorders>
              <w:top w:val="nil"/>
              <w:bottom w:val="single" w:sz="3" w:space="0" w:color="000000"/>
              <w:right w:val="nil"/>
            </w:tcBorders>
          </w:tcPr>
          <w:p>
            <w:pPr>
              <w:pStyle w:val="TableParagraph"/>
              <w:spacing w:before="48"/>
              <w:ind w:left="21"/>
              <w:jc w:val="left"/>
              <w:rPr>
                <w:b/>
                <w:sz w:val="19"/>
              </w:rPr>
            </w:pPr>
            <w:r>
              <w:rPr>
                <w:b/>
                <w:sz w:val="19"/>
              </w:rPr>
              <w:t>144</w:t>
            </w:r>
          </w:p>
        </w:tc>
        <w:tc>
          <w:tcPr>
            <w:tcW w:w="1601" w:type="dxa"/>
            <w:tcBorders>
              <w:top w:val="nil"/>
              <w:left w:val="nil"/>
              <w:bottom w:val="single" w:sz="3" w:space="0" w:color="000000"/>
              <w:right w:val="nil"/>
            </w:tcBorders>
          </w:tcPr>
          <w:p>
            <w:pPr>
              <w:pStyle w:val="TableParagraph"/>
              <w:spacing w:before="56"/>
              <w:ind w:left="302"/>
              <w:jc w:val="left"/>
              <w:rPr>
                <w:sz w:val="19"/>
              </w:rPr>
            </w:pPr>
            <w:r>
              <w:rPr>
                <w:sz w:val="19"/>
              </w:rPr>
              <w:t>30,28</w:t>
            </w:r>
          </w:p>
        </w:tc>
        <w:tc>
          <w:tcPr>
            <w:tcW w:w="1903" w:type="dxa"/>
            <w:tcBorders>
              <w:top w:val="nil"/>
              <w:left w:val="nil"/>
              <w:bottom w:val="single" w:sz="3" w:space="0" w:color="000000"/>
              <w:right w:val="nil"/>
            </w:tcBorders>
          </w:tcPr>
          <w:p>
            <w:pPr>
              <w:pStyle w:val="TableParagraph"/>
              <w:spacing w:before="56"/>
              <w:ind w:left="811"/>
              <w:jc w:val="left"/>
              <w:rPr>
                <w:sz w:val="19"/>
              </w:rPr>
            </w:pPr>
            <w:r>
              <w:rPr>
                <w:sz w:val="19"/>
              </w:rPr>
              <w:t>30,74</w:t>
            </w:r>
          </w:p>
        </w:tc>
        <w:tc>
          <w:tcPr>
            <w:tcW w:w="1812" w:type="dxa"/>
            <w:tcBorders>
              <w:top w:val="nil"/>
              <w:left w:val="nil"/>
              <w:bottom w:val="single" w:sz="3" w:space="0" w:color="000000"/>
              <w:right w:val="nil"/>
            </w:tcBorders>
          </w:tcPr>
          <w:p>
            <w:pPr>
              <w:pStyle w:val="TableParagraph"/>
              <w:spacing w:before="56"/>
              <w:ind w:left="604"/>
              <w:jc w:val="left"/>
              <w:rPr>
                <w:sz w:val="19"/>
              </w:rPr>
            </w:pPr>
            <w:r>
              <w:rPr>
                <w:sz w:val="19"/>
              </w:rPr>
              <w:t>31,20</w:t>
            </w:r>
          </w:p>
        </w:tc>
        <w:tc>
          <w:tcPr>
            <w:tcW w:w="2278" w:type="dxa"/>
            <w:tcBorders>
              <w:top w:val="nil"/>
              <w:left w:val="nil"/>
              <w:bottom w:val="single" w:sz="3" w:space="0" w:color="000000"/>
            </w:tcBorders>
          </w:tcPr>
          <w:p>
            <w:pPr>
              <w:pStyle w:val="TableParagraph"/>
              <w:spacing w:before="56"/>
              <w:ind w:left="720"/>
              <w:jc w:val="left"/>
              <w:rPr>
                <w:sz w:val="19"/>
              </w:rPr>
            </w:pPr>
            <w:r>
              <w:rPr>
                <w:sz w:val="19"/>
              </w:rPr>
              <w:t>31,54</w:t>
            </w:r>
          </w:p>
        </w:tc>
      </w:tr>
      <w:tr>
        <w:trPr>
          <w:trHeight w:val="350" w:hRule="exact"/>
        </w:trPr>
        <w:tc>
          <w:tcPr>
            <w:tcW w:w="9173" w:type="dxa"/>
            <w:gridSpan w:val="7"/>
            <w:tcBorders>
              <w:top w:val="single" w:sz="3" w:space="0" w:color="000000"/>
              <w:bottom w:val="nil"/>
            </w:tcBorders>
          </w:tcPr>
          <w:p>
            <w:pPr/>
          </w:p>
        </w:tc>
      </w:tr>
      <w:tr>
        <w:trPr>
          <w:trHeight w:val="350" w:hRule="exact"/>
        </w:trPr>
        <w:tc>
          <w:tcPr>
            <w:tcW w:w="463" w:type="dxa"/>
            <w:vMerge w:val="restart"/>
            <w:tcBorders>
              <w:top w:val="nil"/>
            </w:tcBorders>
          </w:tcPr>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line="309" w:lineRule="auto" w:before="149"/>
              <w:ind w:left="26" w:right="285"/>
              <w:jc w:val="both"/>
              <w:rPr>
                <w:sz w:val="19"/>
              </w:rPr>
            </w:pPr>
            <w:r>
              <w:rPr>
                <w:sz w:val="19"/>
              </w:rPr>
              <w:t>E X P E R I</w:t>
            </w:r>
          </w:p>
          <w:p>
            <w:pPr>
              <w:pStyle w:val="TableParagraph"/>
              <w:spacing w:line="171" w:lineRule="exact" w:before="0"/>
              <w:ind w:left="26"/>
              <w:jc w:val="both"/>
              <w:rPr>
                <w:sz w:val="19"/>
              </w:rPr>
            </w:pPr>
            <w:r>
              <w:rPr>
                <w:w w:val="101"/>
                <w:sz w:val="19"/>
              </w:rPr>
              <w:t>E</w:t>
            </w:r>
          </w:p>
        </w:tc>
        <w:tc>
          <w:tcPr>
            <w:tcW w:w="8710" w:type="dxa"/>
            <w:gridSpan w:val="6"/>
            <w:tcBorders>
              <w:top w:val="single" w:sz="3" w:space="0" w:color="000000"/>
              <w:bottom w:val="nil"/>
            </w:tcBorders>
          </w:tcPr>
          <w:p>
            <w:pPr>
              <w:pStyle w:val="TableParagraph"/>
              <w:spacing w:before="61"/>
              <w:ind w:left="1413"/>
              <w:jc w:val="left"/>
              <w:rPr>
                <w:sz w:val="19"/>
              </w:rPr>
            </w:pPr>
            <w:r>
              <w:rPr>
                <w:sz w:val="19"/>
              </w:rPr>
              <w:t>RETORNOS:  HOMBRES, OTROS DESTINOS</w:t>
            </w:r>
          </w:p>
        </w:tc>
      </w:tr>
      <w:tr>
        <w:trPr>
          <w:trHeight w:val="350" w:hRule="exact"/>
        </w:trPr>
        <w:tc>
          <w:tcPr>
            <w:tcW w:w="463" w:type="dxa"/>
            <w:vMerge/>
          </w:tcPr>
          <w:p>
            <w:pPr/>
          </w:p>
        </w:tc>
        <w:tc>
          <w:tcPr>
            <w:tcW w:w="463" w:type="dxa"/>
            <w:vMerge w:val="restart"/>
            <w:tcBorders>
              <w:top w:val="nil"/>
            </w:tcBorders>
          </w:tcPr>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line="309" w:lineRule="auto" w:before="145"/>
              <w:ind w:left="23" w:right="266"/>
              <w:jc w:val="both"/>
              <w:rPr>
                <w:sz w:val="19"/>
              </w:rPr>
            </w:pPr>
            <w:r>
              <w:rPr>
                <w:sz w:val="19"/>
              </w:rPr>
              <w:t>M E S E S</w:t>
            </w:r>
          </w:p>
        </w:tc>
        <w:tc>
          <w:tcPr>
            <w:tcW w:w="8246" w:type="dxa"/>
            <w:gridSpan w:val="5"/>
            <w:tcBorders>
              <w:top w:val="single" w:sz="3" w:space="0" w:color="000000"/>
              <w:bottom w:val="single" w:sz="3" w:space="0" w:color="000000"/>
            </w:tcBorders>
          </w:tcPr>
          <w:p>
            <w:pPr>
              <w:pStyle w:val="TableParagraph"/>
              <w:spacing w:before="61"/>
              <w:ind w:left="3765" w:right="2846"/>
              <w:jc w:val="center"/>
              <w:rPr>
                <w:sz w:val="19"/>
              </w:rPr>
            </w:pPr>
            <w:r>
              <w:rPr>
                <w:sz w:val="19"/>
              </w:rPr>
              <w:t>Escolaridad (años)</w:t>
            </w:r>
          </w:p>
        </w:tc>
      </w:tr>
      <w:tr>
        <w:trPr>
          <w:trHeight w:val="351" w:hRule="exact"/>
        </w:trPr>
        <w:tc>
          <w:tcPr>
            <w:tcW w:w="463" w:type="dxa"/>
            <w:vMerge/>
          </w:tcPr>
          <w:p>
            <w:pPr/>
          </w:p>
        </w:tc>
        <w:tc>
          <w:tcPr>
            <w:tcW w:w="463" w:type="dxa"/>
            <w:vMerge/>
          </w:tcPr>
          <w:p>
            <w:pPr/>
          </w:p>
        </w:tc>
        <w:tc>
          <w:tcPr>
            <w:tcW w:w="653" w:type="dxa"/>
            <w:tcBorders>
              <w:top w:val="single" w:sz="3" w:space="0" w:color="000000"/>
              <w:bottom w:val="nil"/>
              <w:right w:val="nil"/>
            </w:tcBorders>
          </w:tcPr>
          <w:p>
            <w:pPr/>
          </w:p>
        </w:tc>
        <w:tc>
          <w:tcPr>
            <w:tcW w:w="1601" w:type="dxa"/>
            <w:tcBorders>
              <w:top w:val="single" w:sz="3" w:space="0" w:color="000000"/>
              <w:left w:val="nil"/>
              <w:bottom w:val="nil"/>
              <w:right w:val="nil"/>
            </w:tcBorders>
          </w:tcPr>
          <w:p>
            <w:pPr>
              <w:pStyle w:val="TableParagraph"/>
              <w:spacing w:before="54"/>
              <w:ind w:left="302"/>
              <w:jc w:val="left"/>
              <w:rPr>
                <w:b/>
                <w:sz w:val="19"/>
              </w:rPr>
            </w:pPr>
            <w:r>
              <w:rPr>
                <w:b/>
                <w:w w:val="101"/>
                <w:sz w:val="19"/>
              </w:rPr>
              <w:t>4</w:t>
            </w:r>
          </w:p>
        </w:tc>
        <w:tc>
          <w:tcPr>
            <w:tcW w:w="1903" w:type="dxa"/>
            <w:tcBorders>
              <w:top w:val="single" w:sz="3" w:space="0" w:color="000000"/>
              <w:left w:val="nil"/>
              <w:bottom w:val="nil"/>
              <w:right w:val="nil"/>
            </w:tcBorders>
          </w:tcPr>
          <w:p>
            <w:pPr>
              <w:pStyle w:val="TableParagraph"/>
              <w:spacing w:before="54"/>
              <w:ind w:left="811"/>
              <w:jc w:val="left"/>
              <w:rPr>
                <w:b/>
                <w:sz w:val="19"/>
              </w:rPr>
            </w:pPr>
            <w:r>
              <w:rPr>
                <w:b/>
                <w:w w:val="101"/>
                <w:sz w:val="19"/>
              </w:rPr>
              <w:t>6</w:t>
            </w:r>
          </w:p>
        </w:tc>
        <w:tc>
          <w:tcPr>
            <w:tcW w:w="1812" w:type="dxa"/>
            <w:tcBorders>
              <w:top w:val="single" w:sz="3" w:space="0" w:color="000000"/>
              <w:left w:val="nil"/>
              <w:bottom w:val="nil"/>
              <w:right w:val="nil"/>
            </w:tcBorders>
          </w:tcPr>
          <w:p>
            <w:pPr>
              <w:pStyle w:val="TableParagraph"/>
              <w:spacing w:before="54"/>
              <w:ind w:left="604"/>
              <w:jc w:val="left"/>
              <w:rPr>
                <w:b/>
                <w:sz w:val="19"/>
              </w:rPr>
            </w:pPr>
            <w:r>
              <w:rPr>
                <w:b/>
                <w:w w:val="101"/>
                <w:sz w:val="19"/>
              </w:rPr>
              <w:t>9</w:t>
            </w:r>
          </w:p>
        </w:tc>
        <w:tc>
          <w:tcPr>
            <w:tcW w:w="2278" w:type="dxa"/>
            <w:tcBorders>
              <w:top w:val="single" w:sz="3" w:space="0" w:color="000000"/>
              <w:left w:val="nil"/>
              <w:bottom w:val="nil"/>
            </w:tcBorders>
          </w:tcPr>
          <w:p>
            <w:pPr>
              <w:pStyle w:val="TableParagraph"/>
              <w:spacing w:before="54"/>
              <w:ind w:left="720"/>
              <w:jc w:val="left"/>
              <w:rPr>
                <w:b/>
                <w:sz w:val="19"/>
              </w:rPr>
            </w:pPr>
            <w:r>
              <w:rPr>
                <w:b/>
                <w:sz w:val="19"/>
              </w:rPr>
              <w:t>12</w:t>
            </w:r>
          </w:p>
        </w:tc>
      </w:tr>
      <w:tr>
        <w:trPr>
          <w:trHeight w:val="354" w:hRule="exact"/>
        </w:trPr>
        <w:tc>
          <w:tcPr>
            <w:tcW w:w="463" w:type="dxa"/>
            <w:vMerge/>
          </w:tcPr>
          <w:p>
            <w:pPr/>
          </w:p>
        </w:tc>
        <w:tc>
          <w:tcPr>
            <w:tcW w:w="463" w:type="dxa"/>
            <w:vMerge/>
          </w:tcPr>
          <w:p>
            <w:pPr/>
          </w:p>
        </w:tc>
        <w:tc>
          <w:tcPr>
            <w:tcW w:w="653" w:type="dxa"/>
            <w:tcBorders>
              <w:top w:val="nil"/>
              <w:bottom w:val="nil"/>
              <w:right w:val="nil"/>
            </w:tcBorders>
          </w:tcPr>
          <w:p>
            <w:pPr>
              <w:pStyle w:val="TableParagraph"/>
              <w:spacing w:before="57"/>
              <w:ind w:left="21"/>
              <w:jc w:val="left"/>
              <w:rPr>
                <w:b/>
                <w:sz w:val="19"/>
              </w:rPr>
            </w:pPr>
            <w:r>
              <w:rPr>
                <w:b/>
                <w:sz w:val="19"/>
              </w:rPr>
              <w:t>24</w:t>
            </w:r>
          </w:p>
        </w:tc>
        <w:tc>
          <w:tcPr>
            <w:tcW w:w="1601" w:type="dxa"/>
            <w:tcBorders>
              <w:top w:val="nil"/>
              <w:left w:val="nil"/>
              <w:bottom w:val="nil"/>
              <w:right w:val="nil"/>
            </w:tcBorders>
          </w:tcPr>
          <w:p>
            <w:pPr>
              <w:pStyle w:val="TableParagraph"/>
              <w:spacing w:before="64"/>
              <w:ind w:left="302"/>
              <w:jc w:val="left"/>
              <w:rPr>
                <w:sz w:val="19"/>
              </w:rPr>
            </w:pPr>
            <w:r>
              <w:rPr>
                <w:sz w:val="19"/>
              </w:rPr>
              <w:t>27,08</w:t>
            </w:r>
          </w:p>
        </w:tc>
        <w:tc>
          <w:tcPr>
            <w:tcW w:w="1903" w:type="dxa"/>
            <w:tcBorders>
              <w:top w:val="nil"/>
              <w:left w:val="nil"/>
              <w:bottom w:val="nil"/>
              <w:right w:val="nil"/>
            </w:tcBorders>
          </w:tcPr>
          <w:p>
            <w:pPr>
              <w:pStyle w:val="TableParagraph"/>
              <w:spacing w:before="64"/>
              <w:ind w:left="811"/>
              <w:jc w:val="left"/>
              <w:rPr>
                <w:sz w:val="19"/>
              </w:rPr>
            </w:pPr>
            <w:r>
              <w:rPr>
                <w:sz w:val="19"/>
              </w:rPr>
              <w:t>27,46</w:t>
            </w:r>
          </w:p>
        </w:tc>
        <w:tc>
          <w:tcPr>
            <w:tcW w:w="1812" w:type="dxa"/>
            <w:tcBorders>
              <w:top w:val="nil"/>
              <w:left w:val="nil"/>
              <w:bottom w:val="nil"/>
              <w:right w:val="nil"/>
            </w:tcBorders>
          </w:tcPr>
          <w:p>
            <w:pPr>
              <w:pStyle w:val="TableParagraph"/>
              <w:spacing w:before="64"/>
              <w:ind w:left="604"/>
              <w:jc w:val="left"/>
              <w:rPr>
                <w:sz w:val="19"/>
              </w:rPr>
            </w:pPr>
            <w:r>
              <w:rPr>
                <w:sz w:val="19"/>
              </w:rPr>
              <w:t>27,86</w:t>
            </w:r>
          </w:p>
        </w:tc>
        <w:tc>
          <w:tcPr>
            <w:tcW w:w="2278" w:type="dxa"/>
            <w:tcBorders>
              <w:top w:val="nil"/>
              <w:left w:val="nil"/>
              <w:bottom w:val="nil"/>
            </w:tcBorders>
          </w:tcPr>
          <w:p>
            <w:pPr>
              <w:pStyle w:val="TableParagraph"/>
              <w:spacing w:before="64"/>
              <w:ind w:left="720"/>
              <w:jc w:val="left"/>
              <w:rPr>
                <w:sz w:val="19"/>
              </w:rPr>
            </w:pPr>
            <w:r>
              <w:rPr>
                <w:sz w:val="19"/>
              </w:rPr>
              <w:t>28,14</w:t>
            </w:r>
          </w:p>
        </w:tc>
      </w:tr>
      <w:tr>
        <w:trPr>
          <w:trHeight w:val="350" w:hRule="exact"/>
        </w:trPr>
        <w:tc>
          <w:tcPr>
            <w:tcW w:w="463" w:type="dxa"/>
            <w:vMerge/>
          </w:tcPr>
          <w:p>
            <w:pPr/>
          </w:p>
        </w:tc>
        <w:tc>
          <w:tcPr>
            <w:tcW w:w="463" w:type="dxa"/>
            <w:vMerge/>
          </w:tcPr>
          <w:p>
            <w:pPr/>
          </w:p>
        </w:tc>
        <w:tc>
          <w:tcPr>
            <w:tcW w:w="653" w:type="dxa"/>
            <w:tcBorders>
              <w:top w:val="nil"/>
              <w:bottom w:val="nil"/>
              <w:right w:val="nil"/>
            </w:tcBorders>
          </w:tcPr>
          <w:p>
            <w:pPr>
              <w:pStyle w:val="TableParagraph"/>
              <w:spacing w:before="53"/>
              <w:ind w:left="21"/>
              <w:jc w:val="left"/>
              <w:rPr>
                <w:b/>
                <w:sz w:val="19"/>
              </w:rPr>
            </w:pPr>
            <w:r>
              <w:rPr>
                <w:b/>
                <w:sz w:val="19"/>
              </w:rPr>
              <w:t>48</w:t>
            </w:r>
          </w:p>
        </w:tc>
        <w:tc>
          <w:tcPr>
            <w:tcW w:w="1601" w:type="dxa"/>
            <w:tcBorders>
              <w:top w:val="nil"/>
              <w:left w:val="nil"/>
              <w:bottom w:val="nil"/>
              <w:right w:val="nil"/>
            </w:tcBorders>
          </w:tcPr>
          <w:p>
            <w:pPr>
              <w:pStyle w:val="TableParagraph"/>
              <w:spacing w:before="60"/>
              <w:ind w:left="302"/>
              <w:jc w:val="left"/>
              <w:rPr>
                <w:sz w:val="19"/>
              </w:rPr>
            </w:pPr>
            <w:r>
              <w:rPr>
                <w:sz w:val="19"/>
              </w:rPr>
              <w:t>26,40</w:t>
            </w:r>
          </w:p>
        </w:tc>
        <w:tc>
          <w:tcPr>
            <w:tcW w:w="1903" w:type="dxa"/>
            <w:tcBorders>
              <w:top w:val="nil"/>
              <w:left w:val="nil"/>
              <w:bottom w:val="nil"/>
              <w:right w:val="nil"/>
            </w:tcBorders>
          </w:tcPr>
          <w:p>
            <w:pPr>
              <w:pStyle w:val="TableParagraph"/>
              <w:spacing w:before="60"/>
              <w:ind w:left="811"/>
              <w:jc w:val="left"/>
              <w:rPr>
                <w:sz w:val="19"/>
              </w:rPr>
            </w:pPr>
            <w:r>
              <w:rPr>
                <w:sz w:val="19"/>
              </w:rPr>
              <w:t>26,78</w:t>
            </w:r>
          </w:p>
        </w:tc>
        <w:tc>
          <w:tcPr>
            <w:tcW w:w="1812" w:type="dxa"/>
            <w:tcBorders>
              <w:top w:val="nil"/>
              <w:left w:val="nil"/>
              <w:bottom w:val="nil"/>
              <w:right w:val="nil"/>
            </w:tcBorders>
          </w:tcPr>
          <w:p>
            <w:pPr>
              <w:pStyle w:val="TableParagraph"/>
              <w:spacing w:before="60"/>
              <w:ind w:left="604"/>
              <w:jc w:val="left"/>
              <w:rPr>
                <w:sz w:val="19"/>
              </w:rPr>
            </w:pPr>
            <w:r>
              <w:rPr>
                <w:sz w:val="19"/>
              </w:rPr>
              <w:t>27,18</w:t>
            </w:r>
          </w:p>
        </w:tc>
        <w:tc>
          <w:tcPr>
            <w:tcW w:w="2278" w:type="dxa"/>
            <w:tcBorders>
              <w:top w:val="nil"/>
              <w:left w:val="nil"/>
              <w:bottom w:val="nil"/>
            </w:tcBorders>
          </w:tcPr>
          <w:p>
            <w:pPr>
              <w:pStyle w:val="TableParagraph"/>
              <w:spacing w:before="60"/>
              <w:ind w:left="720"/>
              <w:jc w:val="left"/>
              <w:rPr>
                <w:sz w:val="19"/>
              </w:rPr>
            </w:pPr>
            <w:r>
              <w:rPr>
                <w:sz w:val="19"/>
              </w:rPr>
              <w:t>27,46</w:t>
            </w:r>
          </w:p>
        </w:tc>
      </w:tr>
      <w:tr>
        <w:trPr>
          <w:trHeight w:val="350" w:hRule="exact"/>
        </w:trPr>
        <w:tc>
          <w:tcPr>
            <w:tcW w:w="463" w:type="dxa"/>
            <w:vMerge/>
          </w:tcPr>
          <w:p>
            <w:pPr/>
          </w:p>
        </w:tc>
        <w:tc>
          <w:tcPr>
            <w:tcW w:w="463" w:type="dxa"/>
            <w:vMerge/>
          </w:tcPr>
          <w:p>
            <w:pPr/>
          </w:p>
        </w:tc>
        <w:tc>
          <w:tcPr>
            <w:tcW w:w="653" w:type="dxa"/>
            <w:tcBorders>
              <w:top w:val="nil"/>
              <w:bottom w:val="nil"/>
              <w:right w:val="nil"/>
            </w:tcBorders>
          </w:tcPr>
          <w:p>
            <w:pPr>
              <w:pStyle w:val="TableParagraph"/>
              <w:spacing w:before="53"/>
              <w:ind w:left="21"/>
              <w:jc w:val="left"/>
              <w:rPr>
                <w:b/>
                <w:sz w:val="19"/>
              </w:rPr>
            </w:pPr>
            <w:r>
              <w:rPr>
                <w:b/>
                <w:sz w:val="19"/>
              </w:rPr>
              <w:t>96</w:t>
            </w:r>
          </w:p>
        </w:tc>
        <w:tc>
          <w:tcPr>
            <w:tcW w:w="1601" w:type="dxa"/>
            <w:tcBorders>
              <w:top w:val="nil"/>
              <w:left w:val="nil"/>
              <w:bottom w:val="nil"/>
              <w:right w:val="nil"/>
            </w:tcBorders>
          </w:tcPr>
          <w:p>
            <w:pPr>
              <w:pStyle w:val="TableParagraph"/>
              <w:spacing w:before="60"/>
              <w:ind w:left="302"/>
              <w:jc w:val="left"/>
              <w:rPr>
                <w:sz w:val="19"/>
              </w:rPr>
            </w:pPr>
            <w:r>
              <w:rPr>
                <w:sz w:val="19"/>
              </w:rPr>
              <w:t>25,91</w:t>
            </w:r>
          </w:p>
        </w:tc>
        <w:tc>
          <w:tcPr>
            <w:tcW w:w="1903" w:type="dxa"/>
            <w:tcBorders>
              <w:top w:val="nil"/>
              <w:left w:val="nil"/>
              <w:bottom w:val="nil"/>
              <w:right w:val="nil"/>
            </w:tcBorders>
          </w:tcPr>
          <w:p>
            <w:pPr>
              <w:pStyle w:val="TableParagraph"/>
              <w:spacing w:before="60"/>
              <w:ind w:left="811"/>
              <w:jc w:val="left"/>
              <w:rPr>
                <w:sz w:val="19"/>
              </w:rPr>
            </w:pPr>
            <w:r>
              <w:rPr>
                <w:sz w:val="19"/>
              </w:rPr>
              <w:t>26,30</w:t>
            </w:r>
          </w:p>
        </w:tc>
        <w:tc>
          <w:tcPr>
            <w:tcW w:w="1812" w:type="dxa"/>
            <w:tcBorders>
              <w:top w:val="nil"/>
              <w:left w:val="nil"/>
              <w:bottom w:val="nil"/>
              <w:right w:val="nil"/>
            </w:tcBorders>
          </w:tcPr>
          <w:p>
            <w:pPr>
              <w:pStyle w:val="TableParagraph"/>
              <w:spacing w:before="60"/>
              <w:ind w:left="604"/>
              <w:jc w:val="left"/>
              <w:rPr>
                <w:sz w:val="19"/>
              </w:rPr>
            </w:pPr>
            <w:r>
              <w:rPr>
                <w:sz w:val="19"/>
              </w:rPr>
              <w:t>26,69</w:t>
            </w:r>
          </w:p>
        </w:tc>
        <w:tc>
          <w:tcPr>
            <w:tcW w:w="2278" w:type="dxa"/>
            <w:tcBorders>
              <w:top w:val="nil"/>
              <w:left w:val="nil"/>
              <w:bottom w:val="nil"/>
            </w:tcBorders>
          </w:tcPr>
          <w:p>
            <w:pPr>
              <w:pStyle w:val="TableParagraph"/>
              <w:spacing w:before="60"/>
              <w:ind w:left="720"/>
              <w:jc w:val="left"/>
              <w:rPr>
                <w:sz w:val="19"/>
              </w:rPr>
            </w:pPr>
            <w:r>
              <w:rPr>
                <w:sz w:val="19"/>
              </w:rPr>
              <w:t>26,98</w:t>
            </w:r>
          </w:p>
        </w:tc>
      </w:tr>
      <w:tr>
        <w:trPr>
          <w:trHeight w:val="350" w:hRule="exact"/>
        </w:trPr>
        <w:tc>
          <w:tcPr>
            <w:tcW w:w="463" w:type="dxa"/>
            <w:vMerge/>
          </w:tcPr>
          <w:p>
            <w:pPr/>
          </w:p>
        </w:tc>
        <w:tc>
          <w:tcPr>
            <w:tcW w:w="463" w:type="dxa"/>
            <w:vMerge/>
          </w:tcPr>
          <w:p>
            <w:pPr/>
          </w:p>
        </w:tc>
        <w:tc>
          <w:tcPr>
            <w:tcW w:w="653" w:type="dxa"/>
            <w:tcBorders>
              <w:top w:val="nil"/>
              <w:bottom w:val="nil"/>
              <w:right w:val="nil"/>
            </w:tcBorders>
          </w:tcPr>
          <w:p>
            <w:pPr>
              <w:pStyle w:val="TableParagraph"/>
              <w:spacing w:before="53"/>
              <w:ind w:left="21"/>
              <w:jc w:val="left"/>
              <w:rPr>
                <w:b/>
                <w:sz w:val="19"/>
              </w:rPr>
            </w:pPr>
            <w:r>
              <w:rPr>
                <w:b/>
                <w:sz w:val="19"/>
              </w:rPr>
              <w:t>120</w:t>
            </w:r>
          </w:p>
        </w:tc>
        <w:tc>
          <w:tcPr>
            <w:tcW w:w="1601" w:type="dxa"/>
            <w:tcBorders>
              <w:top w:val="nil"/>
              <w:left w:val="nil"/>
              <w:bottom w:val="nil"/>
              <w:right w:val="nil"/>
            </w:tcBorders>
          </w:tcPr>
          <w:p>
            <w:pPr>
              <w:pStyle w:val="TableParagraph"/>
              <w:spacing w:before="60"/>
              <w:ind w:left="302"/>
              <w:jc w:val="left"/>
              <w:rPr>
                <w:sz w:val="19"/>
              </w:rPr>
            </w:pPr>
            <w:r>
              <w:rPr>
                <w:sz w:val="19"/>
              </w:rPr>
              <w:t>25,79</w:t>
            </w:r>
          </w:p>
        </w:tc>
        <w:tc>
          <w:tcPr>
            <w:tcW w:w="1903" w:type="dxa"/>
            <w:tcBorders>
              <w:top w:val="nil"/>
              <w:left w:val="nil"/>
              <w:bottom w:val="nil"/>
              <w:right w:val="nil"/>
            </w:tcBorders>
          </w:tcPr>
          <w:p>
            <w:pPr>
              <w:pStyle w:val="TableParagraph"/>
              <w:spacing w:before="60"/>
              <w:ind w:left="811"/>
              <w:jc w:val="left"/>
              <w:rPr>
                <w:sz w:val="19"/>
              </w:rPr>
            </w:pPr>
            <w:r>
              <w:rPr>
                <w:sz w:val="19"/>
              </w:rPr>
              <w:t>26,18</w:t>
            </w:r>
          </w:p>
        </w:tc>
        <w:tc>
          <w:tcPr>
            <w:tcW w:w="1812" w:type="dxa"/>
            <w:tcBorders>
              <w:top w:val="nil"/>
              <w:left w:val="nil"/>
              <w:bottom w:val="nil"/>
              <w:right w:val="nil"/>
            </w:tcBorders>
          </w:tcPr>
          <w:p>
            <w:pPr>
              <w:pStyle w:val="TableParagraph"/>
              <w:spacing w:before="60"/>
              <w:ind w:left="604"/>
              <w:jc w:val="left"/>
              <w:rPr>
                <w:sz w:val="19"/>
              </w:rPr>
            </w:pPr>
            <w:r>
              <w:rPr>
                <w:sz w:val="19"/>
              </w:rPr>
              <w:t>26,57</w:t>
            </w:r>
          </w:p>
        </w:tc>
        <w:tc>
          <w:tcPr>
            <w:tcW w:w="2278" w:type="dxa"/>
            <w:tcBorders>
              <w:top w:val="nil"/>
              <w:left w:val="nil"/>
              <w:bottom w:val="nil"/>
            </w:tcBorders>
          </w:tcPr>
          <w:p>
            <w:pPr>
              <w:pStyle w:val="TableParagraph"/>
              <w:spacing w:before="60"/>
              <w:ind w:left="720"/>
              <w:jc w:val="left"/>
              <w:rPr>
                <w:sz w:val="19"/>
              </w:rPr>
            </w:pPr>
            <w:r>
              <w:rPr>
                <w:sz w:val="19"/>
              </w:rPr>
              <w:t>26,85</w:t>
            </w:r>
          </w:p>
        </w:tc>
      </w:tr>
      <w:tr>
        <w:trPr>
          <w:trHeight w:val="346" w:hRule="exact"/>
        </w:trPr>
        <w:tc>
          <w:tcPr>
            <w:tcW w:w="463" w:type="dxa"/>
            <w:vMerge/>
            <w:tcBorders>
              <w:bottom w:val="nil"/>
            </w:tcBorders>
          </w:tcPr>
          <w:p>
            <w:pPr/>
          </w:p>
        </w:tc>
        <w:tc>
          <w:tcPr>
            <w:tcW w:w="463" w:type="dxa"/>
            <w:vMerge/>
            <w:tcBorders>
              <w:bottom w:val="single" w:sz="3" w:space="0" w:color="000000"/>
            </w:tcBorders>
          </w:tcPr>
          <w:p>
            <w:pPr/>
          </w:p>
        </w:tc>
        <w:tc>
          <w:tcPr>
            <w:tcW w:w="653" w:type="dxa"/>
            <w:tcBorders>
              <w:top w:val="nil"/>
              <w:bottom w:val="single" w:sz="3" w:space="0" w:color="000000"/>
              <w:right w:val="nil"/>
            </w:tcBorders>
          </w:tcPr>
          <w:p>
            <w:pPr>
              <w:pStyle w:val="TableParagraph"/>
              <w:spacing w:before="53"/>
              <w:ind w:left="21"/>
              <w:jc w:val="left"/>
              <w:rPr>
                <w:b/>
                <w:sz w:val="19"/>
              </w:rPr>
            </w:pPr>
            <w:r>
              <w:rPr>
                <w:b/>
                <w:sz w:val="19"/>
              </w:rPr>
              <w:t>144</w:t>
            </w:r>
          </w:p>
        </w:tc>
        <w:tc>
          <w:tcPr>
            <w:tcW w:w="1601" w:type="dxa"/>
            <w:tcBorders>
              <w:top w:val="nil"/>
              <w:left w:val="nil"/>
              <w:bottom w:val="single" w:sz="3" w:space="0" w:color="000000"/>
              <w:right w:val="nil"/>
            </w:tcBorders>
          </w:tcPr>
          <w:p>
            <w:pPr>
              <w:pStyle w:val="TableParagraph"/>
              <w:spacing w:before="60"/>
              <w:ind w:left="302"/>
              <w:jc w:val="left"/>
              <w:rPr>
                <w:sz w:val="19"/>
              </w:rPr>
            </w:pPr>
            <w:r>
              <w:rPr>
                <w:sz w:val="19"/>
              </w:rPr>
              <w:t>25,70</w:t>
            </w:r>
          </w:p>
        </w:tc>
        <w:tc>
          <w:tcPr>
            <w:tcW w:w="1903" w:type="dxa"/>
            <w:tcBorders>
              <w:top w:val="nil"/>
              <w:left w:val="nil"/>
              <w:bottom w:val="single" w:sz="3" w:space="0" w:color="000000"/>
              <w:right w:val="nil"/>
            </w:tcBorders>
          </w:tcPr>
          <w:p>
            <w:pPr>
              <w:pStyle w:val="TableParagraph"/>
              <w:spacing w:before="60"/>
              <w:ind w:left="811"/>
              <w:jc w:val="left"/>
              <w:rPr>
                <w:sz w:val="19"/>
              </w:rPr>
            </w:pPr>
            <w:r>
              <w:rPr>
                <w:sz w:val="19"/>
              </w:rPr>
              <w:t>26,09</w:t>
            </w:r>
          </w:p>
        </w:tc>
        <w:tc>
          <w:tcPr>
            <w:tcW w:w="1812" w:type="dxa"/>
            <w:tcBorders>
              <w:top w:val="nil"/>
              <w:left w:val="nil"/>
              <w:bottom w:val="single" w:sz="3" w:space="0" w:color="000000"/>
              <w:right w:val="nil"/>
            </w:tcBorders>
          </w:tcPr>
          <w:p>
            <w:pPr>
              <w:pStyle w:val="TableParagraph"/>
              <w:spacing w:before="60"/>
              <w:ind w:left="604"/>
              <w:jc w:val="left"/>
              <w:rPr>
                <w:sz w:val="19"/>
              </w:rPr>
            </w:pPr>
            <w:r>
              <w:rPr>
                <w:sz w:val="19"/>
              </w:rPr>
              <w:t>26,48</w:t>
            </w:r>
          </w:p>
        </w:tc>
        <w:tc>
          <w:tcPr>
            <w:tcW w:w="2278" w:type="dxa"/>
            <w:tcBorders>
              <w:top w:val="nil"/>
              <w:left w:val="nil"/>
              <w:bottom w:val="single" w:sz="3" w:space="0" w:color="000000"/>
            </w:tcBorders>
          </w:tcPr>
          <w:p>
            <w:pPr>
              <w:pStyle w:val="TableParagraph"/>
              <w:spacing w:before="60"/>
              <w:ind w:left="720"/>
              <w:jc w:val="left"/>
              <w:rPr>
                <w:sz w:val="19"/>
              </w:rPr>
            </w:pPr>
            <w:r>
              <w:rPr>
                <w:sz w:val="19"/>
              </w:rPr>
              <w:t>26,76</w:t>
            </w:r>
          </w:p>
        </w:tc>
      </w:tr>
      <w:tr>
        <w:trPr>
          <w:trHeight w:val="350" w:hRule="exact"/>
        </w:trPr>
        <w:tc>
          <w:tcPr>
            <w:tcW w:w="9173" w:type="dxa"/>
            <w:gridSpan w:val="7"/>
            <w:tcBorders>
              <w:top w:val="nil"/>
              <w:bottom w:val="nil"/>
            </w:tcBorders>
          </w:tcPr>
          <w:p>
            <w:pPr>
              <w:pStyle w:val="TableParagraph"/>
              <w:spacing w:before="151"/>
              <w:ind w:left="26"/>
              <w:jc w:val="left"/>
              <w:rPr>
                <w:sz w:val="19"/>
              </w:rPr>
            </w:pPr>
            <w:r>
              <w:rPr>
                <w:w w:val="101"/>
                <w:sz w:val="19"/>
              </w:rPr>
              <w:t>N</w:t>
            </w:r>
          </w:p>
        </w:tc>
      </w:tr>
      <w:tr>
        <w:trPr>
          <w:trHeight w:val="350" w:hRule="exact"/>
        </w:trPr>
        <w:tc>
          <w:tcPr>
            <w:tcW w:w="463" w:type="dxa"/>
            <w:vMerge w:val="restart"/>
            <w:tcBorders>
              <w:top w:val="nil"/>
            </w:tcBorders>
          </w:tcPr>
          <w:p>
            <w:pPr>
              <w:pStyle w:val="TableParagraph"/>
              <w:spacing w:line="312" w:lineRule="auto" w:before="82"/>
              <w:ind w:left="26" w:right="270"/>
              <w:jc w:val="left"/>
              <w:rPr>
                <w:sz w:val="19"/>
              </w:rPr>
            </w:pPr>
            <w:r>
              <w:rPr>
                <w:sz w:val="19"/>
              </w:rPr>
              <w:t>C I A</w:t>
            </w:r>
          </w:p>
        </w:tc>
        <w:tc>
          <w:tcPr>
            <w:tcW w:w="8710" w:type="dxa"/>
            <w:gridSpan w:val="6"/>
            <w:tcBorders>
              <w:top w:val="single" w:sz="3" w:space="0" w:color="000000"/>
              <w:bottom w:val="nil"/>
            </w:tcBorders>
          </w:tcPr>
          <w:p>
            <w:pPr>
              <w:pStyle w:val="TableParagraph"/>
              <w:spacing w:before="61"/>
              <w:ind w:left="1413"/>
              <w:jc w:val="left"/>
              <w:rPr>
                <w:sz w:val="19"/>
              </w:rPr>
            </w:pPr>
            <w:r>
              <w:rPr>
                <w:sz w:val="19"/>
              </w:rPr>
              <w:t>RETORNOS:  HOMBRES,  ATLANTA (PINTURA)</w:t>
            </w:r>
          </w:p>
        </w:tc>
      </w:tr>
      <w:tr>
        <w:trPr>
          <w:trHeight w:val="350" w:hRule="exact"/>
        </w:trPr>
        <w:tc>
          <w:tcPr>
            <w:tcW w:w="463" w:type="dxa"/>
            <w:vMerge/>
          </w:tcPr>
          <w:p>
            <w:pPr/>
          </w:p>
        </w:tc>
        <w:tc>
          <w:tcPr>
            <w:tcW w:w="463" w:type="dxa"/>
            <w:vMerge w:val="restart"/>
            <w:tcBorders>
              <w:top w:val="nil"/>
            </w:tcBorders>
          </w:tcPr>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line="309" w:lineRule="auto" w:before="145"/>
              <w:ind w:left="23" w:right="266"/>
              <w:jc w:val="both"/>
              <w:rPr>
                <w:sz w:val="19"/>
              </w:rPr>
            </w:pPr>
            <w:r>
              <w:rPr>
                <w:sz w:val="19"/>
              </w:rPr>
              <w:t>M E S E S</w:t>
            </w:r>
          </w:p>
        </w:tc>
        <w:tc>
          <w:tcPr>
            <w:tcW w:w="8246" w:type="dxa"/>
            <w:gridSpan w:val="5"/>
            <w:tcBorders>
              <w:top w:val="single" w:sz="3" w:space="0" w:color="000000"/>
              <w:bottom w:val="single" w:sz="3" w:space="0" w:color="000000"/>
            </w:tcBorders>
          </w:tcPr>
          <w:p>
            <w:pPr>
              <w:pStyle w:val="TableParagraph"/>
              <w:spacing w:before="61"/>
              <w:ind w:left="3765" w:right="2846"/>
              <w:jc w:val="center"/>
              <w:rPr>
                <w:sz w:val="19"/>
              </w:rPr>
            </w:pPr>
            <w:r>
              <w:rPr>
                <w:sz w:val="19"/>
              </w:rPr>
              <w:t>Escolaridad (años)</w:t>
            </w:r>
          </w:p>
        </w:tc>
      </w:tr>
      <w:tr>
        <w:trPr>
          <w:trHeight w:val="351" w:hRule="exact"/>
        </w:trPr>
        <w:tc>
          <w:tcPr>
            <w:tcW w:w="463" w:type="dxa"/>
            <w:vMerge/>
          </w:tcPr>
          <w:p>
            <w:pPr/>
          </w:p>
        </w:tc>
        <w:tc>
          <w:tcPr>
            <w:tcW w:w="463" w:type="dxa"/>
            <w:vMerge/>
          </w:tcPr>
          <w:p>
            <w:pPr/>
          </w:p>
        </w:tc>
        <w:tc>
          <w:tcPr>
            <w:tcW w:w="653" w:type="dxa"/>
            <w:tcBorders>
              <w:top w:val="single" w:sz="3" w:space="0" w:color="000000"/>
              <w:bottom w:val="nil"/>
              <w:right w:val="nil"/>
            </w:tcBorders>
          </w:tcPr>
          <w:p>
            <w:pPr/>
          </w:p>
        </w:tc>
        <w:tc>
          <w:tcPr>
            <w:tcW w:w="1601" w:type="dxa"/>
            <w:tcBorders>
              <w:top w:val="single" w:sz="3" w:space="0" w:color="000000"/>
              <w:left w:val="nil"/>
              <w:bottom w:val="nil"/>
              <w:right w:val="nil"/>
            </w:tcBorders>
          </w:tcPr>
          <w:p>
            <w:pPr>
              <w:pStyle w:val="TableParagraph"/>
              <w:spacing w:before="54"/>
              <w:ind w:left="302"/>
              <w:jc w:val="left"/>
              <w:rPr>
                <w:b/>
                <w:sz w:val="19"/>
              </w:rPr>
            </w:pPr>
            <w:r>
              <w:rPr>
                <w:b/>
                <w:w w:val="101"/>
                <w:sz w:val="19"/>
              </w:rPr>
              <w:t>4</w:t>
            </w:r>
          </w:p>
        </w:tc>
        <w:tc>
          <w:tcPr>
            <w:tcW w:w="1903" w:type="dxa"/>
            <w:tcBorders>
              <w:top w:val="single" w:sz="3" w:space="0" w:color="000000"/>
              <w:left w:val="nil"/>
              <w:bottom w:val="nil"/>
              <w:right w:val="nil"/>
            </w:tcBorders>
          </w:tcPr>
          <w:p>
            <w:pPr>
              <w:pStyle w:val="TableParagraph"/>
              <w:spacing w:before="54"/>
              <w:ind w:left="811"/>
              <w:jc w:val="left"/>
              <w:rPr>
                <w:b/>
                <w:sz w:val="19"/>
              </w:rPr>
            </w:pPr>
            <w:r>
              <w:rPr>
                <w:b/>
                <w:w w:val="101"/>
                <w:sz w:val="19"/>
              </w:rPr>
              <w:t>6</w:t>
            </w:r>
          </w:p>
        </w:tc>
        <w:tc>
          <w:tcPr>
            <w:tcW w:w="1812" w:type="dxa"/>
            <w:tcBorders>
              <w:top w:val="single" w:sz="3" w:space="0" w:color="000000"/>
              <w:left w:val="nil"/>
              <w:bottom w:val="nil"/>
              <w:right w:val="nil"/>
            </w:tcBorders>
          </w:tcPr>
          <w:p>
            <w:pPr>
              <w:pStyle w:val="TableParagraph"/>
              <w:spacing w:before="54"/>
              <w:ind w:left="604"/>
              <w:jc w:val="left"/>
              <w:rPr>
                <w:b/>
                <w:sz w:val="19"/>
              </w:rPr>
            </w:pPr>
            <w:r>
              <w:rPr>
                <w:b/>
                <w:w w:val="101"/>
                <w:sz w:val="19"/>
              </w:rPr>
              <w:t>9</w:t>
            </w:r>
          </w:p>
        </w:tc>
        <w:tc>
          <w:tcPr>
            <w:tcW w:w="2278" w:type="dxa"/>
            <w:tcBorders>
              <w:top w:val="single" w:sz="3" w:space="0" w:color="000000"/>
              <w:left w:val="nil"/>
              <w:bottom w:val="nil"/>
            </w:tcBorders>
          </w:tcPr>
          <w:p>
            <w:pPr>
              <w:pStyle w:val="TableParagraph"/>
              <w:spacing w:before="54"/>
              <w:ind w:left="720"/>
              <w:jc w:val="left"/>
              <w:rPr>
                <w:b/>
                <w:sz w:val="19"/>
              </w:rPr>
            </w:pPr>
            <w:r>
              <w:rPr>
                <w:b/>
                <w:sz w:val="19"/>
              </w:rPr>
              <w:t>12</w:t>
            </w:r>
          </w:p>
        </w:tc>
      </w:tr>
      <w:tr>
        <w:trPr>
          <w:trHeight w:val="354" w:hRule="exact"/>
        </w:trPr>
        <w:tc>
          <w:tcPr>
            <w:tcW w:w="463" w:type="dxa"/>
            <w:vMerge/>
          </w:tcPr>
          <w:p>
            <w:pPr/>
          </w:p>
        </w:tc>
        <w:tc>
          <w:tcPr>
            <w:tcW w:w="463" w:type="dxa"/>
            <w:vMerge/>
          </w:tcPr>
          <w:p>
            <w:pPr/>
          </w:p>
        </w:tc>
        <w:tc>
          <w:tcPr>
            <w:tcW w:w="653" w:type="dxa"/>
            <w:tcBorders>
              <w:top w:val="nil"/>
              <w:bottom w:val="nil"/>
              <w:right w:val="nil"/>
            </w:tcBorders>
          </w:tcPr>
          <w:p>
            <w:pPr>
              <w:pStyle w:val="TableParagraph"/>
              <w:spacing w:before="57"/>
              <w:ind w:left="21"/>
              <w:jc w:val="left"/>
              <w:rPr>
                <w:b/>
                <w:sz w:val="19"/>
              </w:rPr>
            </w:pPr>
            <w:r>
              <w:rPr>
                <w:b/>
                <w:sz w:val="19"/>
              </w:rPr>
              <w:t>24</w:t>
            </w:r>
          </w:p>
        </w:tc>
        <w:tc>
          <w:tcPr>
            <w:tcW w:w="1601" w:type="dxa"/>
            <w:tcBorders>
              <w:top w:val="nil"/>
              <w:left w:val="nil"/>
              <w:bottom w:val="nil"/>
              <w:right w:val="nil"/>
            </w:tcBorders>
          </w:tcPr>
          <w:p>
            <w:pPr>
              <w:pStyle w:val="TableParagraph"/>
              <w:spacing w:before="64"/>
              <w:ind w:left="302"/>
              <w:jc w:val="left"/>
              <w:rPr>
                <w:sz w:val="19"/>
              </w:rPr>
            </w:pPr>
            <w:r>
              <w:rPr>
                <w:sz w:val="19"/>
              </w:rPr>
              <w:t>59,92</w:t>
            </w:r>
          </w:p>
        </w:tc>
        <w:tc>
          <w:tcPr>
            <w:tcW w:w="1903" w:type="dxa"/>
            <w:tcBorders>
              <w:top w:val="nil"/>
              <w:left w:val="nil"/>
              <w:bottom w:val="nil"/>
              <w:right w:val="nil"/>
            </w:tcBorders>
          </w:tcPr>
          <w:p>
            <w:pPr>
              <w:pStyle w:val="TableParagraph"/>
              <w:spacing w:before="64"/>
              <w:ind w:left="811"/>
              <w:jc w:val="left"/>
              <w:rPr>
                <w:sz w:val="19"/>
              </w:rPr>
            </w:pPr>
            <w:r>
              <w:rPr>
                <w:sz w:val="19"/>
              </w:rPr>
              <w:t>69,44</w:t>
            </w:r>
          </w:p>
        </w:tc>
        <w:tc>
          <w:tcPr>
            <w:tcW w:w="1812" w:type="dxa"/>
            <w:tcBorders>
              <w:top w:val="nil"/>
              <w:left w:val="nil"/>
              <w:bottom w:val="nil"/>
              <w:right w:val="nil"/>
            </w:tcBorders>
          </w:tcPr>
          <w:p>
            <w:pPr>
              <w:pStyle w:val="TableParagraph"/>
              <w:spacing w:before="64"/>
              <w:ind w:left="604"/>
              <w:jc w:val="left"/>
              <w:rPr>
                <w:sz w:val="19"/>
              </w:rPr>
            </w:pPr>
            <w:r>
              <w:rPr>
                <w:sz w:val="19"/>
              </w:rPr>
              <w:t>80,54</w:t>
            </w:r>
          </w:p>
        </w:tc>
        <w:tc>
          <w:tcPr>
            <w:tcW w:w="2278" w:type="dxa"/>
            <w:tcBorders>
              <w:top w:val="nil"/>
              <w:left w:val="nil"/>
              <w:bottom w:val="nil"/>
            </w:tcBorders>
          </w:tcPr>
          <w:p>
            <w:pPr>
              <w:pStyle w:val="TableParagraph"/>
              <w:spacing w:before="64"/>
              <w:ind w:left="720"/>
              <w:jc w:val="left"/>
              <w:rPr>
                <w:sz w:val="19"/>
              </w:rPr>
            </w:pPr>
            <w:r>
              <w:rPr>
                <w:sz w:val="19"/>
              </w:rPr>
              <w:t>89,54</w:t>
            </w:r>
          </w:p>
        </w:tc>
      </w:tr>
      <w:tr>
        <w:trPr>
          <w:trHeight w:val="350" w:hRule="exact"/>
        </w:trPr>
        <w:tc>
          <w:tcPr>
            <w:tcW w:w="463" w:type="dxa"/>
            <w:vMerge/>
          </w:tcPr>
          <w:p>
            <w:pPr/>
          </w:p>
        </w:tc>
        <w:tc>
          <w:tcPr>
            <w:tcW w:w="463" w:type="dxa"/>
            <w:vMerge/>
          </w:tcPr>
          <w:p>
            <w:pPr/>
          </w:p>
        </w:tc>
        <w:tc>
          <w:tcPr>
            <w:tcW w:w="653" w:type="dxa"/>
            <w:tcBorders>
              <w:top w:val="nil"/>
              <w:bottom w:val="nil"/>
              <w:right w:val="nil"/>
            </w:tcBorders>
          </w:tcPr>
          <w:p>
            <w:pPr>
              <w:pStyle w:val="TableParagraph"/>
              <w:spacing w:before="53"/>
              <w:ind w:left="21"/>
              <w:jc w:val="left"/>
              <w:rPr>
                <w:b/>
                <w:sz w:val="19"/>
              </w:rPr>
            </w:pPr>
            <w:r>
              <w:rPr>
                <w:b/>
                <w:sz w:val="19"/>
              </w:rPr>
              <w:t>48</w:t>
            </w:r>
          </w:p>
        </w:tc>
        <w:tc>
          <w:tcPr>
            <w:tcW w:w="1601" w:type="dxa"/>
            <w:tcBorders>
              <w:top w:val="nil"/>
              <w:left w:val="nil"/>
              <w:bottom w:val="nil"/>
              <w:right w:val="nil"/>
            </w:tcBorders>
          </w:tcPr>
          <w:p>
            <w:pPr>
              <w:pStyle w:val="TableParagraph"/>
              <w:spacing w:before="60"/>
              <w:ind w:left="302"/>
              <w:jc w:val="left"/>
              <w:rPr>
                <w:sz w:val="19"/>
              </w:rPr>
            </w:pPr>
            <w:r>
              <w:rPr>
                <w:sz w:val="19"/>
              </w:rPr>
              <w:t>58,96</w:t>
            </w:r>
          </w:p>
        </w:tc>
        <w:tc>
          <w:tcPr>
            <w:tcW w:w="1903" w:type="dxa"/>
            <w:tcBorders>
              <w:top w:val="nil"/>
              <w:left w:val="nil"/>
              <w:bottom w:val="nil"/>
              <w:right w:val="nil"/>
            </w:tcBorders>
          </w:tcPr>
          <w:p>
            <w:pPr>
              <w:pStyle w:val="TableParagraph"/>
              <w:spacing w:before="60"/>
              <w:ind w:left="811"/>
              <w:jc w:val="left"/>
              <w:rPr>
                <w:sz w:val="19"/>
              </w:rPr>
            </w:pPr>
            <w:r>
              <w:rPr>
                <w:sz w:val="19"/>
              </w:rPr>
              <w:t>68,47</w:t>
            </w:r>
          </w:p>
        </w:tc>
        <w:tc>
          <w:tcPr>
            <w:tcW w:w="1812" w:type="dxa"/>
            <w:tcBorders>
              <w:top w:val="nil"/>
              <w:left w:val="nil"/>
              <w:bottom w:val="nil"/>
              <w:right w:val="nil"/>
            </w:tcBorders>
          </w:tcPr>
          <w:p>
            <w:pPr>
              <w:pStyle w:val="TableParagraph"/>
              <w:spacing w:before="60"/>
              <w:ind w:left="604"/>
              <w:jc w:val="left"/>
              <w:rPr>
                <w:sz w:val="19"/>
              </w:rPr>
            </w:pPr>
            <w:r>
              <w:rPr>
                <w:sz w:val="19"/>
              </w:rPr>
              <w:t>79,58</w:t>
            </w:r>
          </w:p>
        </w:tc>
        <w:tc>
          <w:tcPr>
            <w:tcW w:w="2278" w:type="dxa"/>
            <w:tcBorders>
              <w:top w:val="nil"/>
              <w:left w:val="nil"/>
              <w:bottom w:val="nil"/>
            </w:tcBorders>
          </w:tcPr>
          <w:p>
            <w:pPr>
              <w:pStyle w:val="TableParagraph"/>
              <w:spacing w:before="60"/>
              <w:ind w:left="720"/>
              <w:jc w:val="left"/>
              <w:rPr>
                <w:sz w:val="19"/>
              </w:rPr>
            </w:pPr>
            <w:r>
              <w:rPr>
                <w:sz w:val="19"/>
              </w:rPr>
              <w:t>88,58</w:t>
            </w:r>
          </w:p>
        </w:tc>
      </w:tr>
      <w:tr>
        <w:trPr>
          <w:trHeight w:val="350" w:hRule="exact"/>
        </w:trPr>
        <w:tc>
          <w:tcPr>
            <w:tcW w:w="463" w:type="dxa"/>
            <w:vMerge/>
          </w:tcPr>
          <w:p>
            <w:pPr/>
          </w:p>
        </w:tc>
        <w:tc>
          <w:tcPr>
            <w:tcW w:w="463" w:type="dxa"/>
            <w:vMerge/>
          </w:tcPr>
          <w:p>
            <w:pPr/>
          </w:p>
        </w:tc>
        <w:tc>
          <w:tcPr>
            <w:tcW w:w="653" w:type="dxa"/>
            <w:tcBorders>
              <w:top w:val="nil"/>
              <w:bottom w:val="nil"/>
              <w:right w:val="nil"/>
            </w:tcBorders>
          </w:tcPr>
          <w:p>
            <w:pPr>
              <w:pStyle w:val="TableParagraph"/>
              <w:spacing w:before="53"/>
              <w:ind w:left="21"/>
              <w:jc w:val="left"/>
              <w:rPr>
                <w:b/>
                <w:sz w:val="19"/>
              </w:rPr>
            </w:pPr>
            <w:r>
              <w:rPr>
                <w:b/>
                <w:sz w:val="19"/>
              </w:rPr>
              <w:t>96</w:t>
            </w:r>
          </w:p>
        </w:tc>
        <w:tc>
          <w:tcPr>
            <w:tcW w:w="1601" w:type="dxa"/>
            <w:tcBorders>
              <w:top w:val="nil"/>
              <w:left w:val="nil"/>
              <w:bottom w:val="nil"/>
              <w:right w:val="nil"/>
            </w:tcBorders>
          </w:tcPr>
          <w:p>
            <w:pPr>
              <w:pStyle w:val="TableParagraph"/>
              <w:spacing w:before="60"/>
              <w:ind w:left="302"/>
              <w:jc w:val="left"/>
              <w:rPr>
                <w:sz w:val="19"/>
              </w:rPr>
            </w:pPr>
            <w:r>
              <w:rPr>
                <w:sz w:val="19"/>
              </w:rPr>
              <w:t>58,27</w:t>
            </w:r>
          </w:p>
        </w:tc>
        <w:tc>
          <w:tcPr>
            <w:tcW w:w="1903" w:type="dxa"/>
            <w:tcBorders>
              <w:top w:val="nil"/>
              <w:left w:val="nil"/>
              <w:bottom w:val="nil"/>
              <w:right w:val="nil"/>
            </w:tcBorders>
          </w:tcPr>
          <w:p>
            <w:pPr>
              <w:pStyle w:val="TableParagraph"/>
              <w:spacing w:before="60"/>
              <w:ind w:left="811"/>
              <w:jc w:val="left"/>
              <w:rPr>
                <w:sz w:val="19"/>
              </w:rPr>
            </w:pPr>
            <w:r>
              <w:rPr>
                <w:sz w:val="19"/>
              </w:rPr>
              <w:t>67,79</w:t>
            </w:r>
          </w:p>
        </w:tc>
        <w:tc>
          <w:tcPr>
            <w:tcW w:w="1812" w:type="dxa"/>
            <w:tcBorders>
              <w:top w:val="nil"/>
              <w:left w:val="nil"/>
              <w:bottom w:val="nil"/>
              <w:right w:val="nil"/>
            </w:tcBorders>
          </w:tcPr>
          <w:p>
            <w:pPr>
              <w:pStyle w:val="TableParagraph"/>
              <w:spacing w:before="60"/>
              <w:ind w:left="604"/>
              <w:jc w:val="left"/>
              <w:rPr>
                <w:sz w:val="19"/>
              </w:rPr>
            </w:pPr>
            <w:r>
              <w:rPr>
                <w:sz w:val="19"/>
              </w:rPr>
              <w:t>78,90</w:t>
            </w:r>
          </w:p>
        </w:tc>
        <w:tc>
          <w:tcPr>
            <w:tcW w:w="2278" w:type="dxa"/>
            <w:tcBorders>
              <w:top w:val="nil"/>
              <w:left w:val="nil"/>
              <w:bottom w:val="nil"/>
            </w:tcBorders>
          </w:tcPr>
          <w:p>
            <w:pPr>
              <w:pStyle w:val="TableParagraph"/>
              <w:spacing w:before="60"/>
              <w:ind w:left="720"/>
              <w:jc w:val="left"/>
              <w:rPr>
                <w:sz w:val="19"/>
              </w:rPr>
            </w:pPr>
            <w:r>
              <w:rPr>
                <w:sz w:val="19"/>
              </w:rPr>
              <w:t>87,89</w:t>
            </w:r>
          </w:p>
        </w:tc>
      </w:tr>
      <w:tr>
        <w:trPr>
          <w:trHeight w:val="350" w:hRule="exact"/>
        </w:trPr>
        <w:tc>
          <w:tcPr>
            <w:tcW w:w="463" w:type="dxa"/>
            <w:vMerge/>
          </w:tcPr>
          <w:p>
            <w:pPr/>
          </w:p>
        </w:tc>
        <w:tc>
          <w:tcPr>
            <w:tcW w:w="463" w:type="dxa"/>
            <w:vMerge/>
          </w:tcPr>
          <w:p>
            <w:pPr/>
          </w:p>
        </w:tc>
        <w:tc>
          <w:tcPr>
            <w:tcW w:w="653" w:type="dxa"/>
            <w:tcBorders>
              <w:top w:val="nil"/>
              <w:bottom w:val="nil"/>
              <w:right w:val="nil"/>
            </w:tcBorders>
          </w:tcPr>
          <w:p>
            <w:pPr>
              <w:pStyle w:val="TableParagraph"/>
              <w:spacing w:before="53"/>
              <w:ind w:left="21"/>
              <w:jc w:val="left"/>
              <w:rPr>
                <w:b/>
                <w:sz w:val="19"/>
              </w:rPr>
            </w:pPr>
            <w:r>
              <w:rPr>
                <w:b/>
                <w:sz w:val="19"/>
              </w:rPr>
              <w:t>120</w:t>
            </w:r>
          </w:p>
        </w:tc>
        <w:tc>
          <w:tcPr>
            <w:tcW w:w="1601" w:type="dxa"/>
            <w:tcBorders>
              <w:top w:val="nil"/>
              <w:left w:val="nil"/>
              <w:bottom w:val="nil"/>
              <w:right w:val="nil"/>
            </w:tcBorders>
          </w:tcPr>
          <w:p>
            <w:pPr>
              <w:pStyle w:val="TableParagraph"/>
              <w:spacing w:before="60"/>
              <w:ind w:left="302"/>
              <w:jc w:val="left"/>
              <w:rPr>
                <w:sz w:val="19"/>
              </w:rPr>
            </w:pPr>
            <w:r>
              <w:rPr>
                <w:sz w:val="19"/>
              </w:rPr>
              <w:t>58,10</w:t>
            </w:r>
          </w:p>
        </w:tc>
        <w:tc>
          <w:tcPr>
            <w:tcW w:w="1903" w:type="dxa"/>
            <w:tcBorders>
              <w:top w:val="nil"/>
              <w:left w:val="nil"/>
              <w:bottom w:val="nil"/>
              <w:right w:val="nil"/>
            </w:tcBorders>
          </w:tcPr>
          <w:p>
            <w:pPr>
              <w:pStyle w:val="TableParagraph"/>
              <w:spacing w:before="60"/>
              <w:ind w:left="811"/>
              <w:jc w:val="left"/>
              <w:rPr>
                <w:sz w:val="19"/>
              </w:rPr>
            </w:pPr>
            <w:r>
              <w:rPr>
                <w:sz w:val="19"/>
              </w:rPr>
              <w:t>67,61</w:t>
            </w:r>
          </w:p>
        </w:tc>
        <w:tc>
          <w:tcPr>
            <w:tcW w:w="1812" w:type="dxa"/>
            <w:tcBorders>
              <w:top w:val="nil"/>
              <w:left w:val="nil"/>
              <w:bottom w:val="nil"/>
              <w:right w:val="nil"/>
            </w:tcBorders>
          </w:tcPr>
          <w:p>
            <w:pPr>
              <w:pStyle w:val="TableParagraph"/>
              <w:spacing w:before="60"/>
              <w:ind w:left="604"/>
              <w:jc w:val="left"/>
              <w:rPr>
                <w:sz w:val="19"/>
              </w:rPr>
            </w:pPr>
            <w:r>
              <w:rPr>
                <w:sz w:val="19"/>
              </w:rPr>
              <w:t>78,72</w:t>
            </w:r>
          </w:p>
        </w:tc>
        <w:tc>
          <w:tcPr>
            <w:tcW w:w="2278" w:type="dxa"/>
            <w:tcBorders>
              <w:top w:val="nil"/>
              <w:left w:val="nil"/>
              <w:bottom w:val="nil"/>
            </w:tcBorders>
          </w:tcPr>
          <w:p>
            <w:pPr>
              <w:pStyle w:val="TableParagraph"/>
              <w:spacing w:before="60"/>
              <w:ind w:left="720"/>
              <w:jc w:val="left"/>
              <w:rPr>
                <w:sz w:val="19"/>
              </w:rPr>
            </w:pPr>
            <w:r>
              <w:rPr>
                <w:sz w:val="19"/>
              </w:rPr>
              <w:t>87,72</w:t>
            </w:r>
          </w:p>
        </w:tc>
      </w:tr>
      <w:tr>
        <w:trPr>
          <w:trHeight w:val="346" w:hRule="exact"/>
        </w:trPr>
        <w:tc>
          <w:tcPr>
            <w:tcW w:w="463" w:type="dxa"/>
            <w:vMerge/>
            <w:tcBorders>
              <w:bottom w:val="single" w:sz="3" w:space="0" w:color="000000"/>
            </w:tcBorders>
          </w:tcPr>
          <w:p>
            <w:pPr/>
          </w:p>
        </w:tc>
        <w:tc>
          <w:tcPr>
            <w:tcW w:w="463" w:type="dxa"/>
            <w:vMerge/>
            <w:tcBorders>
              <w:bottom w:val="single" w:sz="3" w:space="0" w:color="000000"/>
            </w:tcBorders>
          </w:tcPr>
          <w:p>
            <w:pPr/>
          </w:p>
        </w:tc>
        <w:tc>
          <w:tcPr>
            <w:tcW w:w="653" w:type="dxa"/>
            <w:tcBorders>
              <w:top w:val="nil"/>
              <w:bottom w:val="single" w:sz="3" w:space="0" w:color="000000"/>
              <w:right w:val="nil"/>
            </w:tcBorders>
          </w:tcPr>
          <w:p>
            <w:pPr>
              <w:pStyle w:val="TableParagraph"/>
              <w:spacing w:before="53"/>
              <w:ind w:left="21"/>
              <w:jc w:val="left"/>
              <w:rPr>
                <w:b/>
                <w:sz w:val="19"/>
              </w:rPr>
            </w:pPr>
            <w:r>
              <w:rPr>
                <w:b/>
                <w:sz w:val="19"/>
              </w:rPr>
              <w:t>144</w:t>
            </w:r>
          </w:p>
        </w:tc>
        <w:tc>
          <w:tcPr>
            <w:tcW w:w="1601" w:type="dxa"/>
            <w:tcBorders>
              <w:top w:val="nil"/>
              <w:left w:val="nil"/>
              <w:bottom w:val="single" w:sz="3" w:space="0" w:color="000000"/>
              <w:right w:val="nil"/>
            </w:tcBorders>
          </w:tcPr>
          <w:p>
            <w:pPr>
              <w:pStyle w:val="TableParagraph"/>
              <w:spacing w:before="60"/>
              <w:ind w:left="302"/>
              <w:jc w:val="left"/>
              <w:rPr>
                <w:sz w:val="19"/>
              </w:rPr>
            </w:pPr>
            <w:r>
              <w:rPr>
                <w:sz w:val="19"/>
              </w:rPr>
              <w:t>57,97</w:t>
            </w:r>
          </w:p>
        </w:tc>
        <w:tc>
          <w:tcPr>
            <w:tcW w:w="1903" w:type="dxa"/>
            <w:tcBorders>
              <w:top w:val="nil"/>
              <w:left w:val="nil"/>
              <w:bottom w:val="single" w:sz="3" w:space="0" w:color="000000"/>
              <w:right w:val="nil"/>
            </w:tcBorders>
          </w:tcPr>
          <w:p>
            <w:pPr>
              <w:pStyle w:val="TableParagraph"/>
              <w:spacing w:before="60"/>
              <w:ind w:left="811"/>
              <w:jc w:val="left"/>
              <w:rPr>
                <w:sz w:val="19"/>
              </w:rPr>
            </w:pPr>
            <w:r>
              <w:rPr>
                <w:sz w:val="19"/>
              </w:rPr>
              <w:t>67,48</w:t>
            </w:r>
          </w:p>
        </w:tc>
        <w:tc>
          <w:tcPr>
            <w:tcW w:w="1812" w:type="dxa"/>
            <w:tcBorders>
              <w:top w:val="nil"/>
              <w:left w:val="nil"/>
              <w:bottom w:val="single" w:sz="3" w:space="0" w:color="000000"/>
              <w:right w:val="nil"/>
            </w:tcBorders>
          </w:tcPr>
          <w:p>
            <w:pPr>
              <w:pStyle w:val="TableParagraph"/>
              <w:spacing w:before="60"/>
              <w:ind w:left="604"/>
              <w:jc w:val="left"/>
              <w:rPr>
                <w:sz w:val="19"/>
              </w:rPr>
            </w:pPr>
            <w:r>
              <w:rPr>
                <w:sz w:val="19"/>
              </w:rPr>
              <w:t>78,59</w:t>
            </w:r>
          </w:p>
        </w:tc>
        <w:tc>
          <w:tcPr>
            <w:tcW w:w="2278" w:type="dxa"/>
            <w:tcBorders>
              <w:top w:val="nil"/>
              <w:left w:val="nil"/>
              <w:bottom w:val="single" w:sz="3" w:space="0" w:color="000000"/>
            </w:tcBorders>
          </w:tcPr>
          <w:p>
            <w:pPr>
              <w:pStyle w:val="TableParagraph"/>
              <w:spacing w:before="60"/>
              <w:ind w:left="720"/>
              <w:jc w:val="left"/>
              <w:rPr>
                <w:sz w:val="19"/>
              </w:rPr>
            </w:pPr>
            <w:r>
              <w:rPr>
                <w:sz w:val="19"/>
              </w:rPr>
              <w:t>87,59</w:t>
            </w:r>
          </w:p>
        </w:tc>
      </w:tr>
    </w:tbl>
    <w:p>
      <w:pPr>
        <w:spacing w:after="0"/>
        <w:jc w:val="left"/>
        <w:rPr>
          <w:sz w:val="19"/>
        </w:rPr>
        <w:sectPr>
          <w:pgSz w:w="11900" w:h="16840"/>
          <w:pgMar w:header="0" w:footer="1679" w:top="1600" w:bottom="1860" w:left="1260" w:right="1240"/>
        </w:sectPr>
      </w:pPr>
    </w:p>
    <w:p>
      <w:pPr>
        <w:pStyle w:val="BodyText"/>
        <w:rPr>
          <w:b/>
          <w:sz w:val="20"/>
        </w:rPr>
      </w:pPr>
    </w:p>
    <w:p>
      <w:pPr>
        <w:pStyle w:val="BodyText"/>
        <w:spacing w:before="8"/>
        <w:rPr>
          <w:b/>
          <w:sz w:val="18"/>
        </w:rPr>
      </w:pPr>
    </w:p>
    <w:p>
      <w:pPr>
        <w:pStyle w:val="BodyText"/>
        <w:spacing w:line="364" w:lineRule="auto" w:before="74"/>
        <w:ind w:left="101" w:right="104"/>
        <w:jc w:val="both"/>
      </w:pPr>
      <w:r>
        <w:rPr/>
        <w:t>De todos ellos el 15% no trabajó por padecer algún tipo de enfermedad o por estar de vacaciones. El 55% se auto contrata en su tierra o en su negocio; otros se contratan en la construcción (5%); en la alfarería (5%); en la carpintería (5%); en el gobierno (5%), y 10% no especificó en qué trabajo. La mayoría lo hace en el  mismo poblado (65%)  y  sólo el 15% lo hace en municipios</w:t>
      </w:r>
      <w:r>
        <w:rPr>
          <w:spacing w:val="48"/>
        </w:rPr>
        <w:t> </w:t>
      </w:r>
      <w:r>
        <w:rPr/>
        <w:t>aledaños.</w:t>
      </w:r>
    </w:p>
    <w:p>
      <w:pPr>
        <w:pStyle w:val="BodyText"/>
        <w:spacing w:before="4"/>
        <w:rPr>
          <w:sz w:val="17"/>
        </w:rPr>
      </w:pPr>
    </w:p>
    <w:p>
      <w:pPr>
        <w:pStyle w:val="BodyText"/>
        <w:spacing w:line="364" w:lineRule="auto"/>
        <w:ind w:left="101" w:right="103"/>
        <w:jc w:val="both"/>
      </w:pPr>
      <w:r>
        <w:rPr/>
        <w:t>Con respecto a los envíos de remesas para Amayuca varió de la siguiente forma: en 1995 cada migrante hizo 6.04 envíos en promedio, cifra que descendió a 5.76 en 1996   y a 5.8 en 1997. Las principales finalidades de los envíos fueron: mantener a la familia  en el 82.9% de los casos; mejoras a la construcción de la casa 71.4% (construir la casa 60%; arreglar la casa 28.6%); amueblar la casa 42.9%; abrir una cuenta de ahorro en el banco 37.1%, realizar alguna fiesta familiar 31.4%. Con menos frecuencia se citan a los siguientes objetivos: pagar alguna deuda, comprar tierras de cultivo y comprar animales de corral, 8.6% cada uno; comprar camioneta y poner negocio 5.7% cada uno,  y comprar maquinaria y pagar el médico de algún familiar, 2.9% cada </w:t>
      </w:r>
      <w:r>
        <w:rPr>
          <w:spacing w:val="17"/>
        </w:rPr>
        <w:t> </w:t>
      </w:r>
      <w:r>
        <w:rPr/>
        <w:t>uno.</w:t>
      </w:r>
    </w:p>
    <w:p>
      <w:pPr>
        <w:pStyle w:val="BodyText"/>
        <w:spacing w:line="364" w:lineRule="auto" w:before="197"/>
        <w:ind w:left="101" w:right="105"/>
        <w:jc w:val="both"/>
      </w:pPr>
      <w:r>
        <w:rPr/>
        <w:t>Entre los migrantes de Amayuca, en promedio, el jefe de familia a cursado 8.1 años de educación escolarizada con una distribución bastante homogénea: Entre ellos no hay analfabetas; el 5.7% cursó de 1 a 4 años de escuela; el 77.1% realizó estudios por un periodo de 5 a 9 años, y el 22.2% hizo estudios por 10 ó más años. La educación de     las esposas es apenas un poco mayor pero notablemente menor que la de los </w:t>
      </w:r>
      <w:r>
        <w:rPr>
          <w:spacing w:val="34"/>
        </w:rPr>
        <w:t> </w:t>
      </w:r>
      <w:r>
        <w:rPr/>
        <w:t>hijos.</w:t>
      </w:r>
    </w:p>
    <w:p>
      <w:pPr>
        <w:pStyle w:val="BodyText"/>
        <w:spacing w:before="4"/>
        <w:rPr>
          <w:sz w:val="17"/>
        </w:rPr>
      </w:pPr>
    </w:p>
    <w:p>
      <w:pPr>
        <w:pStyle w:val="BodyText"/>
        <w:spacing w:line="364" w:lineRule="auto"/>
        <w:ind w:left="101" w:right="104"/>
        <w:jc w:val="both"/>
      </w:pPr>
      <w:r>
        <w:rPr/>
        <w:t>Para el 37.1% de los migrantes su primer destino fue el estado de Texas y su primer trabajo la “pintura”; para otro 14.3% su primer destino fue Texas pero su posterior  trabajo la</w:t>
      </w:r>
      <w:r>
        <w:rPr>
          <w:spacing w:val="18"/>
        </w:rPr>
        <w:t> </w:t>
      </w:r>
      <w:r>
        <w:rPr/>
        <w:t>“pintura”.</w:t>
      </w:r>
    </w:p>
    <w:p>
      <w:pPr>
        <w:pStyle w:val="BodyText"/>
        <w:spacing w:before="4"/>
        <w:rPr>
          <w:sz w:val="17"/>
        </w:rPr>
      </w:pPr>
    </w:p>
    <w:p>
      <w:pPr>
        <w:pStyle w:val="BodyText"/>
        <w:spacing w:line="364" w:lineRule="auto"/>
        <w:ind w:left="101" w:right="105"/>
        <w:jc w:val="both"/>
      </w:pPr>
      <w:r>
        <w:rPr/>
        <w:t>En general, los conocimientos que tuvieron que aprender los migrantes fueron en el 85.7% de los casos procedimientos manuales incluyendo el manejo de maquinaria sencilla; el 34.3% tuvo que aprender procedimientos un poco complejos que requieren  de mayor iniciativa y algunos grados de estudio previos; el 17.2% a manejar maquinaria pesada y de precisión y el idioma Inglés; y el 2.9% ningún conocimiento. El 57.1% aprendió en la práctica; el 34.3% bajo indicaciones y vigilancia estrictas, y el 17.1% recibió</w:t>
      </w:r>
      <w:r>
        <w:rPr>
          <w:spacing w:val="19"/>
        </w:rPr>
        <w:t> </w:t>
      </w:r>
      <w:r>
        <w:rPr/>
        <w:t>cursos</w:t>
      </w:r>
      <w:r>
        <w:rPr>
          <w:spacing w:val="23"/>
        </w:rPr>
        <w:t> </w:t>
      </w:r>
      <w:r>
        <w:rPr/>
        <w:t>de</w:t>
      </w:r>
      <w:r>
        <w:rPr>
          <w:spacing w:val="22"/>
        </w:rPr>
        <w:t> </w:t>
      </w:r>
      <w:r>
        <w:rPr/>
        <w:t>entrenamiento</w:t>
      </w:r>
      <w:r>
        <w:rPr>
          <w:spacing w:val="24"/>
        </w:rPr>
        <w:t> </w:t>
      </w:r>
      <w:r>
        <w:rPr/>
        <w:t>y</w:t>
      </w:r>
      <w:r>
        <w:rPr>
          <w:spacing w:val="18"/>
        </w:rPr>
        <w:t> </w:t>
      </w:r>
      <w:r>
        <w:rPr/>
        <w:t>capacitación</w:t>
      </w:r>
      <w:r>
        <w:rPr>
          <w:spacing w:val="22"/>
        </w:rPr>
        <w:t> </w:t>
      </w:r>
      <w:r>
        <w:rPr/>
        <w:t>o</w:t>
      </w:r>
      <w:r>
        <w:rPr>
          <w:spacing w:val="19"/>
        </w:rPr>
        <w:t> </w:t>
      </w:r>
      <w:r>
        <w:rPr/>
        <w:t>bien</w:t>
      </w:r>
      <w:r>
        <w:rPr>
          <w:spacing w:val="22"/>
        </w:rPr>
        <w:t> </w:t>
      </w:r>
      <w:r>
        <w:rPr/>
        <w:t>estudiando</w:t>
      </w:r>
      <w:r>
        <w:rPr>
          <w:spacing w:val="22"/>
        </w:rPr>
        <w:t> </w:t>
      </w:r>
      <w:r>
        <w:rPr/>
        <w:t>por</w:t>
      </w:r>
      <w:r>
        <w:rPr>
          <w:spacing w:val="21"/>
        </w:rPr>
        <w:t> </w:t>
      </w:r>
      <w:r>
        <w:rPr/>
        <w:t>su</w:t>
      </w:r>
      <w:r>
        <w:rPr>
          <w:spacing w:val="22"/>
        </w:rPr>
        <w:t> </w:t>
      </w:r>
      <w:r>
        <w:rPr/>
        <w:t>cuenta.</w:t>
      </w:r>
      <w:r>
        <w:rPr>
          <w:spacing w:val="22"/>
        </w:rPr>
        <w:t> </w:t>
      </w:r>
      <w:r>
        <w:rPr/>
        <w:t>Entre</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6"/>
        <w:jc w:val="both"/>
      </w:pPr>
      <w:r>
        <w:rPr/>
        <w:t>éstos, el proceso de aprendizaje se llevó dos semanas o menos en el  40%  de los  casos; de dos semanas a menos de dos meses 22.9%, y más de un año el </w:t>
      </w:r>
      <w:r>
        <w:rPr>
          <w:spacing w:val="34"/>
        </w:rPr>
        <w:t> </w:t>
      </w:r>
      <w:r>
        <w:rPr/>
        <w:t>34.3%.</w:t>
      </w:r>
    </w:p>
    <w:p>
      <w:pPr>
        <w:pStyle w:val="BodyText"/>
        <w:spacing w:before="4"/>
        <w:rPr>
          <w:sz w:val="17"/>
        </w:rPr>
      </w:pPr>
    </w:p>
    <w:p>
      <w:pPr>
        <w:pStyle w:val="BodyText"/>
        <w:spacing w:line="364" w:lineRule="auto"/>
        <w:ind w:left="101" w:right="105"/>
        <w:jc w:val="both"/>
      </w:pPr>
      <w:r>
        <w:rPr/>
        <w:t>Debido a esos conocimientos, el 62.9% encuentra trabajo más pronto, al 28.6% le ofrecen trabajo menos pesado, al 65.7% le ofrecen trabajo mejor pagado, el 37.1% encuentra trabajo más seguro y permanente, y el 20% no pudo opinar al respecto por  ser su único trabajo. El 31.4% no habla Inglés, el 8.6% lo habla un poco, el 31.4% lo habla a medias y el 28.6% considera que si lo habla. El 45.7% tiene documentos y por tanto el restante 54.3% no los</w:t>
      </w:r>
      <w:r>
        <w:rPr>
          <w:spacing w:val="39"/>
        </w:rPr>
        <w:t> </w:t>
      </w:r>
      <w:r>
        <w:rPr/>
        <w:t>tiene.</w:t>
      </w:r>
    </w:p>
    <w:p>
      <w:pPr>
        <w:pStyle w:val="BodyText"/>
        <w:spacing w:before="4"/>
        <w:rPr>
          <w:sz w:val="17"/>
        </w:rPr>
      </w:pPr>
    </w:p>
    <w:p>
      <w:pPr>
        <w:pStyle w:val="BodyText"/>
        <w:spacing w:line="364" w:lineRule="auto"/>
        <w:ind w:left="101" w:right="105"/>
        <w:jc w:val="both"/>
      </w:pPr>
      <w:r>
        <w:rPr/>
        <w:t>Puede considerarse que antes de partir a los Estados Unidos el 77.1% de los amayucanos estaba involucrado de alguna manera con la agricultura y que el 92.6% de ellos tuvo como último trabajo en ese país alguna actividad del sector servicios aunque  el 18.5% había trabajado previamente en la industria y/o en la agricultura y el  11.1%  sólo lo había hecho en la industria. Pero sólo el 63% regresa a las actividades agropecuarias cuando está de retorno en</w:t>
      </w:r>
      <w:r>
        <w:rPr>
          <w:spacing w:val="59"/>
        </w:rPr>
        <w:t> </w:t>
      </w:r>
      <w:r>
        <w:rPr/>
        <w:t>Amayuca.</w:t>
      </w:r>
    </w:p>
    <w:p>
      <w:pPr>
        <w:pStyle w:val="BodyText"/>
        <w:spacing w:before="4"/>
        <w:rPr>
          <w:sz w:val="17"/>
        </w:rPr>
      </w:pPr>
    </w:p>
    <w:p>
      <w:pPr>
        <w:pStyle w:val="BodyText"/>
        <w:spacing w:line="364" w:lineRule="auto"/>
        <w:ind w:left="101" w:right="104"/>
        <w:jc w:val="both"/>
      </w:pPr>
      <w:r>
        <w:rPr/>
        <w:t>El 88.6% considera que si logró sus objetivos y para ello se tomó un promedio de 28.18 meses. Los que no lo pudieron lograr fue por causas de enfermedad, robo o  accidente.</w:t>
      </w:r>
    </w:p>
    <w:p>
      <w:pPr>
        <w:pStyle w:val="BodyText"/>
        <w:spacing w:before="4"/>
        <w:rPr>
          <w:sz w:val="17"/>
        </w:rPr>
      </w:pPr>
    </w:p>
    <w:p>
      <w:pPr>
        <w:pStyle w:val="BodyText"/>
        <w:spacing w:line="364" w:lineRule="auto"/>
        <w:ind w:left="101" w:right="102"/>
        <w:jc w:val="both"/>
      </w:pPr>
      <w:r>
        <w:rPr/>
        <w:t>De igual manera, el 85.7% de los emigrantes consideran que el dinero con el cual mantienen a su familia es principalmente el que proviene de su trabajo en los Estados Unidos. Prácticamente en forma complementaria, el 37.1% considera que ese rubro corresponde a su trabajo en la agricultura principalmente o la ganadería en México; mientras que el 17.1% considera a su trabajo en la albañilería en México, y 14.3% por  su negocio en México. La alfarería, el trabajo en el gobierno, la jardinería, la carpintería  y la renta de maquinaria y vehículos tienen un 2.9% cada </w:t>
      </w:r>
      <w:r>
        <w:rPr>
          <w:spacing w:val="5"/>
        </w:rPr>
        <w:t> </w:t>
      </w:r>
      <w:r>
        <w:rPr/>
        <w:t>uno.</w:t>
      </w:r>
    </w:p>
    <w:p>
      <w:pPr>
        <w:pStyle w:val="BodyText"/>
        <w:spacing w:before="6"/>
        <w:rPr>
          <w:sz w:val="17"/>
        </w:rPr>
      </w:pPr>
    </w:p>
    <w:p>
      <w:pPr>
        <w:pStyle w:val="BodyText"/>
        <w:spacing w:line="364" w:lineRule="auto"/>
        <w:ind w:left="101" w:right="104"/>
        <w:jc w:val="both"/>
      </w:pPr>
      <w:r>
        <w:rPr/>
        <w:t>Para el 68.6% de los emigrantes el ingreso más frecuente es el que proviene de los Estados Unidos; en cambio para el 11.4% ese lugar lo ocupa el negocio que tienen en México; para el 5.7% está representado por el trabajo en la agricultura; la alfarería, los intereses en el banco y el trabajo en el gobierno que en conjunto representan el 8.6%, y todos los demás el 5.7%.</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Actualmente, del total de los entrevistados, el 54.3% se consideran involucrados con la tierra. De ellos el 21% no manifestaron ninguna mejora en su tierra, proceso de cultivo    o comercialización. El 89% restante respondieron positivamente:  el  21%  compraron más tierra, el 10.5% mejoraron las condiciones de riego, el 10.5% compraron  maquinaria, el 5.2% rentó tierra, el 47.4% rentó maquinaria, el 52.6% manifestaron mejoras en el paquete tecnológico, el 5.2% compró camioneta para el transporte, el 31.6% incrementó la producción, el 5.2% pudo hacer las aplicaciones técnicas oportunamente y otro 5.2% compró ganado. La inversión se llevó en promedio 5.4 años de trabajo (solamente el 68.4% dieron ese</w:t>
      </w:r>
      <w:r>
        <w:rPr>
          <w:spacing w:val="53"/>
        </w:rPr>
        <w:t> </w:t>
      </w:r>
      <w:r>
        <w:rPr/>
        <w:t>dato).</w:t>
      </w:r>
    </w:p>
    <w:p>
      <w:pPr>
        <w:pStyle w:val="BodyText"/>
        <w:spacing w:before="4"/>
        <w:rPr>
          <w:sz w:val="17"/>
        </w:rPr>
      </w:pPr>
    </w:p>
    <w:p>
      <w:pPr>
        <w:pStyle w:val="BodyText"/>
        <w:spacing w:line="364" w:lineRule="auto"/>
        <w:ind w:left="101" w:right="104"/>
        <w:jc w:val="both"/>
      </w:pPr>
      <w:r>
        <w:rPr/>
        <w:t>El 84.2% realizan ahora cultivos más comerciales. Sin embargo, el 31.6% de los migrantes no siembran toda la superficie que poseen por lo cual al menos 49.3 ha, del total que poseen los migrantes se quedan sin</w:t>
      </w:r>
      <w:r>
        <w:rPr>
          <w:spacing w:val="59"/>
        </w:rPr>
        <w:t> </w:t>
      </w:r>
      <w:r>
        <w:rPr/>
        <w:t>sembrar.</w:t>
      </w:r>
    </w:p>
    <w:p>
      <w:pPr>
        <w:pStyle w:val="BodyText"/>
        <w:spacing w:line="364" w:lineRule="auto" w:before="197"/>
        <w:ind w:left="101" w:right="105"/>
        <w:jc w:val="both"/>
      </w:pPr>
      <w:r>
        <w:rPr/>
        <w:t>De los productores que manifestaron haber tenido una mejoría en su unidad de producción el 63.2% cuentan con herramientas propias y sólo el 10.5% las consiguen rentadas. </w:t>
      </w:r>
      <w:r>
        <w:rPr>
          <w:spacing w:val="2"/>
        </w:rPr>
        <w:t>En </w:t>
      </w:r>
      <w:r>
        <w:rPr/>
        <w:t>cuanto a la maquinaria la relación es inversa: sólo el 15.8% tienen maquinaria agrícola propia y el 68.4% la rentan. En el caso de la yunta los que la  poseen en propiedad son el 26.3% y los que las toman en arriendo son el </w:t>
      </w:r>
      <w:r>
        <w:rPr>
          <w:spacing w:val="32"/>
        </w:rPr>
        <w:t> </w:t>
      </w:r>
      <w:r>
        <w:rPr/>
        <w:t>31.6%.</w:t>
      </w:r>
    </w:p>
    <w:p>
      <w:pPr>
        <w:pStyle w:val="BodyText"/>
        <w:spacing w:before="4"/>
        <w:rPr>
          <w:sz w:val="17"/>
        </w:rPr>
      </w:pPr>
    </w:p>
    <w:p>
      <w:pPr>
        <w:pStyle w:val="BodyText"/>
        <w:spacing w:line="364" w:lineRule="auto"/>
        <w:ind w:left="101" w:right="108"/>
        <w:jc w:val="both"/>
      </w:pPr>
      <w:r>
        <w:rPr/>
        <w:t>La ganadería entre los emigrantes es incipiente. Solamente el  15.8%  de  los productores agropecuarios han comprado ganado con el dinero ganado en los Estados Unidos pero eso ha sido en cantidades</w:t>
      </w:r>
      <w:r>
        <w:rPr>
          <w:spacing w:val="54"/>
        </w:rPr>
        <w:t> </w:t>
      </w:r>
      <w:r>
        <w:rPr/>
        <w:t>ínfimas.</w:t>
      </w:r>
    </w:p>
    <w:p>
      <w:pPr>
        <w:pStyle w:val="BodyText"/>
        <w:spacing w:before="6"/>
        <w:rPr>
          <w:sz w:val="17"/>
        </w:rPr>
      </w:pPr>
    </w:p>
    <w:p>
      <w:pPr>
        <w:pStyle w:val="BodyText"/>
        <w:spacing w:line="364" w:lineRule="auto"/>
        <w:ind w:left="101" w:right="105"/>
        <w:jc w:val="both"/>
      </w:pPr>
      <w:r>
        <w:rPr/>
        <w:t>El 25.7% de todos los migrantes posee algún negocio. El 71.4% de ellos actualmente compra más mercancía, el 14.3% ha diversificado su mercancía y otro 14.3% vende menos por la competencia. Solamente este último tiene que inyectarle dinero de lo que gana en los Estados Unidos para que su negocio  funcione.</w:t>
      </w:r>
    </w:p>
    <w:p>
      <w:pPr>
        <w:pStyle w:val="BodyText"/>
        <w:spacing w:before="4"/>
        <w:rPr>
          <w:sz w:val="17"/>
        </w:rPr>
      </w:pPr>
    </w:p>
    <w:p>
      <w:pPr>
        <w:pStyle w:val="BodyText"/>
        <w:spacing w:line="364" w:lineRule="auto"/>
        <w:ind w:left="101" w:right="105"/>
        <w:jc w:val="both"/>
      </w:pPr>
      <w:r>
        <w:rPr/>
        <w:t>Al 17.1% de los migrantes le ha servido la experiencia adquirida en los Estados Unidos en su desempeño laboral (y social) en México; mientras que el 34.3% considera que no le ha servido. El resto no especifico respuesta alguna. La utilidad la han obtenido el  8.6% en saber administrar tiempo, dinero y bienes; el 5.7% en procesos técnicos; para   el  22.9%  no  aplica  porque  el  trabajo  es  diferente  o  hacen  su  vida  en  los</w:t>
      </w:r>
      <w:r>
        <w:rPr>
          <w:spacing w:val="-5"/>
        </w:rPr>
        <w:t> </w:t>
      </w:r>
      <w:r>
        <w:rPr/>
        <w:t>Estados</w:t>
      </w:r>
    </w:p>
    <w:p>
      <w:pPr>
        <w:spacing w:after="0" w:line="364" w:lineRule="auto"/>
        <w:jc w:val="both"/>
        <w:sectPr>
          <w:footerReference w:type="default" r:id="rId528"/>
          <w:pgSz w:w="11900" w:h="16840"/>
          <w:pgMar w:footer="1679" w:header="0" w:top="1600" w:bottom="1860" w:left="1300" w:right="1280"/>
          <w:pgNumType w:start="410"/>
        </w:sectPr>
      </w:pPr>
    </w:p>
    <w:p>
      <w:pPr>
        <w:pStyle w:val="BodyText"/>
        <w:rPr>
          <w:sz w:val="20"/>
        </w:rPr>
      </w:pPr>
    </w:p>
    <w:p>
      <w:pPr>
        <w:pStyle w:val="BodyText"/>
        <w:spacing w:before="8"/>
        <w:rPr>
          <w:sz w:val="18"/>
        </w:rPr>
      </w:pPr>
    </w:p>
    <w:p>
      <w:pPr>
        <w:pStyle w:val="BodyText"/>
        <w:spacing w:line="364" w:lineRule="auto" w:before="74"/>
        <w:ind w:left="101" w:right="105"/>
        <w:jc w:val="both"/>
      </w:pPr>
      <w:r>
        <w:rPr/>
        <w:t>Unidos. En el aspecto sociopolítico, sólo el 11.4% de los emigrantes  han  ocupado  algún cargo público; el 2.9% en más de una</w:t>
      </w:r>
      <w:r>
        <w:rPr>
          <w:spacing w:val="60"/>
        </w:rPr>
        <w:t> </w:t>
      </w:r>
      <w:r>
        <w:rPr/>
        <w:t>ocasión.</w:t>
      </w:r>
    </w:p>
    <w:p>
      <w:pPr>
        <w:pStyle w:val="BodyText"/>
        <w:rPr>
          <w:sz w:val="22"/>
        </w:rPr>
      </w:pPr>
    </w:p>
    <w:p>
      <w:pPr>
        <w:pStyle w:val="BodyText"/>
        <w:rPr>
          <w:sz w:val="22"/>
        </w:rPr>
      </w:pPr>
    </w:p>
    <w:p>
      <w:pPr>
        <w:pStyle w:val="BodyText"/>
        <w:spacing w:before="2"/>
        <w:rPr>
          <w:sz w:val="28"/>
        </w:rPr>
      </w:pPr>
    </w:p>
    <w:p>
      <w:pPr>
        <w:pStyle w:val="Heading2"/>
        <w:numPr>
          <w:ilvl w:val="0"/>
          <w:numId w:val="33"/>
        </w:numPr>
        <w:tabs>
          <w:tab w:pos="539" w:val="left" w:leader="none"/>
        </w:tabs>
        <w:spacing w:line="240" w:lineRule="auto" w:before="0" w:after="0"/>
        <w:ind w:left="538" w:right="0" w:hanging="437"/>
        <w:jc w:val="both"/>
      </w:pPr>
      <w:r>
        <w:rPr/>
        <w:t>CONCLUSIONES Y</w:t>
      </w:r>
      <w:r>
        <w:rPr>
          <w:spacing w:val="6"/>
        </w:rPr>
        <w:t> </w:t>
      </w:r>
      <w:r>
        <w:rPr/>
        <w:t>RECOMENDACIONES</w:t>
      </w:r>
    </w:p>
    <w:p>
      <w:pPr>
        <w:pStyle w:val="BodyText"/>
        <w:rPr>
          <w:b/>
          <w:sz w:val="30"/>
        </w:rPr>
      </w:pPr>
    </w:p>
    <w:p>
      <w:pPr>
        <w:pStyle w:val="BodyText"/>
        <w:spacing w:before="6"/>
        <w:rPr>
          <w:b/>
          <w:sz w:val="36"/>
        </w:rPr>
      </w:pPr>
    </w:p>
    <w:p>
      <w:pPr>
        <w:pStyle w:val="BodyText"/>
        <w:spacing w:line="364" w:lineRule="auto"/>
        <w:ind w:left="101" w:right="105"/>
        <w:jc w:val="both"/>
      </w:pPr>
      <w:r>
        <w:rPr/>
        <w:t>La emigración de trabajadores amayuquenses a los Estados Unidos es un proceso relativamente nuevo, especialmente cuando se le compara con los inicios de los movimientos migratorios de las zonas tradicionales de migración las cuales iniciaron el proceso a principios del siglo XX (en algunos de los casos a fines del siglo XIX). Dado   el acelerado crecimiento de la demografía migratoria que Amayuca ha registrado en el último decenio es posible prever para un periodo inmediato algunos impactos negativos como son el incremento en el precio de las tierras  y de los salarios, la escasez de  fuerza de trabajo agropecuaria y el surgimiento de conductas antisociales; todos los cuales ya han sido observados en comunidades de arraigada tradición </w:t>
      </w:r>
      <w:r>
        <w:rPr>
          <w:spacing w:val="29"/>
        </w:rPr>
        <w:t> </w:t>
      </w:r>
      <w:r>
        <w:rPr/>
        <w:t>migratoria.</w:t>
      </w:r>
    </w:p>
    <w:p>
      <w:pPr>
        <w:pStyle w:val="BodyText"/>
        <w:rPr>
          <w:sz w:val="22"/>
        </w:rPr>
      </w:pPr>
    </w:p>
    <w:p>
      <w:pPr>
        <w:pStyle w:val="BodyText"/>
        <w:rPr>
          <w:sz w:val="22"/>
        </w:rPr>
      </w:pPr>
    </w:p>
    <w:p>
      <w:pPr>
        <w:pStyle w:val="BodyText"/>
        <w:spacing w:line="367" w:lineRule="auto" w:before="135"/>
        <w:ind w:left="101" w:right="105"/>
        <w:jc w:val="both"/>
      </w:pPr>
      <w:r>
        <w:rPr/>
        <w:t>También es posible esperar algunos impactos benéficos tales como el incremento en    las inversiones y la dinamización de la economía local y la formación de clubes de migrantes que pudieran proveer a la comunidad de algunos servicios mediante el envío de remesas</w:t>
      </w:r>
      <w:r>
        <w:rPr>
          <w:spacing w:val="24"/>
        </w:rPr>
        <w:t> </w:t>
      </w:r>
      <w:r>
        <w:rPr/>
        <w:t>colectivas.</w:t>
      </w:r>
    </w:p>
    <w:p>
      <w:pPr>
        <w:pStyle w:val="BodyText"/>
        <w:spacing w:line="364" w:lineRule="auto" w:before="194"/>
        <w:ind w:left="101" w:right="105"/>
        <w:jc w:val="both"/>
      </w:pPr>
      <w:r>
        <w:rPr/>
        <w:t>Más allá de estas tendencias, de los resultados obtenidos en este estudio se puede deducir que los migrantes amayuquenses basan su estrategia de incremento en los salarios, básicamente, en el aumento de la educación informal. Este es un proceso muy lento que rinde frutos en un corto plazo pero que después de cierto  tiempo  tiene retornos cada vez más reducidos (de eso nos habla la elasticidad de la experiencia (0.502).</w:t>
      </w:r>
    </w:p>
    <w:p>
      <w:pPr>
        <w:pStyle w:val="BodyText"/>
        <w:spacing w:before="4"/>
        <w:rPr>
          <w:sz w:val="17"/>
        </w:rPr>
      </w:pPr>
    </w:p>
    <w:p>
      <w:pPr>
        <w:pStyle w:val="BodyText"/>
        <w:spacing w:line="364" w:lineRule="auto"/>
        <w:ind w:left="101" w:right="108"/>
        <w:jc w:val="both"/>
      </w:pPr>
      <w:r>
        <w:rPr/>
        <w:t>En cambio, los efectos del incremento del acervo en educación formal rinden sus resultados en un plazo más corto y aumentan notablemente los salarios  percibidos.</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3"/>
        <w:jc w:val="both"/>
      </w:pPr>
      <w:r>
        <w:rPr/>
        <w:t>Desde este punto de vista se ve conveniente promover, mediante varias estrategias, la incorporación de los inmigrantes mexicanos en los Estados Unidos a los procesos de educación formal.</w:t>
      </w:r>
    </w:p>
    <w:p>
      <w:pPr>
        <w:pStyle w:val="BodyText"/>
        <w:spacing w:before="6"/>
        <w:rPr>
          <w:sz w:val="17"/>
        </w:rPr>
      </w:pPr>
    </w:p>
    <w:p>
      <w:pPr>
        <w:pStyle w:val="BodyText"/>
        <w:spacing w:line="364" w:lineRule="auto"/>
        <w:ind w:left="101" w:right="104"/>
        <w:jc w:val="both"/>
      </w:pPr>
      <w:r>
        <w:rPr/>
        <w:t>El proceso debería empezar preguntando a los migrantes si dominan el idioma inglés y en qué medida lo hacen. A continuación se interrogaría si tienen interés en estudiar ese idioma y cuanto tiempo estarían dispuestos a dedicarle cada semana y en qué  días.</w:t>
      </w:r>
    </w:p>
    <w:p>
      <w:pPr>
        <w:pStyle w:val="BodyText"/>
        <w:spacing w:before="4"/>
        <w:rPr>
          <w:sz w:val="17"/>
        </w:rPr>
      </w:pPr>
    </w:p>
    <w:p>
      <w:pPr>
        <w:pStyle w:val="BodyText"/>
        <w:spacing w:line="364" w:lineRule="auto"/>
        <w:ind w:left="101" w:right="103"/>
        <w:jc w:val="both"/>
      </w:pPr>
      <w:r>
        <w:rPr/>
        <w:t>Posteriormente, se indagaría el tipo de trabajo desempeñado y el grado de satisfacción que les representa, tanto en el aspecto material  y moral como monetario. Junto con  eso, la pesquisa debería incluir las posibilidades de ascenso laboral que  ellos  vislumbran para de ahí concluir el tipo de habilidades cuya formación se deberían promover. Al igual que en el caso del idioma habría que indagar el interés y la disponibilidad que el migrante pueda tener con respecto a la adquisición de conocimientos relacionados con su desempeño laboral o con otras actividades distintas así como el esfuerzo monetario que ellos estarían dispuestos a realizar con tal de adquirir tales</w:t>
      </w:r>
      <w:r>
        <w:rPr>
          <w:spacing w:val="29"/>
        </w:rPr>
        <w:t> </w:t>
      </w:r>
      <w:r>
        <w:rPr/>
        <w:t>conocimientos.</w:t>
      </w:r>
    </w:p>
    <w:p>
      <w:pPr>
        <w:pStyle w:val="BodyText"/>
        <w:spacing w:before="4"/>
        <w:rPr>
          <w:sz w:val="17"/>
        </w:rPr>
      </w:pPr>
    </w:p>
    <w:p>
      <w:pPr>
        <w:pStyle w:val="BodyText"/>
        <w:spacing w:line="364" w:lineRule="auto"/>
        <w:ind w:left="101" w:right="104"/>
        <w:jc w:val="both"/>
      </w:pPr>
      <w:r>
        <w:rPr/>
        <w:t>Una vez hecho ese diagnóstico, el cual podría incluir otros aspectos de carácter sociodemográfico, deberían analizarse las estrategias posibles para llevar a cabo el proceso de adquisición y fortalecimiento de las habilidades  técnicas.</w:t>
      </w:r>
    </w:p>
    <w:p>
      <w:pPr>
        <w:pStyle w:val="BodyText"/>
        <w:spacing w:before="4"/>
        <w:rPr>
          <w:sz w:val="17"/>
        </w:rPr>
      </w:pPr>
    </w:p>
    <w:p>
      <w:pPr>
        <w:pStyle w:val="BodyText"/>
        <w:spacing w:line="364" w:lineRule="auto"/>
        <w:ind w:left="101" w:right="105"/>
        <w:jc w:val="both"/>
      </w:pPr>
      <w:r>
        <w:rPr/>
        <w:t>Del lado mexicano hay que continuar promoviendo diversas medidas que puedan prevenir a los migrantes potenciales de los probables peligros que se enfrentaran al intentar ingresar de manera subrepticia al territorio estadounidense y preguntarles si están suficientemente preparados para lograrlo. Esto es posible pues la regularidad del funcionamiento del PCZ y del Grupo Beta ha demostrado eficacia y eficiencia en el   logro de sus</w:t>
      </w:r>
      <w:r>
        <w:rPr>
          <w:spacing w:val="20"/>
        </w:rPr>
        <w:t> </w:t>
      </w:r>
      <w:r>
        <w:rPr/>
        <w:t>objetivos.</w:t>
      </w:r>
    </w:p>
    <w:p>
      <w:pPr>
        <w:pStyle w:val="BodyText"/>
        <w:spacing w:before="4"/>
        <w:rPr>
          <w:sz w:val="17"/>
        </w:rPr>
      </w:pPr>
    </w:p>
    <w:p>
      <w:pPr>
        <w:pStyle w:val="BodyText"/>
        <w:spacing w:line="364" w:lineRule="auto"/>
        <w:ind w:left="101" w:right="104"/>
        <w:jc w:val="both"/>
      </w:pPr>
      <w:r>
        <w:rPr/>
        <w:t>En suma, las posibilidades para mejorar las condiciones de acceso y desempeño en los trabajos que los migrantes pueden desarrollar en los Estados Unidos son amplias y posibles de lograr. Esto es importante para México, no solo por las contribuciones que  los migrantes hacen a la economía mexicana sino también por razones de carácter estrictamente</w:t>
      </w:r>
      <w:r>
        <w:rPr>
          <w:spacing w:val="27"/>
        </w:rPr>
        <w:t> </w:t>
      </w:r>
      <w:r>
        <w:rPr/>
        <w:t>humanitario.</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2"/>
        <w:rPr>
          <w:sz w:val="19"/>
        </w:rPr>
      </w:pPr>
    </w:p>
    <w:p>
      <w:pPr>
        <w:pStyle w:val="Heading2"/>
        <w:numPr>
          <w:ilvl w:val="0"/>
          <w:numId w:val="33"/>
        </w:numPr>
        <w:tabs>
          <w:tab w:pos="481" w:val="left" w:leader="none"/>
        </w:tabs>
        <w:spacing w:line="240" w:lineRule="auto" w:before="61" w:after="0"/>
        <w:ind w:left="480" w:right="0" w:hanging="379"/>
        <w:jc w:val="both"/>
      </w:pPr>
      <w:r>
        <w:rPr/>
        <w:t>REFERENCIAS </w:t>
      </w:r>
      <w:r>
        <w:rPr>
          <w:spacing w:val="12"/>
        </w:rPr>
        <w:t> </w:t>
      </w:r>
      <w:r>
        <w:rPr/>
        <w:t>BIBLIOGRÁFICAS</w:t>
      </w:r>
    </w:p>
    <w:p>
      <w:pPr>
        <w:pStyle w:val="BodyText"/>
        <w:rPr>
          <w:b/>
          <w:sz w:val="40"/>
        </w:rPr>
      </w:pPr>
    </w:p>
    <w:p>
      <w:pPr>
        <w:pStyle w:val="BodyText"/>
        <w:spacing w:line="364" w:lineRule="auto"/>
        <w:ind w:left="101" w:right="105"/>
        <w:jc w:val="both"/>
      </w:pPr>
      <w:r>
        <w:rPr/>
        <w:t>Adams, R. H. 1999. Nonfarm Income, Inequality and Land in Rural Egypt. PRMPO/MNSED, World Bank.</w:t>
      </w:r>
      <w:r>
        <w:rPr>
          <w:spacing w:val="50"/>
        </w:rPr>
        <w:t> </w:t>
      </w:r>
      <w:r>
        <w:rPr/>
        <w:t>Washington.</w:t>
      </w:r>
    </w:p>
    <w:p>
      <w:pPr>
        <w:pStyle w:val="BodyText"/>
        <w:spacing w:before="4"/>
        <w:rPr>
          <w:sz w:val="17"/>
        </w:rPr>
      </w:pPr>
    </w:p>
    <w:p>
      <w:pPr>
        <w:pStyle w:val="BodyText"/>
        <w:spacing w:line="364" w:lineRule="auto"/>
        <w:ind w:left="101" w:right="103"/>
        <w:jc w:val="both"/>
      </w:pPr>
      <w:r>
        <w:rPr>
          <w:spacing w:val="-3"/>
        </w:rPr>
        <w:t>Adelman </w:t>
      </w:r>
      <w:r>
        <w:rPr/>
        <w:t>I. y J. E. </w:t>
      </w:r>
      <w:r>
        <w:rPr>
          <w:spacing w:val="-4"/>
        </w:rPr>
        <w:t>Taylor. </w:t>
      </w:r>
      <w:r>
        <w:rPr>
          <w:spacing w:val="-3"/>
        </w:rPr>
        <w:t>“Is structural </w:t>
      </w:r>
      <w:r>
        <w:rPr>
          <w:spacing w:val="-4"/>
        </w:rPr>
        <w:t>adjustment </w:t>
      </w:r>
      <w:r>
        <w:rPr>
          <w:spacing w:val="-3"/>
        </w:rPr>
        <w:t>with </w:t>
      </w:r>
      <w:r>
        <w:rPr/>
        <w:t>a </w:t>
      </w:r>
      <w:r>
        <w:rPr>
          <w:spacing w:val="-3"/>
        </w:rPr>
        <w:t>human </w:t>
      </w:r>
      <w:r>
        <w:rPr/>
        <w:t>face </w:t>
      </w:r>
      <w:r>
        <w:rPr>
          <w:spacing w:val="-3"/>
        </w:rPr>
        <w:t>possible? The case   </w:t>
      </w:r>
      <w:r>
        <w:rPr/>
        <w:t>of </w:t>
      </w:r>
      <w:r>
        <w:rPr>
          <w:spacing w:val="-3"/>
        </w:rPr>
        <w:t>Mexico” </w:t>
      </w:r>
      <w:r>
        <w:rPr/>
        <w:t>in </w:t>
      </w:r>
      <w:r>
        <w:rPr>
          <w:spacing w:val="-3"/>
        </w:rPr>
        <w:t>Journal of Development Studies, </w:t>
      </w:r>
      <w:r>
        <w:rPr/>
        <w:t>Nº </w:t>
      </w:r>
      <w:r>
        <w:rPr>
          <w:spacing w:val="-3"/>
        </w:rPr>
        <w:t>26. </w:t>
      </w:r>
      <w:r>
        <w:rPr>
          <w:spacing w:val="-4"/>
        </w:rPr>
        <w:t>London. </w:t>
      </w:r>
      <w:r>
        <w:rPr/>
        <w:t>Pp </w:t>
      </w:r>
      <w:r>
        <w:rPr>
          <w:spacing w:val="18"/>
        </w:rPr>
        <w:t> </w:t>
      </w:r>
      <w:r>
        <w:rPr>
          <w:spacing w:val="-4"/>
        </w:rPr>
        <w:t>387-407.</w:t>
      </w:r>
    </w:p>
    <w:p>
      <w:pPr>
        <w:pStyle w:val="BodyText"/>
        <w:spacing w:before="4"/>
        <w:rPr>
          <w:sz w:val="17"/>
        </w:rPr>
      </w:pPr>
    </w:p>
    <w:p>
      <w:pPr>
        <w:pStyle w:val="BodyText"/>
        <w:spacing w:line="364" w:lineRule="auto"/>
        <w:ind w:left="101" w:right="108"/>
        <w:jc w:val="both"/>
      </w:pPr>
      <w:r>
        <w:rPr/>
        <w:t>Alba, F. 2001. “Consolidación de los patrones emergentes” in Revista Demos Nº 13, Carta demográfica sobre México 2000. Sección: Migración Internacional. CONAPO. México. Pp 10-11.</w:t>
      </w:r>
    </w:p>
    <w:p>
      <w:pPr>
        <w:pStyle w:val="BodyText"/>
        <w:spacing w:line="364" w:lineRule="auto" w:before="122"/>
        <w:ind w:left="101" w:right="105"/>
        <w:jc w:val="both"/>
      </w:pPr>
      <w:r>
        <w:rPr/>
        <w:t>Aragonés, A. M. 2001. “Trabajadores indocumentados y políticas neoliberales” in Revista Comercio Exterior, Vol. 51, Nº 4, abril de 2001. México. PP.  323-332.</w:t>
      </w:r>
    </w:p>
    <w:p>
      <w:pPr>
        <w:pStyle w:val="BodyText"/>
        <w:spacing w:before="4"/>
        <w:rPr>
          <w:sz w:val="17"/>
        </w:rPr>
      </w:pPr>
    </w:p>
    <w:p>
      <w:pPr>
        <w:pStyle w:val="BodyText"/>
        <w:spacing w:line="364" w:lineRule="auto"/>
        <w:ind w:left="101" w:right="106"/>
        <w:jc w:val="both"/>
      </w:pPr>
      <w:r>
        <w:rPr/>
        <w:t>Arroyo A., J., A. De León A. y M. B. Valenzuela V. 1991. Migración Rural Hacia Estados Unidos. Un estudio regional en Jalisco. CONACULTA.  México.</w:t>
      </w:r>
    </w:p>
    <w:p>
      <w:pPr>
        <w:pStyle w:val="BodyText"/>
        <w:spacing w:line="364" w:lineRule="auto" w:before="197"/>
        <w:ind w:left="101" w:right="105"/>
        <w:jc w:val="both"/>
      </w:pPr>
      <w:r>
        <w:rPr/>
        <w:t>Barrios P., G. 2003 a. La migración rural mexicana hacia los Estados Unidos y su  impacto en las comunidades de origen. Tesis de Doctorado en Ciencias en Economía. Colegio de Postgraduados. Montecillo, Estado de</w:t>
      </w:r>
      <w:r>
        <w:rPr>
          <w:spacing w:val="60"/>
        </w:rPr>
        <w:t> </w:t>
      </w:r>
      <w:r>
        <w:rPr/>
        <w:t>México.</w:t>
      </w:r>
    </w:p>
    <w:p>
      <w:pPr>
        <w:pStyle w:val="BodyText"/>
        <w:spacing w:line="364" w:lineRule="auto" w:before="122"/>
        <w:ind w:left="101" w:right="107"/>
        <w:jc w:val="both"/>
      </w:pPr>
      <w:r>
        <w:rPr/>
        <w:t>Baker, M., y D. Benjamin. 1997. “The role of the family in  inmigrants’labor-market activity: an evaluation of alternative explanations” in The American Economic Review. Vol. 87, Nº 4.</w:t>
      </w:r>
      <w:r>
        <w:rPr>
          <w:spacing w:val="23"/>
        </w:rPr>
        <w:t> </w:t>
      </w:r>
      <w:r>
        <w:rPr/>
        <w:t>USA.</w:t>
      </w:r>
    </w:p>
    <w:p>
      <w:pPr>
        <w:pStyle w:val="BodyText"/>
        <w:spacing w:before="4"/>
        <w:rPr>
          <w:sz w:val="17"/>
        </w:rPr>
      </w:pPr>
    </w:p>
    <w:p>
      <w:pPr>
        <w:pStyle w:val="BodyText"/>
        <w:spacing w:line="364" w:lineRule="auto"/>
        <w:ind w:left="101" w:right="104"/>
        <w:jc w:val="both"/>
      </w:pPr>
      <w:r>
        <w:rPr/>
        <w:t>Bécker, G. 1975.Human Capital. Columbia University Press.USA. Citado por Freyre y Vite, 1993</w:t>
      </w:r>
    </w:p>
    <w:p>
      <w:pPr>
        <w:pStyle w:val="BodyText"/>
        <w:spacing w:before="4"/>
        <w:rPr>
          <w:sz w:val="17"/>
        </w:rPr>
      </w:pPr>
    </w:p>
    <w:p>
      <w:pPr>
        <w:pStyle w:val="BodyText"/>
        <w:spacing w:line="364" w:lineRule="auto"/>
        <w:ind w:left="101" w:right="106"/>
        <w:jc w:val="both"/>
      </w:pPr>
      <w:r>
        <w:rPr/>
        <w:t>Brauw De, A., J. E. Taylor y S. Rozelle. 1999. “The impact of migration and remittances on rural incomes in China” in American Agricultural Economics Association Annual Meetings. Nashville, USA</w:t>
      </w:r>
    </w:p>
    <w:p>
      <w:pPr>
        <w:pStyle w:val="BodyText"/>
        <w:spacing w:before="4"/>
        <w:rPr>
          <w:sz w:val="17"/>
        </w:rPr>
      </w:pPr>
    </w:p>
    <w:p>
      <w:pPr>
        <w:pStyle w:val="BodyText"/>
        <w:spacing w:line="364" w:lineRule="auto"/>
        <w:ind w:left="101" w:right="105"/>
        <w:jc w:val="both"/>
      </w:pPr>
      <w:r>
        <w:rPr/>
        <w:t>Bustamante, J. A. 2000; “Migración irregular de México a Estados Unidos. Diez años de investigación del Proyecto Cañon Zapata” in Frontera Norte, Vol. 12, Nº 23; El Colegio  de la Frontera Norte, Tijuana, México. Pp</w:t>
      </w:r>
      <w:r>
        <w:rPr>
          <w:spacing w:val="54"/>
        </w:rPr>
        <w:t> </w:t>
      </w:r>
      <w:r>
        <w:rPr/>
        <w:t>7-49.</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8"/>
        <w:jc w:val="both"/>
      </w:pPr>
      <w:r>
        <w:rPr/>
        <w:t>CONAPO (Consejo Nacional de Población). 1988. La Población Hispana en Estados Unidos, en marzo de 1986 y de 1987 (informe preliminar).  México.</w:t>
      </w:r>
    </w:p>
    <w:p>
      <w:pPr>
        <w:pStyle w:val="BodyText"/>
        <w:spacing w:before="4"/>
        <w:rPr>
          <w:sz w:val="17"/>
        </w:rPr>
      </w:pPr>
    </w:p>
    <w:p>
      <w:pPr>
        <w:pStyle w:val="BodyText"/>
        <w:spacing w:line="364" w:lineRule="auto"/>
        <w:ind w:left="101" w:right="104"/>
        <w:jc w:val="both"/>
      </w:pPr>
      <w:r>
        <w:rPr/>
        <w:t>Cornelius, W. A. 1989. “La demanda de fuerza de trabajo mexicana en Estados Unidos” in Bustamante, J. A. y W.A. Cornelius (coordinadores). Flujos Migratorios hacia Estados Unidos. Fondo de Cultura Económica (FCE). México. pp  39-66.</w:t>
      </w:r>
    </w:p>
    <w:p>
      <w:pPr>
        <w:pStyle w:val="BodyText"/>
        <w:spacing w:before="4"/>
        <w:rPr>
          <w:sz w:val="17"/>
        </w:rPr>
      </w:pPr>
    </w:p>
    <w:p>
      <w:pPr>
        <w:pStyle w:val="BodyText"/>
        <w:spacing w:line="364" w:lineRule="auto"/>
        <w:ind w:left="101" w:right="102"/>
        <w:jc w:val="both"/>
      </w:pPr>
      <w:r>
        <w:rPr/>
        <w:t>Freyre M., R. y N. Vite L. 1993. Capital Humano en un Modelo de Equilibrio General. Tesis de Licenciatura. ITAM. México.</w:t>
      </w:r>
    </w:p>
    <w:p>
      <w:pPr>
        <w:pStyle w:val="BodyText"/>
        <w:spacing w:before="4"/>
        <w:rPr>
          <w:sz w:val="17"/>
        </w:rPr>
      </w:pPr>
    </w:p>
    <w:p>
      <w:pPr>
        <w:pStyle w:val="BodyText"/>
        <w:spacing w:line="364" w:lineRule="auto"/>
        <w:ind w:left="101" w:right="105"/>
        <w:jc w:val="both"/>
      </w:pPr>
      <w:r>
        <w:rPr/>
        <w:t>Fox, M. y O Stark. 1987. Remittances, Exchange Rates and the Labor Supply  of  Mexican Migrants in the U. S. Discussión paper Nº 33. Migration and development Program, Harvard University. Cambridge,</w:t>
      </w:r>
      <w:r>
        <w:rPr>
          <w:spacing w:val="55"/>
        </w:rPr>
        <w:t> </w:t>
      </w:r>
      <w:r>
        <w:rPr/>
        <w:t>Mass.</w:t>
      </w:r>
    </w:p>
    <w:p>
      <w:pPr>
        <w:pStyle w:val="BodyText"/>
        <w:spacing w:before="6"/>
        <w:rPr>
          <w:sz w:val="17"/>
        </w:rPr>
      </w:pPr>
    </w:p>
    <w:p>
      <w:pPr>
        <w:pStyle w:val="BodyText"/>
        <w:spacing w:line="364" w:lineRule="auto"/>
        <w:ind w:left="101" w:right="103"/>
        <w:jc w:val="both"/>
      </w:pPr>
      <w:r>
        <w:rPr/>
        <w:t>Gómez O., L. 1994. La Política Agrícola en el Nuevo Estilo de Desarrollo Latinoamericano. FAO. Santiago de</w:t>
      </w:r>
      <w:r>
        <w:rPr>
          <w:spacing w:val="50"/>
        </w:rPr>
        <w:t> </w:t>
      </w:r>
      <w:r>
        <w:rPr/>
        <w:t>Chile.</w:t>
      </w:r>
    </w:p>
    <w:p>
      <w:pPr>
        <w:pStyle w:val="BodyText"/>
        <w:spacing w:line="367" w:lineRule="auto" w:before="197"/>
        <w:ind w:left="101" w:right="102"/>
        <w:jc w:val="both"/>
      </w:pPr>
      <w:r>
        <w:rPr/>
        <w:t>Griliches, Z. 1977. “Estimating the returns to schooling: some econometric problems” in Econometrica. Vol. 45, Nº 1 pp 1-22. Citado por A. Zamudio C.  1995</w:t>
      </w:r>
    </w:p>
    <w:p>
      <w:pPr>
        <w:pStyle w:val="BodyText"/>
        <w:spacing w:line="364" w:lineRule="auto" w:before="197"/>
        <w:ind w:left="101" w:right="103"/>
        <w:jc w:val="both"/>
      </w:pPr>
      <w:r>
        <w:rPr/>
        <w:t>Hernández P., A. (Compilador). 2001. Municipio de Jantetelco. Monografía. Imprenta Zodiaco. Cuernavaca, México.</w:t>
      </w:r>
    </w:p>
    <w:p>
      <w:pPr>
        <w:pStyle w:val="BodyText"/>
        <w:spacing w:before="4"/>
        <w:rPr>
          <w:sz w:val="17"/>
        </w:rPr>
      </w:pPr>
    </w:p>
    <w:p>
      <w:pPr>
        <w:pStyle w:val="BodyText"/>
        <w:ind w:left="101"/>
        <w:jc w:val="both"/>
      </w:pPr>
      <w:r>
        <w:rPr/>
        <w:t>Hirshman, A. O. 1981. La Estrategia del Desarrollo Económico. FCE.  México.</w:t>
      </w:r>
    </w:p>
    <w:p>
      <w:pPr>
        <w:pStyle w:val="BodyText"/>
        <w:spacing w:before="2"/>
        <w:rPr>
          <w:sz w:val="29"/>
        </w:rPr>
      </w:pPr>
    </w:p>
    <w:p>
      <w:pPr>
        <w:pStyle w:val="BodyText"/>
        <w:spacing w:line="364" w:lineRule="auto"/>
        <w:ind w:left="101" w:right="103"/>
        <w:jc w:val="both"/>
      </w:pPr>
      <w:r>
        <w:rPr/>
        <w:t>Iturbide G., L. y E. Meyer G. 1998. “Capital Humano: el activo  más  importante”  in revista Examen. Una publicación por la democracia. Nº 109. Partido Revolucionario Institucional.</w:t>
      </w:r>
      <w:r>
        <w:rPr>
          <w:spacing w:val="18"/>
        </w:rPr>
        <w:t> </w:t>
      </w:r>
      <w:r>
        <w:rPr/>
        <w:t>México.</w:t>
      </w:r>
    </w:p>
    <w:p>
      <w:pPr>
        <w:pStyle w:val="BodyText"/>
        <w:spacing w:before="6"/>
        <w:rPr>
          <w:sz w:val="17"/>
        </w:rPr>
      </w:pPr>
    </w:p>
    <w:p>
      <w:pPr>
        <w:pStyle w:val="BodyText"/>
        <w:spacing w:line="364" w:lineRule="auto"/>
        <w:ind w:left="101" w:right="105"/>
        <w:jc w:val="both"/>
      </w:pPr>
      <w:r>
        <w:rPr/>
        <w:t>INEGI (Instituto Nacional de Estadística, Geografía e Informática). 1995. Conteo de Pobalción y Vivienda 1995: Perfil Sociodemográfico. Morelos.  México.</w:t>
      </w:r>
    </w:p>
    <w:p>
      <w:pPr>
        <w:pStyle w:val="BodyText"/>
        <w:spacing w:before="4"/>
        <w:rPr>
          <w:sz w:val="17"/>
        </w:rPr>
      </w:pPr>
    </w:p>
    <w:p>
      <w:pPr>
        <w:pStyle w:val="BodyText"/>
        <w:spacing w:line="364" w:lineRule="auto"/>
        <w:ind w:left="101" w:right="109"/>
        <w:jc w:val="both"/>
      </w:pPr>
      <w:r>
        <w:rPr/>
        <w:t>INEGI. 1990. XI Censo de Población y Vivienda, 1990. Resultados definitivos. Morelos. México.</w:t>
      </w:r>
    </w:p>
    <w:p>
      <w:pPr>
        <w:pStyle w:val="BodyText"/>
        <w:spacing w:before="4"/>
        <w:rPr>
          <w:sz w:val="17"/>
        </w:rPr>
      </w:pPr>
    </w:p>
    <w:p>
      <w:pPr>
        <w:pStyle w:val="BodyText"/>
        <w:spacing w:line="364" w:lineRule="auto"/>
        <w:ind w:left="101" w:right="105"/>
        <w:jc w:val="both"/>
      </w:pPr>
      <w:r>
        <w:rPr/>
        <w:t>INEGI. 1980. X Censo general de Población y Vivienda, 1980. Integración territorial. Estado de Morelos. México.</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1"/>
        <w:jc w:val="both"/>
      </w:pPr>
      <w:r>
        <w:rPr/>
        <w:t>Janvry, De, A., E. Sadoulet, B. Davis, K. Seidel y P. Winters. 1997. “Determinants of Mexico-U.S. migration: The role of household assets and environmental factors”. Natural Heritage Institute. University of California at Berkeley.   </w:t>
      </w:r>
      <w:hyperlink r:id="rId30">
        <w:r>
          <w:rPr/>
          <w:t>www.agecon.lib.umn.edu</w:t>
        </w:r>
      </w:hyperlink>
    </w:p>
    <w:p>
      <w:pPr>
        <w:pStyle w:val="BodyText"/>
        <w:spacing w:before="6"/>
        <w:rPr>
          <w:sz w:val="17"/>
        </w:rPr>
      </w:pPr>
    </w:p>
    <w:p>
      <w:pPr>
        <w:pStyle w:val="BodyText"/>
        <w:spacing w:line="364" w:lineRule="auto"/>
        <w:ind w:left="101" w:right="105"/>
        <w:jc w:val="both"/>
      </w:pPr>
      <w:r>
        <w:rPr/>
        <w:t>Lanusse S., J. A. 2001. “Las reformas estructurales y la micro, pequeñas y medianas empresas: una agenda posible” in Contribuciones Vol 69 Nº 1. CIEDLA, Fundación Konrad-Adenauer. Buenos aires.</w:t>
      </w:r>
    </w:p>
    <w:p>
      <w:pPr>
        <w:pStyle w:val="BodyText"/>
        <w:spacing w:before="4"/>
        <w:rPr>
          <w:sz w:val="17"/>
        </w:rPr>
      </w:pPr>
    </w:p>
    <w:p>
      <w:pPr>
        <w:pStyle w:val="BodyText"/>
        <w:spacing w:line="364" w:lineRule="auto"/>
        <w:ind w:left="101" w:right="105"/>
        <w:jc w:val="both"/>
      </w:pPr>
      <w:r>
        <w:rPr/>
        <w:t>Levin, H. M. 1995. “Incrementando la productividad escolar: enfoque de eficiencia-X” in Tijerina G., J. A. y J. Meléndez B. Segundo Encuentro Internacional. Capital Humano, Crecimiento, Pobreza: Problemática Mexicana. UANL.  Monterrey.</w:t>
      </w:r>
    </w:p>
    <w:p>
      <w:pPr>
        <w:pStyle w:val="BodyText"/>
        <w:spacing w:line="367" w:lineRule="auto" w:before="197"/>
        <w:ind w:left="101" w:right="108"/>
        <w:jc w:val="both"/>
      </w:pPr>
      <w:r>
        <w:rPr/>
        <w:t>Lollock, L. 2001. “The foreign born population in the United states: March 2000, Current Popuation Reports, P20-534, U.S. Census Bureau, Washington,  D.C.</w:t>
      </w:r>
    </w:p>
    <w:p>
      <w:pPr>
        <w:pStyle w:val="BodyText"/>
        <w:spacing w:line="364" w:lineRule="auto" w:before="197"/>
        <w:ind w:left="101" w:right="106"/>
        <w:jc w:val="both"/>
      </w:pPr>
      <w:r>
        <w:rPr/>
        <w:t>López C., G. 1986. La Casa Dividida: Un estudio de caso sobre la migración a Estados Unidos en un pueblo michoacano. El Colegio de Michoacán.  México.</w:t>
      </w:r>
    </w:p>
    <w:p>
      <w:pPr>
        <w:pStyle w:val="BodyText"/>
        <w:spacing w:before="6"/>
        <w:rPr>
          <w:sz w:val="17"/>
        </w:rPr>
      </w:pPr>
    </w:p>
    <w:p>
      <w:pPr>
        <w:pStyle w:val="BodyText"/>
        <w:spacing w:line="364" w:lineRule="auto"/>
        <w:ind w:left="101" w:right="99"/>
        <w:jc w:val="both"/>
      </w:pPr>
      <w:r>
        <w:rPr>
          <w:spacing w:val="-3"/>
        </w:rPr>
        <w:t>Macías, </w:t>
      </w:r>
      <w:r>
        <w:rPr>
          <w:spacing w:val="-4"/>
        </w:rPr>
        <w:t>1997. </w:t>
      </w:r>
      <w:r>
        <w:rPr>
          <w:spacing w:val="-3"/>
        </w:rPr>
        <w:t>Transmigración Laboral </w:t>
      </w:r>
      <w:r>
        <w:rPr/>
        <w:t>y </w:t>
      </w:r>
      <w:r>
        <w:rPr>
          <w:spacing w:val="-3"/>
        </w:rPr>
        <w:t>Movilidad  </w:t>
      </w:r>
      <w:r>
        <w:rPr>
          <w:spacing w:val="-4"/>
        </w:rPr>
        <w:t>Social  </w:t>
      </w:r>
      <w:r>
        <w:rPr/>
        <w:t>in </w:t>
      </w:r>
      <w:r>
        <w:rPr>
          <w:spacing w:val="-3"/>
        </w:rPr>
        <w:t>Economía  </w:t>
      </w:r>
      <w:r>
        <w:rPr>
          <w:spacing w:val="-4"/>
        </w:rPr>
        <w:t>Internacional  </w:t>
      </w:r>
      <w:r>
        <w:rPr/>
        <w:t>Nº </w:t>
      </w:r>
      <w:r>
        <w:rPr>
          <w:spacing w:val="-3"/>
        </w:rPr>
        <w:t>54, abril-junio. Benemérita Universidad Autónoma </w:t>
      </w:r>
      <w:r>
        <w:rPr/>
        <w:t>de </w:t>
      </w:r>
      <w:r>
        <w:rPr>
          <w:spacing w:val="-3"/>
        </w:rPr>
        <w:t>Puebla (BUAP). </w:t>
      </w:r>
      <w:r>
        <w:rPr/>
        <w:t>Pp  </w:t>
      </w:r>
      <w:r>
        <w:rPr>
          <w:spacing w:val="-3"/>
        </w:rPr>
        <w:t>59-74.</w:t>
      </w:r>
    </w:p>
    <w:p>
      <w:pPr>
        <w:pStyle w:val="BodyText"/>
        <w:spacing w:before="4"/>
        <w:rPr>
          <w:sz w:val="17"/>
        </w:rPr>
      </w:pPr>
    </w:p>
    <w:p>
      <w:pPr>
        <w:pStyle w:val="BodyText"/>
        <w:spacing w:line="364" w:lineRule="auto"/>
        <w:ind w:left="101" w:right="105"/>
        <w:jc w:val="both"/>
      </w:pPr>
      <w:r>
        <w:rPr/>
        <w:t>Marcelli, E. A. y W. A. Cornelius. 2001. “The changing profile of mexican migrants to the United Staes: new evidence from California and Mexico” in Latin American Research Review Vol36, Nº 3.</w:t>
      </w:r>
    </w:p>
    <w:p>
      <w:pPr>
        <w:pStyle w:val="BodyText"/>
        <w:spacing w:before="4"/>
        <w:rPr>
          <w:sz w:val="17"/>
        </w:rPr>
      </w:pPr>
    </w:p>
    <w:p>
      <w:pPr>
        <w:pStyle w:val="BodyText"/>
        <w:spacing w:line="364" w:lineRule="auto"/>
        <w:ind w:left="101" w:right="105"/>
        <w:jc w:val="both"/>
      </w:pPr>
      <w:r>
        <w:rPr/>
        <w:t>Massey, D. S. y J. A. Phillips. 1997. El nuevo mercado de trabajo: inmigrantes en el  norte después de IRCA” in La Contribución de los migrantes Mexicanos a la Sociedad  de los Estados Unidos de América. SEGOB. Mexico. Pp </w:t>
      </w:r>
      <w:r>
        <w:rPr>
          <w:spacing w:val="11"/>
        </w:rPr>
        <w:t> </w:t>
      </w:r>
      <w:r>
        <w:rPr/>
        <w:t>109-130.</w:t>
      </w:r>
    </w:p>
    <w:p>
      <w:pPr>
        <w:pStyle w:val="BodyText"/>
        <w:spacing w:before="4"/>
        <w:rPr>
          <w:sz w:val="17"/>
        </w:rPr>
      </w:pPr>
    </w:p>
    <w:p>
      <w:pPr>
        <w:pStyle w:val="BodyText"/>
        <w:ind w:left="101"/>
        <w:jc w:val="both"/>
      </w:pPr>
      <w:r>
        <w:rPr/>
        <w:t>Mellor, J. W. 1975. Economía del Desarrollo Agrícola. FCE.  México</w:t>
      </w:r>
    </w:p>
    <w:p>
      <w:pPr>
        <w:pStyle w:val="BodyText"/>
        <w:spacing w:before="11"/>
        <w:rPr>
          <w:sz w:val="28"/>
        </w:rPr>
      </w:pPr>
    </w:p>
    <w:p>
      <w:pPr>
        <w:pStyle w:val="BodyText"/>
        <w:spacing w:line="364" w:lineRule="auto"/>
        <w:ind w:left="101" w:right="102"/>
        <w:jc w:val="both"/>
      </w:pPr>
      <w:r>
        <w:rPr/>
        <w:t>Mendoza C., J. E. 2002. “Educación, experiencia y especialización manufacturera en la Frontera Norte de México” in revista Comercio Exterior Vol 52, Nº 4. México. Pp 300- 308.</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Mercado, A. 2002.“Presentación”in revista Comercio Exterior Vol 52, Nº 4.México. Pp280-281</w:t>
      </w:r>
    </w:p>
    <w:p>
      <w:pPr>
        <w:pStyle w:val="BodyText"/>
        <w:spacing w:before="4"/>
        <w:rPr>
          <w:sz w:val="17"/>
        </w:rPr>
      </w:pPr>
    </w:p>
    <w:p>
      <w:pPr>
        <w:pStyle w:val="BodyText"/>
        <w:spacing w:line="367" w:lineRule="auto"/>
        <w:ind w:left="101" w:right="107"/>
        <w:jc w:val="both"/>
      </w:pPr>
      <w:r>
        <w:rPr/>
        <w:t>Mincer, J. 1958. Investment in Human Capital and Personal  Income  Distribution.  Journal of Political Economy. Citado por Freyre y Vite, </w:t>
      </w:r>
      <w:r>
        <w:rPr>
          <w:spacing w:val="4"/>
        </w:rPr>
        <w:t> </w:t>
      </w:r>
      <w:r>
        <w:rPr/>
        <w:t>1993.</w:t>
      </w:r>
    </w:p>
    <w:p>
      <w:pPr>
        <w:pStyle w:val="BodyText"/>
        <w:spacing w:line="364" w:lineRule="auto" w:before="197"/>
        <w:ind w:left="101" w:right="102"/>
        <w:jc w:val="both"/>
      </w:pPr>
      <w:r>
        <w:rPr/>
        <w:t>Montoya, S. y P. Brassiolo. 1999. “Estrategias para reorganizar la educación en la Argentina: el impacto de la gestión sobre la eficiencia” : in Contibuciones Vol 64 Nº 4. CIEDLA, Fundación Konrad-Adenauer. Buenos</w:t>
      </w:r>
      <w:r>
        <w:rPr>
          <w:spacing w:val="62"/>
        </w:rPr>
        <w:t> </w:t>
      </w:r>
      <w:r>
        <w:rPr/>
        <w:t>aires.</w:t>
      </w:r>
    </w:p>
    <w:p>
      <w:pPr>
        <w:pStyle w:val="BodyText"/>
        <w:spacing w:line="364" w:lineRule="auto" w:before="122"/>
        <w:ind w:left="101" w:right="107"/>
        <w:jc w:val="both"/>
      </w:pPr>
      <w:r>
        <w:rPr/>
        <w:t>Muller, T. 1998. “Immigration and urban areas: The United States experience” in OECD Proceedings. Immigrants, Integration and Cities.</w:t>
      </w:r>
      <w:r>
        <w:rPr>
          <w:spacing w:val="59"/>
        </w:rPr>
        <w:t> </w:t>
      </w:r>
      <w:r>
        <w:rPr/>
        <w:t>Pp33-46.</w:t>
      </w:r>
    </w:p>
    <w:p>
      <w:pPr>
        <w:pStyle w:val="BodyText"/>
        <w:spacing w:line="364" w:lineRule="auto" w:before="197"/>
        <w:ind w:left="101" w:right="104"/>
        <w:jc w:val="both"/>
      </w:pPr>
      <w:r>
        <w:rPr/>
        <w:t>Muñoz I., C. 1998. “Efectos de la escolaridad en la fuerza de trabajo” in Latapí S, P. (coordinador) Un Siglo de Educación en México. CONACULTA-CFE. México. Pp 175- 199.</w:t>
      </w:r>
    </w:p>
    <w:p>
      <w:pPr>
        <w:pStyle w:val="BodyText"/>
        <w:spacing w:before="4"/>
        <w:rPr>
          <w:sz w:val="17"/>
        </w:rPr>
      </w:pPr>
    </w:p>
    <w:p>
      <w:pPr>
        <w:pStyle w:val="BodyText"/>
        <w:spacing w:line="367" w:lineRule="auto"/>
        <w:ind w:left="101" w:right="105"/>
        <w:jc w:val="both"/>
      </w:pPr>
      <w:r>
        <w:rPr/>
        <w:t>Neter, J., Wasserman, W. y Kutner, M. H. 1989. Applied Linear Regression Models. Second edition. Richard D. Irwin, Inc. USA</w:t>
      </w:r>
    </w:p>
    <w:p>
      <w:pPr>
        <w:pStyle w:val="BodyText"/>
        <w:spacing w:line="364" w:lineRule="auto" w:before="194"/>
        <w:ind w:left="101" w:right="105"/>
        <w:jc w:val="both"/>
      </w:pPr>
      <w:r>
        <w:rPr/>
        <w:t>O’Connor, D. y M. R. Lunati. 2002. “Apertura económica y demanda de  trabajo  calificado en los países en desarrollo: teoría y hechos” in revista Comercio Exterior Vol 52, Nº 4.México.</w:t>
      </w:r>
      <w:r>
        <w:rPr>
          <w:spacing w:val="32"/>
        </w:rPr>
        <w:t> </w:t>
      </w:r>
      <w:r>
        <w:rPr/>
        <w:t>Pp282-298.</w:t>
      </w:r>
    </w:p>
    <w:p>
      <w:pPr>
        <w:pStyle w:val="BodyText"/>
        <w:spacing w:before="4"/>
        <w:rPr>
          <w:sz w:val="17"/>
        </w:rPr>
      </w:pPr>
    </w:p>
    <w:p>
      <w:pPr>
        <w:pStyle w:val="BodyText"/>
        <w:spacing w:line="364" w:lineRule="auto"/>
        <w:ind w:left="101" w:right="104"/>
        <w:jc w:val="both"/>
      </w:pPr>
      <w:r>
        <w:rPr/>
        <w:t>Ortiz B., O. 1995. AnáIisis de Cultivos Tradicionales y su Sustitución por otros Cultivos  en Cuatro Comunidades del Oriente de Morelos. Tesis de Maestría en Ciencias. Departamento de Economía Agrícola. Universidad autónoma Chapingo. Chapingo, México.</w:t>
      </w:r>
    </w:p>
    <w:p>
      <w:pPr>
        <w:pStyle w:val="BodyText"/>
        <w:spacing w:before="4"/>
        <w:rPr>
          <w:sz w:val="17"/>
        </w:rPr>
      </w:pPr>
    </w:p>
    <w:p>
      <w:pPr>
        <w:pStyle w:val="BodyText"/>
        <w:spacing w:line="364" w:lineRule="auto"/>
        <w:ind w:left="101" w:right="103"/>
        <w:jc w:val="both"/>
      </w:pPr>
      <w:r>
        <w:rPr/>
        <w:t>Padua N., J. 1998. “La educación en las transformaciones sociales” in Latapí S, P. (coordinador) Un Siglo de Educación en México. CONACULTA-CFE. México. Pp  84- 149.</w:t>
      </w:r>
    </w:p>
    <w:p>
      <w:pPr>
        <w:pStyle w:val="BodyText"/>
        <w:spacing w:before="4"/>
        <w:rPr>
          <w:sz w:val="17"/>
        </w:rPr>
      </w:pPr>
    </w:p>
    <w:p>
      <w:pPr>
        <w:pStyle w:val="BodyText"/>
        <w:spacing w:line="364" w:lineRule="auto"/>
        <w:ind w:left="101" w:right="108"/>
        <w:jc w:val="both"/>
      </w:pPr>
      <w:r>
        <w:rPr/>
        <w:t>Passel, J. S. 1997. “Tendencias recientes de la migración mexicana a los Estados Unidos” in La Contribución de los migrantes Mexicanos a la Sociedad de los Estados Unidos de América. SEGOB. Mexico. Pp</w:t>
      </w:r>
      <w:r>
        <w:rPr>
          <w:spacing w:val="51"/>
        </w:rPr>
        <w:t> </w:t>
      </w:r>
      <w:r>
        <w:rPr/>
        <w:t>13-34.</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Pescador O., J. A. 1977. “el efecto redistributivo del gasto en educación superior en México” in Revista del Centro de Estudios Educativos. Vol VIII, Nº 3. México. Pp 55-78. Citado por Noriega, 1998.</w:t>
      </w:r>
    </w:p>
    <w:p>
      <w:pPr>
        <w:pStyle w:val="BodyText"/>
        <w:spacing w:before="6"/>
        <w:rPr>
          <w:sz w:val="17"/>
        </w:rPr>
      </w:pPr>
    </w:p>
    <w:p>
      <w:pPr>
        <w:pStyle w:val="BodyText"/>
        <w:spacing w:line="364" w:lineRule="auto"/>
        <w:ind w:left="101" w:right="105"/>
        <w:jc w:val="both"/>
      </w:pPr>
      <w:r>
        <w:rPr/>
        <w:t>Quintero H., J. L. 1978. “Metas de igualdad y efectos de subsidio de la educación superior” in Revista del Centro de Estudios Educativos. Vol VIII, Nº 3. México. Pp 79-</w:t>
      </w:r>
    </w:p>
    <w:p>
      <w:pPr>
        <w:pStyle w:val="BodyText"/>
        <w:spacing w:before="5"/>
        <w:ind w:left="101"/>
        <w:jc w:val="both"/>
      </w:pPr>
      <w:r>
        <w:rPr/>
        <w:t>92. Citado por Noriega, 1998.</w:t>
      </w:r>
    </w:p>
    <w:p>
      <w:pPr>
        <w:pStyle w:val="BodyText"/>
        <w:spacing w:before="11"/>
        <w:rPr>
          <w:sz w:val="28"/>
        </w:rPr>
      </w:pPr>
    </w:p>
    <w:p>
      <w:pPr>
        <w:pStyle w:val="BodyText"/>
        <w:spacing w:line="364" w:lineRule="auto"/>
        <w:ind w:left="101" w:right="103"/>
        <w:jc w:val="both"/>
      </w:pPr>
      <w:r>
        <w:rPr/>
        <w:t>Reyes C., M. 1998. El Fenómeno de </w:t>
      </w:r>
      <w:r>
        <w:rPr>
          <w:spacing w:val="2"/>
        </w:rPr>
        <w:t>la </w:t>
      </w:r>
      <w:r>
        <w:rPr/>
        <w:t>Migración hacia  Estados  Unidos  de Norteamérica en Cerano Municipio de Yuriria, Guanajuato. Tesis Profesional. DICEA, Universidad Autónoma Chapingo. Chapingo,</w:t>
      </w:r>
      <w:r>
        <w:rPr>
          <w:spacing w:val="56"/>
        </w:rPr>
        <w:t> </w:t>
      </w:r>
      <w:r>
        <w:rPr/>
        <w:t>México.</w:t>
      </w:r>
    </w:p>
    <w:p>
      <w:pPr>
        <w:pStyle w:val="BodyText"/>
        <w:spacing w:line="364" w:lineRule="auto" w:before="197"/>
        <w:ind w:left="101" w:right="105"/>
        <w:jc w:val="both"/>
      </w:pPr>
      <w:r>
        <w:rPr/>
        <w:t>Rodriguez, E. R. y S. Horton. 1996. “International return migration  and remittances in  the Philippines” in O’Connor, D (Ed) Development Strategy, Employment and Migration: country experiences. OECD. París. Pp</w:t>
      </w:r>
      <w:r>
        <w:rPr>
          <w:spacing w:val="57"/>
        </w:rPr>
        <w:t> </w:t>
      </w:r>
      <w:r>
        <w:rPr/>
        <w:t>171-202.</w:t>
      </w:r>
    </w:p>
    <w:p>
      <w:pPr>
        <w:pStyle w:val="BodyText"/>
        <w:spacing w:before="4"/>
        <w:rPr>
          <w:sz w:val="17"/>
        </w:rPr>
      </w:pPr>
    </w:p>
    <w:p>
      <w:pPr>
        <w:pStyle w:val="BodyText"/>
        <w:spacing w:line="367" w:lineRule="auto"/>
        <w:ind w:left="101" w:right="105"/>
        <w:jc w:val="both"/>
      </w:pPr>
      <w:r>
        <w:rPr/>
        <w:t>Santiago C., M.J. 2001. “Importancia económica de la migración internacional  en  México. Análisis  desde la perspectiva de las remesas” in revista Momento Económico  Nº 114, marzo-abril de 2001. Instituto de Investigaciones Económicas. UNAM. México.  Pp</w:t>
      </w:r>
      <w:r>
        <w:rPr>
          <w:spacing w:val="10"/>
        </w:rPr>
        <w:t> </w:t>
      </w:r>
      <w:r>
        <w:rPr/>
        <w:t>41-47.</w:t>
      </w:r>
    </w:p>
    <w:p>
      <w:pPr>
        <w:pStyle w:val="BodyText"/>
        <w:spacing w:line="364" w:lineRule="auto" w:before="194"/>
        <w:ind w:left="101" w:right="107"/>
        <w:jc w:val="both"/>
      </w:pPr>
      <w:r>
        <w:rPr/>
        <w:t>Santiago C., M. J. y Ávila B., L. 2001. El capital humano en México: el caso de la salud. Algunas reflexiones en torno a su significado económico. México. (En  prensa).</w:t>
      </w:r>
    </w:p>
    <w:p>
      <w:pPr>
        <w:pStyle w:val="BodyText"/>
        <w:spacing w:before="4"/>
        <w:rPr>
          <w:sz w:val="17"/>
        </w:rPr>
      </w:pPr>
    </w:p>
    <w:p>
      <w:pPr>
        <w:pStyle w:val="BodyText"/>
        <w:spacing w:line="364" w:lineRule="auto"/>
        <w:ind w:left="101" w:right="105"/>
        <w:jc w:val="both"/>
      </w:pPr>
      <w:r>
        <w:rPr/>
        <w:t>Saint-Paul, G. 1994. The role of rents to human capital in economic development. Discussion Paper Series Nº 923. Centre for Economic Policy Research.  London.</w:t>
      </w:r>
    </w:p>
    <w:p>
      <w:pPr>
        <w:pStyle w:val="BodyText"/>
        <w:spacing w:before="4"/>
        <w:rPr>
          <w:sz w:val="17"/>
        </w:rPr>
      </w:pPr>
    </w:p>
    <w:p>
      <w:pPr>
        <w:pStyle w:val="BodyText"/>
        <w:spacing w:line="542" w:lineRule="auto"/>
        <w:ind w:left="101" w:right="520"/>
      </w:pPr>
      <w:r>
        <w:rPr/>
        <w:t>Schotter, A. R. 1996. Microeconomía. Un enfoque moderno. CECSA. México. Schultz, T. 1961Investment in human Capital. American Economiv Review. Vol  LI-1</w:t>
      </w:r>
    </w:p>
    <w:p>
      <w:pPr>
        <w:pStyle w:val="BodyText"/>
        <w:spacing w:line="364" w:lineRule="auto" w:before="9"/>
        <w:ind w:left="101" w:right="105"/>
        <w:jc w:val="both"/>
      </w:pPr>
      <w:r>
        <w:rPr/>
        <w:t>Taylor, J. E. 1986. “Differential migration, networks,  information and  risk” in O.  Stark (Ed). Research in Human Capital and Development. Vol 4: Migration, Human Capital,  and Development. Greenwich: JAI Press, pp 147-171. Citado por De Janvry et al (1997: 16).</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Taylor, J. E. y A. Yúnez Naude. 1999. Education, Migration and Productivity. OECD, Development Centre Studies. París.</w:t>
      </w:r>
    </w:p>
    <w:p>
      <w:pPr>
        <w:pStyle w:val="BodyText"/>
        <w:spacing w:before="4"/>
        <w:rPr>
          <w:sz w:val="17"/>
        </w:rPr>
      </w:pPr>
    </w:p>
    <w:p>
      <w:pPr>
        <w:pStyle w:val="BodyText"/>
        <w:spacing w:line="367" w:lineRule="auto"/>
        <w:ind w:left="101" w:right="106"/>
        <w:jc w:val="both"/>
      </w:pPr>
      <w:r>
        <w:rPr/>
        <w:t>Taylor, J. E. y A. Yúnez Naude. 2000. “The returns from schooling in a diversified rural economy” in American journal of agricultural economics Nº 82  pp287-297.</w:t>
      </w:r>
    </w:p>
    <w:p>
      <w:pPr>
        <w:pStyle w:val="BodyText"/>
        <w:spacing w:line="364" w:lineRule="auto" w:before="197"/>
        <w:ind w:left="101" w:right="100"/>
        <w:jc w:val="both"/>
      </w:pPr>
      <w:r>
        <w:rPr/>
        <w:t>Todaro, M. 1987. Economía para un Mundo en Desarrollo. Introducción a los principios, problemas y políticas para el desarrollo; FCE,  México.</w:t>
      </w:r>
    </w:p>
    <w:p>
      <w:pPr>
        <w:pStyle w:val="BodyText"/>
        <w:spacing w:before="4"/>
        <w:rPr>
          <w:sz w:val="17"/>
        </w:rPr>
      </w:pPr>
    </w:p>
    <w:p>
      <w:pPr>
        <w:pStyle w:val="BodyText"/>
        <w:spacing w:line="364" w:lineRule="auto"/>
        <w:ind w:left="101" w:right="105"/>
        <w:jc w:val="both"/>
      </w:pPr>
      <w:r>
        <w:rPr/>
        <w:t>Zahniser, S. S. y M. J. Greenwood. 1998. “Transferability of skills and the economic rewards to U. S. employment for return migrants in Mexico” in  Migration  between  Mexico and the United States. Binational Study Vol 3: Research Reports and  Background Materials. Mexican Ministry of Foreign Affairs, U.S. Commission on Immigration Reform. Pp</w:t>
      </w:r>
      <w:r>
        <w:rPr>
          <w:spacing w:val="39"/>
        </w:rPr>
        <w:t> </w:t>
      </w:r>
      <w:r>
        <w:rPr/>
        <w:t>1133-1152.</w:t>
      </w:r>
    </w:p>
    <w:p>
      <w:pPr>
        <w:pStyle w:val="BodyText"/>
        <w:spacing w:before="4"/>
        <w:rPr>
          <w:sz w:val="17"/>
        </w:rPr>
      </w:pPr>
    </w:p>
    <w:p>
      <w:pPr>
        <w:pStyle w:val="BodyText"/>
        <w:spacing w:line="364" w:lineRule="auto"/>
        <w:ind w:left="101" w:right="103"/>
        <w:jc w:val="both"/>
      </w:pPr>
      <w:r>
        <w:rPr/>
        <w:t>Zamudio C., A. 1995. “Rendimientos a la inversión educativa. El problema del sesgo    por elección: estimaciones para México” in Tijerina G., J. A. y J. Meléndez B. Segundo Encuentro Internacional. Capital Humano, Crecimiento, Pobreza: Problemática  Mexicana. UANL. Monterrey. Pp</w:t>
      </w:r>
      <w:r>
        <w:rPr>
          <w:spacing w:val="42"/>
        </w:rPr>
        <w:t> </w:t>
      </w:r>
      <w:r>
        <w:rPr/>
        <w:t>49-60.</w:t>
      </w:r>
    </w:p>
    <w:p>
      <w:pPr>
        <w:spacing w:after="0" w:line="364" w:lineRule="auto"/>
        <w:jc w:val="both"/>
        <w:sectPr>
          <w:pgSz w:w="11900" w:h="16840"/>
          <w:pgMar w:header="0" w:footer="1679" w:top="1600" w:bottom="1860" w:left="1300" w:right="1280"/>
        </w:sectPr>
      </w:pPr>
    </w:p>
    <w:p>
      <w:pPr>
        <w:pStyle w:val="BodyText"/>
        <w:rPr>
          <w:sz w:val="20"/>
        </w:rPr>
      </w:pPr>
    </w:p>
    <w:p>
      <w:pPr>
        <w:pStyle w:val="BodyText"/>
        <w:spacing w:before="8"/>
        <w:rPr>
          <w:sz w:val="18"/>
        </w:rPr>
      </w:pPr>
    </w:p>
    <w:p>
      <w:pPr>
        <w:pStyle w:val="BodyText"/>
        <w:spacing w:line="364" w:lineRule="auto" w:before="74"/>
        <w:ind w:left="101" w:right="105"/>
        <w:jc w:val="both"/>
      </w:pPr>
      <w:r>
        <w:rPr/>
        <w:t>La búsqueda de mejores condiciones de vida ha sido una característica natural del ser humano en cualquier espacio y tiempo. La población mexicana no es la excepción, es por ello que los mexicanos carentes de oportunidades para la mejora de la calidad de vida o desarrollo económico recurren a emigrar hacia los Estados Unidos de Norte América, en busca de nuevos y mejores horizontes laborales con la esperanza de mejorar sus niveles de bienestar y el de sus </w:t>
      </w:r>
      <w:r>
        <w:rPr>
          <w:spacing w:val="2"/>
        </w:rPr>
        <w:t> </w:t>
      </w:r>
      <w:r>
        <w:rPr/>
        <w:t>familias.</w:t>
      </w:r>
    </w:p>
    <w:p>
      <w:pPr>
        <w:pStyle w:val="BodyText"/>
        <w:spacing w:before="4"/>
        <w:rPr>
          <w:sz w:val="17"/>
        </w:rPr>
      </w:pPr>
    </w:p>
    <w:p>
      <w:pPr>
        <w:pStyle w:val="BodyText"/>
        <w:spacing w:line="364" w:lineRule="auto"/>
        <w:ind w:left="101" w:right="103"/>
        <w:jc w:val="both"/>
      </w:pPr>
      <w:r>
        <w:rPr/>
        <w:t>La migración es un fenómeno que ha adquirido amplias dimensiones en México, en la actualidad el 11%  del total de mexicanos residen fuera del país y la mayor parte de   ellos emigró hacia los Estados Unidos siendo ésta la más importante  de  las  migraciones a escala mundial. Una de las expresiones más notables de la migración internacional y de la operación de complejas redes de transporte de personas y divisas es el flujo de remesas. Estos recursos han venido creciendo de manera paralela con la migración, beneficiando a un número cada vez mayor de personas y familias. Sus magnitudes han alcanzado dimensiones cada vez más significativas lo que revela su importancia como fuente de divisas y como sostén esencial para los integrantes de millones de hogares en los países expulsores de mano de obra. Estos recursos monetarios son la expresión más visible de la migración caracterizada como laboral. En el caso de México, las remesas han sido una alternativa cada vez más recurrente como fuente de financiamiento en el consumo doméstico para los hogares de los </w:t>
      </w:r>
      <w:r>
        <w:rPr>
          <w:spacing w:val="33"/>
        </w:rPr>
        <w:t> </w:t>
      </w:r>
      <w:r>
        <w:rPr/>
        <w:t>migrantes.</w:t>
      </w:r>
    </w:p>
    <w:p>
      <w:pPr>
        <w:pStyle w:val="BodyText"/>
        <w:spacing w:before="4"/>
        <w:rPr>
          <w:sz w:val="17"/>
        </w:rPr>
      </w:pPr>
    </w:p>
    <w:p>
      <w:pPr>
        <w:pStyle w:val="BodyText"/>
        <w:spacing w:line="364" w:lineRule="auto"/>
        <w:ind w:left="101" w:right="102"/>
        <w:jc w:val="both"/>
      </w:pPr>
      <w:r>
        <w:rPr/>
        <w:t>A pesar de las repercusiones positivas de las remesas en las zonas expulsoras de los migrantes, se puede, al menos teóricamente, cuestionar la bondad de las mismas por diversos motivos, la auto reproducción de las migraciones a través de la financiación de las mismas y el efecto de imitación derivado del establecimiento de una cultura de la migración, sostenida por imágenes de éxito de los migrantes o la dependencia que se puede llegar a crear desde las familias, comunidades e incluso países enteros con respecto a estas transferencias</w:t>
      </w:r>
      <w:r>
        <w:rPr>
          <w:spacing w:val="50"/>
        </w:rPr>
        <w:t> </w:t>
      </w:r>
      <w:r>
        <w:rPr/>
        <w:t>internacionales.</w:t>
      </w:r>
    </w:p>
    <w:p>
      <w:pPr>
        <w:pStyle w:val="BodyText"/>
        <w:spacing w:before="4"/>
        <w:rPr>
          <w:sz w:val="17"/>
        </w:rPr>
      </w:pPr>
    </w:p>
    <w:p>
      <w:pPr>
        <w:pStyle w:val="BodyText"/>
        <w:spacing w:line="458" w:lineRule="auto"/>
        <w:ind w:left="7599" w:right="108" w:firstLine="340"/>
        <w:jc w:val="right"/>
      </w:pPr>
      <w:r>
        <w:rPr/>
        <w:t>Los editores</w:t>
      </w:r>
      <w:r>
        <w:rPr>
          <w:w w:val="101"/>
        </w:rPr>
        <w:t> </w:t>
      </w:r>
      <w:r>
        <w:rPr/>
        <w:t>Otoño de 2010.</w:t>
      </w:r>
    </w:p>
    <w:sectPr>
      <w:pgSz w:w="11900" w:h="16840"/>
      <w:pgMar w:header="0" w:footer="1679" w:top="1600" w:bottom="1860" w:left="1300" w:right="12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alibri">
    <w:altName w:val="Calibri"/>
    <w:charset w:val="0"/>
    <w:family w:val="swiss"/>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03.559784pt;margin-top:747.060913pt;width:11.3pt;height:12.75pt;mso-position-horizontal-relative:page;mso-position-vertical-relative:page;z-index:-713440"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 roman </w:instrText>
                </w:r>
                <w:r>
                  <w:rPr/>
                  <w:fldChar w:fldCharType="separate"/>
                </w:r>
                <w:r>
                  <w:rPr/>
                  <w:t>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680054pt;margin-top:747.061157pt;width:15pt;height:12.75pt;mso-position-horizontal-relative:page;mso-position-vertical-relative:page;z-index:-713344" type="#_x0000_t202" filled="false" stroked="false">
          <v:textbox inset="0,0,0,0">
            <w:txbxContent>
              <w:p>
                <w:pPr>
                  <w:spacing w:line="238" w:lineRule="exact" w:before="0"/>
                  <w:ind w:left="40" w:right="-12" w:firstLine="0"/>
                  <w:jc w:val="left"/>
                  <w:rPr>
                    <w:rFonts w:ascii="Calibri"/>
                    <w:sz w:val="21"/>
                  </w:rPr>
                </w:pPr>
                <w:r>
                  <w:rPr/>
                  <w:fldChar w:fldCharType="begin"/>
                </w:r>
                <w:r>
                  <w:rPr>
                    <w:rFonts w:ascii="Calibri"/>
                    <w:sz w:val="21"/>
                  </w:rPr>
                  <w:instrText> PAGE </w:instrText>
                </w:r>
                <w:r>
                  <w:rPr/>
                  <w:fldChar w:fldCharType="separate"/>
                </w:r>
                <w:r>
                  <w:rPr/>
                  <w:t>30</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680054pt;margin-top:747.061157pt;width:15pt;height:12.75pt;mso-position-horizontal-relative:page;mso-position-vertical-relative:page;z-index:-713320" type="#_x0000_t202" filled="false" stroked="false">
          <v:textbox inset="0,0,0,0">
            <w:txbxContent>
              <w:p>
                <w:pPr>
                  <w:spacing w:line="238" w:lineRule="exact" w:before="0"/>
                  <w:ind w:left="40" w:right="-12" w:firstLine="0"/>
                  <w:jc w:val="left"/>
                  <w:rPr>
                    <w:rFonts w:ascii="Calibri"/>
                    <w:sz w:val="21"/>
                  </w:rPr>
                </w:pPr>
                <w:r>
                  <w:rPr/>
                  <w:fldChar w:fldCharType="begin"/>
                </w:r>
                <w:r>
                  <w:rPr>
                    <w:rFonts w:ascii="Calibri"/>
                    <w:sz w:val="21"/>
                  </w:rPr>
                  <w:instrText> PAGE </w:instrText>
                </w:r>
                <w:r>
                  <w:rPr/>
                  <w:fldChar w:fldCharType="separate"/>
                </w:r>
                <w:r>
                  <w:rPr/>
                  <w:t>40</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680054pt;margin-top:747.061157pt;width:15pt;height:12.75pt;mso-position-horizontal-relative:page;mso-position-vertical-relative:page;z-index:-713296" type="#_x0000_t202" filled="false" stroked="false">
          <v:textbox inset="0,0,0,0">
            <w:txbxContent>
              <w:p>
                <w:pPr>
                  <w:spacing w:line="238" w:lineRule="exact" w:before="0"/>
                  <w:ind w:left="40" w:right="-12" w:firstLine="0"/>
                  <w:jc w:val="left"/>
                  <w:rPr>
                    <w:rFonts w:ascii="Calibri"/>
                    <w:sz w:val="21"/>
                  </w:rPr>
                </w:pPr>
                <w:r>
                  <w:rPr/>
                  <w:fldChar w:fldCharType="begin"/>
                </w:r>
                <w:r>
                  <w:rPr>
                    <w:rFonts w:ascii="Calibri"/>
                    <w:sz w:val="21"/>
                  </w:rPr>
                  <w:instrText> PAGE </w:instrText>
                </w:r>
                <w:r>
                  <w:rPr/>
                  <w:fldChar w:fldCharType="separate"/>
                </w:r>
                <w:r>
                  <w:rPr/>
                  <w:t>50</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680054pt;margin-top:747.061157pt;width:15pt;height:12.75pt;mso-position-horizontal-relative:page;mso-position-vertical-relative:page;z-index:-713272" type="#_x0000_t202" filled="false" stroked="false">
          <v:textbox inset="0,0,0,0">
            <w:txbxContent>
              <w:p>
                <w:pPr>
                  <w:spacing w:line="238" w:lineRule="exact" w:before="0"/>
                  <w:ind w:left="40" w:right="-12" w:firstLine="0"/>
                  <w:jc w:val="left"/>
                  <w:rPr>
                    <w:rFonts w:ascii="Calibri"/>
                    <w:sz w:val="21"/>
                  </w:rPr>
                </w:pPr>
                <w:r>
                  <w:rPr/>
                  <w:fldChar w:fldCharType="begin"/>
                </w:r>
                <w:r>
                  <w:rPr>
                    <w:rFonts w:ascii="Calibri"/>
                    <w:sz w:val="21"/>
                  </w:rPr>
                  <w:instrText> PAGE </w:instrText>
                </w:r>
                <w:r>
                  <w:rPr/>
                  <w:fldChar w:fldCharType="separate"/>
                </w:r>
                <w:r>
                  <w:rPr/>
                  <w:t>60</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680054pt;margin-top:747.061157pt;width:15pt;height:12.75pt;mso-position-horizontal-relative:page;mso-position-vertical-relative:page;z-index:-713248" type="#_x0000_t202" filled="false" stroked="false">
          <v:textbox inset="0,0,0,0">
            <w:txbxContent>
              <w:p>
                <w:pPr>
                  <w:spacing w:line="238" w:lineRule="exact" w:before="0"/>
                  <w:ind w:left="40" w:right="-12" w:firstLine="0"/>
                  <w:jc w:val="left"/>
                  <w:rPr>
                    <w:rFonts w:ascii="Calibri"/>
                    <w:sz w:val="21"/>
                  </w:rPr>
                </w:pPr>
                <w:r>
                  <w:rPr/>
                  <w:fldChar w:fldCharType="begin"/>
                </w:r>
                <w:r>
                  <w:rPr>
                    <w:rFonts w:ascii="Calibri"/>
                    <w:sz w:val="21"/>
                  </w:rPr>
                  <w:instrText> PAGE </w:instrText>
                </w:r>
                <w:r>
                  <w:rPr/>
                  <w:fldChar w:fldCharType="separate"/>
                </w:r>
                <w:r>
                  <w:rPr/>
                  <w:t>70</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680054pt;margin-top:747.061157pt;width:15pt;height:12.75pt;mso-position-horizontal-relative:page;mso-position-vertical-relative:page;z-index:-713224" type="#_x0000_t202" filled="false" stroked="false">
          <v:textbox inset="0,0,0,0">
            <w:txbxContent>
              <w:p>
                <w:pPr>
                  <w:spacing w:line="238" w:lineRule="exact" w:before="0"/>
                  <w:ind w:left="40" w:right="-12" w:firstLine="0"/>
                  <w:jc w:val="left"/>
                  <w:rPr>
                    <w:rFonts w:ascii="Calibri"/>
                    <w:sz w:val="21"/>
                  </w:rPr>
                </w:pPr>
                <w:r>
                  <w:rPr/>
                  <w:fldChar w:fldCharType="begin"/>
                </w:r>
                <w:r>
                  <w:rPr>
                    <w:rFonts w:ascii="Calibri"/>
                    <w:sz w:val="21"/>
                  </w:rPr>
                  <w:instrText> PAGE </w:instrText>
                </w:r>
                <w:r>
                  <w:rPr/>
                  <w:fldChar w:fldCharType="separate"/>
                </w:r>
                <w:r>
                  <w:rPr/>
                  <w:t>80</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680054pt;margin-top:747.061157pt;width:15pt;height:12.75pt;mso-position-horizontal-relative:page;mso-position-vertical-relative:page;z-index:-713200" type="#_x0000_t202" filled="false" stroked="false">
          <v:textbox inset="0,0,0,0">
            <w:txbxContent>
              <w:p>
                <w:pPr>
                  <w:spacing w:line="238" w:lineRule="exact" w:before="0"/>
                  <w:ind w:left="40" w:right="-12" w:firstLine="0"/>
                  <w:jc w:val="left"/>
                  <w:rPr>
                    <w:rFonts w:ascii="Calibri"/>
                    <w:sz w:val="21"/>
                  </w:rPr>
                </w:pPr>
                <w:r>
                  <w:rPr/>
                  <w:fldChar w:fldCharType="begin"/>
                </w:r>
                <w:r>
                  <w:rPr>
                    <w:rFonts w:ascii="Calibri"/>
                    <w:sz w:val="21"/>
                  </w:rPr>
                  <w:instrText> PAGE </w:instrText>
                </w:r>
                <w:r>
                  <w:rPr/>
                  <w:fldChar w:fldCharType="separate"/>
                </w:r>
                <w:r>
                  <w:rPr/>
                  <w:t>90</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280121pt;margin-top:747.061157pt;width:20.4pt;height:12.75pt;mso-position-horizontal-relative:page;mso-position-vertical-relative:page;z-index:-713176"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100</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280121pt;margin-top:747.061157pt;width:20.4pt;height:12.9pt;mso-position-horizontal-relative:page;mso-position-vertical-relative:page;z-index:-713152" type="#_x0000_t202" filled="false" stroked="false">
          <v:textbox inset="0,0,0,0">
            <w:txbxContent>
              <w:p>
                <w:pPr>
                  <w:spacing w:line="240" w:lineRule="exact" w:before="0"/>
                  <w:ind w:left="42" w:right="0" w:firstLine="0"/>
                  <w:jc w:val="left"/>
                  <w:rPr>
                    <w:rFonts w:ascii="Calibri"/>
                    <w:sz w:val="21"/>
                  </w:rPr>
                </w:pPr>
                <w:r>
                  <w:rPr/>
                  <w:fldChar w:fldCharType="begin"/>
                </w:r>
                <w:r>
                  <w:rPr>
                    <w:rFonts w:ascii="Calibri"/>
                    <w:sz w:val="21"/>
                  </w:rPr>
                  <w:instrText> PAGE </w:instrText>
                </w:r>
                <w:r>
                  <w:rPr/>
                  <w:fldChar w:fldCharType="separate"/>
                </w:r>
                <w:r>
                  <w:rPr/>
                  <w:t>117</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280121pt;margin-top:747.061157pt;width:20.4pt;height:12.75pt;mso-position-horizontal-relative:page;mso-position-vertical-relative:page;z-index:-713128"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120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280121pt;margin-top:747.061157pt;width:20.4pt;height:12.75pt;mso-position-horizontal-relative:page;mso-position-vertical-relative:page;z-index:-713104"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130</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280121pt;margin-top:747.061157pt;width:20.4pt;height:12.9pt;mso-position-horizontal-relative:page;mso-position-vertical-relative:page;z-index:-713080" type="#_x0000_t202" filled="false" stroked="false">
          <v:textbox inset="0,0,0,0">
            <w:txbxContent>
              <w:p>
                <w:pPr>
                  <w:spacing w:line="240" w:lineRule="exact" w:before="0"/>
                  <w:ind w:left="42" w:right="0" w:firstLine="0"/>
                  <w:jc w:val="left"/>
                  <w:rPr>
                    <w:rFonts w:ascii="Calibri"/>
                    <w:sz w:val="21"/>
                  </w:rPr>
                </w:pPr>
                <w:r>
                  <w:rPr/>
                  <w:fldChar w:fldCharType="begin"/>
                </w:r>
                <w:r>
                  <w:rPr>
                    <w:rFonts w:ascii="Calibri"/>
                    <w:sz w:val="21"/>
                  </w:rPr>
                  <w:instrText> PAGE </w:instrText>
                </w:r>
                <w:r>
                  <w:rPr/>
                  <w:fldChar w:fldCharType="separate"/>
                </w:r>
                <w:r>
                  <w:rPr/>
                  <w:t>141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280121pt;margin-top:747.061157pt;width:20.4pt;height:12.9pt;mso-position-horizontal-relative:page;mso-position-vertical-relative:page;z-index:-713056" type="#_x0000_t202" filled="false" stroked="false">
          <v:textbox inset="0,0,0,0">
            <w:txbxContent>
              <w:p>
                <w:pPr>
                  <w:spacing w:line="240" w:lineRule="exact" w:before="0"/>
                  <w:ind w:left="42" w:right="0" w:firstLine="0"/>
                  <w:jc w:val="left"/>
                  <w:rPr>
                    <w:rFonts w:ascii="Calibri"/>
                    <w:sz w:val="21"/>
                  </w:rPr>
                </w:pPr>
                <w:r>
                  <w:rPr/>
                  <w:fldChar w:fldCharType="begin"/>
                </w:r>
                <w:r>
                  <w:rPr>
                    <w:rFonts w:ascii="Calibri"/>
                    <w:sz w:val="21"/>
                  </w:rPr>
                  <w:instrText> PAGE </w:instrText>
                </w:r>
                <w:r>
                  <w:rPr/>
                  <w:fldChar w:fldCharType="separate"/>
                </w:r>
                <w:r>
                  <w:rPr/>
                  <w:t>158</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280121pt;margin-top:747.061157pt;width:20.4pt;height:12.75pt;mso-position-horizontal-relative:page;mso-position-vertical-relative:page;z-index:-713032"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160</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280121pt;margin-top:747.061157pt;width:20.4pt;height:12.75pt;mso-position-horizontal-relative:page;mso-position-vertical-relative:page;z-index:-713008"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170</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399811pt;margin-top:747.180237pt;width:20.25pt;height:12.75pt;mso-position-horizontal-relative:page;mso-position-vertical-relative:page;z-index:-712984"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180</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9.43103pt;margin-top:536.100891pt;width:20.3pt;height:12.75pt;mso-position-horizontal-relative:page;mso-position-vertical-relative:page;z-index:-712960"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181</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4pt;height:12.9pt;mso-position-horizontal-relative:page;mso-position-vertical-relative:page;z-index:-712936" type="#_x0000_t202" filled="false" stroked="false">
          <v:textbox inset="0,0,0,0">
            <w:txbxContent>
              <w:p>
                <w:pPr>
                  <w:spacing w:line="240"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186</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25pt;height:12.75pt;mso-position-horizontal-relative:page;mso-position-vertical-relative:page;z-index:-712912"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190</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25pt;height:12.75pt;mso-position-horizontal-relative:page;mso-position-vertical-relative:page;z-index:-712888"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200</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25pt;height:12.75pt;mso-position-horizontal-relative:page;mso-position-vertical-relative:page;z-index:-712864"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210</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25pt;height:12.75pt;mso-position-horizontal-relative:page;mso-position-vertical-relative:page;z-index:-712840"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220</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25pt;height:12.75pt;mso-position-horizontal-relative:page;mso-position-vertical-relative:page;z-index:-712816"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230</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25pt;height:12.75pt;mso-position-horizontal-relative:page;mso-position-vertical-relative:page;z-index:-712792"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240</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25pt;height:12.75pt;mso-position-horizontal-relative:page;mso-position-vertical-relative:page;z-index:-712768"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250</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4pt;height:12.9pt;mso-position-horizontal-relative:page;mso-position-vertical-relative:page;z-index:-712744" type="#_x0000_t202" filled="false" stroked="false">
          <v:textbox inset="0,0,0,0">
            <w:txbxContent>
              <w:p>
                <w:pPr>
                  <w:spacing w:line="240"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269</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4pt;height:12.9pt;mso-position-horizontal-relative:page;mso-position-vertical-relative:page;z-index:-712720" type="#_x0000_t202" filled="false" stroked="false">
          <v:textbox inset="0,0,0,0">
            <w:txbxContent>
              <w:p>
                <w:pPr>
                  <w:spacing w:line="240"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270</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25pt;height:12.75pt;mso-position-horizontal-relative:page;mso-position-vertical-relative:page;z-index:-712696"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280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shape style="position:absolute;margin-left:507.399231pt;margin-top:747.061157pt;width:20.4pt;height:12.9pt;mso-position-horizontal-relative:page;mso-position-vertical-relative:page;z-index:-712672" type="#_x0000_t202" filled="false" stroked="false">
          <v:textbox inset="0,0,0,0">
            <w:txbxContent>
              <w:p>
                <w:pPr>
                  <w:spacing w:line="240"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298</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4pt;height:12.9pt;mso-position-horizontal-relative:page;mso-position-vertical-relative:page;z-index:-712648" type="#_x0000_t202" filled="false" stroked="false">
          <v:textbox inset="0,0,0,0">
            <w:txbxContent>
              <w:p>
                <w:pPr>
                  <w:spacing w:line="240"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300</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4pt;height:12.9pt;mso-position-horizontal-relative:page;mso-position-vertical-relative:page;z-index:-712624" type="#_x0000_t202" filled="false" stroked="false">
          <v:textbox inset="0,0,0,0">
            <w:txbxContent>
              <w:p>
                <w:pPr>
                  <w:spacing w:line="240"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314</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25pt;height:12.75pt;mso-position-horizontal-relative:page;mso-position-vertical-relative:page;z-index:-712600"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320</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25pt;height:12.75pt;mso-position-horizontal-relative:page;mso-position-vertical-relative:page;z-index:-712576"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330</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25pt;height:12.75pt;mso-position-horizontal-relative:page;mso-position-vertical-relative:page;z-index:-712552"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340</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4pt;height:12.9pt;mso-position-horizontal-relative:page;mso-position-vertical-relative:page;z-index:-712528" type="#_x0000_t202" filled="false" stroked="false">
          <v:textbox inset="0,0,0,0">
            <w:txbxContent>
              <w:p>
                <w:pPr>
                  <w:spacing w:line="240"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356</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4pt;height:12.9pt;mso-position-horizontal-relative:page;mso-position-vertical-relative:page;z-index:-712504" type="#_x0000_t202" filled="false" stroked="false">
          <v:textbox inset="0,0,0,0">
            <w:txbxContent>
              <w:p>
                <w:pPr>
                  <w:spacing w:line="240"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360</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25pt;height:12.75pt;mso-position-horizontal-relative:page;mso-position-vertical-relative:page;z-index:-712480"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370</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25pt;height:12.75pt;mso-position-horizontal-relative:page;mso-position-vertical-relative:page;z-index:-712456"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376</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25pt;height:12.75pt;mso-position-horizontal-relative:page;mso-position-vertical-relative:page;z-index:-712432"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380</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25pt;height:12.75pt;mso-position-horizontal-relative:page;mso-position-vertical-relative:page;z-index:-712408"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390</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25pt;height:12.75pt;mso-position-horizontal-relative:page;mso-position-vertical-relative:page;z-index:-712384"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400</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399231pt;margin-top:747.061157pt;width:20.25pt;height:12.75pt;mso-position-horizontal-relative:page;mso-position-vertical-relative:page;z-index:-712360"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410</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3.19989pt;margin-top:747.061157pt;width:9.450pt;height:12.75pt;mso-position-horizontal-relative:page;mso-position-vertical-relative:page;z-index:-713416"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w w:val="102"/>
                    <w:sz w:val="21"/>
                  </w:rPr>
                  <w:instrText> PAGE </w:instrText>
                </w:r>
                <w:r>
                  <w:rPr/>
                  <w:fldChar w:fldCharType="separate"/>
                </w:r>
                <w:r>
                  <w:rPr/>
                  <w:t>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680054pt;margin-top:747.061157pt;width:15pt;height:12.75pt;mso-position-horizontal-relative:page;mso-position-vertical-relative:page;z-index:-713392" type="#_x0000_t202" filled="false" stroked="false">
          <v:textbox inset="0,0,0,0">
            <w:txbxContent>
              <w:p>
                <w:pPr>
                  <w:spacing w:line="238" w:lineRule="exact" w:before="0"/>
                  <w:ind w:left="40" w:right="-12" w:firstLine="0"/>
                  <w:jc w:val="left"/>
                  <w:rPr>
                    <w:rFonts w:ascii="Calibri"/>
                    <w:sz w:val="21"/>
                  </w:rPr>
                </w:pPr>
                <w:r>
                  <w:rPr/>
                  <w:fldChar w:fldCharType="begin"/>
                </w:r>
                <w:r>
                  <w:rPr>
                    <w:rFonts w:ascii="Calibri"/>
                    <w:sz w:val="21"/>
                  </w:rPr>
                  <w:instrText> PAGE </w:instrText>
                </w:r>
                <w:r>
                  <w:rPr/>
                  <w:fldChar w:fldCharType="separate"/>
                </w:r>
                <w:r>
                  <w:rPr/>
                  <w:t>10</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680054pt;margin-top:747.061157pt;width:15pt;height:12.75pt;mso-position-horizontal-relative:page;mso-position-vertical-relative:page;z-index:-713368" type="#_x0000_t202" filled="false" stroked="false">
          <v:textbox inset="0,0,0,0">
            <w:txbxContent>
              <w:p>
                <w:pPr>
                  <w:spacing w:line="238" w:lineRule="exact" w:before="0"/>
                  <w:ind w:left="40" w:right="-12" w:firstLine="0"/>
                  <w:jc w:val="left"/>
                  <w:rPr>
                    <w:rFonts w:ascii="Calibri"/>
                    <w:sz w:val="21"/>
                  </w:rPr>
                </w:pPr>
                <w:r>
                  <w:rPr/>
                  <w:fldChar w:fldCharType="begin"/>
                </w:r>
                <w:r>
                  <w:rPr>
                    <w:rFonts w:ascii="Calibri"/>
                    <w:sz w:val="21"/>
                  </w:rPr>
                  <w:instrText> PAGE </w:instrText>
                </w:r>
                <w:r>
                  <w:rPr/>
                  <w:fldChar w:fldCharType="separate"/>
                </w:r>
                <w:r>
                  <w:rPr/>
                  <w:t>20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
    <w:multiLevelType w:val="hybridMultilevel"/>
    <w:lvl w:ilvl="0">
      <w:start w:val="1"/>
      <w:numFmt w:val="bullet"/>
      <w:lvlText w:val=""/>
      <w:lvlJc w:val="left"/>
      <w:pPr>
        <w:ind w:left="802" w:hanging="351"/>
      </w:pPr>
      <w:rPr>
        <w:rFonts w:hint="default" w:ascii="Symbol" w:hAnsi="Symbol" w:eastAsia="Symbol" w:cs="Symbol"/>
        <w:w w:val="101"/>
        <w:sz w:val="23"/>
        <w:szCs w:val="23"/>
      </w:rPr>
    </w:lvl>
    <w:lvl w:ilvl="1">
      <w:start w:val="1"/>
      <w:numFmt w:val="bullet"/>
      <w:lvlText w:val="•"/>
      <w:lvlJc w:val="left"/>
      <w:pPr>
        <w:ind w:left="1652" w:hanging="351"/>
      </w:pPr>
      <w:rPr>
        <w:rFonts w:hint="default"/>
      </w:rPr>
    </w:lvl>
    <w:lvl w:ilvl="2">
      <w:start w:val="1"/>
      <w:numFmt w:val="bullet"/>
      <w:lvlText w:val="•"/>
      <w:lvlJc w:val="left"/>
      <w:pPr>
        <w:ind w:left="2504" w:hanging="351"/>
      </w:pPr>
      <w:rPr>
        <w:rFonts w:hint="default"/>
      </w:rPr>
    </w:lvl>
    <w:lvl w:ilvl="3">
      <w:start w:val="1"/>
      <w:numFmt w:val="bullet"/>
      <w:lvlText w:val="•"/>
      <w:lvlJc w:val="left"/>
      <w:pPr>
        <w:ind w:left="3356" w:hanging="351"/>
      </w:pPr>
      <w:rPr>
        <w:rFonts w:hint="default"/>
      </w:rPr>
    </w:lvl>
    <w:lvl w:ilvl="4">
      <w:start w:val="1"/>
      <w:numFmt w:val="bullet"/>
      <w:lvlText w:val="•"/>
      <w:lvlJc w:val="left"/>
      <w:pPr>
        <w:ind w:left="4208" w:hanging="351"/>
      </w:pPr>
      <w:rPr>
        <w:rFonts w:hint="default"/>
      </w:rPr>
    </w:lvl>
    <w:lvl w:ilvl="5">
      <w:start w:val="1"/>
      <w:numFmt w:val="bullet"/>
      <w:lvlText w:val="•"/>
      <w:lvlJc w:val="left"/>
      <w:pPr>
        <w:ind w:left="5060" w:hanging="351"/>
      </w:pPr>
      <w:rPr>
        <w:rFonts w:hint="default"/>
      </w:rPr>
    </w:lvl>
    <w:lvl w:ilvl="6">
      <w:start w:val="1"/>
      <w:numFmt w:val="bullet"/>
      <w:lvlText w:val="•"/>
      <w:lvlJc w:val="left"/>
      <w:pPr>
        <w:ind w:left="5912" w:hanging="351"/>
      </w:pPr>
      <w:rPr>
        <w:rFonts w:hint="default"/>
      </w:rPr>
    </w:lvl>
    <w:lvl w:ilvl="7">
      <w:start w:val="1"/>
      <w:numFmt w:val="bullet"/>
      <w:lvlText w:val="•"/>
      <w:lvlJc w:val="left"/>
      <w:pPr>
        <w:ind w:left="6764" w:hanging="351"/>
      </w:pPr>
      <w:rPr>
        <w:rFonts w:hint="default"/>
      </w:rPr>
    </w:lvl>
    <w:lvl w:ilvl="8">
      <w:start w:val="1"/>
      <w:numFmt w:val="bullet"/>
      <w:lvlText w:val="•"/>
      <w:lvlJc w:val="left"/>
      <w:pPr>
        <w:ind w:left="7616" w:hanging="351"/>
      </w:pPr>
      <w:rPr>
        <w:rFonts w:hint="default"/>
      </w:rPr>
    </w:lvl>
  </w:abstractNum>
  <w:abstractNum w:abstractNumId="32">
    <w:multiLevelType w:val="hybridMultilevel"/>
    <w:lvl w:ilvl="0">
      <w:start w:val="1"/>
      <w:numFmt w:val="upperRoman"/>
      <w:lvlText w:val="%1."/>
      <w:lvlJc w:val="left"/>
      <w:pPr>
        <w:ind w:left="360" w:hanging="260"/>
        <w:jc w:val="right"/>
      </w:pPr>
      <w:rPr>
        <w:rFonts w:hint="default"/>
        <w:b/>
        <w:bCs/>
        <w:w w:val="100"/>
      </w:rPr>
    </w:lvl>
    <w:lvl w:ilvl="1">
      <w:start w:val="1"/>
      <w:numFmt w:val="bullet"/>
      <w:lvlText w:val="•"/>
      <w:lvlJc w:val="left"/>
      <w:pPr>
        <w:ind w:left="1256" w:hanging="260"/>
      </w:pPr>
      <w:rPr>
        <w:rFonts w:hint="default"/>
      </w:rPr>
    </w:lvl>
    <w:lvl w:ilvl="2">
      <w:start w:val="1"/>
      <w:numFmt w:val="bullet"/>
      <w:lvlText w:val="•"/>
      <w:lvlJc w:val="left"/>
      <w:pPr>
        <w:ind w:left="2152" w:hanging="260"/>
      </w:pPr>
      <w:rPr>
        <w:rFonts w:hint="default"/>
      </w:rPr>
    </w:lvl>
    <w:lvl w:ilvl="3">
      <w:start w:val="1"/>
      <w:numFmt w:val="bullet"/>
      <w:lvlText w:val="•"/>
      <w:lvlJc w:val="left"/>
      <w:pPr>
        <w:ind w:left="3048" w:hanging="260"/>
      </w:pPr>
      <w:rPr>
        <w:rFonts w:hint="default"/>
      </w:rPr>
    </w:lvl>
    <w:lvl w:ilvl="4">
      <w:start w:val="1"/>
      <w:numFmt w:val="bullet"/>
      <w:lvlText w:val="•"/>
      <w:lvlJc w:val="left"/>
      <w:pPr>
        <w:ind w:left="3944" w:hanging="260"/>
      </w:pPr>
      <w:rPr>
        <w:rFonts w:hint="default"/>
      </w:rPr>
    </w:lvl>
    <w:lvl w:ilvl="5">
      <w:start w:val="1"/>
      <w:numFmt w:val="bullet"/>
      <w:lvlText w:val="•"/>
      <w:lvlJc w:val="left"/>
      <w:pPr>
        <w:ind w:left="4840" w:hanging="260"/>
      </w:pPr>
      <w:rPr>
        <w:rFonts w:hint="default"/>
      </w:rPr>
    </w:lvl>
    <w:lvl w:ilvl="6">
      <w:start w:val="1"/>
      <w:numFmt w:val="bullet"/>
      <w:lvlText w:val="•"/>
      <w:lvlJc w:val="left"/>
      <w:pPr>
        <w:ind w:left="5736" w:hanging="260"/>
      </w:pPr>
      <w:rPr>
        <w:rFonts w:hint="default"/>
      </w:rPr>
    </w:lvl>
    <w:lvl w:ilvl="7">
      <w:start w:val="1"/>
      <w:numFmt w:val="bullet"/>
      <w:lvlText w:val="•"/>
      <w:lvlJc w:val="left"/>
      <w:pPr>
        <w:ind w:left="6632" w:hanging="260"/>
      </w:pPr>
      <w:rPr>
        <w:rFonts w:hint="default"/>
      </w:rPr>
    </w:lvl>
    <w:lvl w:ilvl="8">
      <w:start w:val="1"/>
      <w:numFmt w:val="bullet"/>
      <w:lvlText w:val="•"/>
      <w:lvlJc w:val="left"/>
      <w:pPr>
        <w:ind w:left="7528" w:hanging="260"/>
      </w:pPr>
      <w:rPr>
        <w:rFonts w:hint="default"/>
      </w:rPr>
    </w:lvl>
  </w:abstractNum>
  <w:abstractNum w:abstractNumId="31">
    <w:multiLevelType w:val="hybridMultilevel"/>
    <w:lvl w:ilvl="0">
      <w:start w:val="3"/>
      <w:numFmt w:val="decimal"/>
      <w:lvlText w:val="%1"/>
      <w:lvlJc w:val="left"/>
      <w:pPr>
        <w:ind w:left="101" w:hanging="605"/>
        <w:jc w:val="left"/>
      </w:pPr>
      <w:rPr>
        <w:rFonts w:hint="default"/>
      </w:rPr>
    </w:lvl>
    <w:lvl w:ilvl="1">
      <w:start w:val="1"/>
      <w:numFmt w:val="decimal"/>
      <w:lvlText w:val="%1.%2."/>
      <w:lvlJc w:val="left"/>
      <w:pPr>
        <w:ind w:left="101" w:hanging="605"/>
        <w:jc w:val="left"/>
      </w:pPr>
      <w:rPr>
        <w:rFonts w:hint="default" w:ascii="Arial" w:hAnsi="Arial" w:eastAsia="Arial" w:cs="Arial"/>
        <w:b/>
        <w:bCs/>
        <w:spacing w:val="-1"/>
        <w:w w:val="101"/>
        <w:sz w:val="27"/>
        <w:szCs w:val="27"/>
      </w:rPr>
    </w:lvl>
    <w:lvl w:ilvl="2">
      <w:start w:val="1"/>
      <w:numFmt w:val="bullet"/>
      <w:lvlText w:val="•"/>
      <w:lvlJc w:val="left"/>
      <w:pPr>
        <w:ind w:left="1944" w:hanging="605"/>
      </w:pPr>
      <w:rPr>
        <w:rFonts w:hint="default"/>
      </w:rPr>
    </w:lvl>
    <w:lvl w:ilvl="3">
      <w:start w:val="1"/>
      <w:numFmt w:val="bullet"/>
      <w:lvlText w:val="•"/>
      <w:lvlJc w:val="left"/>
      <w:pPr>
        <w:ind w:left="2866" w:hanging="605"/>
      </w:pPr>
      <w:rPr>
        <w:rFonts w:hint="default"/>
      </w:rPr>
    </w:lvl>
    <w:lvl w:ilvl="4">
      <w:start w:val="1"/>
      <w:numFmt w:val="bullet"/>
      <w:lvlText w:val="•"/>
      <w:lvlJc w:val="left"/>
      <w:pPr>
        <w:ind w:left="3788" w:hanging="605"/>
      </w:pPr>
      <w:rPr>
        <w:rFonts w:hint="default"/>
      </w:rPr>
    </w:lvl>
    <w:lvl w:ilvl="5">
      <w:start w:val="1"/>
      <w:numFmt w:val="bullet"/>
      <w:lvlText w:val="•"/>
      <w:lvlJc w:val="left"/>
      <w:pPr>
        <w:ind w:left="4710" w:hanging="605"/>
      </w:pPr>
      <w:rPr>
        <w:rFonts w:hint="default"/>
      </w:rPr>
    </w:lvl>
    <w:lvl w:ilvl="6">
      <w:start w:val="1"/>
      <w:numFmt w:val="bullet"/>
      <w:lvlText w:val="•"/>
      <w:lvlJc w:val="left"/>
      <w:pPr>
        <w:ind w:left="5632" w:hanging="605"/>
      </w:pPr>
      <w:rPr>
        <w:rFonts w:hint="default"/>
      </w:rPr>
    </w:lvl>
    <w:lvl w:ilvl="7">
      <w:start w:val="1"/>
      <w:numFmt w:val="bullet"/>
      <w:lvlText w:val="•"/>
      <w:lvlJc w:val="left"/>
      <w:pPr>
        <w:ind w:left="6554" w:hanging="605"/>
      </w:pPr>
      <w:rPr>
        <w:rFonts w:hint="default"/>
      </w:rPr>
    </w:lvl>
    <w:lvl w:ilvl="8">
      <w:start w:val="1"/>
      <w:numFmt w:val="bullet"/>
      <w:lvlText w:val="•"/>
      <w:lvlJc w:val="left"/>
      <w:pPr>
        <w:ind w:left="7476" w:hanging="605"/>
      </w:pPr>
      <w:rPr>
        <w:rFonts w:hint="default"/>
      </w:rPr>
    </w:lvl>
  </w:abstractNum>
  <w:abstractNum w:abstractNumId="30">
    <w:multiLevelType w:val="hybridMultilevel"/>
    <w:lvl w:ilvl="0">
      <w:start w:val="1"/>
      <w:numFmt w:val="upperRoman"/>
      <w:lvlText w:val="%1."/>
      <w:lvlJc w:val="left"/>
      <w:pPr>
        <w:ind w:left="360" w:hanging="260"/>
        <w:jc w:val="left"/>
      </w:pPr>
      <w:rPr>
        <w:rFonts w:hint="default" w:ascii="Arial" w:hAnsi="Arial" w:eastAsia="Arial" w:cs="Arial"/>
        <w:b/>
        <w:bCs/>
        <w:w w:val="100"/>
        <w:sz w:val="31"/>
        <w:szCs w:val="31"/>
      </w:rPr>
    </w:lvl>
    <w:lvl w:ilvl="1">
      <w:start w:val="1"/>
      <w:numFmt w:val="bullet"/>
      <w:lvlText w:val="•"/>
      <w:lvlJc w:val="left"/>
      <w:pPr>
        <w:ind w:left="1256" w:hanging="260"/>
      </w:pPr>
      <w:rPr>
        <w:rFonts w:hint="default"/>
      </w:rPr>
    </w:lvl>
    <w:lvl w:ilvl="2">
      <w:start w:val="1"/>
      <w:numFmt w:val="bullet"/>
      <w:lvlText w:val="•"/>
      <w:lvlJc w:val="left"/>
      <w:pPr>
        <w:ind w:left="2152" w:hanging="260"/>
      </w:pPr>
      <w:rPr>
        <w:rFonts w:hint="default"/>
      </w:rPr>
    </w:lvl>
    <w:lvl w:ilvl="3">
      <w:start w:val="1"/>
      <w:numFmt w:val="bullet"/>
      <w:lvlText w:val="•"/>
      <w:lvlJc w:val="left"/>
      <w:pPr>
        <w:ind w:left="3048" w:hanging="260"/>
      </w:pPr>
      <w:rPr>
        <w:rFonts w:hint="default"/>
      </w:rPr>
    </w:lvl>
    <w:lvl w:ilvl="4">
      <w:start w:val="1"/>
      <w:numFmt w:val="bullet"/>
      <w:lvlText w:val="•"/>
      <w:lvlJc w:val="left"/>
      <w:pPr>
        <w:ind w:left="3944" w:hanging="260"/>
      </w:pPr>
      <w:rPr>
        <w:rFonts w:hint="default"/>
      </w:rPr>
    </w:lvl>
    <w:lvl w:ilvl="5">
      <w:start w:val="1"/>
      <w:numFmt w:val="bullet"/>
      <w:lvlText w:val="•"/>
      <w:lvlJc w:val="left"/>
      <w:pPr>
        <w:ind w:left="4840" w:hanging="260"/>
      </w:pPr>
      <w:rPr>
        <w:rFonts w:hint="default"/>
      </w:rPr>
    </w:lvl>
    <w:lvl w:ilvl="6">
      <w:start w:val="1"/>
      <w:numFmt w:val="bullet"/>
      <w:lvlText w:val="•"/>
      <w:lvlJc w:val="left"/>
      <w:pPr>
        <w:ind w:left="5736" w:hanging="260"/>
      </w:pPr>
      <w:rPr>
        <w:rFonts w:hint="default"/>
      </w:rPr>
    </w:lvl>
    <w:lvl w:ilvl="7">
      <w:start w:val="1"/>
      <w:numFmt w:val="bullet"/>
      <w:lvlText w:val="•"/>
      <w:lvlJc w:val="left"/>
      <w:pPr>
        <w:ind w:left="6632" w:hanging="260"/>
      </w:pPr>
      <w:rPr>
        <w:rFonts w:hint="default"/>
      </w:rPr>
    </w:lvl>
    <w:lvl w:ilvl="8">
      <w:start w:val="1"/>
      <w:numFmt w:val="bullet"/>
      <w:lvlText w:val="•"/>
      <w:lvlJc w:val="left"/>
      <w:pPr>
        <w:ind w:left="7528" w:hanging="260"/>
      </w:pPr>
      <w:rPr>
        <w:rFonts w:hint="default"/>
      </w:rPr>
    </w:lvl>
  </w:abstractNum>
  <w:abstractNum w:abstractNumId="29">
    <w:multiLevelType w:val="hybridMultilevel"/>
    <w:lvl w:ilvl="0">
      <w:start w:val="3"/>
      <w:numFmt w:val="upperRoman"/>
      <w:lvlText w:val="%1."/>
      <w:lvlJc w:val="left"/>
      <w:pPr>
        <w:ind w:left="533" w:hanging="432"/>
        <w:jc w:val="left"/>
      </w:pPr>
      <w:rPr>
        <w:rFonts w:hint="default" w:ascii="Arial" w:hAnsi="Arial" w:eastAsia="Arial" w:cs="Arial"/>
        <w:b/>
        <w:bCs/>
        <w:w w:val="100"/>
        <w:sz w:val="31"/>
        <w:szCs w:val="31"/>
      </w:rPr>
    </w:lvl>
    <w:lvl w:ilvl="1">
      <w:start w:val="3"/>
      <w:numFmt w:val="upperRoman"/>
      <w:lvlText w:val="%2."/>
      <w:lvlJc w:val="left"/>
      <w:pPr>
        <w:ind w:left="888" w:hanging="437"/>
        <w:jc w:val="right"/>
      </w:pPr>
      <w:rPr>
        <w:rFonts w:hint="default" w:ascii="Arial" w:hAnsi="Arial" w:eastAsia="Arial" w:cs="Arial"/>
        <w:b/>
        <w:bCs/>
        <w:w w:val="100"/>
        <w:sz w:val="31"/>
        <w:szCs w:val="31"/>
      </w:rPr>
    </w:lvl>
    <w:lvl w:ilvl="2">
      <w:start w:val="1"/>
      <w:numFmt w:val="bullet"/>
      <w:lvlText w:val="•"/>
      <w:lvlJc w:val="left"/>
      <w:pPr>
        <w:ind w:left="1817" w:hanging="437"/>
      </w:pPr>
      <w:rPr>
        <w:rFonts w:hint="default"/>
      </w:rPr>
    </w:lvl>
    <w:lvl w:ilvl="3">
      <w:start w:val="1"/>
      <w:numFmt w:val="bullet"/>
      <w:lvlText w:val="•"/>
      <w:lvlJc w:val="left"/>
      <w:pPr>
        <w:ind w:left="2755" w:hanging="437"/>
      </w:pPr>
      <w:rPr>
        <w:rFonts w:hint="default"/>
      </w:rPr>
    </w:lvl>
    <w:lvl w:ilvl="4">
      <w:start w:val="1"/>
      <w:numFmt w:val="bullet"/>
      <w:lvlText w:val="•"/>
      <w:lvlJc w:val="left"/>
      <w:pPr>
        <w:ind w:left="3693" w:hanging="437"/>
      </w:pPr>
      <w:rPr>
        <w:rFonts w:hint="default"/>
      </w:rPr>
    </w:lvl>
    <w:lvl w:ilvl="5">
      <w:start w:val="1"/>
      <w:numFmt w:val="bullet"/>
      <w:lvlText w:val="•"/>
      <w:lvlJc w:val="left"/>
      <w:pPr>
        <w:ind w:left="4631" w:hanging="437"/>
      </w:pPr>
      <w:rPr>
        <w:rFonts w:hint="default"/>
      </w:rPr>
    </w:lvl>
    <w:lvl w:ilvl="6">
      <w:start w:val="1"/>
      <w:numFmt w:val="bullet"/>
      <w:lvlText w:val="•"/>
      <w:lvlJc w:val="left"/>
      <w:pPr>
        <w:ind w:left="5568" w:hanging="437"/>
      </w:pPr>
      <w:rPr>
        <w:rFonts w:hint="default"/>
      </w:rPr>
    </w:lvl>
    <w:lvl w:ilvl="7">
      <w:start w:val="1"/>
      <w:numFmt w:val="bullet"/>
      <w:lvlText w:val="•"/>
      <w:lvlJc w:val="left"/>
      <w:pPr>
        <w:ind w:left="6506" w:hanging="437"/>
      </w:pPr>
      <w:rPr>
        <w:rFonts w:hint="default"/>
      </w:rPr>
    </w:lvl>
    <w:lvl w:ilvl="8">
      <w:start w:val="1"/>
      <w:numFmt w:val="bullet"/>
      <w:lvlText w:val="•"/>
      <w:lvlJc w:val="left"/>
      <w:pPr>
        <w:ind w:left="7444" w:hanging="437"/>
      </w:pPr>
      <w:rPr>
        <w:rFonts w:hint="default"/>
      </w:rPr>
    </w:lvl>
  </w:abstractNum>
  <w:abstractNum w:abstractNumId="28">
    <w:multiLevelType w:val="hybridMultilevel"/>
    <w:lvl w:ilvl="0">
      <w:start w:val="3"/>
      <w:numFmt w:val="decimal"/>
      <w:lvlText w:val="%1"/>
      <w:lvlJc w:val="left"/>
      <w:pPr>
        <w:ind w:left="560" w:hanging="459"/>
        <w:jc w:val="left"/>
      </w:pPr>
      <w:rPr>
        <w:rFonts w:hint="default"/>
      </w:rPr>
    </w:lvl>
    <w:lvl w:ilvl="1">
      <w:start w:val="1"/>
      <w:numFmt w:val="decimal"/>
      <w:lvlText w:val="%1.%2"/>
      <w:lvlJc w:val="left"/>
      <w:pPr>
        <w:ind w:left="560" w:hanging="459"/>
        <w:jc w:val="left"/>
      </w:pPr>
      <w:rPr>
        <w:rFonts w:hint="default" w:ascii="Arial" w:hAnsi="Arial" w:eastAsia="Arial" w:cs="Arial"/>
        <w:b/>
        <w:bCs/>
        <w:spacing w:val="-1"/>
        <w:w w:val="101"/>
        <w:sz w:val="27"/>
        <w:szCs w:val="27"/>
      </w:rPr>
    </w:lvl>
    <w:lvl w:ilvl="2">
      <w:start w:val="1"/>
      <w:numFmt w:val="bullet"/>
      <w:lvlText w:val="•"/>
      <w:lvlJc w:val="left"/>
      <w:pPr>
        <w:ind w:left="1584" w:hanging="459"/>
      </w:pPr>
      <w:rPr>
        <w:rFonts w:hint="default"/>
      </w:rPr>
    </w:lvl>
    <w:lvl w:ilvl="3">
      <w:start w:val="1"/>
      <w:numFmt w:val="bullet"/>
      <w:lvlText w:val="•"/>
      <w:lvlJc w:val="left"/>
      <w:pPr>
        <w:ind w:left="2508" w:hanging="459"/>
      </w:pPr>
      <w:rPr>
        <w:rFonts w:hint="default"/>
      </w:rPr>
    </w:lvl>
    <w:lvl w:ilvl="4">
      <w:start w:val="1"/>
      <w:numFmt w:val="bullet"/>
      <w:lvlText w:val="•"/>
      <w:lvlJc w:val="left"/>
      <w:pPr>
        <w:ind w:left="3433" w:hanging="459"/>
      </w:pPr>
      <w:rPr>
        <w:rFonts w:hint="default"/>
      </w:rPr>
    </w:lvl>
    <w:lvl w:ilvl="5">
      <w:start w:val="1"/>
      <w:numFmt w:val="bullet"/>
      <w:lvlText w:val="•"/>
      <w:lvlJc w:val="left"/>
      <w:pPr>
        <w:ind w:left="4357" w:hanging="459"/>
      </w:pPr>
      <w:rPr>
        <w:rFonts w:hint="default"/>
      </w:rPr>
    </w:lvl>
    <w:lvl w:ilvl="6">
      <w:start w:val="1"/>
      <w:numFmt w:val="bullet"/>
      <w:lvlText w:val="•"/>
      <w:lvlJc w:val="left"/>
      <w:pPr>
        <w:ind w:left="5282" w:hanging="459"/>
      </w:pPr>
      <w:rPr>
        <w:rFonts w:hint="default"/>
      </w:rPr>
    </w:lvl>
    <w:lvl w:ilvl="7">
      <w:start w:val="1"/>
      <w:numFmt w:val="bullet"/>
      <w:lvlText w:val="•"/>
      <w:lvlJc w:val="left"/>
      <w:pPr>
        <w:ind w:left="6206" w:hanging="459"/>
      </w:pPr>
      <w:rPr>
        <w:rFonts w:hint="default"/>
      </w:rPr>
    </w:lvl>
    <w:lvl w:ilvl="8">
      <w:start w:val="1"/>
      <w:numFmt w:val="bullet"/>
      <w:lvlText w:val="•"/>
      <w:lvlJc w:val="left"/>
      <w:pPr>
        <w:ind w:left="7131" w:hanging="459"/>
      </w:pPr>
      <w:rPr>
        <w:rFonts w:hint="default"/>
      </w:rPr>
    </w:lvl>
  </w:abstractNum>
  <w:abstractNum w:abstractNumId="27">
    <w:multiLevelType w:val="hybridMultilevel"/>
    <w:lvl w:ilvl="0">
      <w:start w:val="1"/>
      <w:numFmt w:val="upperRoman"/>
      <w:lvlText w:val="%1."/>
      <w:lvlJc w:val="left"/>
      <w:pPr>
        <w:ind w:left="460" w:hanging="260"/>
        <w:jc w:val="right"/>
      </w:pPr>
      <w:rPr>
        <w:rFonts w:hint="default" w:ascii="Arial" w:hAnsi="Arial" w:eastAsia="Arial" w:cs="Arial"/>
        <w:b/>
        <w:bCs/>
        <w:w w:val="100"/>
        <w:sz w:val="31"/>
        <w:szCs w:val="31"/>
      </w:rPr>
    </w:lvl>
    <w:lvl w:ilvl="1">
      <w:start w:val="1"/>
      <w:numFmt w:val="upperRoman"/>
      <w:lvlText w:val="%2."/>
      <w:lvlJc w:val="left"/>
      <w:pPr>
        <w:ind w:left="1152" w:hanging="701"/>
        <w:jc w:val="right"/>
      </w:pPr>
      <w:rPr>
        <w:rFonts w:hint="default" w:ascii="Arial" w:hAnsi="Arial" w:eastAsia="Arial" w:cs="Arial"/>
        <w:b/>
        <w:bCs/>
        <w:w w:val="100"/>
        <w:sz w:val="31"/>
        <w:szCs w:val="31"/>
      </w:rPr>
    </w:lvl>
    <w:lvl w:ilvl="2">
      <w:start w:val="1"/>
      <w:numFmt w:val="decimal"/>
      <w:lvlText w:val="%3."/>
      <w:lvlJc w:val="left"/>
      <w:pPr>
        <w:ind w:left="802" w:hanging="351"/>
        <w:jc w:val="right"/>
      </w:pPr>
      <w:rPr>
        <w:rFonts w:hint="default" w:ascii="Arial" w:hAnsi="Arial" w:eastAsia="Arial" w:cs="Arial"/>
        <w:spacing w:val="-1"/>
        <w:w w:val="101"/>
        <w:sz w:val="23"/>
        <w:szCs w:val="23"/>
      </w:rPr>
    </w:lvl>
    <w:lvl w:ilvl="3">
      <w:start w:val="11"/>
      <w:numFmt w:val="decimal"/>
      <w:lvlText w:val="%4."/>
      <w:lvlJc w:val="left"/>
      <w:pPr>
        <w:ind w:left="1275" w:hanging="584"/>
        <w:jc w:val="right"/>
      </w:pPr>
      <w:rPr>
        <w:rFonts w:hint="default" w:ascii="Arial" w:hAnsi="Arial" w:eastAsia="Arial" w:cs="Arial"/>
        <w:b/>
        <w:bCs/>
        <w:spacing w:val="-3"/>
        <w:w w:val="100"/>
        <w:sz w:val="35"/>
        <w:szCs w:val="35"/>
      </w:rPr>
    </w:lvl>
    <w:lvl w:ilvl="4">
      <w:start w:val="1"/>
      <w:numFmt w:val="bullet"/>
      <w:lvlText w:val="•"/>
      <w:lvlJc w:val="left"/>
      <w:pPr>
        <w:ind w:left="2428" w:hanging="584"/>
      </w:pPr>
      <w:rPr>
        <w:rFonts w:hint="default"/>
      </w:rPr>
    </w:lvl>
    <w:lvl w:ilvl="5">
      <w:start w:val="1"/>
      <w:numFmt w:val="bullet"/>
      <w:lvlText w:val="•"/>
      <w:lvlJc w:val="left"/>
      <w:pPr>
        <w:ind w:left="3577" w:hanging="584"/>
      </w:pPr>
      <w:rPr>
        <w:rFonts w:hint="default"/>
      </w:rPr>
    </w:lvl>
    <w:lvl w:ilvl="6">
      <w:start w:val="1"/>
      <w:numFmt w:val="bullet"/>
      <w:lvlText w:val="•"/>
      <w:lvlJc w:val="left"/>
      <w:pPr>
        <w:ind w:left="4725" w:hanging="584"/>
      </w:pPr>
      <w:rPr>
        <w:rFonts w:hint="default"/>
      </w:rPr>
    </w:lvl>
    <w:lvl w:ilvl="7">
      <w:start w:val="1"/>
      <w:numFmt w:val="bullet"/>
      <w:lvlText w:val="•"/>
      <w:lvlJc w:val="left"/>
      <w:pPr>
        <w:ind w:left="5874" w:hanging="584"/>
      </w:pPr>
      <w:rPr>
        <w:rFonts w:hint="default"/>
      </w:rPr>
    </w:lvl>
    <w:lvl w:ilvl="8">
      <w:start w:val="1"/>
      <w:numFmt w:val="bullet"/>
      <w:lvlText w:val="•"/>
      <w:lvlJc w:val="left"/>
      <w:pPr>
        <w:ind w:left="7022" w:hanging="584"/>
      </w:pPr>
      <w:rPr>
        <w:rFonts w:hint="default"/>
      </w:rPr>
    </w:lvl>
  </w:abstractNum>
  <w:abstractNum w:abstractNumId="26">
    <w:multiLevelType w:val="hybridMultilevel"/>
    <w:lvl w:ilvl="0">
      <w:start w:val="1"/>
      <w:numFmt w:val="upperRoman"/>
      <w:lvlText w:val="%1."/>
      <w:lvlJc w:val="left"/>
      <w:pPr>
        <w:ind w:left="360" w:hanging="260"/>
        <w:jc w:val="left"/>
      </w:pPr>
      <w:rPr>
        <w:rFonts w:hint="default"/>
        <w:b/>
        <w:bCs/>
        <w:w w:val="100"/>
      </w:rPr>
    </w:lvl>
    <w:lvl w:ilvl="1">
      <w:start w:val="1"/>
      <w:numFmt w:val="bullet"/>
      <w:lvlText w:val="•"/>
      <w:lvlJc w:val="left"/>
      <w:pPr>
        <w:ind w:left="1256" w:hanging="260"/>
      </w:pPr>
      <w:rPr>
        <w:rFonts w:hint="default"/>
      </w:rPr>
    </w:lvl>
    <w:lvl w:ilvl="2">
      <w:start w:val="1"/>
      <w:numFmt w:val="bullet"/>
      <w:lvlText w:val="•"/>
      <w:lvlJc w:val="left"/>
      <w:pPr>
        <w:ind w:left="2152" w:hanging="260"/>
      </w:pPr>
      <w:rPr>
        <w:rFonts w:hint="default"/>
      </w:rPr>
    </w:lvl>
    <w:lvl w:ilvl="3">
      <w:start w:val="1"/>
      <w:numFmt w:val="bullet"/>
      <w:lvlText w:val="•"/>
      <w:lvlJc w:val="left"/>
      <w:pPr>
        <w:ind w:left="3048" w:hanging="260"/>
      </w:pPr>
      <w:rPr>
        <w:rFonts w:hint="default"/>
      </w:rPr>
    </w:lvl>
    <w:lvl w:ilvl="4">
      <w:start w:val="1"/>
      <w:numFmt w:val="bullet"/>
      <w:lvlText w:val="•"/>
      <w:lvlJc w:val="left"/>
      <w:pPr>
        <w:ind w:left="3944" w:hanging="260"/>
      </w:pPr>
      <w:rPr>
        <w:rFonts w:hint="default"/>
      </w:rPr>
    </w:lvl>
    <w:lvl w:ilvl="5">
      <w:start w:val="1"/>
      <w:numFmt w:val="bullet"/>
      <w:lvlText w:val="•"/>
      <w:lvlJc w:val="left"/>
      <w:pPr>
        <w:ind w:left="4840" w:hanging="260"/>
      </w:pPr>
      <w:rPr>
        <w:rFonts w:hint="default"/>
      </w:rPr>
    </w:lvl>
    <w:lvl w:ilvl="6">
      <w:start w:val="1"/>
      <w:numFmt w:val="bullet"/>
      <w:lvlText w:val="•"/>
      <w:lvlJc w:val="left"/>
      <w:pPr>
        <w:ind w:left="5736" w:hanging="260"/>
      </w:pPr>
      <w:rPr>
        <w:rFonts w:hint="default"/>
      </w:rPr>
    </w:lvl>
    <w:lvl w:ilvl="7">
      <w:start w:val="1"/>
      <w:numFmt w:val="bullet"/>
      <w:lvlText w:val="•"/>
      <w:lvlJc w:val="left"/>
      <w:pPr>
        <w:ind w:left="6632" w:hanging="260"/>
      </w:pPr>
      <w:rPr>
        <w:rFonts w:hint="default"/>
      </w:rPr>
    </w:lvl>
    <w:lvl w:ilvl="8">
      <w:start w:val="1"/>
      <w:numFmt w:val="bullet"/>
      <w:lvlText w:val="•"/>
      <w:lvlJc w:val="left"/>
      <w:pPr>
        <w:ind w:left="7528" w:hanging="260"/>
      </w:pPr>
      <w:rPr>
        <w:rFonts w:hint="default"/>
      </w:rPr>
    </w:lvl>
  </w:abstractNum>
  <w:abstractNum w:abstractNumId="25">
    <w:multiLevelType w:val="hybridMultilevel"/>
    <w:lvl w:ilvl="0">
      <w:start w:val="8"/>
      <w:numFmt w:val="decimal"/>
      <w:lvlText w:val="%1."/>
      <w:lvlJc w:val="left"/>
      <w:pPr>
        <w:ind w:left="812" w:hanging="389"/>
        <w:jc w:val="right"/>
      </w:pPr>
      <w:rPr>
        <w:rFonts w:hint="default" w:ascii="Arial" w:hAnsi="Arial" w:eastAsia="Arial" w:cs="Arial"/>
        <w:b/>
        <w:bCs/>
        <w:spacing w:val="-1"/>
        <w:w w:val="100"/>
        <w:sz w:val="35"/>
        <w:szCs w:val="35"/>
      </w:rPr>
    </w:lvl>
    <w:lvl w:ilvl="1">
      <w:start w:val="1"/>
      <w:numFmt w:val="bullet"/>
      <w:lvlText w:val="•"/>
      <w:lvlJc w:val="left"/>
      <w:pPr>
        <w:ind w:left="1670" w:hanging="389"/>
      </w:pPr>
      <w:rPr>
        <w:rFonts w:hint="default"/>
      </w:rPr>
    </w:lvl>
    <w:lvl w:ilvl="2">
      <w:start w:val="1"/>
      <w:numFmt w:val="bullet"/>
      <w:lvlText w:val="•"/>
      <w:lvlJc w:val="left"/>
      <w:pPr>
        <w:ind w:left="2520" w:hanging="389"/>
      </w:pPr>
      <w:rPr>
        <w:rFonts w:hint="default"/>
      </w:rPr>
    </w:lvl>
    <w:lvl w:ilvl="3">
      <w:start w:val="1"/>
      <w:numFmt w:val="bullet"/>
      <w:lvlText w:val="•"/>
      <w:lvlJc w:val="left"/>
      <w:pPr>
        <w:ind w:left="3370" w:hanging="389"/>
      </w:pPr>
      <w:rPr>
        <w:rFonts w:hint="default"/>
      </w:rPr>
    </w:lvl>
    <w:lvl w:ilvl="4">
      <w:start w:val="1"/>
      <w:numFmt w:val="bullet"/>
      <w:lvlText w:val="•"/>
      <w:lvlJc w:val="left"/>
      <w:pPr>
        <w:ind w:left="4220" w:hanging="389"/>
      </w:pPr>
      <w:rPr>
        <w:rFonts w:hint="default"/>
      </w:rPr>
    </w:lvl>
    <w:lvl w:ilvl="5">
      <w:start w:val="1"/>
      <w:numFmt w:val="bullet"/>
      <w:lvlText w:val="•"/>
      <w:lvlJc w:val="left"/>
      <w:pPr>
        <w:ind w:left="5070" w:hanging="389"/>
      </w:pPr>
      <w:rPr>
        <w:rFonts w:hint="default"/>
      </w:rPr>
    </w:lvl>
    <w:lvl w:ilvl="6">
      <w:start w:val="1"/>
      <w:numFmt w:val="bullet"/>
      <w:lvlText w:val="•"/>
      <w:lvlJc w:val="left"/>
      <w:pPr>
        <w:ind w:left="5920" w:hanging="389"/>
      </w:pPr>
      <w:rPr>
        <w:rFonts w:hint="default"/>
      </w:rPr>
    </w:lvl>
    <w:lvl w:ilvl="7">
      <w:start w:val="1"/>
      <w:numFmt w:val="bullet"/>
      <w:lvlText w:val="•"/>
      <w:lvlJc w:val="left"/>
      <w:pPr>
        <w:ind w:left="6770" w:hanging="389"/>
      </w:pPr>
      <w:rPr>
        <w:rFonts w:hint="default"/>
      </w:rPr>
    </w:lvl>
    <w:lvl w:ilvl="8">
      <w:start w:val="1"/>
      <w:numFmt w:val="bullet"/>
      <w:lvlText w:val="•"/>
      <w:lvlJc w:val="left"/>
      <w:pPr>
        <w:ind w:left="7620" w:hanging="389"/>
      </w:pPr>
      <w:rPr>
        <w:rFonts w:hint="default"/>
      </w:rPr>
    </w:lvl>
  </w:abstractNum>
  <w:abstractNum w:abstractNumId="24">
    <w:multiLevelType w:val="hybridMultilevel"/>
    <w:lvl w:ilvl="0">
      <w:start w:val="1"/>
      <w:numFmt w:val="bullet"/>
      <w:lvlText w:val=""/>
      <w:lvlJc w:val="left"/>
      <w:pPr>
        <w:ind w:left="462" w:hanging="351"/>
      </w:pPr>
      <w:rPr>
        <w:rFonts w:hint="default" w:ascii="Symbol" w:hAnsi="Symbol" w:eastAsia="Symbol" w:cs="Symbol"/>
        <w:w w:val="101"/>
        <w:sz w:val="23"/>
        <w:szCs w:val="23"/>
      </w:rPr>
    </w:lvl>
    <w:lvl w:ilvl="1">
      <w:start w:val="1"/>
      <w:numFmt w:val="bullet"/>
      <w:lvlText w:val="•"/>
      <w:lvlJc w:val="left"/>
      <w:pPr>
        <w:ind w:left="1312" w:hanging="351"/>
      </w:pPr>
      <w:rPr>
        <w:rFonts w:hint="default"/>
      </w:rPr>
    </w:lvl>
    <w:lvl w:ilvl="2">
      <w:start w:val="1"/>
      <w:numFmt w:val="bullet"/>
      <w:lvlText w:val="•"/>
      <w:lvlJc w:val="left"/>
      <w:pPr>
        <w:ind w:left="2164" w:hanging="351"/>
      </w:pPr>
      <w:rPr>
        <w:rFonts w:hint="default"/>
      </w:rPr>
    </w:lvl>
    <w:lvl w:ilvl="3">
      <w:start w:val="1"/>
      <w:numFmt w:val="bullet"/>
      <w:lvlText w:val="•"/>
      <w:lvlJc w:val="left"/>
      <w:pPr>
        <w:ind w:left="3016" w:hanging="351"/>
      </w:pPr>
      <w:rPr>
        <w:rFonts w:hint="default"/>
      </w:rPr>
    </w:lvl>
    <w:lvl w:ilvl="4">
      <w:start w:val="1"/>
      <w:numFmt w:val="bullet"/>
      <w:lvlText w:val="•"/>
      <w:lvlJc w:val="left"/>
      <w:pPr>
        <w:ind w:left="3868" w:hanging="351"/>
      </w:pPr>
      <w:rPr>
        <w:rFonts w:hint="default"/>
      </w:rPr>
    </w:lvl>
    <w:lvl w:ilvl="5">
      <w:start w:val="1"/>
      <w:numFmt w:val="bullet"/>
      <w:lvlText w:val="•"/>
      <w:lvlJc w:val="left"/>
      <w:pPr>
        <w:ind w:left="4720" w:hanging="351"/>
      </w:pPr>
      <w:rPr>
        <w:rFonts w:hint="default"/>
      </w:rPr>
    </w:lvl>
    <w:lvl w:ilvl="6">
      <w:start w:val="1"/>
      <w:numFmt w:val="bullet"/>
      <w:lvlText w:val="•"/>
      <w:lvlJc w:val="left"/>
      <w:pPr>
        <w:ind w:left="5572" w:hanging="351"/>
      </w:pPr>
      <w:rPr>
        <w:rFonts w:hint="default"/>
      </w:rPr>
    </w:lvl>
    <w:lvl w:ilvl="7">
      <w:start w:val="1"/>
      <w:numFmt w:val="bullet"/>
      <w:lvlText w:val="•"/>
      <w:lvlJc w:val="left"/>
      <w:pPr>
        <w:ind w:left="6424" w:hanging="351"/>
      </w:pPr>
      <w:rPr>
        <w:rFonts w:hint="default"/>
      </w:rPr>
    </w:lvl>
    <w:lvl w:ilvl="8">
      <w:start w:val="1"/>
      <w:numFmt w:val="bullet"/>
      <w:lvlText w:val="•"/>
      <w:lvlJc w:val="left"/>
      <w:pPr>
        <w:ind w:left="7276" w:hanging="351"/>
      </w:pPr>
      <w:rPr>
        <w:rFonts w:hint="default"/>
      </w:rPr>
    </w:lvl>
  </w:abstractNum>
  <w:abstractNum w:abstractNumId="23">
    <w:multiLevelType w:val="hybridMultilevel"/>
    <w:lvl w:ilvl="0">
      <w:start w:val="1"/>
      <w:numFmt w:val="lowerLetter"/>
      <w:lvlText w:val="%1)"/>
      <w:lvlJc w:val="left"/>
      <w:pPr>
        <w:ind w:left="452" w:hanging="351"/>
        <w:jc w:val="left"/>
      </w:pPr>
      <w:rPr>
        <w:rFonts w:hint="default" w:ascii="Arial" w:hAnsi="Arial" w:eastAsia="Arial" w:cs="Arial"/>
        <w:spacing w:val="-1"/>
        <w:w w:val="101"/>
        <w:sz w:val="23"/>
        <w:szCs w:val="23"/>
      </w:rPr>
    </w:lvl>
    <w:lvl w:ilvl="1">
      <w:start w:val="1"/>
      <w:numFmt w:val="bullet"/>
      <w:lvlText w:val="•"/>
      <w:lvlJc w:val="left"/>
      <w:pPr>
        <w:ind w:left="1346" w:hanging="351"/>
      </w:pPr>
      <w:rPr>
        <w:rFonts w:hint="default"/>
      </w:rPr>
    </w:lvl>
    <w:lvl w:ilvl="2">
      <w:start w:val="1"/>
      <w:numFmt w:val="bullet"/>
      <w:lvlText w:val="•"/>
      <w:lvlJc w:val="left"/>
      <w:pPr>
        <w:ind w:left="2232" w:hanging="351"/>
      </w:pPr>
      <w:rPr>
        <w:rFonts w:hint="default"/>
      </w:rPr>
    </w:lvl>
    <w:lvl w:ilvl="3">
      <w:start w:val="1"/>
      <w:numFmt w:val="bullet"/>
      <w:lvlText w:val="•"/>
      <w:lvlJc w:val="left"/>
      <w:pPr>
        <w:ind w:left="3118" w:hanging="351"/>
      </w:pPr>
      <w:rPr>
        <w:rFonts w:hint="default"/>
      </w:rPr>
    </w:lvl>
    <w:lvl w:ilvl="4">
      <w:start w:val="1"/>
      <w:numFmt w:val="bullet"/>
      <w:lvlText w:val="•"/>
      <w:lvlJc w:val="left"/>
      <w:pPr>
        <w:ind w:left="4004" w:hanging="351"/>
      </w:pPr>
      <w:rPr>
        <w:rFonts w:hint="default"/>
      </w:rPr>
    </w:lvl>
    <w:lvl w:ilvl="5">
      <w:start w:val="1"/>
      <w:numFmt w:val="bullet"/>
      <w:lvlText w:val="•"/>
      <w:lvlJc w:val="left"/>
      <w:pPr>
        <w:ind w:left="4890" w:hanging="351"/>
      </w:pPr>
      <w:rPr>
        <w:rFonts w:hint="default"/>
      </w:rPr>
    </w:lvl>
    <w:lvl w:ilvl="6">
      <w:start w:val="1"/>
      <w:numFmt w:val="bullet"/>
      <w:lvlText w:val="•"/>
      <w:lvlJc w:val="left"/>
      <w:pPr>
        <w:ind w:left="5776" w:hanging="351"/>
      </w:pPr>
      <w:rPr>
        <w:rFonts w:hint="default"/>
      </w:rPr>
    </w:lvl>
    <w:lvl w:ilvl="7">
      <w:start w:val="1"/>
      <w:numFmt w:val="bullet"/>
      <w:lvlText w:val="•"/>
      <w:lvlJc w:val="left"/>
      <w:pPr>
        <w:ind w:left="6662" w:hanging="351"/>
      </w:pPr>
      <w:rPr>
        <w:rFonts w:hint="default"/>
      </w:rPr>
    </w:lvl>
    <w:lvl w:ilvl="8">
      <w:start w:val="1"/>
      <w:numFmt w:val="bullet"/>
      <w:lvlText w:val="•"/>
      <w:lvlJc w:val="left"/>
      <w:pPr>
        <w:ind w:left="7548" w:hanging="351"/>
      </w:pPr>
      <w:rPr>
        <w:rFonts w:hint="default"/>
      </w:rPr>
    </w:lvl>
  </w:abstractNum>
  <w:abstractNum w:abstractNumId="22">
    <w:multiLevelType w:val="hybridMultilevel"/>
    <w:lvl w:ilvl="0">
      <w:start w:val="1"/>
      <w:numFmt w:val="lowerLetter"/>
      <w:lvlText w:val="%1)"/>
      <w:lvlJc w:val="left"/>
      <w:pPr>
        <w:ind w:left="452" w:hanging="351"/>
        <w:jc w:val="left"/>
      </w:pPr>
      <w:rPr>
        <w:rFonts w:hint="default" w:ascii="Arial" w:hAnsi="Arial" w:eastAsia="Arial" w:cs="Arial"/>
        <w:spacing w:val="-1"/>
        <w:w w:val="101"/>
        <w:sz w:val="23"/>
        <w:szCs w:val="23"/>
      </w:rPr>
    </w:lvl>
    <w:lvl w:ilvl="1">
      <w:start w:val="1"/>
      <w:numFmt w:val="bullet"/>
      <w:lvlText w:val="•"/>
      <w:lvlJc w:val="left"/>
      <w:pPr>
        <w:ind w:left="1346" w:hanging="351"/>
      </w:pPr>
      <w:rPr>
        <w:rFonts w:hint="default"/>
      </w:rPr>
    </w:lvl>
    <w:lvl w:ilvl="2">
      <w:start w:val="1"/>
      <w:numFmt w:val="bullet"/>
      <w:lvlText w:val="•"/>
      <w:lvlJc w:val="left"/>
      <w:pPr>
        <w:ind w:left="2232" w:hanging="351"/>
      </w:pPr>
      <w:rPr>
        <w:rFonts w:hint="default"/>
      </w:rPr>
    </w:lvl>
    <w:lvl w:ilvl="3">
      <w:start w:val="1"/>
      <w:numFmt w:val="bullet"/>
      <w:lvlText w:val="•"/>
      <w:lvlJc w:val="left"/>
      <w:pPr>
        <w:ind w:left="3118" w:hanging="351"/>
      </w:pPr>
      <w:rPr>
        <w:rFonts w:hint="default"/>
      </w:rPr>
    </w:lvl>
    <w:lvl w:ilvl="4">
      <w:start w:val="1"/>
      <w:numFmt w:val="bullet"/>
      <w:lvlText w:val="•"/>
      <w:lvlJc w:val="left"/>
      <w:pPr>
        <w:ind w:left="4004" w:hanging="351"/>
      </w:pPr>
      <w:rPr>
        <w:rFonts w:hint="default"/>
      </w:rPr>
    </w:lvl>
    <w:lvl w:ilvl="5">
      <w:start w:val="1"/>
      <w:numFmt w:val="bullet"/>
      <w:lvlText w:val="•"/>
      <w:lvlJc w:val="left"/>
      <w:pPr>
        <w:ind w:left="4890" w:hanging="351"/>
      </w:pPr>
      <w:rPr>
        <w:rFonts w:hint="default"/>
      </w:rPr>
    </w:lvl>
    <w:lvl w:ilvl="6">
      <w:start w:val="1"/>
      <w:numFmt w:val="bullet"/>
      <w:lvlText w:val="•"/>
      <w:lvlJc w:val="left"/>
      <w:pPr>
        <w:ind w:left="5776" w:hanging="351"/>
      </w:pPr>
      <w:rPr>
        <w:rFonts w:hint="default"/>
      </w:rPr>
    </w:lvl>
    <w:lvl w:ilvl="7">
      <w:start w:val="1"/>
      <w:numFmt w:val="bullet"/>
      <w:lvlText w:val="•"/>
      <w:lvlJc w:val="left"/>
      <w:pPr>
        <w:ind w:left="6662" w:hanging="351"/>
      </w:pPr>
      <w:rPr>
        <w:rFonts w:hint="default"/>
      </w:rPr>
    </w:lvl>
    <w:lvl w:ilvl="8">
      <w:start w:val="1"/>
      <w:numFmt w:val="bullet"/>
      <w:lvlText w:val="•"/>
      <w:lvlJc w:val="left"/>
      <w:pPr>
        <w:ind w:left="7548" w:hanging="351"/>
      </w:pPr>
      <w:rPr>
        <w:rFonts w:hint="default"/>
      </w:rPr>
    </w:lvl>
  </w:abstractNum>
  <w:abstractNum w:abstractNumId="21">
    <w:multiLevelType w:val="hybridMultilevel"/>
    <w:lvl w:ilvl="0">
      <w:start w:val="1"/>
      <w:numFmt w:val="lowerLetter"/>
      <w:lvlText w:val="%1)"/>
      <w:lvlJc w:val="left"/>
      <w:pPr>
        <w:ind w:left="572" w:hanging="351"/>
        <w:jc w:val="right"/>
      </w:pPr>
      <w:rPr>
        <w:rFonts w:hint="default" w:ascii="Arial" w:hAnsi="Arial" w:eastAsia="Arial" w:cs="Arial"/>
        <w:spacing w:val="-1"/>
        <w:w w:val="101"/>
        <w:sz w:val="23"/>
        <w:szCs w:val="23"/>
      </w:rPr>
    </w:lvl>
    <w:lvl w:ilvl="1">
      <w:start w:val="1"/>
      <w:numFmt w:val="bullet"/>
      <w:lvlText w:val="•"/>
      <w:lvlJc w:val="left"/>
      <w:pPr>
        <w:ind w:left="1478" w:hanging="351"/>
      </w:pPr>
      <w:rPr>
        <w:rFonts w:hint="default"/>
      </w:rPr>
    </w:lvl>
    <w:lvl w:ilvl="2">
      <w:start w:val="1"/>
      <w:numFmt w:val="bullet"/>
      <w:lvlText w:val="•"/>
      <w:lvlJc w:val="left"/>
      <w:pPr>
        <w:ind w:left="2376" w:hanging="351"/>
      </w:pPr>
      <w:rPr>
        <w:rFonts w:hint="default"/>
      </w:rPr>
    </w:lvl>
    <w:lvl w:ilvl="3">
      <w:start w:val="1"/>
      <w:numFmt w:val="bullet"/>
      <w:lvlText w:val="•"/>
      <w:lvlJc w:val="left"/>
      <w:pPr>
        <w:ind w:left="3274" w:hanging="351"/>
      </w:pPr>
      <w:rPr>
        <w:rFonts w:hint="default"/>
      </w:rPr>
    </w:lvl>
    <w:lvl w:ilvl="4">
      <w:start w:val="1"/>
      <w:numFmt w:val="bullet"/>
      <w:lvlText w:val="•"/>
      <w:lvlJc w:val="left"/>
      <w:pPr>
        <w:ind w:left="4172" w:hanging="351"/>
      </w:pPr>
      <w:rPr>
        <w:rFonts w:hint="default"/>
      </w:rPr>
    </w:lvl>
    <w:lvl w:ilvl="5">
      <w:start w:val="1"/>
      <w:numFmt w:val="bullet"/>
      <w:lvlText w:val="•"/>
      <w:lvlJc w:val="left"/>
      <w:pPr>
        <w:ind w:left="5070" w:hanging="351"/>
      </w:pPr>
      <w:rPr>
        <w:rFonts w:hint="default"/>
      </w:rPr>
    </w:lvl>
    <w:lvl w:ilvl="6">
      <w:start w:val="1"/>
      <w:numFmt w:val="bullet"/>
      <w:lvlText w:val="•"/>
      <w:lvlJc w:val="left"/>
      <w:pPr>
        <w:ind w:left="5968" w:hanging="351"/>
      </w:pPr>
      <w:rPr>
        <w:rFonts w:hint="default"/>
      </w:rPr>
    </w:lvl>
    <w:lvl w:ilvl="7">
      <w:start w:val="1"/>
      <w:numFmt w:val="bullet"/>
      <w:lvlText w:val="•"/>
      <w:lvlJc w:val="left"/>
      <w:pPr>
        <w:ind w:left="6866" w:hanging="351"/>
      </w:pPr>
      <w:rPr>
        <w:rFonts w:hint="default"/>
      </w:rPr>
    </w:lvl>
    <w:lvl w:ilvl="8">
      <w:start w:val="1"/>
      <w:numFmt w:val="bullet"/>
      <w:lvlText w:val="•"/>
      <w:lvlJc w:val="left"/>
      <w:pPr>
        <w:ind w:left="7764" w:hanging="351"/>
      </w:pPr>
      <w:rPr>
        <w:rFonts w:hint="default"/>
      </w:rPr>
    </w:lvl>
  </w:abstractNum>
  <w:abstractNum w:abstractNumId="20">
    <w:multiLevelType w:val="hybridMultilevel"/>
    <w:lvl w:ilvl="0">
      <w:start w:val="1"/>
      <w:numFmt w:val="decimal"/>
      <w:lvlText w:val="%1."/>
      <w:lvlJc w:val="left"/>
      <w:pPr>
        <w:ind w:left="452" w:hanging="413"/>
        <w:jc w:val="left"/>
      </w:pPr>
      <w:rPr>
        <w:rFonts w:hint="default" w:ascii="Arial" w:hAnsi="Arial" w:eastAsia="Arial" w:cs="Arial"/>
        <w:spacing w:val="-1"/>
        <w:w w:val="101"/>
        <w:sz w:val="23"/>
        <w:szCs w:val="23"/>
      </w:rPr>
    </w:lvl>
    <w:lvl w:ilvl="1">
      <w:start w:val="1"/>
      <w:numFmt w:val="upperRoman"/>
      <w:lvlText w:val="%2."/>
      <w:lvlJc w:val="left"/>
      <w:pPr>
        <w:ind w:left="360" w:hanging="260"/>
        <w:jc w:val="left"/>
      </w:pPr>
      <w:rPr>
        <w:rFonts w:hint="default" w:ascii="Arial" w:hAnsi="Arial" w:eastAsia="Arial" w:cs="Arial"/>
        <w:b/>
        <w:bCs/>
        <w:w w:val="100"/>
        <w:sz w:val="31"/>
        <w:szCs w:val="31"/>
      </w:rPr>
    </w:lvl>
    <w:lvl w:ilvl="2">
      <w:start w:val="1"/>
      <w:numFmt w:val="bullet"/>
      <w:lvlText w:val=""/>
      <w:lvlJc w:val="left"/>
      <w:pPr>
        <w:ind w:left="802" w:hanging="351"/>
      </w:pPr>
      <w:rPr>
        <w:rFonts w:hint="default" w:ascii="Symbol" w:hAnsi="Symbol" w:eastAsia="Symbol" w:cs="Symbol"/>
        <w:w w:val="101"/>
        <w:sz w:val="23"/>
        <w:szCs w:val="23"/>
      </w:rPr>
    </w:lvl>
    <w:lvl w:ilvl="3">
      <w:start w:val="1"/>
      <w:numFmt w:val="bullet"/>
      <w:lvlText w:val="•"/>
      <w:lvlJc w:val="left"/>
      <w:pPr>
        <w:ind w:left="1760" w:hanging="351"/>
      </w:pPr>
      <w:rPr>
        <w:rFonts w:hint="default"/>
      </w:rPr>
    </w:lvl>
    <w:lvl w:ilvl="4">
      <w:start w:val="1"/>
      <w:numFmt w:val="bullet"/>
      <w:lvlText w:val="•"/>
      <w:lvlJc w:val="left"/>
      <w:pPr>
        <w:ind w:left="2840" w:hanging="351"/>
      </w:pPr>
      <w:rPr>
        <w:rFonts w:hint="default"/>
      </w:rPr>
    </w:lvl>
    <w:lvl w:ilvl="5">
      <w:start w:val="1"/>
      <w:numFmt w:val="bullet"/>
      <w:lvlText w:val="•"/>
      <w:lvlJc w:val="left"/>
      <w:pPr>
        <w:ind w:left="3920" w:hanging="351"/>
      </w:pPr>
      <w:rPr>
        <w:rFonts w:hint="default"/>
      </w:rPr>
    </w:lvl>
    <w:lvl w:ilvl="6">
      <w:start w:val="1"/>
      <w:numFmt w:val="bullet"/>
      <w:lvlText w:val="•"/>
      <w:lvlJc w:val="left"/>
      <w:pPr>
        <w:ind w:left="5000" w:hanging="351"/>
      </w:pPr>
      <w:rPr>
        <w:rFonts w:hint="default"/>
      </w:rPr>
    </w:lvl>
    <w:lvl w:ilvl="7">
      <w:start w:val="1"/>
      <w:numFmt w:val="bullet"/>
      <w:lvlText w:val="•"/>
      <w:lvlJc w:val="left"/>
      <w:pPr>
        <w:ind w:left="6080" w:hanging="351"/>
      </w:pPr>
      <w:rPr>
        <w:rFonts w:hint="default"/>
      </w:rPr>
    </w:lvl>
    <w:lvl w:ilvl="8">
      <w:start w:val="1"/>
      <w:numFmt w:val="bullet"/>
      <w:lvlText w:val="•"/>
      <w:lvlJc w:val="left"/>
      <w:pPr>
        <w:ind w:left="7160" w:hanging="351"/>
      </w:pPr>
      <w:rPr>
        <w:rFonts w:hint="default"/>
      </w:rPr>
    </w:lvl>
  </w:abstractNum>
  <w:abstractNum w:abstractNumId="19">
    <w:multiLevelType w:val="hybridMultilevel"/>
    <w:lvl w:ilvl="0">
      <w:start w:val="3"/>
      <w:numFmt w:val="decimal"/>
      <w:lvlText w:val="%1"/>
      <w:lvlJc w:val="left"/>
      <w:pPr>
        <w:ind w:left="802" w:hanging="593"/>
        <w:jc w:val="left"/>
      </w:pPr>
      <w:rPr>
        <w:rFonts w:hint="default"/>
      </w:rPr>
    </w:lvl>
    <w:lvl w:ilvl="1">
      <w:start w:val="1"/>
      <w:numFmt w:val="decimal"/>
      <w:lvlText w:val="%1.%2."/>
      <w:lvlJc w:val="left"/>
      <w:pPr>
        <w:ind w:left="802" w:hanging="593"/>
        <w:jc w:val="left"/>
      </w:pPr>
      <w:rPr>
        <w:rFonts w:hint="default" w:ascii="Arial" w:hAnsi="Arial" w:eastAsia="Arial" w:cs="Arial"/>
        <w:b/>
        <w:bCs/>
        <w:spacing w:val="-1"/>
        <w:w w:val="101"/>
        <w:sz w:val="27"/>
        <w:szCs w:val="27"/>
      </w:rPr>
    </w:lvl>
    <w:lvl w:ilvl="2">
      <w:start w:val="1"/>
      <w:numFmt w:val="decimal"/>
      <w:lvlText w:val="%1.%2.%3."/>
      <w:lvlJc w:val="left"/>
      <w:pPr>
        <w:ind w:left="101" w:hanging="648"/>
        <w:jc w:val="right"/>
      </w:pPr>
      <w:rPr>
        <w:rFonts w:hint="default" w:ascii="Arial" w:hAnsi="Arial" w:eastAsia="Arial" w:cs="Arial"/>
        <w:b/>
        <w:bCs/>
        <w:spacing w:val="-3"/>
        <w:w w:val="101"/>
        <w:sz w:val="23"/>
        <w:szCs w:val="23"/>
      </w:rPr>
    </w:lvl>
    <w:lvl w:ilvl="3">
      <w:start w:val="1"/>
      <w:numFmt w:val="bullet"/>
      <w:lvlText w:val=""/>
      <w:lvlJc w:val="left"/>
      <w:pPr>
        <w:ind w:left="922" w:hanging="351"/>
      </w:pPr>
      <w:rPr>
        <w:rFonts w:hint="default" w:ascii="Symbol" w:hAnsi="Symbol" w:eastAsia="Symbol" w:cs="Symbol"/>
        <w:w w:val="102"/>
        <w:sz w:val="21"/>
        <w:szCs w:val="21"/>
      </w:rPr>
    </w:lvl>
    <w:lvl w:ilvl="4">
      <w:start w:val="1"/>
      <w:numFmt w:val="bullet"/>
      <w:lvlText w:val="•"/>
      <w:lvlJc w:val="left"/>
      <w:pPr>
        <w:ind w:left="2120" w:hanging="351"/>
      </w:pPr>
      <w:rPr>
        <w:rFonts w:hint="default"/>
      </w:rPr>
    </w:lvl>
    <w:lvl w:ilvl="5">
      <w:start w:val="1"/>
      <w:numFmt w:val="bullet"/>
      <w:lvlText w:val="•"/>
      <w:lvlJc w:val="left"/>
      <w:pPr>
        <w:ind w:left="3320" w:hanging="351"/>
      </w:pPr>
      <w:rPr>
        <w:rFonts w:hint="default"/>
      </w:rPr>
    </w:lvl>
    <w:lvl w:ilvl="6">
      <w:start w:val="1"/>
      <w:numFmt w:val="bullet"/>
      <w:lvlText w:val="•"/>
      <w:lvlJc w:val="left"/>
      <w:pPr>
        <w:ind w:left="4520" w:hanging="351"/>
      </w:pPr>
      <w:rPr>
        <w:rFonts w:hint="default"/>
      </w:rPr>
    </w:lvl>
    <w:lvl w:ilvl="7">
      <w:start w:val="1"/>
      <w:numFmt w:val="bullet"/>
      <w:lvlText w:val="•"/>
      <w:lvlJc w:val="left"/>
      <w:pPr>
        <w:ind w:left="5720" w:hanging="351"/>
      </w:pPr>
      <w:rPr>
        <w:rFonts w:hint="default"/>
      </w:rPr>
    </w:lvl>
    <w:lvl w:ilvl="8">
      <w:start w:val="1"/>
      <w:numFmt w:val="bullet"/>
      <w:lvlText w:val="•"/>
      <w:lvlJc w:val="left"/>
      <w:pPr>
        <w:ind w:left="6920" w:hanging="351"/>
      </w:pPr>
      <w:rPr>
        <w:rFonts w:hint="default"/>
      </w:rPr>
    </w:lvl>
  </w:abstractNum>
  <w:abstractNum w:abstractNumId="18">
    <w:multiLevelType w:val="hybridMultilevel"/>
    <w:lvl w:ilvl="0">
      <w:start w:val="1"/>
      <w:numFmt w:val="lowerLetter"/>
      <w:lvlText w:val="%1)"/>
      <w:lvlJc w:val="left"/>
      <w:pPr>
        <w:ind w:left="452" w:hanging="351"/>
        <w:jc w:val="left"/>
      </w:pPr>
      <w:rPr>
        <w:rFonts w:hint="default" w:ascii="Arial" w:hAnsi="Arial" w:eastAsia="Arial" w:cs="Arial"/>
        <w:spacing w:val="-1"/>
        <w:w w:val="101"/>
        <w:sz w:val="23"/>
        <w:szCs w:val="23"/>
      </w:rPr>
    </w:lvl>
    <w:lvl w:ilvl="1">
      <w:start w:val="1"/>
      <w:numFmt w:val="bullet"/>
      <w:lvlText w:val="•"/>
      <w:lvlJc w:val="left"/>
      <w:pPr>
        <w:ind w:left="1346" w:hanging="351"/>
      </w:pPr>
      <w:rPr>
        <w:rFonts w:hint="default"/>
      </w:rPr>
    </w:lvl>
    <w:lvl w:ilvl="2">
      <w:start w:val="1"/>
      <w:numFmt w:val="bullet"/>
      <w:lvlText w:val="•"/>
      <w:lvlJc w:val="left"/>
      <w:pPr>
        <w:ind w:left="2232" w:hanging="351"/>
      </w:pPr>
      <w:rPr>
        <w:rFonts w:hint="default"/>
      </w:rPr>
    </w:lvl>
    <w:lvl w:ilvl="3">
      <w:start w:val="1"/>
      <w:numFmt w:val="bullet"/>
      <w:lvlText w:val="•"/>
      <w:lvlJc w:val="left"/>
      <w:pPr>
        <w:ind w:left="3118" w:hanging="351"/>
      </w:pPr>
      <w:rPr>
        <w:rFonts w:hint="default"/>
      </w:rPr>
    </w:lvl>
    <w:lvl w:ilvl="4">
      <w:start w:val="1"/>
      <w:numFmt w:val="bullet"/>
      <w:lvlText w:val="•"/>
      <w:lvlJc w:val="left"/>
      <w:pPr>
        <w:ind w:left="4004" w:hanging="351"/>
      </w:pPr>
      <w:rPr>
        <w:rFonts w:hint="default"/>
      </w:rPr>
    </w:lvl>
    <w:lvl w:ilvl="5">
      <w:start w:val="1"/>
      <w:numFmt w:val="bullet"/>
      <w:lvlText w:val="•"/>
      <w:lvlJc w:val="left"/>
      <w:pPr>
        <w:ind w:left="4890" w:hanging="351"/>
      </w:pPr>
      <w:rPr>
        <w:rFonts w:hint="default"/>
      </w:rPr>
    </w:lvl>
    <w:lvl w:ilvl="6">
      <w:start w:val="1"/>
      <w:numFmt w:val="bullet"/>
      <w:lvlText w:val="•"/>
      <w:lvlJc w:val="left"/>
      <w:pPr>
        <w:ind w:left="5776" w:hanging="351"/>
      </w:pPr>
      <w:rPr>
        <w:rFonts w:hint="default"/>
      </w:rPr>
    </w:lvl>
    <w:lvl w:ilvl="7">
      <w:start w:val="1"/>
      <w:numFmt w:val="bullet"/>
      <w:lvlText w:val="•"/>
      <w:lvlJc w:val="left"/>
      <w:pPr>
        <w:ind w:left="6662" w:hanging="351"/>
      </w:pPr>
      <w:rPr>
        <w:rFonts w:hint="default"/>
      </w:rPr>
    </w:lvl>
    <w:lvl w:ilvl="8">
      <w:start w:val="1"/>
      <w:numFmt w:val="bullet"/>
      <w:lvlText w:val="•"/>
      <w:lvlJc w:val="left"/>
      <w:pPr>
        <w:ind w:left="7548" w:hanging="351"/>
      </w:pPr>
      <w:rPr>
        <w:rFonts w:hint="default"/>
      </w:rPr>
    </w:lvl>
  </w:abstractNum>
  <w:abstractNum w:abstractNumId="17">
    <w:multiLevelType w:val="hybridMultilevel"/>
    <w:lvl w:ilvl="0">
      <w:start w:val="1"/>
      <w:numFmt w:val="lowerLetter"/>
      <w:lvlText w:val="%1)"/>
      <w:lvlJc w:val="left"/>
      <w:pPr>
        <w:ind w:left="472" w:hanging="351"/>
        <w:jc w:val="left"/>
      </w:pPr>
      <w:rPr>
        <w:rFonts w:hint="default" w:ascii="Arial" w:hAnsi="Arial" w:eastAsia="Arial" w:cs="Arial"/>
        <w:spacing w:val="-1"/>
        <w:w w:val="101"/>
        <w:sz w:val="23"/>
        <w:szCs w:val="23"/>
      </w:rPr>
    </w:lvl>
    <w:lvl w:ilvl="1">
      <w:start w:val="1"/>
      <w:numFmt w:val="bullet"/>
      <w:lvlText w:val="•"/>
      <w:lvlJc w:val="left"/>
      <w:pPr>
        <w:ind w:left="1366" w:hanging="351"/>
      </w:pPr>
      <w:rPr>
        <w:rFonts w:hint="default"/>
      </w:rPr>
    </w:lvl>
    <w:lvl w:ilvl="2">
      <w:start w:val="1"/>
      <w:numFmt w:val="bullet"/>
      <w:lvlText w:val="•"/>
      <w:lvlJc w:val="left"/>
      <w:pPr>
        <w:ind w:left="2252" w:hanging="351"/>
      </w:pPr>
      <w:rPr>
        <w:rFonts w:hint="default"/>
      </w:rPr>
    </w:lvl>
    <w:lvl w:ilvl="3">
      <w:start w:val="1"/>
      <w:numFmt w:val="bullet"/>
      <w:lvlText w:val="•"/>
      <w:lvlJc w:val="left"/>
      <w:pPr>
        <w:ind w:left="3138" w:hanging="351"/>
      </w:pPr>
      <w:rPr>
        <w:rFonts w:hint="default"/>
      </w:rPr>
    </w:lvl>
    <w:lvl w:ilvl="4">
      <w:start w:val="1"/>
      <w:numFmt w:val="bullet"/>
      <w:lvlText w:val="•"/>
      <w:lvlJc w:val="left"/>
      <w:pPr>
        <w:ind w:left="4024" w:hanging="351"/>
      </w:pPr>
      <w:rPr>
        <w:rFonts w:hint="default"/>
      </w:rPr>
    </w:lvl>
    <w:lvl w:ilvl="5">
      <w:start w:val="1"/>
      <w:numFmt w:val="bullet"/>
      <w:lvlText w:val="•"/>
      <w:lvlJc w:val="left"/>
      <w:pPr>
        <w:ind w:left="4910" w:hanging="351"/>
      </w:pPr>
      <w:rPr>
        <w:rFonts w:hint="default"/>
      </w:rPr>
    </w:lvl>
    <w:lvl w:ilvl="6">
      <w:start w:val="1"/>
      <w:numFmt w:val="bullet"/>
      <w:lvlText w:val="•"/>
      <w:lvlJc w:val="left"/>
      <w:pPr>
        <w:ind w:left="5796" w:hanging="351"/>
      </w:pPr>
      <w:rPr>
        <w:rFonts w:hint="default"/>
      </w:rPr>
    </w:lvl>
    <w:lvl w:ilvl="7">
      <w:start w:val="1"/>
      <w:numFmt w:val="bullet"/>
      <w:lvlText w:val="•"/>
      <w:lvlJc w:val="left"/>
      <w:pPr>
        <w:ind w:left="6682" w:hanging="351"/>
      </w:pPr>
      <w:rPr>
        <w:rFonts w:hint="default"/>
      </w:rPr>
    </w:lvl>
    <w:lvl w:ilvl="8">
      <w:start w:val="1"/>
      <w:numFmt w:val="bullet"/>
      <w:lvlText w:val="•"/>
      <w:lvlJc w:val="left"/>
      <w:pPr>
        <w:ind w:left="7568" w:hanging="351"/>
      </w:pPr>
      <w:rPr>
        <w:rFonts w:hint="default"/>
      </w:rPr>
    </w:lvl>
  </w:abstractNum>
  <w:abstractNum w:abstractNumId="16">
    <w:multiLevelType w:val="hybridMultilevel"/>
    <w:lvl w:ilvl="0">
      <w:start w:val="1"/>
      <w:numFmt w:val="lowerLetter"/>
      <w:lvlText w:val="%1)"/>
      <w:lvlJc w:val="left"/>
      <w:pPr>
        <w:ind w:left="472" w:hanging="351"/>
        <w:jc w:val="left"/>
      </w:pPr>
      <w:rPr>
        <w:rFonts w:hint="default" w:ascii="Arial" w:hAnsi="Arial" w:eastAsia="Arial" w:cs="Arial"/>
        <w:spacing w:val="-1"/>
        <w:w w:val="101"/>
        <w:sz w:val="23"/>
        <w:szCs w:val="23"/>
      </w:rPr>
    </w:lvl>
    <w:lvl w:ilvl="1">
      <w:start w:val="1"/>
      <w:numFmt w:val="bullet"/>
      <w:lvlText w:val="•"/>
      <w:lvlJc w:val="left"/>
      <w:pPr>
        <w:ind w:left="1366" w:hanging="351"/>
      </w:pPr>
      <w:rPr>
        <w:rFonts w:hint="default"/>
      </w:rPr>
    </w:lvl>
    <w:lvl w:ilvl="2">
      <w:start w:val="1"/>
      <w:numFmt w:val="bullet"/>
      <w:lvlText w:val="•"/>
      <w:lvlJc w:val="left"/>
      <w:pPr>
        <w:ind w:left="2252" w:hanging="351"/>
      </w:pPr>
      <w:rPr>
        <w:rFonts w:hint="default"/>
      </w:rPr>
    </w:lvl>
    <w:lvl w:ilvl="3">
      <w:start w:val="1"/>
      <w:numFmt w:val="bullet"/>
      <w:lvlText w:val="•"/>
      <w:lvlJc w:val="left"/>
      <w:pPr>
        <w:ind w:left="3138" w:hanging="351"/>
      </w:pPr>
      <w:rPr>
        <w:rFonts w:hint="default"/>
      </w:rPr>
    </w:lvl>
    <w:lvl w:ilvl="4">
      <w:start w:val="1"/>
      <w:numFmt w:val="bullet"/>
      <w:lvlText w:val="•"/>
      <w:lvlJc w:val="left"/>
      <w:pPr>
        <w:ind w:left="4024" w:hanging="351"/>
      </w:pPr>
      <w:rPr>
        <w:rFonts w:hint="default"/>
      </w:rPr>
    </w:lvl>
    <w:lvl w:ilvl="5">
      <w:start w:val="1"/>
      <w:numFmt w:val="bullet"/>
      <w:lvlText w:val="•"/>
      <w:lvlJc w:val="left"/>
      <w:pPr>
        <w:ind w:left="4910" w:hanging="351"/>
      </w:pPr>
      <w:rPr>
        <w:rFonts w:hint="default"/>
      </w:rPr>
    </w:lvl>
    <w:lvl w:ilvl="6">
      <w:start w:val="1"/>
      <w:numFmt w:val="bullet"/>
      <w:lvlText w:val="•"/>
      <w:lvlJc w:val="left"/>
      <w:pPr>
        <w:ind w:left="5796" w:hanging="351"/>
      </w:pPr>
      <w:rPr>
        <w:rFonts w:hint="default"/>
      </w:rPr>
    </w:lvl>
    <w:lvl w:ilvl="7">
      <w:start w:val="1"/>
      <w:numFmt w:val="bullet"/>
      <w:lvlText w:val="•"/>
      <w:lvlJc w:val="left"/>
      <w:pPr>
        <w:ind w:left="6682" w:hanging="351"/>
      </w:pPr>
      <w:rPr>
        <w:rFonts w:hint="default"/>
      </w:rPr>
    </w:lvl>
    <w:lvl w:ilvl="8">
      <w:start w:val="1"/>
      <w:numFmt w:val="bullet"/>
      <w:lvlText w:val="•"/>
      <w:lvlJc w:val="left"/>
      <w:pPr>
        <w:ind w:left="7568" w:hanging="351"/>
      </w:pPr>
      <w:rPr>
        <w:rFonts w:hint="default"/>
      </w:rPr>
    </w:lvl>
  </w:abstractNum>
  <w:abstractNum w:abstractNumId="15">
    <w:multiLevelType w:val="hybridMultilevel"/>
    <w:lvl w:ilvl="0">
      <w:start w:val="1"/>
      <w:numFmt w:val="decimal"/>
      <w:lvlText w:val="%1"/>
      <w:lvlJc w:val="left"/>
      <w:pPr>
        <w:ind w:left="802" w:hanging="701"/>
        <w:jc w:val="left"/>
      </w:pPr>
      <w:rPr>
        <w:rFonts w:hint="default"/>
      </w:rPr>
    </w:lvl>
    <w:lvl w:ilvl="1">
      <w:start w:val="1"/>
      <w:numFmt w:val="decimal"/>
      <w:lvlText w:val="%1.%2."/>
      <w:lvlJc w:val="left"/>
      <w:pPr>
        <w:ind w:left="802" w:hanging="701"/>
        <w:jc w:val="left"/>
      </w:pPr>
      <w:rPr>
        <w:rFonts w:hint="default" w:ascii="Arial" w:hAnsi="Arial" w:eastAsia="Arial" w:cs="Arial"/>
        <w:b/>
        <w:bCs/>
        <w:spacing w:val="-1"/>
        <w:w w:val="101"/>
        <w:sz w:val="27"/>
        <w:szCs w:val="27"/>
      </w:rPr>
    </w:lvl>
    <w:lvl w:ilvl="2">
      <w:start w:val="1"/>
      <w:numFmt w:val="bullet"/>
      <w:lvlText w:val="•"/>
      <w:lvlJc w:val="left"/>
      <w:pPr>
        <w:ind w:left="2504" w:hanging="701"/>
      </w:pPr>
      <w:rPr>
        <w:rFonts w:hint="default"/>
      </w:rPr>
    </w:lvl>
    <w:lvl w:ilvl="3">
      <w:start w:val="1"/>
      <w:numFmt w:val="bullet"/>
      <w:lvlText w:val="•"/>
      <w:lvlJc w:val="left"/>
      <w:pPr>
        <w:ind w:left="3356" w:hanging="701"/>
      </w:pPr>
      <w:rPr>
        <w:rFonts w:hint="default"/>
      </w:rPr>
    </w:lvl>
    <w:lvl w:ilvl="4">
      <w:start w:val="1"/>
      <w:numFmt w:val="bullet"/>
      <w:lvlText w:val="•"/>
      <w:lvlJc w:val="left"/>
      <w:pPr>
        <w:ind w:left="4208" w:hanging="701"/>
      </w:pPr>
      <w:rPr>
        <w:rFonts w:hint="default"/>
      </w:rPr>
    </w:lvl>
    <w:lvl w:ilvl="5">
      <w:start w:val="1"/>
      <w:numFmt w:val="bullet"/>
      <w:lvlText w:val="•"/>
      <w:lvlJc w:val="left"/>
      <w:pPr>
        <w:ind w:left="5060" w:hanging="701"/>
      </w:pPr>
      <w:rPr>
        <w:rFonts w:hint="default"/>
      </w:rPr>
    </w:lvl>
    <w:lvl w:ilvl="6">
      <w:start w:val="1"/>
      <w:numFmt w:val="bullet"/>
      <w:lvlText w:val="•"/>
      <w:lvlJc w:val="left"/>
      <w:pPr>
        <w:ind w:left="5912" w:hanging="701"/>
      </w:pPr>
      <w:rPr>
        <w:rFonts w:hint="default"/>
      </w:rPr>
    </w:lvl>
    <w:lvl w:ilvl="7">
      <w:start w:val="1"/>
      <w:numFmt w:val="bullet"/>
      <w:lvlText w:val="•"/>
      <w:lvlJc w:val="left"/>
      <w:pPr>
        <w:ind w:left="6764" w:hanging="701"/>
      </w:pPr>
      <w:rPr>
        <w:rFonts w:hint="default"/>
      </w:rPr>
    </w:lvl>
    <w:lvl w:ilvl="8">
      <w:start w:val="1"/>
      <w:numFmt w:val="bullet"/>
      <w:lvlText w:val="•"/>
      <w:lvlJc w:val="left"/>
      <w:pPr>
        <w:ind w:left="7616" w:hanging="701"/>
      </w:pPr>
      <w:rPr>
        <w:rFonts w:hint="default"/>
      </w:rPr>
    </w:lvl>
  </w:abstractNum>
  <w:abstractNum w:abstractNumId="14">
    <w:multiLevelType w:val="hybridMultilevel"/>
    <w:lvl w:ilvl="0">
      <w:start w:val="1"/>
      <w:numFmt w:val="upperRoman"/>
      <w:lvlText w:val="%1."/>
      <w:lvlJc w:val="left"/>
      <w:pPr>
        <w:ind w:left="360" w:hanging="260"/>
        <w:jc w:val="left"/>
      </w:pPr>
      <w:rPr>
        <w:rFonts w:hint="default" w:ascii="Arial" w:hAnsi="Arial" w:eastAsia="Arial" w:cs="Arial"/>
        <w:b/>
        <w:bCs/>
        <w:w w:val="100"/>
        <w:sz w:val="31"/>
        <w:szCs w:val="31"/>
      </w:rPr>
    </w:lvl>
    <w:lvl w:ilvl="1">
      <w:start w:val="1"/>
      <w:numFmt w:val="bullet"/>
      <w:lvlText w:val="•"/>
      <w:lvlJc w:val="left"/>
      <w:pPr>
        <w:ind w:left="1256" w:hanging="260"/>
      </w:pPr>
      <w:rPr>
        <w:rFonts w:hint="default"/>
      </w:rPr>
    </w:lvl>
    <w:lvl w:ilvl="2">
      <w:start w:val="1"/>
      <w:numFmt w:val="bullet"/>
      <w:lvlText w:val="•"/>
      <w:lvlJc w:val="left"/>
      <w:pPr>
        <w:ind w:left="2152" w:hanging="260"/>
      </w:pPr>
      <w:rPr>
        <w:rFonts w:hint="default"/>
      </w:rPr>
    </w:lvl>
    <w:lvl w:ilvl="3">
      <w:start w:val="1"/>
      <w:numFmt w:val="bullet"/>
      <w:lvlText w:val="•"/>
      <w:lvlJc w:val="left"/>
      <w:pPr>
        <w:ind w:left="3048" w:hanging="260"/>
      </w:pPr>
      <w:rPr>
        <w:rFonts w:hint="default"/>
      </w:rPr>
    </w:lvl>
    <w:lvl w:ilvl="4">
      <w:start w:val="1"/>
      <w:numFmt w:val="bullet"/>
      <w:lvlText w:val="•"/>
      <w:lvlJc w:val="left"/>
      <w:pPr>
        <w:ind w:left="3944" w:hanging="260"/>
      </w:pPr>
      <w:rPr>
        <w:rFonts w:hint="default"/>
      </w:rPr>
    </w:lvl>
    <w:lvl w:ilvl="5">
      <w:start w:val="1"/>
      <w:numFmt w:val="bullet"/>
      <w:lvlText w:val="•"/>
      <w:lvlJc w:val="left"/>
      <w:pPr>
        <w:ind w:left="4840" w:hanging="260"/>
      </w:pPr>
      <w:rPr>
        <w:rFonts w:hint="default"/>
      </w:rPr>
    </w:lvl>
    <w:lvl w:ilvl="6">
      <w:start w:val="1"/>
      <w:numFmt w:val="bullet"/>
      <w:lvlText w:val="•"/>
      <w:lvlJc w:val="left"/>
      <w:pPr>
        <w:ind w:left="5736" w:hanging="260"/>
      </w:pPr>
      <w:rPr>
        <w:rFonts w:hint="default"/>
      </w:rPr>
    </w:lvl>
    <w:lvl w:ilvl="7">
      <w:start w:val="1"/>
      <w:numFmt w:val="bullet"/>
      <w:lvlText w:val="•"/>
      <w:lvlJc w:val="left"/>
      <w:pPr>
        <w:ind w:left="6632" w:hanging="260"/>
      </w:pPr>
      <w:rPr>
        <w:rFonts w:hint="default"/>
      </w:rPr>
    </w:lvl>
    <w:lvl w:ilvl="8">
      <w:start w:val="1"/>
      <w:numFmt w:val="bullet"/>
      <w:lvlText w:val="•"/>
      <w:lvlJc w:val="left"/>
      <w:pPr>
        <w:ind w:left="7528" w:hanging="260"/>
      </w:pPr>
      <w:rPr>
        <w:rFonts w:hint="default"/>
      </w:rPr>
    </w:lvl>
  </w:abstractNum>
  <w:abstractNum w:abstractNumId="12">
    <w:multiLevelType w:val="hybridMultilevel"/>
    <w:lvl w:ilvl="0">
      <w:start w:val="1"/>
      <w:numFmt w:val="upperRoman"/>
      <w:lvlText w:val="%1."/>
      <w:lvlJc w:val="left"/>
      <w:pPr>
        <w:ind w:left="360" w:hanging="260"/>
        <w:jc w:val="left"/>
      </w:pPr>
      <w:rPr>
        <w:rFonts w:hint="default" w:ascii="Arial" w:hAnsi="Arial" w:eastAsia="Arial" w:cs="Arial"/>
        <w:b/>
        <w:bCs/>
        <w:w w:val="100"/>
        <w:sz w:val="31"/>
        <w:szCs w:val="31"/>
      </w:rPr>
    </w:lvl>
    <w:lvl w:ilvl="1">
      <w:start w:val="1"/>
      <w:numFmt w:val="bullet"/>
      <w:lvlText w:val="•"/>
      <w:lvlJc w:val="left"/>
      <w:pPr>
        <w:ind w:left="1256" w:hanging="260"/>
      </w:pPr>
      <w:rPr>
        <w:rFonts w:hint="default"/>
      </w:rPr>
    </w:lvl>
    <w:lvl w:ilvl="2">
      <w:start w:val="1"/>
      <w:numFmt w:val="bullet"/>
      <w:lvlText w:val="•"/>
      <w:lvlJc w:val="left"/>
      <w:pPr>
        <w:ind w:left="2152" w:hanging="260"/>
      </w:pPr>
      <w:rPr>
        <w:rFonts w:hint="default"/>
      </w:rPr>
    </w:lvl>
    <w:lvl w:ilvl="3">
      <w:start w:val="1"/>
      <w:numFmt w:val="bullet"/>
      <w:lvlText w:val="•"/>
      <w:lvlJc w:val="left"/>
      <w:pPr>
        <w:ind w:left="3048" w:hanging="260"/>
      </w:pPr>
      <w:rPr>
        <w:rFonts w:hint="default"/>
      </w:rPr>
    </w:lvl>
    <w:lvl w:ilvl="4">
      <w:start w:val="1"/>
      <w:numFmt w:val="bullet"/>
      <w:lvlText w:val="•"/>
      <w:lvlJc w:val="left"/>
      <w:pPr>
        <w:ind w:left="3944" w:hanging="260"/>
      </w:pPr>
      <w:rPr>
        <w:rFonts w:hint="default"/>
      </w:rPr>
    </w:lvl>
    <w:lvl w:ilvl="5">
      <w:start w:val="1"/>
      <w:numFmt w:val="bullet"/>
      <w:lvlText w:val="•"/>
      <w:lvlJc w:val="left"/>
      <w:pPr>
        <w:ind w:left="4840" w:hanging="260"/>
      </w:pPr>
      <w:rPr>
        <w:rFonts w:hint="default"/>
      </w:rPr>
    </w:lvl>
    <w:lvl w:ilvl="6">
      <w:start w:val="1"/>
      <w:numFmt w:val="bullet"/>
      <w:lvlText w:val="•"/>
      <w:lvlJc w:val="left"/>
      <w:pPr>
        <w:ind w:left="5736" w:hanging="260"/>
      </w:pPr>
      <w:rPr>
        <w:rFonts w:hint="default"/>
      </w:rPr>
    </w:lvl>
    <w:lvl w:ilvl="7">
      <w:start w:val="1"/>
      <w:numFmt w:val="bullet"/>
      <w:lvlText w:val="•"/>
      <w:lvlJc w:val="left"/>
      <w:pPr>
        <w:ind w:left="6632" w:hanging="260"/>
      </w:pPr>
      <w:rPr>
        <w:rFonts w:hint="default"/>
      </w:rPr>
    </w:lvl>
    <w:lvl w:ilvl="8">
      <w:start w:val="1"/>
      <w:numFmt w:val="bullet"/>
      <w:lvlText w:val="•"/>
      <w:lvlJc w:val="left"/>
      <w:pPr>
        <w:ind w:left="7528" w:hanging="260"/>
      </w:pPr>
      <w:rPr>
        <w:rFonts w:hint="default"/>
      </w:rPr>
    </w:lvl>
  </w:abstractNum>
  <w:abstractNum w:abstractNumId="11">
    <w:multiLevelType w:val="hybridMultilevel"/>
    <w:lvl w:ilvl="0">
      <w:start w:val="3"/>
      <w:numFmt w:val="decimal"/>
      <w:lvlText w:val="%1"/>
      <w:lvlJc w:val="left"/>
      <w:pPr>
        <w:ind w:left="646" w:hanging="531"/>
        <w:jc w:val="left"/>
      </w:pPr>
      <w:rPr>
        <w:rFonts w:hint="default"/>
      </w:rPr>
    </w:lvl>
    <w:lvl w:ilvl="1">
      <w:start w:val="1"/>
      <w:numFmt w:val="decimal"/>
      <w:lvlText w:val="%1.%2."/>
      <w:lvlJc w:val="left"/>
      <w:pPr>
        <w:ind w:left="646" w:hanging="531"/>
        <w:jc w:val="left"/>
      </w:pPr>
      <w:rPr>
        <w:rFonts w:hint="default" w:ascii="Arial" w:hAnsi="Arial" w:eastAsia="Arial" w:cs="Arial"/>
        <w:b/>
        <w:bCs/>
        <w:spacing w:val="-1"/>
        <w:w w:val="101"/>
        <w:sz w:val="27"/>
        <w:szCs w:val="27"/>
      </w:rPr>
    </w:lvl>
    <w:lvl w:ilvl="2">
      <w:start w:val="1"/>
      <w:numFmt w:val="decimal"/>
      <w:lvlText w:val="%1.%2.%3."/>
      <w:lvlJc w:val="left"/>
      <w:pPr>
        <w:ind w:left="829" w:hanging="648"/>
        <w:jc w:val="left"/>
      </w:pPr>
      <w:rPr>
        <w:rFonts w:hint="default" w:ascii="Arial" w:hAnsi="Arial" w:eastAsia="Arial" w:cs="Arial"/>
        <w:b/>
        <w:bCs/>
        <w:spacing w:val="-3"/>
        <w:w w:val="101"/>
        <w:sz w:val="23"/>
        <w:szCs w:val="23"/>
      </w:rPr>
    </w:lvl>
    <w:lvl w:ilvl="3">
      <w:start w:val="1"/>
      <w:numFmt w:val="bullet"/>
      <w:lvlText w:val="•"/>
      <w:lvlJc w:val="left"/>
      <w:pPr>
        <w:ind w:left="2588" w:hanging="648"/>
      </w:pPr>
      <w:rPr>
        <w:rFonts w:hint="default"/>
      </w:rPr>
    </w:lvl>
    <w:lvl w:ilvl="4">
      <w:start w:val="1"/>
      <w:numFmt w:val="bullet"/>
      <w:lvlText w:val="•"/>
      <w:lvlJc w:val="left"/>
      <w:pPr>
        <w:ind w:left="3473" w:hanging="648"/>
      </w:pPr>
      <w:rPr>
        <w:rFonts w:hint="default"/>
      </w:rPr>
    </w:lvl>
    <w:lvl w:ilvl="5">
      <w:start w:val="1"/>
      <w:numFmt w:val="bullet"/>
      <w:lvlText w:val="•"/>
      <w:lvlJc w:val="left"/>
      <w:pPr>
        <w:ind w:left="4357" w:hanging="648"/>
      </w:pPr>
      <w:rPr>
        <w:rFonts w:hint="default"/>
      </w:rPr>
    </w:lvl>
    <w:lvl w:ilvl="6">
      <w:start w:val="1"/>
      <w:numFmt w:val="bullet"/>
      <w:lvlText w:val="•"/>
      <w:lvlJc w:val="left"/>
      <w:pPr>
        <w:ind w:left="5242" w:hanging="648"/>
      </w:pPr>
      <w:rPr>
        <w:rFonts w:hint="default"/>
      </w:rPr>
    </w:lvl>
    <w:lvl w:ilvl="7">
      <w:start w:val="1"/>
      <w:numFmt w:val="bullet"/>
      <w:lvlText w:val="•"/>
      <w:lvlJc w:val="left"/>
      <w:pPr>
        <w:ind w:left="6126" w:hanging="648"/>
      </w:pPr>
      <w:rPr>
        <w:rFonts w:hint="default"/>
      </w:rPr>
    </w:lvl>
    <w:lvl w:ilvl="8">
      <w:start w:val="1"/>
      <w:numFmt w:val="bullet"/>
      <w:lvlText w:val="•"/>
      <w:lvlJc w:val="left"/>
      <w:pPr>
        <w:ind w:left="7011" w:hanging="648"/>
      </w:pPr>
      <w:rPr>
        <w:rFonts w:hint="default"/>
      </w:rPr>
    </w:lvl>
  </w:abstractNum>
  <w:abstractNum w:abstractNumId="10">
    <w:multiLevelType w:val="hybridMultilevel"/>
    <w:lvl w:ilvl="0">
      <w:start w:val="1"/>
      <w:numFmt w:val="upperRoman"/>
      <w:lvlText w:val="%1."/>
      <w:lvlJc w:val="left"/>
      <w:pPr>
        <w:ind w:left="116" w:hanging="260"/>
        <w:jc w:val="left"/>
      </w:pPr>
      <w:rPr>
        <w:rFonts w:hint="default" w:ascii="Arial" w:hAnsi="Arial" w:eastAsia="Arial" w:cs="Arial"/>
        <w:b/>
        <w:bCs/>
        <w:w w:val="100"/>
        <w:sz w:val="31"/>
        <w:szCs w:val="31"/>
      </w:rPr>
    </w:lvl>
    <w:lvl w:ilvl="1">
      <w:start w:val="1"/>
      <w:numFmt w:val="decimal"/>
      <w:lvlText w:val="%2."/>
      <w:lvlJc w:val="left"/>
      <w:pPr>
        <w:ind w:left="802" w:hanging="351"/>
        <w:jc w:val="right"/>
      </w:pPr>
      <w:rPr>
        <w:rFonts w:hint="default" w:ascii="Arial" w:hAnsi="Arial" w:eastAsia="Arial" w:cs="Arial"/>
        <w:spacing w:val="-1"/>
        <w:w w:val="101"/>
        <w:sz w:val="23"/>
        <w:szCs w:val="23"/>
      </w:rPr>
    </w:lvl>
    <w:lvl w:ilvl="2">
      <w:start w:val="5"/>
      <w:numFmt w:val="decimal"/>
      <w:lvlText w:val="%3."/>
      <w:lvlJc w:val="left"/>
      <w:pPr>
        <w:ind w:left="341" w:hanging="392"/>
        <w:jc w:val="right"/>
      </w:pPr>
      <w:rPr>
        <w:rFonts w:hint="default" w:ascii="Arial" w:hAnsi="Arial" w:eastAsia="Arial" w:cs="Arial"/>
        <w:b/>
        <w:bCs/>
        <w:spacing w:val="-1"/>
        <w:w w:val="100"/>
        <w:sz w:val="35"/>
        <w:szCs w:val="35"/>
      </w:rPr>
    </w:lvl>
    <w:lvl w:ilvl="3">
      <w:start w:val="1"/>
      <w:numFmt w:val="bullet"/>
      <w:lvlText w:val="•"/>
      <w:lvlJc w:val="left"/>
      <w:pPr>
        <w:ind w:left="1797" w:hanging="392"/>
      </w:pPr>
      <w:rPr>
        <w:rFonts w:hint="default"/>
      </w:rPr>
    </w:lvl>
    <w:lvl w:ilvl="4">
      <w:start w:val="1"/>
      <w:numFmt w:val="bullet"/>
      <w:lvlText w:val="•"/>
      <w:lvlJc w:val="left"/>
      <w:pPr>
        <w:ind w:left="2795" w:hanging="392"/>
      </w:pPr>
      <w:rPr>
        <w:rFonts w:hint="default"/>
      </w:rPr>
    </w:lvl>
    <w:lvl w:ilvl="5">
      <w:start w:val="1"/>
      <w:numFmt w:val="bullet"/>
      <w:lvlText w:val="•"/>
      <w:lvlJc w:val="left"/>
      <w:pPr>
        <w:ind w:left="3792" w:hanging="392"/>
      </w:pPr>
      <w:rPr>
        <w:rFonts w:hint="default"/>
      </w:rPr>
    </w:lvl>
    <w:lvl w:ilvl="6">
      <w:start w:val="1"/>
      <w:numFmt w:val="bullet"/>
      <w:lvlText w:val="•"/>
      <w:lvlJc w:val="left"/>
      <w:pPr>
        <w:ind w:left="4790" w:hanging="392"/>
      </w:pPr>
      <w:rPr>
        <w:rFonts w:hint="default"/>
      </w:rPr>
    </w:lvl>
    <w:lvl w:ilvl="7">
      <w:start w:val="1"/>
      <w:numFmt w:val="bullet"/>
      <w:lvlText w:val="•"/>
      <w:lvlJc w:val="left"/>
      <w:pPr>
        <w:ind w:left="5787" w:hanging="392"/>
      </w:pPr>
      <w:rPr>
        <w:rFonts w:hint="default"/>
      </w:rPr>
    </w:lvl>
    <w:lvl w:ilvl="8">
      <w:start w:val="1"/>
      <w:numFmt w:val="bullet"/>
      <w:lvlText w:val="•"/>
      <w:lvlJc w:val="left"/>
      <w:pPr>
        <w:ind w:left="6785" w:hanging="392"/>
      </w:pPr>
      <w:rPr>
        <w:rFonts w:hint="default"/>
      </w:rPr>
    </w:lvl>
  </w:abstractNum>
  <w:abstractNum w:abstractNumId="9">
    <w:multiLevelType w:val="hybridMultilevel"/>
    <w:lvl w:ilvl="0">
      <w:start w:val="1"/>
      <w:numFmt w:val="lowerLetter"/>
      <w:lvlText w:val="%1)"/>
      <w:lvlJc w:val="left"/>
      <w:pPr>
        <w:ind w:left="519" w:hanging="339"/>
        <w:jc w:val="right"/>
      </w:pPr>
      <w:rPr>
        <w:rFonts w:hint="default" w:ascii="Arial" w:hAnsi="Arial" w:eastAsia="Arial" w:cs="Arial"/>
        <w:b/>
        <w:bCs/>
        <w:spacing w:val="-1"/>
        <w:w w:val="101"/>
        <w:sz w:val="23"/>
        <w:szCs w:val="23"/>
      </w:rPr>
    </w:lvl>
    <w:lvl w:ilvl="1">
      <w:start w:val="1"/>
      <w:numFmt w:val="bullet"/>
      <w:lvlText w:val="•"/>
      <w:lvlJc w:val="left"/>
      <w:pPr>
        <w:ind w:left="1402" w:hanging="339"/>
      </w:pPr>
      <w:rPr>
        <w:rFonts w:hint="default"/>
      </w:rPr>
    </w:lvl>
    <w:lvl w:ilvl="2">
      <w:start w:val="1"/>
      <w:numFmt w:val="bullet"/>
      <w:lvlText w:val="•"/>
      <w:lvlJc w:val="left"/>
      <w:pPr>
        <w:ind w:left="2284" w:hanging="339"/>
      </w:pPr>
      <w:rPr>
        <w:rFonts w:hint="default"/>
      </w:rPr>
    </w:lvl>
    <w:lvl w:ilvl="3">
      <w:start w:val="1"/>
      <w:numFmt w:val="bullet"/>
      <w:lvlText w:val="•"/>
      <w:lvlJc w:val="left"/>
      <w:pPr>
        <w:ind w:left="3166" w:hanging="339"/>
      </w:pPr>
      <w:rPr>
        <w:rFonts w:hint="default"/>
      </w:rPr>
    </w:lvl>
    <w:lvl w:ilvl="4">
      <w:start w:val="1"/>
      <w:numFmt w:val="bullet"/>
      <w:lvlText w:val="•"/>
      <w:lvlJc w:val="left"/>
      <w:pPr>
        <w:ind w:left="4048" w:hanging="339"/>
      </w:pPr>
      <w:rPr>
        <w:rFonts w:hint="default"/>
      </w:rPr>
    </w:lvl>
    <w:lvl w:ilvl="5">
      <w:start w:val="1"/>
      <w:numFmt w:val="bullet"/>
      <w:lvlText w:val="•"/>
      <w:lvlJc w:val="left"/>
      <w:pPr>
        <w:ind w:left="4930" w:hanging="339"/>
      </w:pPr>
      <w:rPr>
        <w:rFonts w:hint="default"/>
      </w:rPr>
    </w:lvl>
    <w:lvl w:ilvl="6">
      <w:start w:val="1"/>
      <w:numFmt w:val="bullet"/>
      <w:lvlText w:val="•"/>
      <w:lvlJc w:val="left"/>
      <w:pPr>
        <w:ind w:left="5812" w:hanging="339"/>
      </w:pPr>
      <w:rPr>
        <w:rFonts w:hint="default"/>
      </w:rPr>
    </w:lvl>
    <w:lvl w:ilvl="7">
      <w:start w:val="1"/>
      <w:numFmt w:val="bullet"/>
      <w:lvlText w:val="•"/>
      <w:lvlJc w:val="left"/>
      <w:pPr>
        <w:ind w:left="6694" w:hanging="339"/>
      </w:pPr>
      <w:rPr>
        <w:rFonts w:hint="default"/>
      </w:rPr>
    </w:lvl>
    <w:lvl w:ilvl="8">
      <w:start w:val="1"/>
      <w:numFmt w:val="bullet"/>
      <w:lvlText w:val="•"/>
      <w:lvlJc w:val="left"/>
      <w:pPr>
        <w:ind w:left="7576" w:hanging="339"/>
      </w:pPr>
      <w:rPr>
        <w:rFonts w:hint="default"/>
      </w:rPr>
    </w:lvl>
  </w:abstractNum>
  <w:abstractNum w:abstractNumId="8">
    <w:multiLevelType w:val="hybridMultilevel"/>
    <w:lvl w:ilvl="0">
      <w:start w:val="1"/>
      <w:numFmt w:val="lowerLetter"/>
      <w:lvlText w:val="%1)"/>
      <w:lvlJc w:val="left"/>
      <w:pPr>
        <w:ind w:left="116" w:hanging="324"/>
        <w:jc w:val="left"/>
      </w:pPr>
      <w:rPr>
        <w:rFonts w:hint="default" w:ascii="Arial" w:hAnsi="Arial" w:eastAsia="Arial" w:cs="Arial"/>
        <w:spacing w:val="-1"/>
        <w:w w:val="101"/>
        <w:sz w:val="23"/>
        <w:szCs w:val="23"/>
      </w:rPr>
    </w:lvl>
    <w:lvl w:ilvl="1">
      <w:start w:val="1"/>
      <w:numFmt w:val="bullet"/>
      <w:lvlText w:val="•"/>
      <w:lvlJc w:val="left"/>
      <w:pPr>
        <w:ind w:left="986" w:hanging="324"/>
      </w:pPr>
      <w:rPr>
        <w:rFonts w:hint="default"/>
      </w:rPr>
    </w:lvl>
    <w:lvl w:ilvl="2">
      <w:start w:val="1"/>
      <w:numFmt w:val="bullet"/>
      <w:lvlText w:val="•"/>
      <w:lvlJc w:val="left"/>
      <w:pPr>
        <w:ind w:left="1852" w:hanging="324"/>
      </w:pPr>
      <w:rPr>
        <w:rFonts w:hint="default"/>
      </w:rPr>
    </w:lvl>
    <w:lvl w:ilvl="3">
      <w:start w:val="1"/>
      <w:numFmt w:val="bullet"/>
      <w:lvlText w:val="•"/>
      <w:lvlJc w:val="left"/>
      <w:pPr>
        <w:ind w:left="2718" w:hanging="324"/>
      </w:pPr>
      <w:rPr>
        <w:rFonts w:hint="default"/>
      </w:rPr>
    </w:lvl>
    <w:lvl w:ilvl="4">
      <w:start w:val="1"/>
      <w:numFmt w:val="bullet"/>
      <w:lvlText w:val="•"/>
      <w:lvlJc w:val="left"/>
      <w:pPr>
        <w:ind w:left="3584" w:hanging="324"/>
      </w:pPr>
      <w:rPr>
        <w:rFonts w:hint="default"/>
      </w:rPr>
    </w:lvl>
    <w:lvl w:ilvl="5">
      <w:start w:val="1"/>
      <w:numFmt w:val="bullet"/>
      <w:lvlText w:val="•"/>
      <w:lvlJc w:val="left"/>
      <w:pPr>
        <w:ind w:left="4450" w:hanging="324"/>
      </w:pPr>
      <w:rPr>
        <w:rFonts w:hint="default"/>
      </w:rPr>
    </w:lvl>
    <w:lvl w:ilvl="6">
      <w:start w:val="1"/>
      <w:numFmt w:val="bullet"/>
      <w:lvlText w:val="•"/>
      <w:lvlJc w:val="left"/>
      <w:pPr>
        <w:ind w:left="5316" w:hanging="324"/>
      </w:pPr>
      <w:rPr>
        <w:rFonts w:hint="default"/>
      </w:rPr>
    </w:lvl>
    <w:lvl w:ilvl="7">
      <w:start w:val="1"/>
      <w:numFmt w:val="bullet"/>
      <w:lvlText w:val="•"/>
      <w:lvlJc w:val="left"/>
      <w:pPr>
        <w:ind w:left="6182" w:hanging="324"/>
      </w:pPr>
      <w:rPr>
        <w:rFonts w:hint="default"/>
      </w:rPr>
    </w:lvl>
    <w:lvl w:ilvl="8">
      <w:start w:val="1"/>
      <w:numFmt w:val="bullet"/>
      <w:lvlText w:val="•"/>
      <w:lvlJc w:val="left"/>
      <w:pPr>
        <w:ind w:left="7048" w:hanging="324"/>
      </w:pPr>
      <w:rPr>
        <w:rFonts w:hint="default"/>
      </w:rPr>
    </w:lvl>
  </w:abstractNum>
  <w:abstractNum w:abstractNumId="7">
    <w:multiLevelType w:val="hybridMultilevel"/>
    <w:lvl w:ilvl="0">
      <w:start w:val="1"/>
      <w:numFmt w:val="lowerRoman"/>
      <w:lvlText w:val="(%1)"/>
      <w:lvlJc w:val="left"/>
      <w:pPr>
        <w:ind w:left="120" w:hanging="281"/>
        <w:jc w:val="left"/>
      </w:pPr>
      <w:rPr>
        <w:rFonts w:hint="default" w:ascii="Arial" w:hAnsi="Arial" w:eastAsia="Arial" w:cs="Arial"/>
        <w:spacing w:val="-1"/>
        <w:w w:val="101"/>
        <w:sz w:val="23"/>
        <w:szCs w:val="23"/>
      </w:rPr>
    </w:lvl>
    <w:lvl w:ilvl="1">
      <w:start w:val="1"/>
      <w:numFmt w:val="bullet"/>
      <w:lvlText w:val="•"/>
      <w:lvlJc w:val="left"/>
      <w:pPr>
        <w:ind w:left="984" w:hanging="281"/>
      </w:pPr>
      <w:rPr>
        <w:rFonts w:hint="default"/>
      </w:rPr>
    </w:lvl>
    <w:lvl w:ilvl="2">
      <w:start w:val="1"/>
      <w:numFmt w:val="bullet"/>
      <w:lvlText w:val="•"/>
      <w:lvlJc w:val="left"/>
      <w:pPr>
        <w:ind w:left="1848" w:hanging="281"/>
      </w:pPr>
      <w:rPr>
        <w:rFonts w:hint="default"/>
      </w:rPr>
    </w:lvl>
    <w:lvl w:ilvl="3">
      <w:start w:val="1"/>
      <w:numFmt w:val="bullet"/>
      <w:lvlText w:val="•"/>
      <w:lvlJc w:val="left"/>
      <w:pPr>
        <w:ind w:left="2712" w:hanging="281"/>
      </w:pPr>
      <w:rPr>
        <w:rFonts w:hint="default"/>
      </w:rPr>
    </w:lvl>
    <w:lvl w:ilvl="4">
      <w:start w:val="1"/>
      <w:numFmt w:val="bullet"/>
      <w:lvlText w:val="•"/>
      <w:lvlJc w:val="left"/>
      <w:pPr>
        <w:ind w:left="3576" w:hanging="281"/>
      </w:pPr>
      <w:rPr>
        <w:rFonts w:hint="default"/>
      </w:rPr>
    </w:lvl>
    <w:lvl w:ilvl="5">
      <w:start w:val="1"/>
      <w:numFmt w:val="bullet"/>
      <w:lvlText w:val="•"/>
      <w:lvlJc w:val="left"/>
      <w:pPr>
        <w:ind w:left="4440" w:hanging="281"/>
      </w:pPr>
      <w:rPr>
        <w:rFonts w:hint="default"/>
      </w:rPr>
    </w:lvl>
    <w:lvl w:ilvl="6">
      <w:start w:val="1"/>
      <w:numFmt w:val="bullet"/>
      <w:lvlText w:val="•"/>
      <w:lvlJc w:val="left"/>
      <w:pPr>
        <w:ind w:left="5304" w:hanging="281"/>
      </w:pPr>
      <w:rPr>
        <w:rFonts w:hint="default"/>
      </w:rPr>
    </w:lvl>
    <w:lvl w:ilvl="7">
      <w:start w:val="1"/>
      <w:numFmt w:val="bullet"/>
      <w:lvlText w:val="•"/>
      <w:lvlJc w:val="left"/>
      <w:pPr>
        <w:ind w:left="6168" w:hanging="281"/>
      </w:pPr>
      <w:rPr>
        <w:rFonts w:hint="default"/>
      </w:rPr>
    </w:lvl>
    <w:lvl w:ilvl="8">
      <w:start w:val="1"/>
      <w:numFmt w:val="bullet"/>
      <w:lvlText w:val="•"/>
      <w:lvlJc w:val="left"/>
      <w:pPr>
        <w:ind w:left="7032" w:hanging="281"/>
      </w:pPr>
      <w:rPr>
        <w:rFonts w:hint="default"/>
      </w:rPr>
    </w:lvl>
  </w:abstractNum>
  <w:abstractNum w:abstractNumId="6">
    <w:multiLevelType w:val="hybridMultilevel"/>
    <w:lvl w:ilvl="0">
      <w:start w:val="1"/>
      <w:numFmt w:val="bullet"/>
      <w:lvlText w:val="-"/>
      <w:lvlJc w:val="left"/>
      <w:pPr>
        <w:ind w:left="475" w:hanging="351"/>
      </w:pPr>
      <w:rPr>
        <w:rFonts w:hint="default" w:ascii="Arial" w:hAnsi="Arial" w:eastAsia="Arial" w:cs="Arial"/>
        <w:w w:val="101"/>
        <w:sz w:val="23"/>
        <w:szCs w:val="23"/>
      </w:rPr>
    </w:lvl>
    <w:lvl w:ilvl="1">
      <w:start w:val="1"/>
      <w:numFmt w:val="bullet"/>
      <w:lvlText w:val="•"/>
      <w:lvlJc w:val="left"/>
      <w:pPr>
        <w:ind w:left="1308" w:hanging="351"/>
      </w:pPr>
      <w:rPr>
        <w:rFonts w:hint="default"/>
      </w:rPr>
    </w:lvl>
    <w:lvl w:ilvl="2">
      <w:start w:val="1"/>
      <w:numFmt w:val="bullet"/>
      <w:lvlText w:val="•"/>
      <w:lvlJc w:val="left"/>
      <w:pPr>
        <w:ind w:left="2136" w:hanging="351"/>
      </w:pPr>
      <w:rPr>
        <w:rFonts w:hint="default"/>
      </w:rPr>
    </w:lvl>
    <w:lvl w:ilvl="3">
      <w:start w:val="1"/>
      <w:numFmt w:val="bullet"/>
      <w:lvlText w:val="•"/>
      <w:lvlJc w:val="left"/>
      <w:pPr>
        <w:ind w:left="2964" w:hanging="351"/>
      </w:pPr>
      <w:rPr>
        <w:rFonts w:hint="default"/>
      </w:rPr>
    </w:lvl>
    <w:lvl w:ilvl="4">
      <w:start w:val="1"/>
      <w:numFmt w:val="bullet"/>
      <w:lvlText w:val="•"/>
      <w:lvlJc w:val="left"/>
      <w:pPr>
        <w:ind w:left="3792" w:hanging="351"/>
      </w:pPr>
      <w:rPr>
        <w:rFonts w:hint="default"/>
      </w:rPr>
    </w:lvl>
    <w:lvl w:ilvl="5">
      <w:start w:val="1"/>
      <w:numFmt w:val="bullet"/>
      <w:lvlText w:val="•"/>
      <w:lvlJc w:val="left"/>
      <w:pPr>
        <w:ind w:left="4620" w:hanging="351"/>
      </w:pPr>
      <w:rPr>
        <w:rFonts w:hint="default"/>
      </w:rPr>
    </w:lvl>
    <w:lvl w:ilvl="6">
      <w:start w:val="1"/>
      <w:numFmt w:val="bullet"/>
      <w:lvlText w:val="•"/>
      <w:lvlJc w:val="left"/>
      <w:pPr>
        <w:ind w:left="5448" w:hanging="351"/>
      </w:pPr>
      <w:rPr>
        <w:rFonts w:hint="default"/>
      </w:rPr>
    </w:lvl>
    <w:lvl w:ilvl="7">
      <w:start w:val="1"/>
      <w:numFmt w:val="bullet"/>
      <w:lvlText w:val="•"/>
      <w:lvlJc w:val="left"/>
      <w:pPr>
        <w:ind w:left="6276" w:hanging="351"/>
      </w:pPr>
      <w:rPr>
        <w:rFonts w:hint="default"/>
      </w:rPr>
    </w:lvl>
    <w:lvl w:ilvl="8">
      <w:start w:val="1"/>
      <w:numFmt w:val="bullet"/>
      <w:lvlText w:val="•"/>
      <w:lvlJc w:val="left"/>
      <w:pPr>
        <w:ind w:left="7104" w:hanging="351"/>
      </w:pPr>
      <w:rPr>
        <w:rFonts w:hint="default"/>
      </w:rPr>
    </w:lvl>
  </w:abstractNum>
  <w:abstractNum w:abstractNumId="5">
    <w:multiLevelType w:val="hybridMultilevel"/>
    <w:lvl w:ilvl="0">
      <w:start w:val="2"/>
      <w:numFmt w:val="decimal"/>
      <w:lvlText w:val="%1"/>
      <w:lvlJc w:val="left"/>
      <w:pPr>
        <w:ind w:left="504" w:hanging="389"/>
        <w:jc w:val="left"/>
      </w:pPr>
      <w:rPr>
        <w:rFonts w:hint="default"/>
      </w:rPr>
    </w:lvl>
    <w:lvl w:ilvl="1">
      <w:start w:val="1"/>
      <w:numFmt w:val="decimal"/>
      <w:lvlText w:val="%1.%2"/>
      <w:lvlJc w:val="left"/>
      <w:pPr>
        <w:ind w:left="1582" w:hanging="389"/>
        <w:jc w:val="right"/>
      </w:pPr>
      <w:rPr>
        <w:rFonts w:hint="default" w:ascii="Arial" w:hAnsi="Arial" w:eastAsia="Arial" w:cs="Arial"/>
        <w:b/>
        <w:bCs/>
        <w:spacing w:val="-1"/>
        <w:w w:val="101"/>
        <w:sz w:val="23"/>
        <w:szCs w:val="23"/>
      </w:rPr>
    </w:lvl>
    <w:lvl w:ilvl="2">
      <w:start w:val="1"/>
      <w:numFmt w:val="bullet"/>
      <w:lvlText w:val="•"/>
      <w:lvlJc w:val="left"/>
      <w:pPr>
        <w:ind w:left="2555" w:hanging="389"/>
      </w:pPr>
      <w:rPr>
        <w:rFonts w:hint="default"/>
      </w:rPr>
    </w:lvl>
    <w:lvl w:ilvl="3">
      <w:start w:val="1"/>
      <w:numFmt w:val="bullet"/>
      <w:lvlText w:val="•"/>
      <w:lvlJc w:val="left"/>
      <w:pPr>
        <w:ind w:left="3531" w:hanging="389"/>
      </w:pPr>
      <w:rPr>
        <w:rFonts w:hint="default"/>
      </w:rPr>
    </w:lvl>
    <w:lvl w:ilvl="4">
      <w:start w:val="1"/>
      <w:numFmt w:val="bullet"/>
      <w:lvlText w:val="•"/>
      <w:lvlJc w:val="left"/>
      <w:pPr>
        <w:ind w:left="4506" w:hanging="389"/>
      </w:pPr>
      <w:rPr>
        <w:rFonts w:hint="default"/>
      </w:rPr>
    </w:lvl>
    <w:lvl w:ilvl="5">
      <w:start w:val="1"/>
      <w:numFmt w:val="bullet"/>
      <w:lvlText w:val="•"/>
      <w:lvlJc w:val="left"/>
      <w:pPr>
        <w:ind w:left="5482" w:hanging="389"/>
      </w:pPr>
      <w:rPr>
        <w:rFonts w:hint="default"/>
      </w:rPr>
    </w:lvl>
    <w:lvl w:ilvl="6">
      <w:start w:val="1"/>
      <w:numFmt w:val="bullet"/>
      <w:lvlText w:val="•"/>
      <w:lvlJc w:val="left"/>
      <w:pPr>
        <w:ind w:left="6457" w:hanging="389"/>
      </w:pPr>
      <w:rPr>
        <w:rFonts w:hint="default"/>
      </w:rPr>
    </w:lvl>
    <w:lvl w:ilvl="7">
      <w:start w:val="1"/>
      <w:numFmt w:val="bullet"/>
      <w:lvlText w:val="•"/>
      <w:lvlJc w:val="left"/>
      <w:pPr>
        <w:ind w:left="7433" w:hanging="389"/>
      </w:pPr>
      <w:rPr>
        <w:rFonts w:hint="default"/>
      </w:rPr>
    </w:lvl>
    <w:lvl w:ilvl="8">
      <w:start w:val="1"/>
      <w:numFmt w:val="bullet"/>
      <w:lvlText w:val="•"/>
      <w:lvlJc w:val="left"/>
      <w:pPr>
        <w:ind w:left="8408" w:hanging="389"/>
      </w:pPr>
      <w:rPr>
        <w:rFonts w:hint="default"/>
      </w:rPr>
    </w:lvl>
  </w:abstractNum>
  <w:abstractNum w:abstractNumId="4">
    <w:multiLevelType w:val="hybridMultilevel"/>
    <w:lvl w:ilvl="0">
      <w:start w:val="3"/>
      <w:numFmt w:val="decimal"/>
      <w:lvlText w:val="%1."/>
      <w:lvlJc w:val="left"/>
      <w:pPr>
        <w:ind w:left="367" w:hanging="252"/>
        <w:jc w:val="left"/>
      </w:pPr>
      <w:rPr>
        <w:rFonts w:hint="default" w:ascii="Arial" w:hAnsi="Arial" w:eastAsia="Arial" w:cs="Arial"/>
        <w:spacing w:val="-3"/>
        <w:w w:val="101"/>
        <w:sz w:val="23"/>
        <w:szCs w:val="23"/>
      </w:rPr>
    </w:lvl>
    <w:lvl w:ilvl="1">
      <w:start w:val="1"/>
      <w:numFmt w:val="upperRoman"/>
      <w:lvlText w:val="%2."/>
      <w:lvlJc w:val="left"/>
      <w:pPr>
        <w:ind w:left="375" w:hanging="260"/>
        <w:jc w:val="left"/>
      </w:pPr>
      <w:rPr>
        <w:rFonts w:hint="default" w:ascii="Arial" w:hAnsi="Arial" w:eastAsia="Arial" w:cs="Arial"/>
        <w:b/>
        <w:bCs/>
        <w:w w:val="100"/>
        <w:sz w:val="31"/>
        <w:szCs w:val="31"/>
      </w:rPr>
    </w:lvl>
    <w:lvl w:ilvl="2">
      <w:start w:val="1"/>
      <w:numFmt w:val="decimal"/>
      <w:lvlText w:val="%3."/>
      <w:lvlJc w:val="left"/>
      <w:pPr>
        <w:ind w:left="676" w:hanging="351"/>
        <w:jc w:val="left"/>
      </w:pPr>
      <w:rPr>
        <w:rFonts w:hint="default" w:ascii="Arial" w:hAnsi="Arial" w:eastAsia="Arial" w:cs="Arial"/>
        <w:spacing w:val="-1"/>
        <w:w w:val="101"/>
        <w:sz w:val="23"/>
        <w:szCs w:val="23"/>
      </w:rPr>
    </w:lvl>
    <w:lvl w:ilvl="3">
      <w:start w:val="1"/>
      <w:numFmt w:val="upperRoman"/>
      <w:lvlText w:val="%4."/>
      <w:lvlJc w:val="left"/>
      <w:pPr>
        <w:ind w:left="1167" w:hanging="701"/>
        <w:jc w:val="right"/>
      </w:pPr>
      <w:rPr>
        <w:rFonts w:hint="default" w:ascii="Arial" w:hAnsi="Arial" w:eastAsia="Arial" w:cs="Arial"/>
        <w:b/>
        <w:bCs/>
        <w:w w:val="100"/>
        <w:sz w:val="31"/>
        <w:szCs w:val="31"/>
      </w:rPr>
    </w:lvl>
    <w:lvl w:ilvl="4">
      <w:start w:val="1"/>
      <w:numFmt w:val="bullet"/>
      <w:lvlText w:val="•"/>
      <w:lvlJc w:val="left"/>
      <w:pPr>
        <w:ind w:left="1160" w:hanging="701"/>
      </w:pPr>
      <w:rPr>
        <w:rFonts w:hint="default"/>
      </w:rPr>
    </w:lvl>
    <w:lvl w:ilvl="5">
      <w:start w:val="1"/>
      <w:numFmt w:val="bullet"/>
      <w:lvlText w:val="•"/>
      <w:lvlJc w:val="left"/>
      <w:pPr>
        <w:ind w:left="1720" w:hanging="701"/>
      </w:pPr>
      <w:rPr>
        <w:rFonts w:hint="default"/>
      </w:rPr>
    </w:lvl>
    <w:lvl w:ilvl="6">
      <w:start w:val="1"/>
      <w:numFmt w:val="bullet"/>
      <w:lvlText w:val="•"/>
      <w:lvlJc w:val="left"/>
      <w:pPr>
        <w:ind w:left="2820" w:hanging="701"/>
      </w:pPr>
      <w:rPr>
        <w:rFonts w:hint="default"/>
      </w:rPr>
    </w:lvl>
    <w:lvl w:ilvl="7">
      <w:start w:val="1"/>
      <w:numFmt w:val="bullet"/>
      <w:lvlText w:val="•"/>
      <w:lvlJc w:val="left"/>
      <w:pPr>
        <w:ind w:left="4275" w:hanging="701"/>
      </w:pPr>
      <w:rPr>
        <w:rFonts w:hint="default"/>
      </w:rPr>
    </w:lvl>
    <w:lvl w:ilvl="8">
      <w:start w:val="1"/>
      <w:numFmt w:val="bullet"/>
      <w:lvlText w:val="•"/>
      <w:lvlJc w:val="left"/>
      <w:pPr>
        <w:ind w:left="5730" w:hanging="701"/>
      </w:pPr>
      <w:rPr>
        <w:rFonts w:hint="default"/>
      </w:rPr>
    </w:lvl>
  </w:abstractNum>
  <w:abstractNum w:abstractNumId="3">
    <w:multiLevelType w:val="hybridMultilevel"/>
    <w:lvl w:ilvl="0">
      <w:start w:val="1"/>
      <w:numFmt w:val="decimal"/>
      <w:lvlText w:val="%1)"/>
      <w:lvlJc w:val="left"/>
      <w:pPr>
        <w:ind w:left="116" w:hanging="281"/>
        <w:jc w:val="left"/>
      </w:pPr>
      <w:rPr>
        <w:rFonts w:hint="default" w:ascii="Arial" w:hAnsi="Arial" w:eastAsia="Arial" w:cs="Arial"/>
        <w:spacing w:val="-1"/>
        <w:w w:val="101"/>
        <w:sz w:val="23"/>
        <w:szCs w:val="23"/>
      </w:rPr>
    </w:lvl>
    <w:lvl w:ilvl="1">
      <w:start w:val="1"/>
      <w:numFmt w:val="bullet"/>
      <w:lvlText w:val="•"/>
      <w:lvlJc w:val="left"/>
      <w:pPr>
        <w:ind w:left="986" w:hanging="281"/>
      </w:pPr>
      <w:rPr>
        <w:rFonts w:hint="default"/>
      </w:rPr>
    </w:lvl>
    <w:lvl w:ilvl="2">
      <w:start w:val="1"/>
      <w:numFmt w:val="bullet"/>
      <w:lvlText w:val="•"/>
      <w:lvlJc w:val="left"/>
      <w:pPr>
        <w:ind w:left="1852" w:hanging="281"/>
      </w:pPr>
      <w:rPr>
        <w:rFonts w:hint="default"/>
      </w:rPr>
    </w:lvl>
    <w:lvl w:ilvl="3">
      <w:start w:val="1"/>
      <w:numFmt w:val="bullet"/>
      <w:lvlText w:val="•"/>
      <w:lvlJc w:val="left"/>
      <w:pPr>
        <w:ind w:left="2718" w:hanging="281"/>
      </w:pPr>
      <w:rPr>
        <w:rFonts w:hint="default"/>
      </w:rPr>
    </w:lvl>
    <w:lvl w:ilvl="4">
      <w:start w:val="1"/>
      <w:numFmt w:val="bullet"/>
      <w:lvlText w:val="•"/>
      <w:lvlJc w:val="left"/>
      <w:pPr>
        <w:ind w:left="3584" w:hanging="281"/>
      </w:pPr>
      <w:rPr>
        <w:rFonts w:hint="default"/>
      </w:rPr>
    </w:lvl>
    <w:lvl w:ilvl="5">
      <w:start w:val="1"/>
      <w:numFmt w:val="bullet"/>
      <w:lvlText w:val="•"/>
      <w:lvlJc w:val="left"/>
      <w:pPr>
        <w:ind w:left="4450" w:hanging="281"/>
      </w:pPr>
      <w:rPr>
        <w:rFonts w:hint="default"/>
      </w:rPr>
    </w:lvl>
    <w:lvl w:ilvl="6">
      <w:start w:val="1"/>
      <w:numFmt w:val="bullet"/>
      <w:lvlText w:val="•"/>
      <w:lvlJc w:val="left"/>
      <w:pPr>
        <w:ind w:left="5316" w:hanging="281"/>
      </w:pPr>
      <w:rPr>
        <w:rFonts w:hint="default"/>
      </w:rPr>
    </w:lvl>
    <w:lvl w:ilvl="7">
      <w:start w:val="1"/>
      <w:numFmt w:val="bullet"/>
      <w:lvlText w:val="•"/>
      <w:lvlJc w:val="left"/>
      <w:pPr>
        <w:ind w:left="6182" w:hanging="281"/>
      </w:pPr>
      <w:rPr>
        <w:rFonts w:hint="default"/>
      </w:rPr>
    </w:lvl>
    <w:lvl w:ilvl="8">
      <w:start w:val="1"/>
      <w:numFmt w:val="bullet"/>
      <w:lvlText w:val="•"/>
      <w:lvlJc w:val="left"/>
      <w:pPr>
        <w:ind w:left="7048" w:hanging="281"/>
      </w:pPr>
      <w:rPr>
        <w:rFonts w:hint="default"/>
      </w:rPr>
    </w:lvl>
  </w:abstractNum>
  <w:abstractNum w:abstractNumId="2">
    <w:multiLevelType w:val="hybridMultilevel"/>
    <w:lvl w:ilvl="0">
      <w:start w:val="1"/>
      <w:numFmt w:val="upperRoman"/>
      <w:lvlText w:val="%1."/>
      <w:lvlJc w:val="left"/>
      <w:pPr>
        <w:ind w:left="116" w:hanging="701"/>
        <w:jc w:val="right"/>
      </w:pPr>
      <w:rPr>
        <w:rFonts w:hint="default" w:ascii="Arial" w:hAnsi="Arial" w:eastAsia="Arial" w:cs="Arial"/>
        <w:b/>
        <w:bCs/>
        <w:w w:val="100"/>
        <w:sz w:val="31"/>
        <w:szCs w:val="31"/>
      </w:rPr>
    </w:lvl>
    <w:lvl w:ilvl="1">
      <w:start w:val="1"/>
      <w:numFmt w:val="bullet"/>
      <w:lvlText w:val="•"/>
      <w:lvlJc w:val="left"/>
      <w:pPr>
        <w:ind w:left="986" w:hanging="701"/>
      </w:pPr>
      <w:rPr>
        <w:rFonts w:hint="default"/>
      </w:rPr>
    </w:lvl>
    <w:lvl w:ilvl="2">
      <w:start w:val="1"/>
      <w:numFmt w:val="bullet"/>
      <w:lvlText w:val="•"/>
      <w:lvlJc w:val="left"/>
      <w:pPr>
        <w:ind w:left="1852" w:hanging="701"/>
      </w:pPr>
      <w:rPr>
        <w:rFonts w:hint="default"/>
      </w:rPr>
    </w:lvl>
    <w:lvl w:ilvl="3">
      <w:start w:val="1"/>
      <w:numFmt w:val="bullet"/>
      <w:lvlText w:val="•"/>
      <w:lvlJc w:val="left"/>
      <w:pPr>
        <w:ind w:left="2718" w:hanging="701"/>
      </w:pPr>
      <w:rPr>
        <w:rFonts w:hint="default"/>
      </w:rPr>
    </w:lvl>
    <w:lvl w:ilvl="4">
      <w:start w:val="1"/>
      <w:numFmt w:val="bullet"/>
      <w:lvlText w:val="•"/>
      <w:lvlJc w:val="left"/>
      <w:pPr>
        <w:ind w:left="3584" w:hanging="701"/>
      </w:pPr>
      <w:rPr>
        <w:rFonts w:hint="default"/>
      </w:rPr>
    </w:lvl>
    <w:lvl w:ilvl="5">
      <w:start w:val="1"/>
      <w:numFmt w:val="bullet"/>
      <w:lvlText w:val="•"/>
      <w:lvlJc w:val="left"/>
      <w:pPr>
        <w:ind w:left="4450" w:hanging="701"/>
      </w:pPr>
      <w:rPr>
        <w:rFonts w:hint="default"/>
      </w:rPr>
    </w:lvl>
    <w:lvl w:ilvl="6">
      <w:start w:val="1"/>
      <w:numFmt w:val="bullet"/>
      <w:lvlText w:val="•"/>
      <w:lvlJc w:val="left"/>
      <w:pPr>
        <w:ind w:left="5316" w:hanging="701"/>
      </w:pPr>
      <w:rPr>
        <w:rFonts w:hint="default"/>
      </w:rPr>
    </w:lvl>
    <w:lvl w:ilvl="7">
      <w:start w:val="1"/>
      <w:numFmt w:val="bullet"/>
      <w:lvlText w:val="•"/>
      <w:lvlJc w:val="left"/>
      <w:pPr>
        <w:ind w:left="6182" w:hanging="701"/>
      </w:pPr>
      <w:rPr>
        <w:rFonts w:hint="default"/>
      </w:rPr>
    </w:lvl>
    <w:lvl w:ilvl="8">
      <w:start w:val="1"/>
      <w:numFmt w:val="bullet"/>
      <w:lvlText w:val="•"/>
      <w:lvlJc w:val="left"/>
      <w:pPr>
        <w:ind w:left="7048" w:hanging="701"/>
      </w:pPr>
      <w:rPr>
        <w:rFonts w:hint="default"/>
      </w:rPr>
    </w:lvl>
  </w:abstractNum>
  <w:abstractNum w:abstractNumId="1">
    <w:multiLevelType w:val="hybridMultilevel"/>
    <w:lvl w:ilvl="0">
      <w:start w:val="5"/>
      <w:numFmt w:val="decimal"/>
      <w:lvlText w:val="%1"/>
      <w:lvlJc w:val="left"/>
      <w:pPr>
        <w:ind w:left="1047" w:hanging="932"/>
        <w:jc w:val="left"/>
      </w:pPr>
      <w:rPr>
        <w:rFonts w:hint="default"/>
        <w:b/>
        <w:bCs/>
        <w:i/>
        <w:w w:val="102"/>
        <w:position w:val="2"/>
      </w:rPr>
    </w:lvl>
    <w:lvl w:ilvl="1">
      <w:start w:val="1"/>
      <w:numFmt w:val="decimal"/>
      <w:lvlText w:val="%2."/>
      <w:lvlJc w:val="left"/>
      <w:pPr>
        <w:ind w:left="2112" w:hanging="389"/>
        <w:jc w:val="left"/>
      </w:pPr>
      <w:rPr>
        <w:rFonts w:hint="default" w:ascii="Arial" w:hAnsi="Arial" w:eastAsia="Arial" w:cs="Arial"/>
        <w:b/>
        <w:bCs/>
        <w:spacing w:val="-1"/>
        <w:w w:val="100"/>
        <w:sz w:val="35"/>
        <w:szCs w:val="35"/>
      </w:rPr>
    </w:lvl>
    <w:lvl w:ilvl="2">
      <w:start w:val="1"/>
      <w:numFmt w:val="bullet"/>
      <w:lvlText w:val="•"/>
      <w:lvlJc w:val="left"/>
      <w:pPr>
        <w:ind w:left="2860" w:hanging="389"/>
      </w:pPr>
      <w:rPr>
        <w:rFonts w:hint="default"/>
      </w:rPr>
    </w:lvl>
    <w:lvl w:ilvl="3">
      <w:start w:val="1"/>
      <w:numFmt w:val="bullet"/>
      <w:lvlText w:val="•"/>
      <w:lvlJc w:val="left"/>
      <w:pPr>
        <w:ind w:left="3600" w:hanging="389"/>
      </w:pPr>
      <w:rPr>
        <w:rFonts w:hint="default"/>
      </w:rPr>
    </w:lvl>
    <w:lvl w:ilvl="4">
      <w:start w:val="1"/>
      <w:numFmt w:val="bullet"/>
      <w:lvlText w:val="•"/>
      <w:lvlJc w:val="left"/>
      <w:pPr>
        <w:ind w:left="4340" w:hanging="389"/>
      </w:pPr>
      <w:rPr>
        <w:rFonts w:hint="default"/>
      </w:rPr>
    </w:lvl>
    <w:lvl w:ilvl="5">
      <w:start w:val="1"/>
      <w:numFmt w:val="bullet"/>
      <w:lvlText w:val="•"/>
      <w:lvlJc w:val="left"/>
      <w:pPr>
        <w:ind w:left="5080" w:hanging="389"/>
      </w:pPr>
      <w:rPr>
        <w:rFonts w:hint="default"/>
      </w:rPr>
    </w:lvl>
    <w:lvl w:ilvl="6">
      <w:start w:val="1"/>
      <w:numFmt w:val="bullet"/>
      <w:lvlText w:val="•"/>
      <w:lvlJc w:val="left"/>
      <w:pPr>
        <w:ind w:left="5820" w:hanging="389"/>
      </w:pPr>
      <w:rPr>
        <w:rFonts w:hint="default"/>
      </w:rPr>
    </w:lvl>
    <w:lvl w:ilvl="7">
      <w:start w:val="1"/>
      <w:numFmt w:val="bullet"/>
      <w:lvlText w:val="•"/>
      <w:lvlJc w:val="left"/>
      <w:pPr>
        <w:ind w:left="6560" w:hanging="389"/>
      </w:pPr>
      <w:rPr>
        <w:rFonts w:hint="default"/>
      </w:rPr>
    </w:lvl>
    <w:lvl w:ilvl="8">
      <w:start w:val="1"/>
      <w:numFmt w:val="bullet"/>
      <w:lvlText w:val="•"/>
      <w:lvlJc w:val="left"/>
      <w:pPr>
        <w:ind w:left="7300" w:hanging="389"/>
      </w:pPr>
      <w:rPr>
        <w:rFonts w:hint="default"/>
      </w:rPr>
    </w:lvl>
  </w:abstractNum>
  <w:abstractNum w:abstractNumId="0">
    <w:multiLevelType w:val="hybridMultilevel"/>
    <w:lvl w:ilvl="0">
      <w:start w:val="1"/>
      <w:numFmt w:val="decimal"/>
      <w:lvlText w:val="%1"/>
      <w:lvlJc w:val="left"/>
      <w:pPr>
        <w:ind w:left="1047" w:hanging="932"/>
        <w:jc w:val="left"/>
      </w:pPr>
      <w:rPr>
        <w:rFonts w:hint="default" w:ascii="Arial" w:hAnsi="Arial" w:eastAsia="Arial" w:cs="Arial"/>
        <w:b/>
        <w:bCs/>
        <w:i/>
        <w:w w:val="102"/>
        <w:position w:val="2"/>
        <w:sz w:val="21"/>
        <w:szCs w:val="21"/>
      </w:rPr>
    </w:lvl>
    <w:lvl w:ilvl="1">
      <w:start w:val="1"/>
      <w:numFmt w:val="bullet"/>
      <w:lvlText w:val="•"/>
      <w:lvlJc w:val="left"/>
      <w:pPr>
        <w:ind w:left="1844" w:hanging="932"/>
      </w:pPr>
      <w:rPr>
        <w:rFonts w:hint="default"/>
      </w:rPr>
    </w:lvl>
    <w:lvl w:ilvl="2">
      <w:start w:val="1"/>
      <w:numFmt w:val="bullet"/>
      <w:lvlText w:val="•"/>
      <w:lvlJc w:val="left"/>
      <w:pPr>
        <w:ind w:left="2648" w:hanging="932"/>
      </w:pPr>
      <w:rPr>
        <w:rFonts w:hint="default"/>
      </w:rPr>
    </w:lvl>
    <w:lvl w:ilvl="3">
      <w:start w:val="1"/>
      <w:numFmt w:val="bullet"/>
      <w:lvlText w:val="•"/>
      <w:lvlJc w:val="left"/>
      <w:pPr>
        <w:ind w:left="3452" w:hanging="932"/>
      </w:pPr>
      <w:rPr>
        <w:rFonts w:hint="default"/>
      </w:rPr>
    </w:lvl>
    <w:lvl w:ilvl="4">
      <w:start w:val="1"/>
      <w:numFmt w:val="bullet"/>
      <w:lvlText w:val="•"/>
      <w:lvlJc w:val="left"/>
      <w:pPr>
        <w:ind w:left="4256" w:hanging="932"/>
      </w:pPr>
      <w:rPr>
        <w:rFonts w:hint="default"/>
      </w:rPr>
    </w:lvl>
    <w:lvl w:ilvl="5">
      <w:start w:val="1"/>
      <w:numFmt w:val="bullet"/>
      <w:lvlText w:val="•"/>
      <w:lvlJc w:val="left"/>
      <w:pPr>
        <w:ind w:left="5060" w:hanging="932"/>
      </w:pPr>
      <w:rPr>
        <w:rFonts w:hint="default"/>
      </w:rPr>
    </w:lvl>
    <w:lvl w:ilvl="6">
      <w:start w:val="1"/>
      <w:numFmt w:val="bullet"/>
      <w:lvlText w:val="•"/>
      <w:lvlJc w:val="left"/>
      <w:pPr>
        <w:ind w:left="5864" w:hanging="932"/>
      </w:pPr>
      <w:rPr>
        <w:rFonts w:hint="default"/>
      </w:rPr>
    </w:lvl>
    <w:lvl w:ilvl="7">
      <w:start w:val="1"/>
      <w:numFmt w:val="bullet"/>
      <w:lvlText w:val="•"/>
      <w:lvlJc w:val="left"/>
      <w:pPr>
        <w:ind w:left="6668" w:hanging="932"/>
      </w:pPr>
      <w:rPr>
        <w:rFonts w:hint="default"/>
      </w:rPr>
    </w:lvl>
    <w:lvl w:ilvl="8">
      <w:start w:val="1"/>
      <w:numFmt w:val="bullet"/>
      <w:lvlText w:val="•"/>
      <w:lvlJc w:val="left"/>
      <w:pPr>
        <w:ind w:left="7472" w:hanging="932"/>
      </w:pPr>
      <w:rPr>
        <w:rFonts w:hint="default"/>
      </w:rPr>
    </w:lvl>
  </w:abstractNum>
  <w:num w:numId="14">
    <w:abstractNumId w:val="1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59"/>
      <w:ind w:left="1047" w:hanging="931"/>
      <w:jc w:val="both"/>
    </w:pPr>
    <w:rPr>
      <w:rFonts w:ascii="Arial" w:hAnsi="Arial" w:eastAsia="Arial" w:cs="Arial"/>
      <w:b/>
      <w:bCs/>
      <w:i/>
      <w:sz w:val="23"/>
      <w:szCs w:val="23"/>
    </w:rPr>
  </w:style>
  <w:style w:styleId="TOC2" w:type="paragraph">
    <w:name w:val="TOC 2"/>
    <w:basedOn w:val="Normal"/>
    <w:uiPriority w:val="1"/>
    <w:qFormat/>
    <w:pPr>
      <w:ind w:left="1047"/>
    </w:pPr>
    <w:rPr>
      <w:rFonts w:ascii="Arial" w:hAnsi="Arial" w:eastAsia="Arial" w:cs="Arial"/>
      <w:i/>
      <w:sz w:val="23"/>
      <w:szCs w:val="23"/>
    </w:rPr>
  </w:style>
  <w:style w:styleId="BodyText" w:type="paragraph">
    <w:name w:val="Body Text"/>
    <w:basedOn w:val="Normal"/>
    <w:uiPriority w:val="1"/>
    <w:qFormat/>
    <w:pPr/>
    <w:rPr>
      <w:rFonts w:ascii="Arial" w:hAnsi="Arial" w:eastAsia="Arial" w:cs="Arial"/>
      <w:sz w:val="23"/>
      <w:szCs w:val="23"/>
    </w:rPr>
  </w:style>
  <w:style w:styleId="Heading1" w:type="paragraph">
    <w:name w:val="Heading 1"/>
    <w:basedOn w:val="Normal"/>
    <w:uiPriority w:val="1"/>
    <w:qFormat/>
    <w:pPr>
      <w:spacing w:before="55"/>
      <w:ind w:left="345" w:right="350"/>
      <w:outlineLvl w:val="1"/>
    </w:pPr>
    <w:rPr>
      <w:rFonts w:ascii="Arial" w:hAnsi="Arial" w:eastAsia="Arial" w:cs="Arial"/>
      <w:b/>
      <w:bCs/>
      <w:sz w:val="35"/>
      <w:szCs w:val="35"/>
    </w:rPr>
  </w:style>
  <w:style w:styleId="Heading2" w:type="paragraph">
    <w:name w:val="Heading 2"/>
    <w:basedOn w:val="Normal"/>
    <w:uiPriority w:val="1"/>
    <w:qFormat/>
    <w:pPr>
      <w:ind w:left="480" w:hanging="379"/>
      <w:jc w:val="both"/>
      <w:outlineLvl w:val="2"/>
    </w:pPr>
    <w:rPr>
      <w:rFonts w:ascii="Arial" w:hAnsi="Arial" w:eastAsia="Arial" w:cs="Arial"/>
      <w:b/>
      <w:bCs/>
      <w:sz w:val="31"/>
      <w:szCs w:val="31"/>
    </w:rPr>
  </w:style>
  <w:style w:styleId="Heading3" w:type="paragraph">
    <w:name w:val="Heading 3"/>
    <w:basedOn w:val="Normal"/>
    <w:uiPriority w:val="1"/>
    <w:qFormat/>
    <w:pPr>
      <w:ind w:left="121"/>
      <w:jc w:val="both"/>
      <w:outlineLvl w:val="3"/>
    </w:pPr>
    <w:rPr>
      <w:rFonts w:ascii="Arial" w:hAnsi="Arial" w:eastAsia="Arial" w:cs="Arial"/>
      <w:b/>
      <w:bCs/>
      <w:sz w:val="27"/>
      <w:szCs w:val="27"/>
    </w:rPr>
  </w:style>
  <w:style w:styleId="Heading4" w:type="paragraph">
    <w:name w:val="Heading 4"/>
    <w:basedOn w:val="Normal"/>
    <w:uiPriority w:val="1"/>
    <w:qFormat/>
    <w:pPr>
      <w:ind w:left="101"/>
      <w:outlineLvl w:val="4"/>
    </w:pPr>
    <w:rPr>
      <w:rFonts w:ascii="Arial" w:hAnsi="Arial" w:eastAsia="Arial" w:cs="Arial"/>
      <w:b/>
      <w:bCs/>
      <w:sz w:val="23"/>
      <w:szCs w:val="23"/>
    </w:rPr>
  </w:style>
  <w:style w:styleId="Heading5" w:type="paragraph">
    <w:name w:val="Heading 5"/>
    <w:basedOn w:val="Normal"/>
    <w:uiPriority w:val="1"/>
    <w:qFormat/>
    <w:pPr>
      <w:spacing w:before="74"/>
      <w:ind w:left="1047"/>
      <w:outlineLvl w:val="5"/>
    </w:pPr>
    <w:rPr>
      <w:rFonts w:ascii="Arial" w:hAnsi="Arial" w:eastAsia="Arial" w:cs="Arial"/>
      <w:b/>
      <w:bCs/>
      <w:i/>
      <w:sz w:val="23"/>
      <w:szCs w:val="23"/>
    </w:rPr>
  </w:style>
  <w:style w:styleId="ListParagraph" w:type="paragraph">
    <w:name w:val="List Paragraph"/>
    <w:basedOn w:val="Normal"/>
    <w:uiPriority w:val="1"/>
    <w:qFormat/>
    <w:pPr>
      <w:ind w:left="462" w:hanging="350"/>
      <w:jc w:val="both"/>
    </w:pPr>
    <w:rPr>
      <w:rFonts w:ascii="Arial" w:hAnsi="Arial" w:eastAsia="Arial" w:cs="Arial"/>
    </w:rPr>
  </w:style>
  <w:style w:styleId="TableParagraph" w:type="paragraph">
    <w:name w:val="Table Paragraph"/>
    <w:basedOn w:val="Normal"/>
    <w:uiPriority w:val="1"/>
    <w:qFormat/>
    <w:pPr>
      <w:spacing w:before="2"/>
      <w:jc w:val="righ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hyperlink" Target="mailto:gbarrios_puente@yahoo.com.mx" TargetMode="External"/><Relationship Id="rId17" Type="http://schemas.openxmlformats.org/officeDocument/2006/relationships/hyperlink" Target="mailto:esfigue_3@yahoo.com.mx" TargetMode="External"/><Relationship Id="rId18" Type="http://schemas.openxmlformats.org/officeDocument/2006/relationships/hyperlink" Target="mailto:orsohe@yahoo.com" TargetMode="External"/><Relationship Id="rId19" Type="http://schemas.openxmlformats.org/officeDocument/2006/relationships/hyperlink" Target="mailto:perezsotof@hotmail.com" TargetMode="External"/><Relationship Id="rId20" Type="http://schemas.openxmlformats.org/officeDocument/2006/relationships/hyperlink" Target="mailto:jloeramtz2004@gmail.com" TargetMode="External"/><Relationship Id="rId21" Type="http://schemas.openxmlformats.org/officeDocument/2006/relationships/footer" Target="footer8.xml"/><Relationship Id="rId22" Type="http://schemas.openxmlformats.org/officeDocument/2006/relationships/footer" Target="footer9.xml"/><Relationship Id="rId23" Type="http://schemas.openxmlformats.org/officeDocument/2006/relationships/footer" Target="footer10.xml"/><Relationship Id="rId24" Type="http://schemas.openxmlformats.org/officeDocument/2006/relationships/footer" Target="footer11.xml"/><Relationship Id="rId25" Type="http://schemas.openxmlformats.org/officeDocument/2006/relationships/footer" Target="footer12.xml"/><Relationship Id="rId26" Type="http://schemas.openxmlformats.org/officeDocument/2006/relationships/footer" Target="footer13.xml"/><Relationship Id="rId27" Type="http://schemas.openxmlformats.org/officeDocument/2006/relationships/footer" Target="footer14.xml"/><Relationship Id="rId28" Type="http://schemas.openxmlformats.org/officeDocument/2006/relationships/footer" Target="footer15.xml"/><Relationship Id="rId29" Type="http://schemas.openxmlformats.org/officeDocument/2006/relationships/footer" Target="footer16.xml"/><Relationship Id="rId30" Type="http://schemas.openxmlformats.org/officeDocument/2006/relationships/hyperlink" Target="http://www.agecon.lib.umn.edu/" TargetMode="External"/><Relationship Id="rId31" Type="http://schemas.openxmlformats.org/officeDocument/2006/relationships/footer" Target="footer17.xml"/><Relationship Id="rId32" Type="http://schemas.openxmlformats.org/officeDocument/2006/relationships/hyperlink" Target="mailto:jloeramtz2004@yahoo.com.mx" TargetMode="External"/><Relationship Id="rId33" Type="http://schemas.openxmlformats.org/officeDocument/2006/relationships/image" Target="media/image5.png"/><Relationship Id="rId34" Type="http://schemas.openxmlformats.org/officeDocument/2006/relationships/image" Target="media/image6.png"/><Relationship Id="rId35" Type="http://schemas.openxmlformats.org/officeDocument/2006/relationships/image" Target="media/image7.png"/><Relationship Id="rId36" Type="http://schemas.openxmlformats.org/officeDocument/2006/relationships/image" Target="media/image8.png"/><Relationship Id="rId37" Type="http://schemas.openxmlformats.org/officeDocument/2006/relationships/image" Target="media/image9.png"/><Relationship Id="rId38" Type="http://schemas.openxmlformats.org/officeDocument/2006/relationships/image" Target="media/image10.png"/><Relationship Id="rId39" Type="http://schemas.openxmlformats.org/officeDocument/2006/relationships/image" Target="media/image11.png"/><Relationship Id="rId40" Type="http://schemas.openxmlformats.org/officeDocument/2006/relationships/image" Target="media/image12.png"/><Relationship Id="rId41" Type="http://schemas.openxmlformats.org/officeDocument/2006/relationships/image" Target="media/image13.png"/><Relationship Id="rId42" Type="http://schemas.openxmlformats.org/officeDocument/2006/relationships/image" Target="media/image14.png"/><Relationship Id="rId43" Type="http://schemas.openxmlformats.org/officeDocument/2006/relationships/image" Target="media/image15.png"/><Relationship Id="rId44" Type="http://schemas.openxmlformats.org/officeDocument/2006/relationships/image" Target="media/image16.png"/><Relationship Id="rId45" Type="http://schemas.openxmlformats.org/officeDocument/2006/relationships/image" Target="media/image17.png"/><Relationship Id="rId46" Type="http://schemas.openxmlformats.org/officeDocument/2006/relationships/image" Target="media/image18.png"/><Relationship Id="rId47" Type="http://schemas.openxmlformats.org/officeDocument/2006/relationships/image" Target="media/image19.png"/><Relationship Id="rId48" Type="http://schemas.openxmlformats.org/officeDocument/2006/relationships/image" Target="media/image20.png"/><Relationship Id="rId49" Type="http://schemas.openxmlformats.org/officeDocument/2006/relationships/image" Target="media/image21.png"/><Relationship Id="rId50" Type="http://schemas.openxmlformats.org/officeDocument/2006/relationships/image" Target="media/image22.png"/><Relationship Id="rId51" Type="http://schemas.openxmlformats.org/officeDocument/2006/relationships/image" Target="media/image23.png"/><Relationship Id="rId52" Type="http://schemas.openxmlformats.org/officeDocument/2006/relationships/footer" Target="footer18.xml"/><Relationship Id="rId53" Type="http://schemas.openxmlformats.org/officeDocument/2006/relationships/image" Target="media/image24.png"/><Relationship Id="rId54" Type="http://schemas.openxmlformats.org/officeDocument/2006/relationships/image" Target="media/image25.png"/><Relationship Id="rId55" Type="http://schemas.openxmlformats.org/officeDocument/2006/relationships/image" Target="media/image26.png"/><Relationship Id="rId56" Type="http://schemas.openxmlformats.org/officeDocument/2006/relationships/image" Target="media/image27.png"/><Relationship Id="rId57" Type="http://schemas.openxmlformats.org/officeDocument/2006/relationships/image" Target="media/image28.png"/><Relationship Id="rId58" Type="http://schemas.openxmlformats.org/officeDocument/2006/relationships/image" Target="media/image29.png"/><Relationship Id="rId59" Type="http://schemas.openxmlformats.org/officeDocument/2006/relationships/image" Target="media/image30.png"/><Relationship Id="rId60" Type="http://schemas.openxmlformats.org/officeDocument/2006/relationships/image" Target="media/image31.png"/><Relationship Id="rId61" Type="http://schemas.openxmlformats.org/officeDocument/2006/relationships/image" Target="media/image32.png"/><Relationship Id="rId62" Type="http://schemas.openxmlformats.org/officeDocument/2006/relationships/image" Target="media/image33.png"/><Relationship Id="rId63" Type="http://schemas.openxmlformats.org/officeDocument/2006/relationships/image" Target="media/image34.png"/><Relationship Id="rId64" Type="http://schemas.openxmlformats.org/officeDocument/2006/relationships/image" Target="media/image35.png"/><Relationship Id="rId65" Type="http://schemas.openxmlformats.org/officeDocument/2006/relationships/image" Target="media/image36.png"/><Relationship Id="rId66" Type="http://schemas.openxmlformats.org/officeDocument/2006/relationships/image" Target="media/image37.png"/><Relationship Id="rId67" Type="http://schemas.openxmlformats.org/officeDocument/2006/relationships/image" Target="media/image38.png"/><Relationship Id="rId68" Type="http://schemas.openxmlformats.org/officeDocument/2006/relationships/image" Target="media/image39.png"/><Relationship Id="rId69" Type="http://schemas.openxmlformats.org/officeDocument/2006/relationships/image" Target="media/image40.png"/><Relationship Id="rId70" Type="http://schemas.openxmlformats.org/officeDocument/2006/relationships/image" Target="media/image41.png"/><Relationship Id="rId71" Type="http://schemas.openxmlformats.org/officeDocument/2006/relationships/image" Target="media/image42.png"/><Relationship Id="rId72" Type="http://schemas.openxmlformats.org/officeDocument/2006/relationships/image" Target="media/image43.png"/><Relationship Id="rId73" Type="http://schemas.openxmlformats.org/officeDocument/2006/relationships/image" Target="media/image44.png"/><Relationship Id="rId74" Type="http://schemas.openxmlformats.org/officeDocument/2006/relationships/image" Target="media/image45.png"/><Relationship Id="rId75" Type="http://schemas.openxmlformats.org/officeDocument/2006/relationships/image" Target="media/image46.png"/><Relationship Id="rId76" Type="http://schemas.openxmlformats.org/officeDocument/2006/relationships/image" Target="media/image47.png"/><Relationship Id="rId77" Type="http://schemas.openxmlformats.org/officeDocument/2006/relationships/image" Target="media/image48.png"/><Relationship Id="rId78" Type="http://schemas.openxmlformats.org/officeDocument/2006/relationships/image" Target="media/image49.png"/><Relationship Id="rId79" Type="http://schemas.openxmlformats.org/officeDocument/2006/relationships/image" Target="media/image50.png"/><Relationship Id="rId80" Type="http://schemas.openxmlformats.org/officeDocument/2006/relationships/image" Target="media/image51.png"/><Relationship Id="rId81" Type="http://schemas.openxmlformats.org/officeDocument/2006/relationships/image" Target="media/image52.png"/><Relationship Id="rId82" Type="http://schemas.openxmlformats.org/officeDocument/2006/relationships/image" Target="media/image53.png"/><Relationship Id="rId83" Type="http://schemas.openxmlformats.org/officeDocument/2006/relationships/image" Target="media/image54.png"/><Relationship Id="rId84" Type="http://schemas.openxmlformats.org/officeDocument/2006/relationships/image" Target="media/image55.png"/><Relationship Id="rId85" Type="http://schemas.openxmlformats.org/officeDocument/2006/relationships/image" Target="media/image56.png"/><Relationship Id="rId86" Type="http://schemas.openxmlformats.org/officeDocument/2006/relationships/image" Target="media/image57.png"/><Relationship Id="rId87" Type="http://schemas.openxmlformats.org/officeDocument/2006/relationships/image" Target="media/image58.png"/><Relationship Id="rId88" Type="http://schemas.openxmlformats.org/officeDocument/2006/relationships/image" Target="media/image59.png"/><Relationship Id="rId89" Type="http://schemas.openxmlformats.org/officeDocument/2006/relationships/image" Target="media/image60.png"/><Relationship Id="rId90" Type="http://schemas.openxmlformats.org/officeDocument/2006/relationships/image" Target="media/image61.png"/><Relationship Id="rId91" Type="http://schemas.openxmlformats.org/officeDocument/2006/relationships/image" Target="media/image62.png"/><Relationship Id="rId92" Type="http://schemas.openxmlformats.org/officeDocument/2006/relationships/image" Target="media/image63.png"/><Relationship Id="rId93" Type="http://schemas.openxmlformats.org/officeDocument/2006/relationships/image" Target="media/image64.png"/><Relationship Id="rId94" Type="http://schemas.openxmlformats.org/officeDocument/2006/relationships/image" Target="media/image65.png"/><Relationship Id="rId95" Type="http://schemas.openxmlformats.org/officeDocument/2006/relationships/image" Target="media/image66.png"/><Relationship Id="rId96" Type="http://schemas.openxmlformats.org/officeDocument/2006/relationships/image" Target="media/image67.png"/><Relationship Id="rId97" Type="http://schemas.openxmlformats.org/officeDocument/2006/relationships/image" Target="media/image68.png"/><Relationship Id="rId98" Type="http://schemas.openxmlformats.org/officeDocument/2006/relationships/image" Target="media/image69.png"/><Relationship Id="rId99" Type="http://schemas.openxmlformats.org/officeDocument/2006/relationships/image" Target="media/image70.png"/><Relationship Id="rId100" Type="http://schemas.openxmlformats.org/officeDocument/2006/relationships/image" Target="media/image71.png"/><Relationship Id="rId101" Type="http://schemas.openxmlformats.org/officeDocument/2006/relationships/image" Target="media/image72.png"/><Relationship Id="rId102" Type="http://schemas.openxmlformats.org/officeDocument/2006/relationships/image" Target="media/image73.png"/><Relationship Id="rId103" Type="http://schemas.openxmlformats.org/officeDocument/2006/relationships/image" Target="media/image74.png"/><Relationship Id="rId104" Type="http://schemas.openxmlformats.org/officeDocument/2006/relationships/image" Target="media/image75.png"/><Relationship Id="rId105" Type="http://schemas.openxmlformats.org/officeDocument/2006/relationships/image" Target="media/image76.png"/><Relationship Id="rId106" Type="http://schemas.openxmlformats.org/officeDocument/2006/relationships/image" Target="media/image77.png"/><Relationship Id="rId107" Type="http://schemas.openxmlformats.org/officeDocument/2006/relationships/image" Target="media/image78.png"/><Relationship Id="rId108" Type="http://schemas.openxmlformats.org/officeDocument/2006/relationships/image" Target="media/image79.png"/><Relationship Id="rId109" Type="http://schemas.openxmlformats.org/officeDocument/2006/relationships/image" Target="media/image80.png"/><Relationship Id="rId110" Type="http://schemas.openxmlformats.org/officeDocument/2006/relationships/image" Target="media/image81.png"/><Relationship Id="rId111" Type="http://schemas.openxmlformats.org/officeDocument/2006/relationships/image" Target="media/image82.png"/><Relationship Id="rId112" Type="http://schemas.openxmlformats.org/officeDocument/2006/relationships/image" Target="media/image83.png"/><Relationship Id="rId113" Type="http://schemas.openxmlformats.org/officeDocument/2006/relationships/image" Target="media/image84.png"/><Relationship Id="rId114" Type="http://schemas.openxmlformats.org/officeDocument/2006/relationships/image" Target="media/image85.png"/><Relationship Id="rId115" Type="http://schemas.openxmlformats.org/officeDocument/2006/relationships/image" Target="media/image86.png"/><Relationship Id="rId116" Type="http://schemas.openxmlformats.org/officeDocument/2006/relationships/image" Target="media/image87.png"/><Relationship Id="rId117" Type="http://schemas.openxmlformats.org/officeDocument/2006/relationships/image" Target="media/image88.png"/><Relationship Id="rId118" Type="http://schemas.openxmlformats.org/officeDocument/2006/relationships/image" Target="media/image89.png"/><Relationship Id="rId119" Type="http://schemas.openxmlformats.org/officeDocument/2006/relationships/image" Target="media/image90.png"/><Relationship Id="rId120" Type="http://schemas.openxmlformats.org/officeDocument/2006/relationships/image" Target="media/image91.png"/><Relationship Id="rId121" Type="http://schemas.openxmlformats.org/officeDocument/2006/relationships/image" Target="media/image92.png"/><Relationship Id="rId122" Type="http://schemas.openxmlformats.org/officeDocument/2006/relationships/image" Target="media/image93.png"/><Relationship Id="rId123" Type="http://schemas.openxmlformats.org/officeDocument/2006/relationships/image" Target="media/image94.png"/><Relationship Id="rId124" Type="http://schemas.openxmlformats.org/officeDocument/2006/relationships/image" Target="media/image95.png"/><Relationship Id="rId125" Type="http://schemas.openxmlformats.org/officeDocument/2006/relationships/image" Target="media/image96.png"/><Relationship Id="rId126" Type="http://schemas.openxmlformats.org/officeDocument/2006/relationships/image" Target="media/image97.png"/><Relationship Id="rId127" Type="http://schemas.openxmlformats.org/officeDocument/2006/relationships/image" Target="media/image98.png"/><Relationship Id="rId128" Type="http://schemas.openxmlformats.org/officeDocument/2006/relationships/image" Target="media/image99.png"/><Relationship Id="rId129" Type="http://schemas.openxmlformats.org/officeDocument/2006/relationships/image" Target="media/image100.png"/><Relationship Id="rId130" Type="http://schemas.openxmlformats.org/officeDocument/2006/relationships/image" Target="media/image101.png"/><Relationship Id="rId131" Type="http://schemas.openxmlformats.org/officeDocument/2006/relationships/image" Target="media/image102.jpeg"/><Relationship Id="rId132" Type="http://schemas.openxmlformats.org/officeDocument/2006/relationships/image" Target="media/image103.png"/><Relationship Id="rId133" Type="http://schemas.openxmlformats.org/officeDocument/2006/relationships/footer" Target="footer19.xml"/><Relationship Id="rId134" Type="http://schemas.openxmlformats.org/officeDocument/2006/relationships/footer" Target="footer20.xml"/><Relationship Id="rId135" Type="http://schemas.openxmlformats.org/officeDocument/2006/relationships/image" Target="media/image104.png"/><Relationship Id="rId136" Type="http://schemas.openxmlformats.org/officeDocument/2006/relationships/image" Target="media/image105.png"/><Relationship Id="rId137" Type="http://schemas.openxmlformats.org/officeDocument/2006/relationships/image" Target="media/image106.png"/><Relationship Id="rId138" Type="http://schemas.openxmlformats.org/officeDocument/2006/relationships/image" Target="media/image107.png"/><Relationship Id="rId139" Type="http://schemas.openxmlformats.org/officeDocument/2006/relationships/hyperlink" Target="mailto:gbarrios@yahoo.com.mx" TargetMode="External"/><Relationship Id="rId140" Type="http://schemas.openxmlformats.org/officeDocument/2006/relationships/footer" Target="footer21.xml"/><Relationship Id="rId141" Type="http://schemas.openxmlformats.org/officeDocument/2006/relationships/image" Target="media/image108.png"/><Relationship Id="rId142" Type="http://schemas.openxmlformats.org/officeDocument/2006/relationships/image" Target="media/image109.png"/><Relationship Id="rId143" Type="http://schemas.openxmlformats.org/officeDocument/2006/relationships/image" Target="media/image110.png"/><Relationship Id="rId144" Type="http://schemas.openxmlformats.org/officeDocument/2006/relationships/image" Target="media/image111.png"/><Relationship Id="rId145" Type="http://schemas.openxmlformats.org/officeDocument/2006/relationships/image" Target="media/image112.png"/><Relationship Id="rId146" Type="http://schemas.openxmlformats.org/officeDocument/2006/relationships/image" Target="media/image113.png"/><Relationship Id="rId147" Type="http://schemas.openxmlformats.org/officeDocument/2006/relationships/hyperlink" Target="http://www.conapo.gob.mx/" TargetMode="External"/><Relationship Id="rId148" Type="http://schemas.openxmlformats.org/officeDocument/2006/relationships/image" Target="media/image114.png"/><Relationship Id="rId149" Type="http://schemas.openxmlformats.org/officeDocument/2006/relationships/footer" Target="footer22.xml"/><Relationship Id="rId150" Type="http://schemas.openxmlformats.org/officeDocument/2006/relationships/image" Target="media/image115.png"/><Relationship Id="rId151" Type="http://schemas.openxmlformats.org/officeDocument/2006/relationships/image" Target="media/image116.png"/><Relationship Id="rId152" Type="http://schemas.openxmlformats.org/officeDocument/2006/relationships/image" Target="media/image117.png"/><Relationship Id="rId153" Type="http://schemas.openxmlformats.org/officeDocument/2006/relationships/image" Target="media/image118.png"/><Relationship Id="rId154" Type="http://schemas.openxmlformats.org/officeDocument/2006/relationships/image" Target="media/image119.png"/><Relationship Id="rId155" Type="http://schemas.openxmlformats.org/officeDocument/2006/relationships/image" Target="media/image120.png"/><Relationship Id="rId156" Type="http://schemas.openxmlformats.org/officeDocument/2006/relationships/image" Target="media/image121.png"/><Relationship Id="rId157" Type="http://schemas.openxmlformats.org/officeDocument/2006/relationships/image" Target="media/image122.png"/><Relationship Id="rId158" Type="http://schemas.openxmlformats.org/officeDocument/2006/relationships/image" Target="media/image123.png"/><Relationship Id="rId159" Type="http://schemas.openxmlformats.org/officeDocument/2006/relationships/image" Target="media/image124.png"/><Relationship Id="rId160" Type="http://schemas.openxmlformats.org/officeDocument/2006/relationships/image" Target="media/image125.png"/><Relationship Id="rId161" Type="http://schemas.openxmlformats.org/officeDocument/2006/relationships/image" Target="media/image126.png"/><Relationship Id="rId162" Type="http://schemas.openxmlformats.org/officeDocument/2006/relationships/image" Target="media/image127.png"/><Relationship Id="rId163" Type="http://schemas.openxmlformats.org/officeDocument/2006/relationships/image" Target="media/image128.png"/><Relationship Id="rId164" Type="http://schemas.openxmlformats.org/officeDocument/2006/relationships/image" Target="media/image129.png"/><Relationship Id="rId165" Type="http://schemas.openxmlformats.org/officeDocument/2006/relationships/image" Target="media/image130.png"/><Relationship Id="rId166" Type="http://schemas.openxmlformats.org/officeDocument/2006/relationships/image" Target="media/image131.png"/><Relationship Id="rId167" Type="http://schemas.openxmlformats.org/officeDocument/2006/relationships/image" Target="media/image132.png"/><Relationship Id="rId168" Type="http://schemas.openxmlformats.org/officeDocument/2006/relationships/image" Target="media/image133.png"/><Relationship Id="rId169" Type="http://schemas.openxmlformats.org/officeDocument/2006/relationships/image" Target="media/image134.png"/><Relationship Id="rId170" Type="http://schemas.openxmlformats.org/officeDocument/2006/relationships/image" Target="media/image135.png"/><Relationship Id="rId171" Type="http://schemas.openxmlformats.org/officeDocument/2006/relationships/image" Target="media/image136.png"/><Relationship Id="rId172" Type="http://schemas.openxmlformats.org/officeDocument/2006/relationships/image" Target="media/image137.png"/><Relationship Id="rId173" Type="http://schemas.openxmlformats.org/officeDocument/2006/relationships/image" Target="media/image138.png"/><Relationship Id="rId174" Type="http://schemas.openxmlformats.org/officeDocument/2006/relationships/image" Target="media/image139.png"/><Relationship Id="rId175" Type="http://schemas.openxmlformats.org/officeDocument/2006/relationships/image" Target="media/image140.png"/><Relationship Id="rId176" Type="http://schemas.openxmlformats.org/officeDocument/2006/relationships/image" Target="media/image141.png"/><Relationship Id="rId177" Type="http://schemas.openxmlformats.org/officeDocument/2006/relationships/image" Target="media/image142.png"/><Relationship Id="rId178" Type="http://schemas.openxmlformats.org/officeDocument/2006/relationships/image" Target="media/image143.png"/><Relationship Id="rId179" Type="http://schemas.openxmlformats.org/officeDocument/2006/relationships/image" Target="media/image144.png"/><Relationship Id="rId180" Type="http://schemas.openxmlformats.org/officeDocument/2006/relationships/image" Target="media/image145.png"/><Relationship Id="rId181" Type="http://schemas.openxmlformats.org/officeDocument/2006/relationships/image" Target="media/image146.png"/><Relationship Id="rId182" Type="http://schemas.openxmlformats.org/officeDocument/2006/relationships/image" Target="media/image147.png"/><Relationship Id="rId183" Type="http://schemas.openxmlformats.org/officeDocument/2006/relationships/image" Target="media/image148.png"/><Relationship Id="rId184" Type="http://schemas.openxmlformats.org/officeDocument/2006/relationships/image" Target="media/image149.png"/><Relationship Id="rId185" Type="http://schemas.openxmlformats.org/officeDocument/2006/relationships/image" Target="media/image150.png"/><Relationship Id="rId186" Type="http://schemas.openxmlformats.org/officeDocument/2006/relationships/image" Target="media/image151.png"/><Relationship Id="rId187" Type="http://schemas.openxmlformats.org/officeDocument/2006/relationships/image" Target="media/image152.png"/><Relationship Id="rId188" Type="http://schemas.openxmlformats.org/officeDocument/2006/relationships/image" Target="media/image153.png"/><Relationship Id="rId189" Type="http://schemas.openxmlformats.org/officeDocument/2006/relationships/image" Target="media/image154.png"/><Relationship Id="rId190" Type="http://schemas.openxmlformats.org/officeDocument/2006/relationships/image" Target="media/image155.png"/><Relationship Id="rId191" Type="http://schemas.openxmlformats.org/officeDocument/2006/relationships/image" Target="media/image156.png"/><Relationship Id="rId192" Type="http://schemas.openxmlformats.org/officeDocument/2006/relationships/image" Target="media/image157.png"/><Relationship Id="rId193" Type="http://schemas.openxmlformats.org/officeDocument/2006/relationships/image" Target="media/image158.png"/><Relationship Id="rId194" Type="http://schemas.openxmlformats.org/officeDocument/2006/relationships/image" Target="media/image159.png"/><Relationship Id="rId195" Type="http://schemas.openxmlformats.org/officeDocument/2006/relationships/image" Target="media/image160.png"/><Relationship Id="rId196" Type="http://schemas.openxmlformats.org/officeDocument/2006/relationships/image" Target="media/image161.png"/><Relationship Id="rId197" Type="http://schemas.openxmlformats.org/officeDocument/2006/relationships/image" Target="media/image162.png"/><Relationship Id="rId198" Type="http://schemas.openxmlformats.org/officeDocument/2006/relationships/image" Target="media/image163.png"/><Relationship Id="rId199" Type="http://schemas.openxmlformats.org/officeDocument/2006/relationships/hyperlink" Target="http://www.conapo.gob.mx/index.php?option=com_content&amp;amp;view=article&amp;amp;id=328&amp;amp;Itemid" TargetMode="External"/><Relationship Id="rId200" Type="http://schemas.openxmlformats.org/officeDocument/2006/relationships/image" Target="media/image164.png"/><Relationship Id="rId201" Type="http://schemas.openxmlformats.org/officeDocument/2006/relationships/image" Target="media/image165.png"/><Relationship Id="rId202" Type="http://schemas.openxmlformats.org/officeDocument/2006/relationships/image" Target="media/image166.png"/><Relationship Id="rId203" Type="http://schemas.openxmlformats.org/officeDocument/2006/relationships/footer" Target="footer23.xml"/><Relationship Id="rId204" Type="http://schemas.openxmlformats.org/officeDocument/2006/relationships/image" Target="media/image167.png"/><Relationship Id="rId205" Type="http://schemas.openxmlformats.org/officeDocument/2006/relationships/hyperlink" Target="http://www.banxico.org.mx/einfofinanciera/Fsinfofinanciera.htm1" TargetMode="External"/><Relationship Id="rId206" Type="http://schemas.openxmlformats.org/officeDocument/2006/relationships/hyperlink" Target="http://www.jornada.unam.mx/2008/02/12/index.php?article=029n1)" TargetMode="External"/><Relationship Id="rId207" Type="http://schemas.openxmlformats.org/officeDocument/2006/relationships/hyperlink" Target="http://www.dgi.unam.mx/bolet%C3%ADn/bdboletin/2004_30.html)" TargetMode="External"/><Relationship Id="rId208" Type="http://schemas.openxmlformats.org/officeDocument/2006/relationships/hyperlink" Target="mailto:gbarrios@yahoo.co.mx" TargetMode="External"/><Relationship Id="rId209" Type="http://schemas.openxmlformats.org/officeDocument/2006/relationships/hyperlink" Target="mailto:luisespinosatorres@yahoo.com.mx" TargetMode="External"/><Relationship Id="rId210" Type="http://schemas.openxmlformats.org/officeDocument/2006/relationships/footer" Target="footer24.xml"/><Relationship Id="rId211" Type="http://schemas.openxmlformats.org/officeDocument/2006/relationships/image" Target="media/image168.png"/><Relationship Id="rId212" Type="http://schemas.openxmlformats.org/officeDocument/2006/relationships/image" Target="media/image169.png"/><Relationship Id="rId213" Type="http://schemas.openxmlformats.org/officeDocument/2006/relationships/image" Target="media/image170.png"/><Relationship Id="rId214" Type="http://schemas.openxmlformats.org/officeDocument/2006/relationships/image" Target="media/image171.png"/><Relationship Id="rId215" Type="http://schemas.openxmlformats.org/officeDocument/2006/relationships/image" Target="media/image172.png"/><Relationship Id="rId216" Type="http://schemas.openxmlformats.org/officeDocument/2006/relationships/image" Target="media/image173.png"/><Relationship Id="rId217" Type="http://schemas.openxmlformats.org/officeDocument/2006/relationships/image" Target="media/image174.png"/><Relationship Id="rId218" Type="http://schemas.openxmlformats.org/officeDocument/2006/relationships/image" Target="media/image175.png"/><Relationship Id="rId219" Type="http://schemas.openxmlformats.org/officeDocument/2006/relationships/image" Target="media/image176.png"/><Relationship Id="rId220" Type="http://schemas.openxmlformats.org/officeDocument/2006/relationships/image" Target="media/image177.png"/><Relationship Id="rId221" Type="http://schemas.openxmlformats.org/officeDocument/2006/relationships/image" Target="media/image178.png"/><Relationship Id="rId222" Type="http://schemas.openxmlformats.org/officeDocument/2006/relationships/image" Target="media/image179.png"/><Relationship Id="rId223" Type="http://schemas.openxmlformats.org/officeDocument/2006/relationships/image" Target="media/image180.png"/><Relationship Id="rId224" Type="http://schemas.openxmlformats.org/officeDocument/2006/relationships/image" Target="media/image181.png"/><Relationship Id="rId225" Type="http://schemas.openxmlformats.org/officeDocument/2006/relationships/image" Target="media/image182.png"/><Relationship Id="rId226" Type="http://schemas.openxmlformats.org/officeDocument/2006/relationships/image" Target="media/image183.png"/><Relationship Id="rId227" Type="http://schemas.openxmlformats.org/officeDocument/2006/relationships/image" Target="media/image184.png"/><Relationship Id="rId228" Type="http://schemas.openxmlformats.org/officeDocument/2006/relationships/image" Target="media/image185.png"/><Relationship Id="rId229" Type="http://schemas.openxmlformats.org/officeDocument/2006/relationships/image" Target="media/image186.png"/><Relationship Id="rId230" Type="http://schemas.openxmlformats.org/officeDocument/2006/relationships/image" Target="media/image187.png"/><Relationship Id="rId231" Type="http://schemas.openxmlformats.org/officeDocument/2006/relationships/image" Target="media/image188.png"/><Relationship Id="rId232" Type="http://schemas.openxmlformats.org/officeDocument/2006/relationships/image" Target="media/image189.png"/><Relationship Id="rId233" Type="http://schemas.openxmlformats.org/officeDocument/2006/relationships/image" Target="media/image190.png"/><Relationship Id="rId234" Type="http://schemas.openxmlformats.org/officeDocument/2006/relationships/image" Target="media/image191.png"/><Relationship Id="rId235" Type="http://schemas.openxmlformats.org/officeDocument/2006/relationships/image" Target="media/image192.png"/><Relationship Id="rId236" Type="http://schemas.openxmlformats.org/officeDocument/2006/relationships/image" Target="media/image193.png"/><Relationship Id="rId237" Type="http://schemas.openxmlformats.org/officeDocument/2006/relationships/image" Target="media/image194.png"/><Relationship Id="rId238" Type="http://schemas.openxmlformats.org/officeDocument/2006/relationships/image" Target="media/image195.png"/><Relationship Id="rId239" Type="http://schemas.openxmlformats.org/officeDocument/2006/relationships/image" Target="media/image196.png"/><Relationship Id="rId240" Type="http://schemas.openxmlformats.org/officeDocument/2006/relationships/image" Target="media/image197.png"/><Relationship Id="rId241" Type="http://schemas.openxmlformats.org/officeDocument/2006/relationships/image" Target="media/image198.png"/><Relationship Id="rId242" Type="http://schemas.openxmlformats.org/officeDocument/2006/relationships/image" Target="media/image199.png"/><Relationship Id="rId243" Type="http://schemas.openxmlformats.org/officeDocument/2006/relationships/image" Target="media/image200.png"/><Relationship Id="rId244" Type="http://schemas.openxmlformats.org/officeDocument/2006/relationships/image" Target="media/image201.png"/><Relationship Id="rId245" Type="http://schemas.openxmlformats.org/officeDocument/2006/relationships/image" Target="media/image202.png"/><Relationship Id="rId246" Type="http://schemas.openxmlformats.org/officeDocument/2006/relationships/image" Target="media/image203.png"/><Relationship Id="rId247" Type="http://schemas.openxmlformats.org/officeDocument/2006/relationships/image" Target="media/image204.png"/><Relationship Id="rId248" Type="http://schemas.openxmlformats.org/officeDocument/2006/relationships/image" Target="media/image205.png"/><Relationship Id="rId249" Type="http://schemas.openxmlformats.org/officeDocument/2006/relationships/image" Target="media/image206.png"/><Relationship Id="rId250" Type="http://schemas.openxmlformats.org/officeDocument/2006/relationships/image" Target="media/image207.png"/><Relationship Id="rId251" Type="http://schemas.openxmlformats.org/officeDocument/2006/relationships/image" Target="media/image208.png"/><Relationship Id="rId252" Type="http://schemas.openxmlformats.org/officeDocument/2006/relationships/image" Target="media/image209.png"/><Relationship Id="rId253" Type="http://schemas.openxmlformats.org/officeDocument/2006/relationships/image" Target="media/image210.png"/><Relationship Id="rId254" Type="http://schemas.openxmlformats.org/officeDocument/2006/relationships/image" Target="media/image211.png"/><Relationship Id="rId255" Type="http://schemas.openxmlformats.org/officeDocument/2006/relationships/image" Target="media/image212.png"/><Relationship Id="rId256" Type="http://schemas.openxmlformats.org/officeDocument/2006/relationships/image" Target="media/image213.png"/><Relationship Id="rId257" Type="http://schemas.openxmlformats.org/officeDocument/2006/relationships/image" Target="media/image214.png"/><Relationship Id="rId258" Type="http://schemas.openxmlformats.org/officeDocument/2006/relationships/image" Target="media/image215.png"/><Relationship Id="rId259" Type="http://schemas.openxmlformats.org/officeDocument/2006/relationships/image" Target="media/image216.png"/><Relationship Id="rId260" Type="http://schemas.openxmlformats.org/officeDocument/2006/relationships/image" Target="media/image217.png"/><Relationship Id="rId261" Type="http://schemas.openxmlformats.org/officeDocument/2006/relationships/image" Target="media/image218.png"/><Relationship Id="rId262" Type="http://schemas.openxmlformats.org/officeDocument/2006/relationships/image" Target="media/image219.png"/><Relationship Id="rId263" Type="http://schemas.openxmlformats.org/officeDocument/2006/relationships/image" Target="media/image220.png"/><Relationship Id="rId264" Type="http://schemas.openxmlformats.org/officeDocument/2006/relationships/image" Target="media/image221.png"/><Relationship Id="rId265" Type="http://schemas.openxmlformats.org/officeDocument/2006/relationships/image" Target="media/image222.png"/><Relationship Id="rId266" Type="http://schemas.openxmlformats.org/officeDocument/2006/relationships/footer" Target="footer25.xml"/><Relationship Id="rId267" Type="http://schemas.openxmlformats.org/officeDocument/2006/relationships/image" Target="media/image223.png"/><Relationship Id="rId268" Type="http://schemas.openxmlformats.org/officeDocument/2006/relationships/image" Target="media/image224.png"/><Relationship Id="rId269" Type="http://schemas.openxmlformats.org/officeDocument/2006/relationships/image" Target="media/image225.png"/><Relationship Id="rId270" Type="http://schemas.openxmlformats.org/officeDocument/2006/relationships/image" Target="media/image226.png"/><Relationship Id="rId271" Type="http://schemas.openxmlformats.org/officeDocument/2006/relationships/image" Target="media/image227.png"/><Relationship Id="rId272" Type="http://schemas.openxmlformats.org/officeDocument/2006/relationships/footer" Target="footer26.xml"/><Relationship Id="rId273" Type="http://schemas.openxmlformats.org/officeDocument/2006/relationships/footer" Target="footer27.xml"/><Relationship Id="rId274" Type="http://schemas.openxmlformats.org/officeDocument/2006/relationships/footer" Target="footer28.xml"/><Relationship Id="rId275" Type="http://schemas.openxmlformats.org/officeDocument/2006/relationships/footer" Target="footer29.xml"/><Relationship Id="rId276" Type="http://schemas.openxmlformats.org/officeDocument/2006/relationships/image" Target="media/image228.png"/><Relationship Id="rId277" Type="http://schemas.openxmlformats.org/officeDocument/2006/relationships/image" Target="media/image229.png"/><Relationship Id="rId278" Type="http://schemas.openxmlformats.org/officeDocument/2006/relationships/image" Target="media/image230.png"/><Relationship Id="rId279" Type="http://schemas.openxmlformats.org/officeDocument/2006/relationships/footer" Target="footer30.xml"/><Relationship Id="rId280" Type="http://schemas.openxmlformats.org/officeDocument/2006/relationships/hyperlink" Target="mailto:luisespinosatorres@yahoo.com" TargetMode="External"/><Relationship Id="rId281" Type="http://schemas.openxmlformats.org/officeDocument/2006/relationships/hyperlink" Target="http://www.conectando.org.sv/Migracion.htm)" TargetMode="External"/><Relationship Id="rId282" Type="http://schemas.openxmlformats.org/officeDocument/2006/relationships/footer" Target="footer31.xml"/><Relationship Id="rId283" Type="http://schemas.openxmlformats.org/officeDocument/2006/relationships/footer" Target="footer32.xml"/><Relationship Id="rId284" Type="http://schemas.openxmlformats.org/officeDocument/2006/relationships/footer" Target="footer33.xml"/><Relationship Id="rId285" Type="http://schemas.openxmlformats.org/officeDocument/2006/relationships/hyperlink" Target="http://catarina.udlap.mx/u_dl_a/tales/documentos/lri/lestrade_s_r/capitulo4.pdf)" TargetMode="External"/><Relationship Id="rId286" Type="http://schemas.openxmlformats.org/officeDocument/2006/relationships/hyperlink" Target="http://catarina.udlap.mx/u_dl_a/tales/documentos/lri/lestrade_s_r/capitulo4)" TargetMode="External"/><Relationship Id="rId287" Type="http://schemas.openxmlformats.org/officeDocument/2006/relationships/hyperlink" Target="http://www.inami.gob.mx/" TargetMode="External"/><Relationship Id="rId288" Type="http://schemas.openxmlformats.org/officeDocument/2006/relationships/hyperlink" Target="http://biblioteca.itesm.mx/cgi-" TargetMode="External"/><Relationship Id="rId289" Type="http://schemas.openxmlformats.org/officeDocument/2006/relationships/hyperlink" Target="http://biblioteca.itesm.mx/cgi-bin/nav/salta?cual=bases%3A24)" TargetMode="External"/><Relationship Id="rId290" Type="http://schemas.openxmlformats.org/officeDocument/2006/relationships/hyperlink" Target="http://www.cidh.oas.org/Default.htm)" TargetMode="External"/><Relationship Id="rId291" Type="http://schemas.openxmlformats.org/officeDocument/2006/relationships/hyperlink" Target="http://www.eumed.net/cursecon/ecolat/mx/2006.htm)" TargetMode="External"/><Relationship Id="rId292" Type="http://schemas.openxmlformats.org/officeDocument/2006/relationships/hyperlink" Target="http://revistafortuna.com.mx/2007/octubre/htm/Remesas_Negocio_Privado.htm)" TargetMode="External"/><Relationship Id="rId293" Type="http://schemas.openxmlformats.org/officeDocument/2006/relationships/hyperlink" Target="http://www.cainco.org.bo/publicaciones/EstudioMigracionAspectosSocialesyEconomico" TargetMode="External"/><Relationship Id="rId294" Type="http://schemas.openxmlformats.org/officeDocument/2006/relationships/hyperlink" Target="http://www.infoaserca.gob.mx/claridades/revistas/129)" TargetMode="External"/><Relationship Id="rId295" Type="http://schemas.openxmlformats.org/officeDocument/2006/relationships/footer" Target="footer34.xml"/><Relationship Id="rId296" Type="http://schemas.openxmlformats.org/officeDocument/2006/relationships/hyperlink" Target="http://www.conectando.org.sv/Estrategia/Migracion.htm)" TargetMode="External"/><Relationship Id="rId297" Type="http://schemas.openxmlformats.org/officeDocument/2006/relationships/hyperlink" Target="http://www.revistafortuna.com.mx/" TargetMode="External"/><Relationship Id="rId298" Type="http://schemas.openxmlformats.org/officeDocument/2006/relationships/hyperlink" Target="http://www.revistafutura.com.mx/" TargetMode="External"/><Relationship Id="rId299" Type="http://schemas.openxmlformats.org/officeDocument/2006/relationships/hyperlink" Target="mailto:sepjim700@yahoo.com.mx" TargetMode="External"/><Relationship Id="rId300" Type="http://schemas.openxmlformats.org/officeDocument/2006/relationships/hyperlink" Target="mailto:orsohe@yahoo.com.mx" TargetMode="External"/><Relationship Id="rId301" Type="http://schemas.openxmlformats.org/officeDocument/2006/relationships/hyperlink" Target="http://www.eclac.cl/Celade/proyectos/migracion/Torres.doc" TargetMode="External"/><Relationship Id="rId302" Type="http://schemas.openxmlformats.org/officeDocument/2006/relationships/footer" Target="footer35.xml"/><Relationship Id="rId303" Type="http://schemas.openxmlformats.org/officeDocument/2006/relationships/image" Target="media/image231.png"/><Relationship Id="rId304" Type="http://schemas.openxmlformats.org/officeDocument/2006/relationships/hyperlink" Target="http://www.economia.unam.mx/miglc" TargetMode="External"/><Relationship Id="rId305" Type="http://schemas.openxmlformats.org/officeDocument/2006/relationships/hyperlink" Target="http://banxico.gob.mx/sie/cuadros/CE100.asp" TargetMode="External"/><Relationship Id="rId306" Type="http://schemas.openxmlformats.org/officeDocument/2006/relationships/footer" Target="footer36.xml"/><Relationship Id="rId307" Type="http://schemas.openxmlformats.org/officeDocument/2006/relationships/footer" Target="footer37.xml"/><Relationship Id="rId308" Type="http://schemas.openxmlformats.org/officeDocument/2006/relationships/image" Target="media/image232.png"/><Relationship Id="rId309" Type="http://schemas.openxmlformats.org/officeDocument/2006/relationships/image" Target="media/image233.png"/><Relationship Id="rId310" Type="http://schemas.openxmlformats.org/officeDocument/2006/relationships/image" Target="media/image234.png"/><Relationship Id="rId311" Type="http://schemas.openxmlformats.org/officeDocument/2006/relationships/image" Target="media/image235.png"/><Relationship Id="rId312" Type="http://schemas.openxmlformats.org/officeDocument/2006/relationships/image" Target="media/image236.png"/><Relationship Id="rId313" Type="http://schemas.openxmlformats.org/officeDocument/2006/relationships/image" Target="media/image237.png"/><Relationship Id="rId314" Type="http://schemas.openxmlformats.org/officeDocument/2006/relationships/image" Target="media/image238.png"/><Relationship Id="rId315" Type="http://schemas.openxmlformats.org/officeDocument/2006/relationships/image" Target="media/image239.png"/><Relationship Id="rId316" Type="http://schemas.openxmlformats.org/officeDocument/2006/relationships/image" Target="media/image240.png"/><Relationship Id="rId317" Type="http://schemas.openxmlformats.org/officeDocument/2006/relationships/hyperlink" Target="http://www.banxico.org.mx/eInfoFinanciera/FSinfoFinanciera.html" TargetMode="External"/><Relationship Id="rId318" Type="http://schemas.openxmlformats.org/officeDocument/2006/relationships/hyperlink" Target="http://www.cddhcu.gob.mx/bibliot/publica/inveyana/econycom/pdf/DEC-ISS-04-04.pdf" TargetMode="External"/><Relationship Id="rId319" Type="http://schemas.openxmlformats.org/officeDocument/2006/relationships/hyperlink" Target="http://www.economia.unam.mx/miglc/" TargetMode="External"/><Relationship Id="rId320" Type="http://schemas.openxmlformats.org/officeDocument/2006/relationships/hyperlink" Target="http://portal.sre.gob.mx/ime/pdf/mexicanoseneua.pdf" TargetMode="External"/><Relationship Id="rId321" Type="http://schemas.openxmlformats.org/officeDocument/2006/relationships/hyperlink" Target="http://www.migracionydesarrollo.org/" TargetMode="External"/><Relationship Id="rId322" Type="http://schemas.openxmlformats.org/officeDocument/2006/relationships/hyperlink" Target="http://migracion.jornada.com.mx/migracion/estadisticas/ca" TargetMode="External"/><Relationship Id="rId323" Type="http://schemas.openxmlformats.org/officeDocument/2006/relationships/hyperlink" Target="http://portal.sre.gob.mx/ime/pdf/bol4.pdf" TargetMode="External"/><Relationship Id="rId324" Type="http://schemas.openxmlformats.org/officeDocument/2006/relationships/hyperlink" Target="http://www.eumed.net/cursecon/ecolat/mx/2004/fn-migra.htm" TargetMode="External"/><Relationship Id="rId325" Type="http://schemas.openxmlformats.org/officeDocument/2006/relationships/image" Target="media/image241.png"/><Relationship Id="rId326" Type="http://schemas.openxmlformats.org/officeDocument/2006/relationships/image" Target="media/image242.png"/><Relationship Id="rId327" Type="http://schemas.openxmlformats.org/officeDocument/2006/relationships/image" Target="media/image243.png"/><Relationship Id="rId328" Type="http://schemas.openxmlformats.org/officeDocument/2006/relationships/hyperlink" Target="http://websie.eclac.cl/sisgen/ConsultaIntegrada.asp" TargetMode="External"/><Relationship Id="rId329" Type="http://schemas.openxmlformats.org/officeDocument/2006/relationships/footer" Target="footer38.xml"/><Relationship Id="rId330" Type="http://schemas.openxmlformats.org/officeDocument/2006/relationships/image" Target="media/image244.png"/><Relationship Id="rId331" Type="http://schemas.openxmlformats.org/officeDocument/2006/relationships/image" Target="media/image245.png"/><Relationship Id="rId332" Type="http://schemas.openxmlformats.org/officeDocument/2006/relationships/image" Target="media/image246.png"/><Relationship Id="rId333" Type="http://schemas.openxmlformats.org/officeDocument/2006/relationships/image" Target="media/image247.png"/><Relationship Id="rId334" Type="http://schemas.openxmlformats.org/officeDocument/2006/relationships/image" Target="media/image248.png"/><Relationship Id="rId335" Type="http://schemas.openxmlformats.org/officeDocument/2006/relationships/image" Target="media/image249.png"/><Relationship Id="rId336" Type="http://schemas.openxmlformats.org/officeDocument/2006/relationships/image" Target="media/image250.png"/><Relationship Id="rId337" Type="http://schemas.openxmlformats.org/officeDocument/2006/relationships/image" Target="media/image251.png"/><Relationship Id="rId338" Type="http://schemas.openxmlformats.org/officeDocument/2006/relationships/hyperlink" Target="http://www.profeco.gob.mx/encuesta/brujula/bruj_2008/bol76_mercado%20remesas.asp" TargetMode="External"/><Relationship Id="rId339" Type="http://schemas.openxmlformats.org/officeDocument/2006/relationships/image" Target="media/image252.png"/><Relationship Id="rId340" Type="http://schemas.openxmlformats.org/officeDocument/2006/relationships/image" Target="media/image253.png"/><Relationship Id="rId341" Type="http://schemas.openxmlformats.org/officeDocument/2006/relationships/image" Target="media/image254.png"/><Relationship Id="rId342" Type="http://schemas.openxmlformats.org/officeDocument/2006/relationships/image" Target="media/image255.png"/><Relationship Id="rId343" Type="http://schemas.openxmlformats.org/officeDocument/2006/relationships/image" Target="media/image256.png"/><Relationship Id="rId344" Type="http://schemas.openxmlformats.org/officeDocument/2006/relationships/image" Target="media/image257.png"/><Relationship Id="rId345" Type="http://schemas.openxmlformats.org/officeDocument/2006/relationships/image" Target="media/image258.png"/><Relationship Id="rId346" Type="http://schemas.openxmlformats.org/officeDocument/2006/relationships/image" Target="media/image259.png"/><Relationship Id="rId347" Type="http://schemas.openxmlformats.org/officeDocument/2006/relationships/image" Target="media/image260.png"/><Relationship Id="rId348" Type="http://schemas.openxmlformats.org/officeDocument/2006/relationships/image" Target="media/image261.png"/><Relationship Id="rId349" Type="http://schemas.openxmlformats.org/officeDocument/2006/relationships/hyperlink" Target="http://www.mexicomaxico.org/Voto/super.htm)" TargetMode="External"/><Relationship Id="rId350" Type="http://schemas.openxmlformats.org/officeDocument/2006/relationships/image" Target="media/image262.png"/><Relationship Id="rId351" Type="http://schemas.openxmlformats.org/officeDocument/2006/relationships/image" Target="media/image263.png"/><Relationship Id="rId352" Type="http://schemas.openxmlformats.org/officeDocument/2006/relationships/image" Target="media/image264.png"/><Relationship Id="rId353" Type="http://schemas.openxmlformats.org/officeDocument/2006/relationships/hyperlink" Target="http://www.profeco.gob.mx/encuesta/brujula/bruj_2008/bol76_mercadoremesas.asp" TargetMode="External"/><Relationship Id="rId354" Type="http://schemas.openxmlformats.org/officeDocument/2006/relationships/image" Target="media/image265.png"/><Relationship Id="rId355" Type="http://schemas.openxmlformats.org/officeDocument/2006/relationships/image" Target="media/image266.png"/><Relationship Id="rId356" Type="http://schemas.openxmlformats.org/officeDocument/2006/relationships/image" Target="media/image267.png"/><Relationship Id="rId357" Type="http://schemas.openxmlformats.org/officeDocument/2006/relationships/image" Target="media/image268.png"/><Relationship Id="rId358" Type="http://schemas.openxmlformats.org/officeDocument/2006/relationships/image" Target="media/image269.png"/><Relationship Id="rId359" Type="http://schemas.openxmlformats.org/officeDocument/2006/relationships/image" Target="media/image270.png"/><Relationship Id="rId360" Type="http://schemas.openxmlformats.org/officeDocument/2006/relationships/hyperlink" Target="http://www.banxico.org.mx/documents.pdf" TargetMode="External"/><Relationship Id="rId361" Type="http://schemas.openxmlformats.org/officeDocument/2006/relationships/footer" Target="footer39.xml"/><Relationship Id="rId362" Type="http://schemas.openxmlformats.org/officeDocument/2006/relationships/footer" Target="footer40.xml"/><Relationship Id="rId363" Type="http://schemas.openxmlformats.org/officeDocument/2006/relationships/hyperlink" Target="http://www.banxico.org.mx/tipo/estadisticas/index.html" TargetMode="External"/><Relationship Id="rId364" Type="http://schemas.openxmlformats.org/officeDocument/2006/relationships/hyperlink" Target="http://www.bancomundial.org/investigacion/" TargetMode="External"/><Relationship Id="rId365" Type="http://schemas.openxmlformats.org/officeDocument/2006/relationships/hyperlink" Target="http://www.bves.com.sv/glosario/g_e.htm" TargetMode="External"/><Relationship Id="rId366" Type="http://schemas.openxmlformats.org/officeDocument/2006/relationships/hyperlink" Target="http://www.camaradediputados.gob.mx/03_bancos_de_informacion/01_estadistic" TargetMode="External"/><Relationship Id="rId367" Type="http://schemas.openxmlformats.org/officeDocument/2006/relationships/hyperlink" Target="http://www.cefp.gob.mx/" TargetMode="External"/><Relationship Id="rId368" Type="http://schemas.openxmlformats.org/officeDocument/2006/relationships/hyperlink" Target="http://www.inegi.gob.mx/inegi/default.aspx?s=est" TargetMode="External"/><Relationship Id="rId369" Type="http://schemas.openxmlformats.org/officeDocument/2006/relationships/hyperlink" Target="http://www.mexicomaxico.org/Voto/super.htm" TargetMode="External"/><Relationship Id="rId370" Type="http://schemas.openxmlformats.org/officeDocument/2006/relationships/hyperlink" Target="http://www.zonaeconomica.com/tipo-de-cambio" TargetMode="External"/><Relationship Id="rId371" Type="http://schemas.openxmlformats.org/officeDocument/2006/relationships/image" Target="media/image271.png"/><Relationship Id="rId372" Type="http://schemas.openxmlformats.org/officeDocument/2006/relationships/image" Target="media/image272.png"/><Relationship Id="rId373" Type="http://schemas.openxmlformats.org/officeDocument/2006/relationships/image" Target="media/image273.png"/><Relationship Id="rId374" Type="http://schemas.openxmlformats.org/officeDocument/2006/relationships/image" Target="media/image274.png"/><Relationship Id="rId375" Type="http://schemas.openxmlformats.org/officeDocument/2006/relationships/image" Target="media/image275.png"/><Relationship Id="rId376" Type="http://schemas.openxmlformats.org/officeDocument/2006/relationships/image" Target="media/image276.png"/><Relationship Id="rId377" Type="http://schemas.openxmlformats.org/officeDocument/2006/relationships/image" Target="media/image277.png"/><Relationship Id="rId378" Type="http://schemas.openxmlformats.org/officeDocument/2006/relationships/image" Target="media/image278.png"/><Relationship Id="rId379" Type="http://schemas.openxmlformats.org/officeDocument/2006/relationships/image" Target="media/image279.png"/><Relationship Id="rId380" Type="http://schemas.openxmlformats.org/officeDocument/2006/relationships/image" Target="media/image280.png"/><Relationship Id="rId381" Type="http://schemas.openxmlformats.org/officeDocument/2006/relationships/image" Target="media/image281.png"/><Relationship Id="rId382" Type="http://schemas.openxmlformats.org/officeDocument/2006/relationships/image" Target="media/image282.png"/><Relationship Id="rId383" Type="http://schemas.openxmlformats.org/officeDocument/2006/relationships/image" Target="media/image283.png"/><Relationship Id="rId384" Type="http://schemas.openxmlformats.org/officeDocument/2006/relationships/footer" Target="footer41.xml"/><Relationship Id="rId385" Type="http://schemas.openxmlformats.org/officeDocument/2006/relationships/image" Target="media/image284.png"/><Relationship Id="rId386" Type="http://schemas.openxmlformats.org/officeDocument/2006/relationships/image" Target="media/image285.png"/><Relationship Id="rId387" Type="http://schemas.openxmlformats.org/officeDocument/2006/relationships/image" Target="media/image286.png"/><Relationship Id="rId388" Type="http://schemas.openxmlformats.org/officeDocument/2006/relationships/image" Target="media/image287.png"/><Relationship Id="rId389" Type="http://schemas.openxmlformats.org/officeDocument/2006/relationships/image" Target="media/image288.png"/><Relationship Id="rId390" Type="http://schemas.openxmlformats.org/officeDocument/2006/relationships/image" Target="media/image289.png"/><Relationship Id="rId391" Type="http://schemas.openxmlformats.org/officeDocument/2006/relationships/image" Target="media/image290.png"/><Relationship Id="rId392" Type="http://schemas.openxmlformats.org/officeDocument/2006/relationships/image" Target="media/image291.png"/><Relationship Id="rId393" Type="http://schemas.openxmlformats.org/officeDocument/2006/relationships/image" Target="media/image292.png"/><Relationship Id="rId394" Type="http://schemas.openxmlformats.org/officeDocument/2006/relationships/image" Target="media/image293.png"/><Relationship Id="rId395" Type="http://schemas.openxmlformats.org/officeDocument/2006/relationships/image" Target="media/image294.png"/><Relationship Id="rId396" Type="http://schemas.openxmlformats.org/officeDocument/2006/relationships/image" Target="media/image295.png"/><Relationship Id="rId397" Type="http://schemas.openxmlformats.org/officeDocument/2006/relationships/image" Target="media/image296.png"/><Relationship Id="rId398" Type="http://schemas.openxmlformats.org/officeDocument/2006/relationships/image" Target="media/image297.png"/><Relationship Id="rId399" Type="http://schemas.openxmlformats.org/officeDocument/2006/relationships/image" Target="media/image298.png"/><Relationship Id="rId400" Type="http://schemas.openxmlformats.org/officeDocument/2006/relationships/image" Target="media/image299.png"/><Relationship Id="rId401" Type="http://schemas.openxmlformats.org/officeDocument/2006/relationships/image" Target="media/image300.png"/><Relationship Id="rId402" Type="http://schemas.openxmlformats.org/officeDocument/2006/relationships/image" Target="media/image301.png"/><Relationship Id="rId403" Type="http://schemas.openxmlformats.org/officeDocument/2006/relationships/image" Target="media/image302.png"/><Relationship Id="rId404" Type="http://schemas.openxmlformats.org/officeDocument/2006/relationships/image" Target="media/image303.png"/><Relationship Id="rId405" Type="http://schemas.openxmlformats.org/officeDocument/2006/relationships/image" Target="media/image304.png"/><Relationship Id="rId406" Type="http://schemas.openxmlformats.org/officeDocument/2006/relationships/image" Target="media/image305.png"/><Relationship Id="rId407" Type="http://schemas.openxmlformats.org/officeDocument/2006/relationships/image" Target="media/image306.png"/><Relationship Id="rId408" Type="http://schemas.openxmlformats.org/officeDocument/2006/relationships/image" Target="media/image307.png"/><Relationship Id="rId409" Type="http://schemas.openxmlformats.org/officeDocument/2006/relationships/hyperlink" Target="http://ideas.repec.org/p/wbk/wbrwps/4583.html" TargetMode="External"/><Relationship Id="rId410" Type="http://schemas.openxmlformats.org/officeDocument/2006/relationships/hyperlink" Target="http://www.sanmartintexmelucan.gob.mx/work/templates/enciclo/oaxaca/municipios/205" TargetMode="External"/><Relationship Id="rId411" Type="http://schemas.openxmlformats.org/officeDocument/2006/relationships/hyperlink" Target="http://cuentame.inegi.gob.mx/monografias/informacion/oax/default.aspx?tema=me&amp;amp;e" TargetMode="External"/><Relationship Id="rId412" Type="http://schemas.openxmlformats.org/officeDocument/2006/relationships/footer" Target="footer42.xml"/><Relationship Id="rId413" Type="http://schemas.openxmlformats.org/officeDocument/2006/relationships/image" Target="media/image308.png"/><Relationship Id="rId414" Type="http://schemas.openxmlformats.org/officeDocument/2006/relationships/image" Target="media/image309.png"/><Relationship Id="rId415" Type="http://schemas.openxmlformats.org/officeDocument/2006/relationships/image" Target="media/image310.png"/><Relationship Id="rId416" Type="http://schemas.openxmlformats.org/officeDocument/2006/relationships/image" Target="media/image311.png"/><Relationship Id="rId417" Type="http://schemas.openxmlformats.org/officeDocument/2006/relationships/image" Target="media/image312.png"/><Relationship Id="rId418" Type="http://schemas.openxmlformats.org/officeDocument/2006/relationships/image" Target="media/image313.png"/><Relationship Id="rId419" Type="http://schemas.openxmlformats.org/officeDocument/2006/relationships/image" Target="media/image314.png"/><Relationship Id="rId420" Type="http://schemas.openxmlformats.org/officeDocument/2006/relationships/image" Target="media/image315.png"/><Relationship Id="rId421" Type="http://schemas.openxmlformats.org/officeDocument/2006/relationships/image" Target="media/image316.png"/><Relationship Id="rId422" Type="http://schemas.openxmlformats.org/officeDocument/2006/relationships/image" Target="media/image317.png"/><Relationship Id="rId423" Type="http://schemas.openxmlformats.org/officeDocument/2006/relationships/image" Target="media/image318.png"/><Relationship Id="rId424" Type="http://schemas.openxmlformats.org/officeDocument/2006/relationships/image" Target="media/image319.png"/><Relationship Id="rId425" Type="http://schemas.openxmlformats.org/officeDocument/2006/relationships/image" Target="media/image320.png"/><Relationship Id="rId426" Type="http://schemas.openxmlformats.org/officeDocument/2006/relationships/image" Target="media/image321.png"/><Relationship Id="rId427" Type="http://schemas.openxmlformats.org/officeDocument/2006/relationships/image" Target="media/image322.png"/><Relationship Id="rId428" Type="http://schemas.openxmlformats.org/officeDocument/2006/relationships/image" Target="media/image323.png"/><Relationship Id="rId429" Type="http://schemas.openxmlformats.org/officeDocument/2006/relationships/image" Target="media/image324.png"/><Relationship Id="rId430" Type="http://schemas.openxmlformats.org/officeDocument/2006/relationships/image" Target="media/image325.png"/><Relationship Id="rId431" Type="http://schemas.openxmlformats.org/officeDocument/2006/relationships/image" Target="media/image326.png"/><Relationship Id="rId432" Type="http://schemas.openxmlformats.org/officeDocument/2006/relationships/image" Target="media/image327.png"/><Relationship Id="rId433" Type="http://schemas.openxmlformats.org/officeDocument/2006/relationships/image" Target="media/image328.png"/><Relationship Id="rId434" Type="http://schemas.openxmlformats.org/officeDocument/2006/relationships/image" Target="media/image329.png"/><Relationship Id="rId435" Type="http://schemas.openxmlformats.org/officeDocument/2006/relationships/image" Target="media/image330.png"/><Relationship Id="rId436" Type="http://schemas.openxmlformats.org/officeDocument/2006/relationships/image" Target="media/image331.png"/><Relationship Id="rId437" Type="http://schemas.openxmlformats.org/officeDocument/2006/relationships/image" Target="media/image332.png"/><Relationship Id="rId438" Type="http://schemas.openxmlformats.org/officeDocument/2006/relationships/image" Target="media/image333.png"/><Relationship Id="rId439" Type="http://schemas.openxmlformats.org/officeDocument/2006/relationships/image" Target="media/image334.png"/><Relationship Id="rId440" Type="http://schemas.openxmlformats.org/officeDocument/2006/relationships/image" Target="media/image335.png"/><Relationship Id="rId441" Type="http://schemas.openxmlformats.org/officeDocument/2006/relationships/image" Target="media/image336.png"/><Relationship Id="rId442" Type="http://schemas.openxmlformats.org/officeDocument/2006/relationships/image" Target="media/image337.png"/><Relationship Id="rId443" Type="http://schemas.openxmlformats.org/officeDocument/2006/relationships/image" Target="media/image338.png"/><Relationship Id="rId444" Type="http://schemas.openxmlformats.org/officeDocument/2006/relationships/image" Target="media/image339.png"/><Relationship Id="rId445" Type="http://schemas.openxmlformats.org/officeDocument/2006/relationships/image" Target="media/image340.png"/><Relationship Id="rId446" Type="http://schemas.openxmlformats.org/officeDocument/2006/relationships/image" Target="media/image341.png"/><Relationship Id="rId447" Type="http://schemas.openxmlformats.org/officeDocument/2006/relationships/image" Target="media/image342.png"/><Relationship Id="rId448" Type="http://schemas.openxmlformats.org/officeDocument/2006/relationships/image" Target="media/image343.png"/><Relationship Id="rId449" Type="http://schemas.openxmlformats.org/officeDocument/2006/relationships/image" Target="media/image344.png"/><Relationship Id="rId450" Type="http://schemas.openxmlformats.org/officeDocument/2006/relationships/image" Target="media/image345.png"/><Relationship Id="rId451" Type="http://schemas.openxmlformats.org/officeDocument/2006/relationships/image" Target="media/image346.png"/><Relationship Id="rId452" Type="http://schemas.openxmlformats.org/officeDocument/2006/relationships/hyperlink" Target="http://websie.eclac.cl/sisgen/ConsultaIntegrada.asp?IdAplicacion=6)" TargetMode="External"/><Relationship Id="rId453" Type="http://schemas.openxmlformats.org/officeDocument/2006/relationships/image" Target="media/image347.png"/><Relationship Id="rId454" Type="http://schemas.openxmlformats.org/officeDocument/2006/relationships/image" Target="media/image348.png"/><Relationship Id="rId455" Type="http://schemas.openxmlformats.org/officeDocument/2006/relationships/image" Target="media/image349.png"/><Relationship Id="rId456" Type="http://schemas.openxmlformats.org/officeDocument/2006/relationships/image" Target="media/image350.png"/><Relationship Id="rId457" Type="http://schemas.openxmlformats.org/officeDocument/2006/relationships/image" Target="media/image351.png"/><Relationship Id="rId458" Type="http://schemas.openxmlformats.org/officeDocument/2006/relationships/image" Target="media/image352.png"/><Relationship Id="rId459" Type="http://schemas.openxmlformats.org/officeDocument/2006/relationships/image" Target="media/image353.png"/><Relationship Id="rId460" Type="http://schemas.openxmlformats.org/officeDocument/2006/relationships/image" Target="media/image354.png"/><Relationship Id="rId461" Type="http://schemas.openxmlformats.org/officeDocument/2006/relationships/image" Target="media/image355.png"/><Relationship Id="rId462" Type="http://schemas.openxmlformats.org/officeDocument/2006/relationships/image" Target="media/image356.png"/><Relationship Id="rId463" Type="http://schemas.openxmlformats.org/officeDocument/2006/relationships/image" Target="media/image357.png"/><Relationship Id="rId464" Type="http://schemas.openxmlformats.org/officeDocument/2006/relationships/image" Target="media/image358.png"/><Relationship Id="rId465" Type="http://schemas.openxmlformats.org/officeDocument/2006/relationships/image" Target="media/image359.png"/><Relationship Id="rId466" Type="http://schemas.openxmlformats.org/officeDocument/2006/relationships/image" Target="media/image360.png"/><Relationship Id="rId467" Type="http://schemas.openxmlformats.org/officeDocument/2006/relationships/image" Target="media/image361.png"/><Relationship Id="rId468" Type="http://schemas.openxmlformats.org/officeDocument/2006/relationships/image" Target="media/image362.png"/><Relationship Id="rId469" Type="http://schemas.openxmlformats.org/officeDocument/2006/relationships/image" Target="media/image363.png"/><Relationship Id="rId470" Type="http://schemas.openxmlformats.org/officeDocument/2006/relationships/image" Target="media/image364.png"/><Relationship Id="rId471" Type="http://schemas.openxmlformats.org/officeDocument/2006/relationships/image" Target="media/image365.png"/><Relationship Id="rId472" Type="http://schemas.openxmlformats.org/officeDocument/2006/relationships/image" Target="media/image366.png"/><Relationship Id="rId473" Type="http://schemas.openxmlformats.org/officeDocument/2006/relationships/hyperlink" Target="http://www.aicm.com.mx/Tarifas)" TargetMode="External"/><Relationship Id="rId474" Type="http://schemas.openxmlformats.org/officeDocument/2006/relationships/image" Target="media/image367.png"/><Relationship Id="rId475" Type="http://schemas.openxmlformats.org/officeDocument/2006/relationships/image" Target="media/image368.png"/><Relationship Id="rId476" Type="http://schemas.openxmlformats.org/officeDocument/2006/relationships/image" Target="media/image369.png"/><Relationship Id="rId477" Type="http://schemas.openxmlformats.org/officeDocument/2006/relationships/image" Target="media/image370.png"/><Relationship Id="rId478" Type="http://schemas.openxmlformats.org/officeDocument/2006/relationships/image" Target="media/image371.png"/><Relationship Id="rId479" Type="http://schemas.openxmlformats.org/officeDocument/2006/relationships/image" Target="media/image372.png"/><Relationship Id="rId480" Type="http://schemas.openxmlformats.org/officeDocument/2006/relationships/image" Target="media/image373.png"/><Relationship Id="rId481" Type="http://schemas.openxmlformats.org/officeDocument/2006/relationships/image" Target="media/image374.png"/><Relationship Id="rId482" Type="http://schemas.openxmlformats.org/officeDocument/2006/relationships/image" Target="media/image375.png"/><Relationship Id="rId483" Type="http://schemas.openxmlformats.org/officeDocument/2006/relationships/image" Target="media/image376.png"/><Relationship Id="rId484" Type="http://schemas.openxmlformats.org/officeDocument/2006/relationships/hyperlink" Target="http://www.banxico.org.mx/SieInternet)" TargetMode="External"/><Relationship Id="rId485" Type="http://schemas.openxmlformats.org/officeDocument/2006/relationships/image" Target="media/image377.png"/><Relationship Id="rId486" Type="http://schemas.openxmlformats.org/officeDocument/2006/relationships/image" Target="media/image378.png"/><Relationship Id="rId487" Type="http://schemas.openxmlformats.org/officeDocument/2006/relationships/image" Target="media/image379.png"/><Relationship Id="rId488" Type="http://schemas.openxmlformats.org/officeDocument/2006/relationships/hyperlink" Target="http://migracion.jornada.com.mx/migracion/opinion/bfexplosivo-retorno-" TargetMode="External"/><Relationship Id="rId489" Type="http://schemas.openxmlformats.org/officeDocument/2006/relationships/hyperlink" Target="http://migracion.jornada.com.mx/migracion/opinion/bfexplosivoretornodemigrantes)" TargetMode="External"/><Relationship Id="rId490" Type="http://schemas.openxmlformats.org/officeDocument/2006/relationships/image" Target="media/image380.png"/><Relationship Id="rId491" Type="http://schemas.openxmlformats.org/officeDocument/2006/relationships/image" Target="media/image381.png"/><Relationship Id="rId492" Type="http://schemas.openxmlformats.org/officeDocument/2006/relationships/image" Target="media/image382.png"/><Relationship Id="rId493" Type="http://schemas.openxmlformats.org/officeDocument/2006/relationships/footer" Target="footer43.xml"/><Relationship Id="rId494" Type="http://schemas.openxmlformats.org/officeDocument/2006/relationships/hyperlink" Target="http://www.thedialogue.org/page.cfm?)" TargetMode="External"/><Relationship Id="rId495" Type="http://schemas.openxmlformats.org/officeDocument/2006/relationships/hyperlink" Target="http://www.azc.uam.mx/publicaciones/cotidiano/68/doc11.html)" TargetMode="External"/><Relationship Id="rId496" Type="http://schemas.openxmlformats.org/officeDocument/2006/relationships/hyperlink" Target="http://migracion.jornada.com.mx/explosivo-retorno-de-migrantes).Consultado" TargetMode="External"/><Relationship Id="rId497" Type="http://schemas.openxmlformats.org/officeDocument/2006/relationships/footer" Target="footer44.xml"/><Relationship Id="rId498" Type="http://schemas.openxmlformats.org/officeDocument/2006/relationships/footer" Target="footer45.xml"/><Relationship Id="rId499" Type="http://schemas.openxmlformats.org/officeDocument/2006/relationships/footer" Target="footer46.xml"/><Relationship Id="rId500" Type="http://schemas.openxmlformats.org/officeDocument/2006/relationships/hyperlink" Target="mailto:luiespinosatorres@yahoo.com" TargetMode="External"/><Relationship Id="rId501" Type="http://schemas.openxmlformats.org/officeDocument/2006/relationships/hyperlink" Target="http://www.informador.com.mx/economia/2008/53179/6/bm-descarta-caida-abrupta-" TargetMode="External"/><Relationship Id="rId502" Type="http://schemas.openxmlformats.org/officeDocument/2006/relationships/image" Target="media/image383.png"/><Relationship Id="rId503" Type="http://schemas.openxmlformats.org/officeDocument/2006/relationships/image" Target="media/image384.png"/><Relationship Id="rId504" Type="http://schemas.openxmlformats.org/officeDocument/2006/relationships/image" Target="media/image385.png"/><Relationship Id="rId505" Type="http://schemas.openxmlformats.org/officeDocument/2006/relationships/image" Target="media/image386.png"/><Relationship Id="rId506" Type="http://schemas.openxmlformats.org/officeDocument/2006/relationships/footer" Target="footer47.xml"/><Relationship Id="rId507" Type="http://schemas.openxmlformats.org/officeDocument/2006/relationships/image" Target="media/image387.png"/><Relationship Id="rId508" Type="http://schemas.openxmlformats.org/officeDocument/2006/relationships/image" Target="media/image388.png"/><Relationship Id="rId509" Type="http://schemas.openxmlformats.org/officeDocument/2006/relationships/image" Target="media/image389.png"/><Relationship Id="rId510" Type="http://schemas.openxmlformats.org/officeDocument/2006/relationships/image" Target="media/image390.png"/><Relationship Id="rId511" Type="http://schemas.openxmlformats.org/officeDocument/2006/relationships/image" Target="media/image391.png"/><Relationship Id="rId512" Type="http://schemas.openxmlformats.org/officeDocument/2006/relationships/image" Target="media/image392.png"/><Relationship Id="rId513" Type="http://schemas.openxmlformats.org/officeDocument/2006/relationships/image" Target="media/image393.png"/><Relationship Id="rId514" Type="http://schemas.openxmlformats.org/officeDocument/2006/relationships/image" Target="media/image394.png"/><Relationship Id="rId515" Type="http://schemas.openxmlformats.org/officeDocument/2006/relationships/hyperlink" Target="http://www.banxico.org.mx/einfofinanciera/Fsinfofinanciera.htm1)" TargetMode="External"/><Relationship Id="rId516" Type="http://schemas.openxmlformats.org/officeDocument/2006/relationships/hyperlink" Target="http://www.sedesol.gob.mx/" TargetMode="External"/><Relationship Id="rId517" Type="http://schemas.openxmlformats.org/officeDocument/2006/relationships/hyperlink" Target="http://www.condusef.gob.mx/" TargetMode="External"/><Relationship Id="rId518" Type="http://schemas.openxmlformats.org/officeDocument/2006/relationships/hyperlink" Target="mailto:mariomaryrio@gmail.com" TargetMode="External"/><Relationship Id="rId519" Type="http://schemas.openxmlformats.org/officeDocument/2006/relationships/image" Target="media/image395.png"/><Relationship Id="rId520" Type="http://schemas.openxmlformats.org/officeDocument/2006/relationships/footer" Target="footer48.xml"/><Relationship Id="rId521" Type="http://schemas.openxmlformats.org/officeDocument/2006/relationships/image" Target="media/image396.jpeg"/><Relationship Id="rId522" Type="http://schemas.openxmlformats.org/officeDocument/2006/relationships/footer" Target="footer49.xml"/><Relationship Id="rId523" Type="http://schemas.openxmlformats.org/officeDocument/2006/relationships/image" Target="media/image397.png"/><Relationship Id="rId524" Type="http://schemas.openxmlformats.org/officeDocument/2006/relationships/footer" Target="footer50.xml"/><Relationship Id="rId525" Type="http://schemas.openxmlformats.org/officeDocument/2006/relationships/hyperlink" Target="mailto:orshoe@yahoo.com.mx" TargetMode="External"/><Relationship Id="rId526" Type="http://schemas.openxmlformats.org/officeDocument/2006/relationships/footer" Target="footer51.xml"/><Relationship Id="rId527" Type="http://schemas.openxmlformats.org/officeDocument/2006/relationships/footer" Target="footer52.xml"/><Relationship Id="rId528" Type="http://schemas.openxmlformats.org/officeDocument/2006/relationships/footer" Target="footer53.xml"/><Relationship Id="rId52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dc:title>Version FINAL libro  La Migracion Internacional,  LAS REMESAS EN MÉXICO EFH x</dc:title>
  <dcterms:created xsi:type="dcterms:W3CDTF">2017-05-31T19:21:25Z</dcterms:created>
  <dcterms:modified xsi:type="dcterms:W3CDTF">2017-05-31T19:21:25Z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2010-09-29T00:00:00Z</vt:filetime>
  </property>
  <property fmtid="{D5CDD505-2E9C-101B-9397-08002B2CF9AE}" pid="3" name="Creator">
    <vt:lpwstr>PDFCreator Version 0.9.6</vt:lpwstr>
  </property>
  <property fmtid="{D5CDD505-2E9C-101B-9397-08002B2CF9AE}" pid="4" name="LastSaved">
    <vt:filetime>2017-05-31T00:00:00Z</vt:filetime>
  </property>
</Properties>
</file>