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71"/>
        <w:ind w:left="1514" w:right="1287" w:firstLine="0"/>
        <w:jc w:val="center"/>
        <w:rPr>
          <w:rFonts w:ascii="Arial" w:hAnsi="Arial"/>
          <w:b/>
          <w:sz w:val="20"/>
        </w:rPr>
      </w:pPr>
      <w:r>
        <w:rPr/>
        <w:drawing>
          <wp:anchor distT="0" distB="0" distL="0" distR="0" allowOverlap="1" layoutInCell="1" locked="0" behindDoc="0" simplePos="0" relativeHeight="0">
            <wp:simplePos x="0" y="0"/>
            <wp:positionH relativeFrom="page">
              <wp:posOffset>794004</wp:posOffset>
            </wp:positionH>
            <wp:positionV relativeFrom="paragraph">
              <wp:posOffset>-3430</wp:posOffset>
            </wp:positionV>
            <wp:extent cx="603504" cy="59893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03504" cy="598931"/>
                    </a:xfrm>
                    <a:prstGeom prst="rect">
                      <a:avLst/>
                    </a:prstGeom>
                  </pic:spPr>
                </pic:pic>
              </a:graphicData>
            </a:graphic>
          </wp:anchor>
        </w:drawing>
      </w:r>
      <w:bookmarkStart w:name="Carta de aceptación SELPER" w:id="1"/>
      <w:bookmarkEnd w:id="1"/>
      <w:r>
        <w:rPr/>
      </w:r>
      <w:r>
        <w:rPr>
          <w:rFonts w:ascii="Arial" w:hAnsi="Arial"/>
          <w:b/>
          <w:color w:val="000080"/>
          <w:sz w:val="20"/>
        </w:rPr>
        <w:t>SOCIEDAD LATINOAMERICANA DE PERCEPCIÓN REMOTA Y SISTEMAS DE INFORMACIÓN ESPACIAL, CAPÍTULO MÉXICO</w:t>
      </w:r>
    </w:p>
    <w:p>
      <w:pPr>
        <w:spacing w:before="5"/>
        <w:ind w:left="1466" w:right="1287" w:firstLine="0"/>
        <w:jc w:val="center"/>
        <w:rPr>
          <w:rFonts w:ascii="Calibri" w:hAnsi="Calibri"/>
          <w:sz w:val="26"/>
        </w:rPr>
      </w:pPr>
      <w:r>
        <w:rPr>
          <w:rFonts w:ascii="Calibri" w:hAnsi="Calibri"/>
          <w:color w:val="000080"/>
          <w:sz w:val="26"/>
        </w:rPr>
        <w:t>S E L P E R – M É X I C O</w:t>
      </w:r>
    </w:p>
    <w:p>
      <w:pPr>
        <w:pStyle w:val="BodyText"/>
        <w:spacing w:before="11"/>
        <w:rPr>
          <w:rFonts w:ascii="Calibri"/>
          <w:sz w:val="33"/>
        </w:rPr>
      </w:pPr>
    </w:p>
    <w:p>
      <w:pPr>
        <w:pStyle w:val="Heading1"/>
        <w:spacing w:line="360" w:lineRule="auto"/>
        <w:ind w:left="300" w:right="6706"/>
      </w:pPr>
      <w:r>
        <w:rPr/>
        <w:t>Denisse Avalos Ortiz Norma Dávila Hernández José Luis Expósito Castillo</w:t>
      </w:r>
    </w:p>
    <w:p>
      <w:pPr>
        <w:spacing w:before="4"/>
        <w:ind w:left="300" w:right="0" w:firstLine="0"/>
        <w:jc w:val="both"/>
        <w:rPr>
          <w:b/>
          <w:sz w:val="24"/>
        </w:rPr>
      </w:pPr>
      <w:r>
        <w:rPr>
          <w:b/>
          <w:sz w:val="24"/>
        </w:rPr>
        <w:t>Brisa Violeta Carrasco Gallegos</w:t>
      </w:r>
    </w:p>
    <w:p>
      <w:pPr>
        <w:pStyle w:val="BodyText"/>
        <w:rPr>
          <w:b/>
        </w:rPr>
      </w:pPr>
    </w:p>
    <w:p>
      <w:pPr>
        <w:pStyle w:val="BodyText"/>
        <w:spacing w:before="8"/>
        <w:rPr>
          <w:b/>
          <w:sz w:val="32"/>
        </w:rPr>
      </w:pPr>
    </w:p>
    <w:p>
      <w:pPr>
        <w:pStyle w:val="BodyText"/>
        <w:spacing w:before="1"/>
        <w:ind w:left="300"/>
        <w:jc w:val="both"/>
      </w:pPr>
      <w:r>
        <w:rPr/>
        <w:t>P r e s e n t e .</w:t>
      </w:r>
    </w:p>
    <w:p>
      <w:pPr>
        <w:pStyle w:val="BodyText"/>
      </w:pPr>
    </w:p>
    <w:p>
      <w:pPr>
        <w:pStyle w:val="BodyText"/>
      </w:pPr>
    </w:p>
    <w:p>
      <w:pPr>
        <w:spacing w:line="276" w:lineRule="auto" w:before="207"/>
        <w:ind w:left="300" w:right="117" w:firstLine="0"/>
        <w:jc w:val="both"/>
        <w:rPr>
          <w:sz w:val="24"/>
        </w:rPr>
      </w:pPr>
      <w:r>
        <w:rPr>
          <w:sz w:val="24"/>
        </w:rPr>
        <w:t>Por este conducto, tenemos a bien informarles que su contribución “</w:t>
      </w:r>
      <w:r>
        <w:rPr>
          <w:i/>
          <w:sz w:val="24"/>
        </w:rPr>
        <w:t>Procesos de subsidencias en </w:t>
      </w:r>
      <w:r>
        <w:rPr>
          <w:i/>
          <w:sz w:val="24"/>
        </w:rPr>
        <w:t>la ciudad de Toluca y alrededores asociadas a la sobreexplotación de los mantos acuíferos. Una aproximación a partir de correlación de técnicas radar y datos geológicos superficiales</w:t>
      </w:r>
      <w:r>
        <w:rPr>
          <w:sz w:val="24"/>
        </w:rPr>
        <w:t>” ha sido aceptada para su publicación como capítulo del libro sobre el análisis geoespacial en los estudios urbanos.</w:t>
      </w:r>
    </w:p>
    <w:p>
      <w:pPr>
        <w:pStyle w:val="BodyText"/>
        <w:spacing w:line="276" w:lineRule="auto" w:before="200"/>
        <w:ind w:left="300" w:right="118"/>
        <w:jc w:val="both"/>
      </w:pPr>
      <w:r>
        <w:rPr/>
        <w:t>Adjunto al presente le hacemos llegar los dictámenes correspondientes a su propuesta, les pedimos atender todas las observaciones y sugerencias expuestas en los dictámenes para reforzar el trabajo, cuya versión final, le rogamos, hacernos llegar a la brevedad posible, acompañada de un escrito donde indiquen de qué forma se atendieron las recomendaciones.</w:t>
      </w:r>
    </w:p>
    <w:p>
      <w:pPr>
        <w:pStyle w:val="BodyText"/>
        <w:spacing w:line="278" w:lineRule="auto" w:before="200"/>
        <w:ind w:left="300" w:right="116"/>
        <w:jc w:val="both"/>
      </w:pPr>
      <w:r>
        <w:rPr/>
        <w:t>Agradeciendo de antemano su colaboración, los coordinadores de la publicación, les hacemos llegar un afectuoso saludo.</w:t>
      </w:r>
    </w:p>
    <w:p>
      <w:pPr>
        <w:pStyle w:val="BodyText"/>
      </w:pPr>
    </w:p>
    <w:p>
      <w:pPr>
        <w:pStyle w:val="BodyText"/>
      </w:pPr>
    </w:p>
    <w:p>
      <w:pPr>
        <w:pStyle w:val="BodyText"/>
      </w:pPr>
    </w:p>
    <w:p>
      <w:pPr>
        <w:pStyle w:val="BodyText"/>
        <w:spacing w:before="1"/>
        <w:rPr>
          <w:sz w:val="35"/>
        </w:rPr>
      </w:pPr>
    </w:p>
    <w:p>
      <w:pPr>
        <w:pStyle w:val="BodyText"/>
        <w:ind w:left="1466" w:right="1287"/>
        <w:jc w:val="center"/>
      </w:pPr>
      <w:r>
        <w:rPr/>
        <w:t>A T E N T A M E N T E</w:t>
      </w:r>
    </w:p>
    <w:p>
      <w:pPr>
        <w:pStyle w:val="BodyText"/>
        <w:rPr>
          <w:sz w:val="21"/>
        </w:rPr>
      </w:pPr>
    </w:p>
    <w:p>
      <w:pPr>
        <w:pStyle w:val="BodyText"/>
        <w:spacing w:before="1"/>
        <w:ind w:left="1375" w:right="1133"/>
        <w:jc w:val="center"/>
      </w:pPr>
      <w:r>
        <w:rPr/>
        <w:drawing>
          <wp:anchor distT="0" distB="0" distL="0" distR="0" allowOverlap="1" layoutInCell="1" locked="0" behindDoc="1" simplePos="0" relativeHeight="268418735">
            <wp:simplePos x="0" y="0"/>
            <wp:positionH relativeFrom="page">
              <wp:posOffset>1456944</wp:posOffset>
            </wp:positionH>
            <wp:positionV relativeFrom="paragraph">
              <wp:posOffset>236513</wp:posOffset>
            </wp:positionV>
            <wp:extent cx="1667973" cy="88582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667973" cy="885825"/>
                    </a:xfrm>
                    <a:prstGeom prst="rect">
                      <a:avLst/>
                    </a:prstGeom>
                  </pic:spPr>
                </pic:pic>
              </a:graphicData>
            </a:graphic>
          </wp:anchor>
        </w:drawing>
      </w:r>
      <w:r>
        <w:rPr/>
        <w:drawing>
          <wp:anchor distT="0" distB="0" distL="0" distR="0" allowOverlap="1" layoutInCell="1" locked="0" behindDoc="1" simplePos="0" relativeHeight="268418759">
            <wp:simplePos x="0" y="0"/>
            <wp:positionH relativeFrom="page">
              <wp:posOffset>4381500</wp:posOffset>
            </wp:positionH>
            <wp:positionV relativeFrom="paragraph">
              <wp:posOffset>495593</wp:posOffset>
            </wp:positionV>
            <wp:extent cx="1669405" cy="644651"/>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669405" cy="644651"/>
                    </a:xfrm>
                    <a:prstGeom prst="rect">
                      <a:avLst/>
                    </a:prstGeom>
                  </pic:spPr>
                </pic:pic>
              </a:graphicData>
            </a:graphic>
          </wp:anchor>
        </w:drawing>
      </w:r>
      <w:r>
        <w:rPr/>
        <w:t>Mexicali, Baja California y Morelia, Michoacán a 22 de diciembre de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74"/>
        <w:gridCol w:w="4660"/>
      </w:tblGrid>
      <w:tr>
        <w:trPr>
          <w:trHeight w:val="1063" w:hRule="exact"/>
        </w:trPr>
        <w:tc>
          <w:tcPr>
            <w:tcW w:w="4674" w:type="dxa"/>
          </w:tcPr>
          <w:p>
            <w:pPr>
              <w:pStyle w:val="TableParagraph"/>
              <w:spacing w:line="243" w:lineRule="exact"/>
              <w:ind w:left="1179" w:right="0"/>
              <w:jc w:val="left"/>
              <w:rPr>
                <w:b/>
                <w:sz w:val="24"/>
              </w:rPr>
            </w:pPr>
            <w:r>
              <w:rPr>
                <w:b/>
                <w:sz w:val="24"/>
              </w:rPr>
              <w:t>Dra. Judith Ley García</w:t>
            </w:r>
          </w:p>
          <w:p>
            <w:pPr>
              <w:pStyle w:val="TableParagraph"/>
              <w:ind w:left="203" w:right="118"/>
              <w:rPr>
                <w:sz w:val="24"/>
              </w:rPr>
            </w:pPr>
            <w:r>
              <w:rPr>
                <w:sz w:val="24"/>
              </w:rPr>
              <w:t>Investigadora del Instituto de</w:t>
            </w:r>
            <w:r>
              <w:rPr>
                <w:spacing w:val="-10"/>
                <w:sz w:val="24"/>
              </w:rPr>
              <w:t> </w:t>
            </w:r>
            <w:r>
              <w:rPr>
                <w:sz w:val="24"/>
              </w:rPr>
              <w:t>Investigaciones Sociales de la Universidad Autónoma de Baja</w:t>
            </w:r>
            <w:r>
              <w:rPr>
                <w:spacing w:val="-3"/>
                <w:sz w:val="24"/>
              </w:rPr>
              <w:t> </w:t>
            </w:r>
            <w:r>
              <w:rPr>
                <w:sz w:val="24"/>
              </w:rPr>
              <w:t>California</w:t>
            </w:r>
          </w:p>
        </w:tc>
        <w:tc>
          <w:tcPr>
            <w:tcW w:w="4660" w:type="dxa"/>
          </w:tcPr>
          <w:p>
            <w:pPr>
              <w:pStyle w:val="TableParagraph"/>
              <w:spacing w:line="243" w:lineRule="exact"/>
              <w:ind w:left="96" w:right="176"/>
              <w:rPr>
                <w:b/>
                <w:sz w:val="24"/>
              </w:rPr>
            </w:pPr>
            <w:r>
              <w:rPr>
                <w:b/>
                <w:sz w:val="24"/>
              </w:rPr>
              <w:t>Dr. Jean-François Mas Caussel</w:t>
            </w:r>
          </w:p>
          <w:p>
            <w:pPr>
              <w:pStyle w:val="TableParagraph"/>
              <w:ind w:left="96" w:right="177"/>
              <w:rPr>
                <w:sz w:val="24"/>
              </w:rPr>
            </w:pPr>
            <w:r>
              <w:rPr>
                <w:sz w:val="24"/>
              </w:rPr>
              <w:t>Coordinador de la Sociedad Latinoamericana de Percepción Remota y Sistemas de Información Espacial, Capítulo México</w:t>
            </w:r>
          </w:p>
        </w:tc>
      </w:tr>
    </w:tbl>
    <w:p>
      <w:pPr>
        <w:spacing w:after="0"/>
        <w:rPr>
          <w:sz w:val="24"/>
        </w:rPr>
        <w:sectPr>
          <w:type w:val="continuous"/>
          <w:pgSz w:w="12240" w:h="15840"/>
          <w:pgMar w:top="660" w:bottom="280" w:left="1140" w:right="1320"/>
        </w:sectPr>
      </w:pPr>
    </w:p>
    <w:p>
      <w:pPr>
        <w:pStyle w:val="BodyText"/>
        <w:rPr>
          <w:sz w:val="20"/>
        </w:rPr>
      </w:pPr>
    </w:p>
    <w:p>
      <w:pPr>
        <w:pStyle w:val="BodyText"/>
        <w:rPr>
          <w:sz w:val="20"/>
        </w:rPr>
      </w:pPr>
    </w:p>
    <w:p>
      <w:pPr>
        <w:pStyle w:val="BodyText"/>
      </w:pPr>
    </w:p>
    <w:p>
      <w:pPr>
        <w:pStyle w:val="Heading1"/>
        <w:spacing w:line="480" w:lineRule="auto" w:before="69"/>
        <w:ind w:left="735" w:right="140"/>
        <w:jc w:val="center"/>
      </w:pPr>
      <w:bookmarkStart w:name="Articulos_SELPER_UAEM2" w:id="2"/>
      <w:bookmarkEnd w:id="2"/>
      <w:r>
        <w:rPr>
          <w:b w:val="0"/>
        </w:rPr>
      </w:r>
      <w:r>
        <w:rPr/>
        <w:t>PROCESOS DE SUBSIDENCIAS EN LA CIUDAD DE TOLUCA Y ALREDEDORES ASOCIADAS A LA SOBREEXPLOTACIÓN DE LOS MANTOS ACUÍFEROS. UNA APROXIMACIÓN A PARTIR DE CORRELACIÓN DE TÉCNICAS RADAR Y DATOS GEOLÓGICOS SUPERFICIALES</w:t>
      </w:r>
    </w:p>
    <w:p>
      <w:pPr>
        <w:pStyle w:val="BodyText"/>
        <w:rPr>
          <w:b/>
        </w:rPr>
      </w:pPr>
    </w:p>
    <w:p>
      <w:pPr>
        <w:pStyle w:val="BodyText"/>
        <w:rPr>
          <w:b/>
        </w:rPr>
      </w:pPr>
    </w:p>
    <w:p>
      <w:pPr>
        <w:pStyle w:val="BodyText"/>
        <w:spacing w:before="1"/>
        <w:rPr>
          <w:b/>
          <w:sz w:val="23"/>
        </w:rPr>
      </w:pPr>
    </w:p>
    <w:p>
      <w:pPr>
        <w:pStyle w:val="BodyText"/>
        <w:spacing w:line="465" w:lineRule="auto"/>
        <w:ind w:left="307" w:right="228"/>
        <w:jc w:val="center"/>
        <w:rPr>
          <w:sz w:val="16"/>
        </w:rPr>
      </w:pPr>
      <w:r>
        <w:rPr/>
        <w:t>Denisse Avalos Ortiz</w:t>
      </w:r>
      <w:r>
        <w:rPr>
          <w:position w:val="9"/>
          <w:sz w:val="16"/>
        </w:rPr>
        <w:t>1</w:t>
      </w:r>
      <w:r>
        <w:rPr/>
        <w:t>, Norma Angélica Dávila Hernández </w:t>
      </w:r>
      <w:r>
        <w:rPr>
          <w:position w:val="9"/>
          <w:sz w:val="16"/>
        </w:rPr>
        <w:t>2</w:t>
      </w:r>
      <w:r>
        <w:rPr/>
        <w:t>, José Luís Expósito Castillo</w:t>
      </w:r>
      <w:r>
        <w:rPr>
          <w:position w:val="9"/>
          <w:sz w:val="16"/>
        </w:rPr>
        <w:t>3</w:t>
      </w:r>
      <w:r>
        <w:rPr/>
        <w:t>, Brisa Violeta Crrasco Gallegos</w:t>
      </w:r>
      <w:r>
        <w:rPr>
          <w:position w:val="9"/>
          <w:sz w:val="16"/>
        </w:rPr>
        <w:t>2</w:t>
      </w:r>
    </w:p>
    <w:p>
      <w:pPr>
        <w:pStyle w:val="BodyText"/>
        <w:spacing w:before="4"/>
      </w:pPr>
    </w:p>
    <w:p>
      <w:pPr>
        <w:spacing w:before="0"/>
        <w:ind w:left="142" w:right="140" w:firstLine="0"/>
        <w:jc w:val="center"/>
        <w:rPr>
          <w:sz w:val="20"/>
        </w:rPr>
      </w:pPr>
      <w:r>
        <w:rPr>
          <w:position w:val="7"/>
          <w:sz w:val="13"/>
        </w:rPr>
        <w:t>1 </w:t>
      </w:r>
      <w:r>
        <w:rPr>
          <w:sz w:val="20"/>
        </w:rPr>
        <w:t>Maestría en Análisis Espacial y Geoinformática, Facultad de Geografía, Universidad Autónoma del Estado de México (UAEM).</w:t>
      </w:r>
    </w:p>
    <w:p>
      <w:pPr>
        <w:spacing w:line="240" w:lineRule="auto" w:before="0"/>
        <w:ind w:left="142" w:right="140" w:firstLine="0"/>
        <w:jc w:val="center"/>
        <w:rPr>
          <w:sz w:val="20"/>
        </w:rPr>
      </w:pPr>
      <w:r>
        <w:rPr>
          <w:position w:val="7"/>
          <w:sz w:val="13"/>
        </w:rPr>
        <w:t>2 </w:t>
      </w:r>
      <w:r>
        <w:rPr>
          <w:sz w:val="20"/>
        </w:rPr>
        <w:t>Laboratorio de Ciencia y Tecnología de la Información Geográfica, Facultad de Geografía, Universidad Autónoma del Estado de México (UAEM).</w:t>
      </w:r>
    </w:p>
    <w:p>
      <w:pPr>
        <w:spacing w:line="229" w:lineRule="exact" w:before="0"/>
        <w:ind w:left="140" w:right="140" w:firstLine="0"/>
        <w:jc w:val="center"/>
        <w:rPr>
          <w:sz w:val="20"/>
        </w:rPr>
      </w:pPr>
      <w:r>
        <w:rPr>
          <w:position w:val="7"/>
          <w:sz w:val="13"/>
        </w:rPr>
        <w:t>3 </w:t>
      </w:r>
      <w:r>
        <w:rPr>
          <w:sz w:val="20"/>
        </w:rPr>
        <w:t>Centro Interamericano de Recursos del Agua (CIRA), Universidad Autónoma del Estado de México (UAEM).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096;mso-wrap-distance-left:0;mso-wrap-distance-right:0" from="72pt,15.907466pt" to="252.000009pt,15.907466pt" stroked="true" strokeweight=".48pt" strokecolor="#000000">
            <w10:wrap type="topAndBottom"/>
          </v:line>
        </w:pict>
      </w:r>
    </w:p>
    <w:p>
      <w:pPr>
        <w:pStyle w:val="BodyText"/>
        <w:spacing w:before="10"/>
        <w:rPr>
          <w:sz w:val="13"/>
        </w:rPr>
      </w:pPr>
    </w:p>
    <w:p>
      <w:pPr>
        <w:spacing w:before="83"/>
        <w:ind w:left="120" w:right="110" w:firstLine="0"/>
        <w:jc w:val="left"/>
        <w:rPr>
          <w:sz w:val="20"/>
        </w:rPr>
      </w:pPr>
      <w:r>
        <w:rPr>
          <w:position w:val="7"/>
          <w:sz w:val="13"/>
        </w:rPr>
        <w:t>1  </w:t>
      </w:r>
      <w:r>
        <w:rPr>
          <w:sz w:val="20"/>
        </w:rPr>
        <w:t>Facultad de Geografía, Universidad Autónoma del Estado de México (UAEM). </w:t>
      </w:r>
      <w:hyperlink r:id="rId9">
        <w:r>
          <w:rPr>
            <w:color w:val="0462C1"/>
            <w:sz w:val="20"/>
            <w:u w:val="single" w:color="0462C1"/>
          </w:rPr>
          <w:t>deroxi3@hotmail.com</w:t>
        </w:r>
        <w:r>
          <w:rPr>
            <w:sz w:val="20"/>
          </w:rPr>
          <w:t>.</w:t>
        </w:r>
      </w:hyperlink>
    </w:p>
    <w:p>
      <w:pPr>
        <w:spacing w:after="0"/>
        <w:jc w:val="left"/>
        <w:rPr>
          <w:sz w:val="20"/>
        </w:rPr>
        <w:sectPr>
          <w:footerReference w:type="default" r:id="rId8"/>
          <w:pgSz w:w="12240" w:h="15840"/>
          <w:pgMar w:footer="968" w:header="0" w:top="1500" w:bottom="1160" w:left="1320" w:right="1320"/>
          <w:pgNumType w:start="1"/>
        </w:sectPr>
      </w:pPr>
    </w:p>
    <w:p>
      <w:pPr>
        <w:pStyle w:val="BodyText"/>
        <w:spacing w:before="7"/>
        <w:rPr>
          <w:sz w:val="10"/>
        </w:rPr>
      </w:pPr>
    </w:p>
    <w:p>
      <w:pPr>
        <w:pStyle w:val="Heading1"/>
        <w:spacing w:line="480" w:lineRule="auto" w:before="69"/>
        <w:ind w:left="736" w:right="140"/>
        <w:jc w:val="center"/>
      </w:pPr>
      <w:r>
        <w:rPr/>
        <w:t>PROCESOS DE SUBSIDENCIAS EN LA CIUDAD DE TOLUCA Y ALREDEDORES ASOCIADAS A LA SOBREEXPLOTACIÓN DE LOS MANTOS ACUÍFEROS. UNA APROXIMACIÓN A PARTIR DE CORRELACIÓN DE TÉCNICAS RADAR Y DATOS GEOLÓGICOS SUPERFICIALES</w:t>
      </w:r>
    </w:p>
    <w:p>
      <w:pPr>
        <w:spacing w:before="10"/>
        <w:ind w:left="110" w:right="110" w:firstLine="0"/>
        <w:jc w:val="left"/>
        <w:rPr>
          <w:b/>
          <w:sz w:val="24"/>
        </w:rPr>
      </w:pPr>
      <w:r>
        <w:rPr>
          <w:b/>
          <w:sz w:val="24"/>
        </w:rPr>
        <w:t>RESUMEN</w:t>
      </w:r>
    </w:p>
    <w:p>
      <w:pPr>
        <w:pStyle w:val="BodyText"/>
        <w:rPr>
          <w:b/>
        </w:rPr>
      </w:pPr>
    </w:p>
    <w:p>
      <w:pPr>
        <w:pStyle w:val="BodyText"/>
        <w:spacing w:before="1"/>
        <w:rPr>
          <w:b/>
          <w:sz w:val="32"/>
        </w:rPr>
      </w:pPr>
    </w:p>
    <w:p>
      <w:pPr>
        <w:pStyle w:val="BodyText"/>
        <w:spacing w:line="480" w:lineRule="auto"/>
        <w:ind w:left="115" w:right="116" w:firstLine="714"/>
        <w:jc w:val="both"/>
      </w:pPr>
      <w:r>
        <w:rPr/>
        <w:t>El</w:t>
      </w:r>
      <w:r>
        <w:rPr>
          <w:spacing w:val="-7"/>
        </w:rPr>
        <w:t> </w:t>
      </w:r>
      <w:r>
        <w:rPr/>
        <w:t>crecimiento</w:t>
      </w:r>
      <w:r>
        <w:rPr>
          <w:spacing w:val="-8"/>
        </w:rPr>
        <w:t> </w:t>
      </w:r>
      <w:r>
        <w:rPr/>
        <w:t>urbano</w:t>
      </w:r>
      <w:r>
        <w:rPr>
          <w:spacing w:val="-7"/>
        </w:rPr>
        <w:t> </w:t>
      </w:r>
      <w:r>
        <w:rPr/>
        <w:t>desmedido</w:t>
      </w:r>
      <w:r>
        <w:rPr>
          <w:spacing w:val="-7"/>
        </w:rPr>
        <w:t> </w:t>
      </w:r>
      <w:r>
        <w:rPr/>
        <w:t>en</w:t>
      </w:r>
      <w:r>
        <w:rPr>
          <w:spacing w:val="-6"/>
        </w:rPr>
        <w:t> </w:t>
      </w:r>
      <w:r>
        <w:rPr/>
        <w:t>México</w:t>
      </w:r>
      <w:r>
        <w:rPr>
          <w:spacing w:val="-7"/>
        </w:rPr>
        <w:t> </w:t>
      </w:r>
      <w:r>
        <w:rPr/>
        <w:t>ha</w:t>
      </w:r>
      <w:r>
        <w:rPr>
          <w:spacing w:val="-7"/>
        </w:rPr>
        <w:t> </w:t>
      </w:r>
      <w:r>
        <w:rPr/>
        <w:t>causado</w:t>
      </w:r>
      <w:r>
        <w:rPr>
          <w:spacing w:val="-7"/>
        </w:rPr>
        <w:t> </w:t>
      </w:r>
      <w:r>
        <w:rPr/>
        <w:t>diversos</w:t>
      </w:r>
      <w:r>
        <w:rPr>
          <w:spacing w:val="-7"/>
        </w:rPr>
        <w:t> </w:t>
      </w:r>
      <w:r>
        <w:rPr/>
        <w:t>impactos</w:t>
      </w:r>
      <w:r>
        <w:rPr>
          <w:spacing w:val="-7"/>
        </w:rPr>
        <w:t> </w:t>
      </w:r>
      <w:r>
        <w:rPr/>
        <w:t>negativos</w:t>
      </w:r>
      <w:r>
        <w:rPr>
          <w:spacing w:val="-6"/>
        </w:rPr>
        <w:t> </w:t>
      </w:r>
      <w:r>
        <w:rPr/>
        <w:t>en</w:t>
      </w:r>
      <w:r>
        <w:rPr>
          <w:spacing w:val="-7"/>
        </w:rPr>
        <w:t> </w:t>
      </w:r>
      <w:r>
        <w:rPr/>
        <w:t>el ambiente. Entre los problemas ambientales más sentidos en la sociedad es la escasez de agua. La Ciudad de Toluca se encuentra asentada sobre el Acuífero del Valle de Toluca (AVT), siendo considerado el segundo más sobreexplotado de México debido a la cantidad de población que depende de su aprovechamiento. En el presente trabajo se empleó una técnica de Interferometría de Radar (InSAR), conocida como Persistent Scatterer (PS) para la evaluación multitemporal (2003-2010) de procesos de subsidencia asociados al abatimiento del AVT. Para ello se utilizó</w:t>
      </w:r>
      <w:r>
        <w:rPr>
          <w:spacing w:val="-25"/>
        </w:rPr>
        <w:t> </w:t>
      </w:r>
      <w:r>
        <w:rPr/>
        <w:t>31 imágenes complejas de radar del sensor ENVISAT-ASAR, de donde se obtuvieron valores promedio de deformación superficial anual a escala milimétrica. El proceso de validación del método PS consistió en la correlación de columnas estratigráficas y estimación de curvas de abatimiento. Los resultados derivados del análisis mostraron velocidades máximas de</w:t>
      </w:r>
      <w:r>
        <w:rPr>
          <w:spacing w:val="-40"/>
        </w:rPr>
        <w:t> </w:t>
      </w:r>
      <w:r>
        <w:rPr/>
        <w:t>subsidencia de</w:t>
      </w:r>
      <w:r>
        <w:rPr>
          <w:spacing w:val="-7"/>
        </w:rPr>
        <w:t> </w:t>
      </w:r>
      <w:r>
        <w:rPr/>
        <w:t>hasta</w:t>
      </w:r>
      <w:r>
        <w:rPr>
          <w:spacing w:val="-7"/>
        </w:rPr>
        <w:t> </w:t>
      </w:r>
      <w:r>
        <w:rPr/>
        <w:t>69</w:t>
      </w:r>
      <w:r>
        <w:rPr>
          <w:spacing w:val="-8"/>
        </w:rPr>
        <w:t> </w:t>
      </w:r>
      <w:r>
        <w:rPr/>
        <w:t>mm/año</w:t>
      </w:r>
      <w:r>
        <w:rPr>
          <w:spacing w:val="-7"/>
        </w:rPr>
        <w:t> </w:t>
      </w:r>
      <w:r>
        <w:rPr/>
        <w:t>que</w:t>
      </w:r>
      <w:r>
        <w:rPr>
          <w:spacing w:val="-7"/>
        </w:rPr>
        <w:t> </w:t>
      </w:r>
      <w:r>
        <w:rPr/>
        <w:t>se</w:t>
      </w:r>
      <w:r>
        <w:rPr>
          <w:spacing w:val="-7"/>
        </w:rPr>
        <w:t> </w:t>
      </w:r>
      <w:r>
        <w:rPr/>
        <w:t>concentran</w:t>
      </w:r>
      <w:r>
        <w:rPr>
          <w:spacing w:val="-7"/>
        </w:rPr>
        <w:t> </w:t>
      </w:r>
      <w:r>
        <w:rPr/>
        <w:t>en</w:t>
      </w:r>
      <w:r>
        <w:rPr>
          <w:spacing w:val="-7"/>
        </w:rPr>
        <w:t> </w:t>
      </w:r>
      <w:r>
        <w:rPr/>
        <w:t>el</w:t>
      </w:r>
      <w:r>
        <w:rPr>
          <w:spacing w:val="-7"/>
        </w:rPr>
        <w:t> </w:t>
      </w:r>
      <w:r>
        <w:rPr/>
        <w:t>área</w:t>
      </w:r>
      <w:r>
        <w:rPr>
          <w:spacing w:val="-9"/>
        </w:rPr>
        <w:t> </w:t>
      </w:r>
      <w:r>
        <w:rPr/>
        <w:t>este-noreste</w:t>
      </w:r>
      <w:r>
        <w:rPr>
          <w:spacing w:val="-8"/>
        </w:rPr>
        <w:t> </w:t>
      </w:r>
      <w:r>
        <w:rPr/>
        <w:t>de</w:t>
      </w:r>
      <w:r>
        <w:rPr>
          <w:spacing w:val="-7"/>
        </w:rPr>
        <w:t> </w:t>
      </w:r>
      <w:r>
        <w:rPr/>
        <w:t>la</w:t>
      </w:r>
      <w:r>
        <w:rPr>
          <w:spacing w:val="-7"/>
        </w:rPr>
        <w:t> </w:t>
      </w:r>
      <w:r>
        <w:rPr/>
        <w:t>Ciudad</w:t>
      </w:r>
      <w:r>
        <w:rPr>
          <w:spacing w:val="-7"/>
        </w:rPr>
        <w:t> </w:t>
      </w:r>
      <w:r>
        <w:rPr/>
        <w:t>de</w:t>
      </w:r>
      <w:r>
        <w:rPr>
          <w:spacing w:val="-7"/>
        </w:rPr>
        <w:t> </w:t>
      </w:r>
      <w:r>
        <w:rPr/>
        <w:t>Toluca,</w:t>
      </w:r>
      <w:r>
        <w:rPr>
          <w:spacing w:val="-8"/>
        </w:rPr>
        <w:t> </w:t>
      </w:r>
      <w:r>
        <w:rPr/>
        <w:t>la</w:t>
      </w:r>
      <w:r>
        <w:rPr>
          <w:spacing w:val="-7"/>
        </w:rPr>
        <w:t> </w:t>
      </w:r>
      <w:r>
        <w:rPr/>
        <w:t>ubicación de las deformaciones guarda una relación intrínseca con secuencias de depósitos vulcanoclasticos y</w:t>
      </w:r>
      <w:r>
        <w:rPr>
          <w:spacing w:val="-5"/>
        </w:rPr>
        <w:t> </w:t>
      </w:r>
      <w:r>
        <w:rPr/>
        <w:t>lacustres</w:t>
      </w:r>
      <w:r>
        <w:rPr>
          <w:spacing w:val="-5"/>
        </w:rPr>
        <w:t> </w:t>
      </w:r>
      <w:r>
        <w:rPr/>
        <w:t>ricos</w:t>
      </w:r>
      <w:r>
        <w:rPr>
          <w:spacing w:val="-5"/>
        </w:rPr>
        <w:t> </w:t>
      </w:r>
      <w:r>
        <w:rPr/>
        <w:t>en</w:t>
      </w:r>
      <w:r>
        <w:rPr>
          <w:spacing w:val="-5"/>
        </w:rPr>
        <w:t> </w:t>
      </w:r>
      <w:r>
        <w:rPr/>
        <w:t>arcilla.</w:t>
      </w:r>
      <w:r>
        <w:rPr>
          <w:spacing w:val="-5"/>
        </w:rPr>
        <w:t> </w:t>
      </w:r>
      <w:r>
        <w:rPr/>
        <w:t>De</w:t>
      </w:r>
      <w:r>
        <w:rPr>
          <w:spacing w:val="-5"/>
        </w:rPr>
        <w:t> </w:t>
      </w:r>
      <w:r>
        <w:rPr/>
        <w:t>igual</w:t>
      </w:r>
      <w:r>
        <w:rPr>
          <w:spacing w:val="-4"/>
        </w:rPr>
        <w:t> </w:t>
      </w:r>
      <w:r>
        <w:rPr/>
        <w:t>forma,</w:t>
      </w:r>
      <w:r>
        <w:rPr>
          <w:spacing w:val="-4"/>
        </w:rPr>
        <w:t> </w:t>
      </w:r>
      <w:r>
        <w:rPr/>
        <w:t>dichas</w:t>
      </w:r>
      <w:r>
        <w:rPr>
          <w:spacing w:val="-5"/>
        </w:rPr>
        <w:t> </w:t>
      </w:r>
      <w:r>
        <w:rPr/>
        <w:t>áreas</w:t>
      </w:r>
      <w:r>
        <w:rPr>
          <w:spacing w:val="-4"/>
        </w:rPr>
        <w:t> </w:t>
      </w:r>
      <w:r>
        <w:rPr/>
        <w:t>de</w:t>
      </w:r>
      <w:r>
        <w:rPr>
          <w:spacing w:val="-5"/>
        </w:rPr>
        <w:t> </w:t>
      </w:r>
      <w:r>
        <w:rPr/>
        <w:t>subsidencia</w:t>
      </w:r>
      <w:r>
        <w:rPr>
          <w:spacing w:val="-4"/>
        </w:rPr>
        <w:t> </w:t>
      </w:r>
      <w:r>
        <w:rPr/>
        <w:t>máxima</w:t>
      </w:r>
      <w:r>
        <w:rPr>
          <w:spacing w:val="-4"/>
        </w:rPr>
        <w:t> </w:t>
      </w:r>
      <w:r>
        <w:rPr/>
        <w:t>corresponden</w:t>
      </w:r>
      <w:r>
        <w:rPr>
          <w:spacing w:val="-5"/>
        </w:rPr>
        <w:t> </w:t>
      </w:r>
      <w:r>
        <w:rPr/>
        <w:t>con la mayor concentración de los pozos de extracción de</w:t>
      </w:r>
      <w:r>
        <w:rPr>
          <w:spacing w:val="-4"/>
        </w:rPr>
        <w:t> </w:t>
      </w:r>
      <w:r>
        <w:rPr/>
        <w:t>agua.</w:t>
      </w:r>
    </w:p>
    <w:p>
      <w:pPr>
        <w:pStyle w:val="BodyText"/>
        <w:spacing w:before="10"/>
      </w:pPr>
    </w:p>
    <w:p>
      <w:pPr>
        <w:pStyle w:val="BodyText"/>
        <w:ind w:left="110" w:right="110"/>
      </w:pPr>
      <w:r>
        <w:rPr>
          <w:i/>
        </w:rPr>
        <w:t>palabras clave</w:t>
      </w:r>
      <w:r>
        <w:rPr/>
        <w:t>: Imágenes de radar, Persistent Scatterer, Subsidencia, Acuífero</w:t>
      </w:r>
    </w:p>
    <w:p>
      <w:pPr>
        <w:spacing w:after="0"/>
        <w:sectPr>
          <w:headerReference w:type="default" r:id="rId10"/>
          <w:pgSz w:w="12240" w:h="15840"/>
          <w:pgMar w:header="737" w:footer="968" w:top="1620" w:bottom="1160" w:left="1320" w:right="1320"/>
        </w:sectPr>
      </w:pPr>
    </w:p>
    <w:p>
      <w:pPr>
        <w:pStyle w:val="BodyText"/>
        <w:spacing w:before="7"/>
        <w:rPr>
          <w:sz w:val="10"/>
        </w:rPr>
      </w:pPr>
    </w:p>
    <w:p>
      <w:pPr>
        <w:pStyle w:val="Heading1"/>
        <w:spacing w:before="69"/>
      </w:pPr>
      <w:r>
        <w:rPr/>
        <w:t>ABSTRACT</w:t>
      </w:r>
    </w:p>
    <w:p>
      <w:pPr>
        <w:pStyle w:val="BodyText"/>
        <w:rPr>
          <w:b/>
        </w:rPr>
      </w:pPr>
    </w:p>
    <w:p>
      <w:pPr>
        <w:pStyle w:val="BodyText"/>
        <w:spacing w:before="2"/>
        <w:rPr>
          <w:b/>
          <w:sz w:val="32"/>
        </w:rPr>
      </w:pPr>
    </w:p>
    <w:p>
      <w:pPr>
        <w:pStyle w:val="BodyText"/>
        <w:spacing w:line="463" w:lineRule="auto"/>
        <w:ind w:left="115" w:right="116" w:firstLine="714"/>
        <w:jc w:val="both"/>
      </w:pPr>
      <w:r>
        <w:rPr/>
        <w:t>The urban sprawl in Mexico has caused many negative impacts on the environment. Among</w:t>
      </w:r>
      <w:r>
        <w:rPr>
          <w:spacing w:val="-16"/>
        </w:rPr>
        <w:t> </w:t>
      </w:r>
      <w:r>
        <w:rPr/>
        <w:t>the</w:t>
      </w:r>
      <w:r>
        <w:rPr>
          <w:spacing w:val="-14"/>
        </w:rPr>
        <w:t> </w:t>
      </w:r>
      <w:r>
        <w:rPr/>
        <w:t>more</w:t>
      </w:r>
      <w:r>
        <w:rPr>
          <w:spacing w:val="-15"/>
        </w:rPr>
        <w:t> </w:t>
      </w:r>
      <w:r>
        <w:rPr/>
        <w:t>senses</w:t>
      </w:r>
      <w:r>
        <w:rPr>
          <w:spacing w:val="-17"/>
        </w:rPr>
        <w:t> </w:t>
      </w:r>
      <w:r>
        <w:rPr/>
        <w:t>environmental</w:t>
      </w:r>
      <w:r>
        <w:rPr>
          <w:spacing w:val="-15"/>
        </w:rPr>
        <w:t> </w:t>
      </w:r>
      <w:r>
        <w:rPr/>
        <w:t>problems</w:t>
      </w:r>
      <w:r>
        <w:rPr>
          <w:spacing w:val="-16"/>
        </w:rPr>
        <w:t> </w:t>
      </w:r>
      <w:r>
        <w:rPr/>
        <w:t>in</w:t>
      </w:r>
      <w:r>
        <w:rPr>
          <w:spacing w:val="-16"/>
        </w:rPr>
        <w:t> </w:t>
      </w:r>
      <w:r>
        <w:rPr/>
        <w:t>the</w:t>
      </w:r>
      <w:r>
        <w:rPr>
          <w:spacing w:val="-15"/>
        </w:rPr>
        <w:t> </w:t>
      </w:r>
      <w:r>
        <w:rPr/>
        <w:t>society</w:t>
      </w:r>
      <w:r>
        <w:rPr>
          <w:spacing w:val="-17"/>
        </w:rPr>
        <w:t> </w:t>
      </w:r>
      <w:r>
        <w:rPr/>
        <w:t>is</w:t>
      </w:r>
      <w:r>
        <w:rPr>
          <w:spacing w:val="-15"/>
        </w:rPr>
        <w:t> </w:t>
      </w:r>
      <w:r>
        <w:rPr/>
        <w:t>the</w:t>
      </w:r>
      <w:r>
        <w:rPr>
          <w:spacing w:val="-15"/>
        </w:rPr>
        <w:t> </w:t>
      </w:r>
      <w:r>
        <w:rPr/>
        <w:t>lack</w:t>
      </w:r>
      <w:r>
        <w:rPr>
          <w:spacing w:val="-16"/>
        </w:rPr>
        <w:t> </w:t>
      </w:r>
      <w:r>
        <w:rPr/>
        <w:t>of</w:t>
      </w:r>
      <w:r>
        <w:rPr>
          <w:spacing w:val="-17"/>
        </w:rPr>
        <w:t> </w:t>
      </w:r>
      <w:r>
        <w:rPr/>
        <w:t>water.</w:t>
      </w:r>
      <w:r>
        <w:rPr>
          <w:spacing w:val="-16"/>
        </w:rPr>
        <w:t> </w:t>
      </w:r>
      <w:r>
        <w:rPr/>
        <w:t>Toluca</w:t>
      </w:r>
      <w:r>
        <w:rPr>
          <w:spacing w:val="-15"/>
        </w:rPr>
        <w:t> </w:t>
      </w:r>
      <w:r>
        <w:rPr/>
        <w:t>is</w:t>
      </w:r>
      <w:r>
        <w:rPr>
          <w:spacing w:val="-15"/>
        </w:rPr>
        <w:t> </w:t>
      </w:r>
      <w:r>
        <w:rPr/>
        <w:t>seated on Aquifer of Toluca Valley (ATV), and is considered the second most exploited of Mexico due to the amount of population dependent on its use. In this paper we used a Radar Interferometry technique (InSAR), known as Persistent scatterer (PS) for multi-temporal evaluation (2003-2010) of subsidence processes associated to the ground water abatement of ATV. We used 31 radar images of ENVISAT-ASAR sensor, where average annual surface deformation values were obtained to millimetric scale. The validation process consisted in the spatial correlation between PS, stratigraphic columns and the estimation of abatement</w:t>
      </w:r>
      <w:r>
        <w:rPr>
          <w:spacing w:val="-11"/>
        </w:rPr>
        <w:t> </w:t>
      </w:r>
      <w:r>
        <w:rPr/>
        <w:t>curves.</w:t>
      </w:r>
    </w:p>
    <w:p>
      <w:pPr>
        <w:pStyle w:val="BodyText"/>
        <w:spacing w:before="9"/>
      </w:pPr>
    </w:p>
    <w:p>
      <w:pPr>
        <w:pStyle w:val="BodyText"/>
        <w:spacing w:line="463" w:lineRule="auto"/>
        <w:ind w:left="115" w:right="119" w:firstLine="714"/>
        <w:jc w:val="both"/>
      </w:pPr>
      <w:r>
        <w:rPr/>
        <w:t>The results showed subsidence maximum speeds up to 69 mm/year that focus on the area east-northeast of the Toluca City, the location of the deformation procesess is intrinsically linked with sequences of volcanoclastic and lacustrine deposits rich in clay. Similarly, those areas of maximum subsidsence correspond to highest density of pumping wells.</w:t>
      </w:r>
    </w:p>
    <w:p>
      <w:pPr>
        <w:pStyle w:val="BodyText"/>
        <w:spacing w:before="9"/>
      </w:pPr>
    </w:p>
    <w:p>
      <w:pPr>
        <w:pStyle w:val="BodyText"/>
        <w:ind w:left="110" w:right="110"/>
      </w:pPr>
      <w:r>
        <w:rPr>
          <w:i/>
        </w:rPr>
        <w:t>Keywords</w:t>
      </w:r>
      <w:r>
        <w:rPr/>
        <w:t>: urban sprawl, Subsidence, radar images.</w:t>
      </w:r>
    </w:p>
    <w:p>
      <w:pPr>
        <w:pStyle w:val="BodyText"/>
      </w:pPr>
    </w:p>
    <w:p>
      <w:pPr>
        <w:pStyle w:val="BodyText"/>
        <w:spacing w:before="2"/>
      </w:pPr>
    </w:p>
    <w:p>
      <w:pPr>
        <w:pStyle w:val="Heading1"/>
      </w:pPr>
      <w:r>
        <w:rPr/>
        <w:t>INTRODUCCIÓN</w:t>
      </w:r>
    </w:p>
    <w:p>
      <w:pPr>
        <w:pStyle w:val="BodyText"/>
        <w:rPr>
          <w:b/>
        </w:rPr>
      </w:pPr>
    </w:p>
    <w:p>
      <w:pPr>
        <w:pStyle w:val="BodyText"/>
        <w:spacing w:before="1"/>
        <w:rPr>
          <w:b/>
          <w:sz w:val="32"/>
        </w:rPr>
      </w:pPr>
    </w:p>
    <w:p>
      <w:pPr>
        <w:pStyle w:val="BodyText"/>
        <w:spacing w:line="480" w:lineRule="auto"/>
        <w:ind w:left="115" w:right="118" w:firstLine="714"/>
        <w:jc w:val="both"/>
      </w:pPr>
      <w:r>
        <w:rPr/>
        <w:t>El uso desmedido de los mantos acuíferos se ha convertido en el mayor problema en la mayoría</w:t>
      </w:r>
      <w:r>
        <w:rPr>
          <w:spacing w:val="-13"/>
        </w:rPr>
        <w:t> </w:t>
      </w:r>
      <w:r>
        <w:rPr/>
        <w:t>de</w:t>
      </w:r>
      <w:r>
        <w:rPr>
          <w:spacing w:val="-13"/>
        </w:rPr>
        <w:t> </w:t>
      </w:r>
      <w:r>
        <w:rPr/>
        <w:t>los</w:t>
      </w:r>
      <w:r>
        <w:rPr>
          <w:spacing w:val="-13"/>
        </w:rPr>
        <w:t> </w:t>
      </w:r>
      <w:r>
        <w:rPr/>
        <w:t>países</w:t>
      </w:r>
      <w:r>
        <w:rPr>
          <w:spacing w:val="-13"/>
        </w:rPr>
        <w:t> </w:t>
      </w:r>
      <w:r>
        <w:rPr/>
        <w:t>con</w:t>
      </w:r>
      <w:r>
        <w:rPr>
          <w:spacing w:val="-13"/>
        </w:rPr>
        <w:t> </w:t>
      </w:r>
      <w:r>
        <w:rPr/>
        <w:t>un</w:t>
      </w:r>
      <w:r>
        <w:rPr>
          <w:spacing w:val="-13"/>
        </w:rPr>
        <w:t> </w:t>
      </w:r>
      <w:r>
        <w:rPr/>
        <w:t>acelerado</w:t>
      </w:r>
      <w:r>
        <w:rPr>
          <w:spacing w:val="-14"/>
        </w:rPr>
        <w:t> </w:t>
      </w:r>
      <w:r>
        <w:rPr/>
        <w:t>crecimiento</w:t>
      </w:r>
      <w:r>
        <w:rPr>
          <w:spacing w:val="-14"/>
        </w:rPr>
        <w:t> </w:t>
      </w:r>
      <w:r>
        <w:rPr/>
        <w:t>de</w:t>
      </w:r>
      <w:r>
        <w:rPr>
          <w:spacing w:val="-13"/>
        </w:rPr>
        <w:t> </w:t>
      </w:r>
      <w:r>
        <w:rPr/>
        <w:t>su</w:t>
      </w:r>
      <w:r>
        <w:rPr>
          <w:spacing w:val="-13"/>
        </w:rPr>
        <w:t> </w:t>
      </w:r>
      <w:r>
        <w:rPr/>
        <w:t>población,</w:t>
      </w:r>
      <w:r>
        <w:rPr>
          <w:spacing w:val="-13"/>
        </w:rPr>
        <w:t> </w:t>
      </w:r>
      <w:r>
        <w:rPr/>
        <w:t>que</w:t>
      </w:r>
      <w:r>
        <w:rPr>
          <w:spacing w:val="-13"/>
        </w:rPr>
        <w:t> </w:t>
      </w:r>
      <w:r>
        <w:rPr/>
        <w:t>debido</w:t>
      </w:r>
      <w:r>
        <w:rPr>
          <w:spacing w:val="-13"/>
        </w:rPr>
        <w:t> </w:t>
      </w:r>
      <w:r>
        <w:rPr/>
        <w:t>al</w:t>
      </w:r>
      <w:r>
        <w:rPr>
          <w:spacing w:val="-13"/>
        </w:rPr>
        <w:t> </w:t>
      </w:r>
      <w:r>
        <w:rPr/>
        <w:t>uno</w:t>
      </w:r>
      <w:r>
        <w:rPr>
          <w:spacing w:val="-13"/>
        </w:rPr>
        <w:t> </w:t>
      </w:r>
      <w:r>
        <w:rPr/>
        <w:t>inmoderado de</w:t>
      </w:r>
      <w:r>
        <w:rPr>
          <w:spacing w:val="-11"/>
        </w:rPr>
        <w:t> </w:t>
      </w:r>
      <w:r>
        <w:rPr/>
        <w:t>sus</w:t>
      </w:r>
      <w:r>
        <w:rPr>
          <w:spacing w:val="-11"/>
        </w:rPr>
        <w:t> </w:t>
      </w:r>
      <w:r>
        <w:rPr/>
        <w:t>recursos</w:t>
      </w:r>
      <w:r>
        <w:rPr>
          <w:spacing w:val="-10"/>
        </w:rPr>
        <w:t> </w:t>
      </w:r>
      <w:r>
        <w:rPr/>
        <w:t>enfrentan</w:t>
      </w:r>
      <w:r>
        <w:rPr>
          <w:spacing w:val="-12"/>
        </w:rPr>
        <w:t> </w:t>
      </w:r>
      <w:r>
        <w:rPr/>
        <w:t>problemas</w:t>
      </w:r>
      <w:r>
        <w:rPr>
          <w:spacing w:val="-11"/>
        </w:rPr>
        <w:t> </w:t>
      </w:r>
      <w:r>
        <w:rPr/>
        <w:t>con</w:t>
      </w:r>
      <w:r>
        <w:rPr>
          <w:spacing w:val="-11"/>
        </w:rPr>
        <w:t> </w:t>
      </w:r>
      <w:r>
        <w:rPr/>
        <w:t>sus</w:t>
      </w:r>
      <w:r>
        <w:rPr>
          <w:spacing w:val="-10"/>
        </w:rPr>
        <w:t> </w:t>
      </w:r>
      <w:r>
        <w:rPr/>
        <w:t>sistemas</w:t>
      </w:r>
      <w:r>
        <w:rPr>
          <w:spacing w:val="-11"/>
        </w:rPr>
        <w:t> </w:t>
      </w:r>
      <w:r>
        <w:rPr/>
        <w:t>de</w:t>
      </w:r>
      <w:r>
        <w:rPr>
          <w:spacing w:val="-10"/>
        </w:rPr>
        <w:t> </w:t>
      </w:r>
      <w:r>
        <w:rPr/>
        <w:t>manejo</w:t>
      </w:r>
      <w:r>
        <w:rPr>
          <w:spacing w:val="-10"/>
        </w:rPr>
        <w:t> </w:t>
      </w:r>
      <w:r>
        <w:rPr/>
        <w:t>del</w:t>
      </w:r>
      <w:r>
        <w:rPr>
          <w:spacing w:val="-11"/>
        </w:rPr>
        <w:t> </w:t>
      </w:r>
      <w:r>
        <w:rPr/>
        <w:t>agua</w:t>
      </w:r>
      <w:r>
        <w:rPr>
          <w:spacing w:val="-12"/>
        </w:rPr>
        <w:t> </w:t>
      </w:r>
      <w:r>
        <w:rPr/>
        <w:t>urbana</w:t>
      </w:r>
      <w:r>
        <w:rPr>
          <w:spacing w:val="-11"/>
        </w:rPr>
        <w:t> </w:t>
      </w:r>
      <w:r>
        <w:rPr/>
        <w:t>como</w:t>
      </w:r>
      <w:r>
        <w:rPr>
          <w:spacing w:val="-11"/>
        </w:rPr>
        <w:t> </w:t>
      </w:r>
      <w:r>
        <w:rPr/>
        <w:t>el</w:t>
      </w:r>
      <w:r>
        <w:rPr>
          <w:spacing w:val="-10"/>
        </w:rPr>
        <w:t> </w:t>
      </w:r>
      <w:r>
        <w:rPr/>
        <w:t>descenso</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0"/>
      </w:pPr>
      <w:r>
        <w:rPr/>
        <w:t>del nivel freático, contaminación de aguas subterráneas, subsidencia del terreno en ambientes urbanos e intrusión de agua en ciudades costeras (Shen, 2008).</w:t>
      </w:r>
    </w:p>
    <w:p>
      <w:pPr>
        <w:pStyle w:val="BodyText"/>
        <w:spacing w:before="10"/>
      </w:pPr>
    </w:p>
    <w:p>
      <w:pPr>
        <w:pStyle w:val="BodyText"/>
        <w:spacing w:line="480" w:lineRule="auto"/>
        <w:ind w:left="115" w:right="117" w:firstLine="714"/>
        <w:jc w:val="both"/>
      </w:pPr>
      <w:r>
        <w:rPr/>
        <w:t>Particularmente en México, el abastecimiento de agua para uso urbano, agrícola e industrial se produce en buena medida a partir de agua subterránea, el mayor consumidor de agua es el sector agrícola con cerca del 80% del total. Nuestro país cuenta con aproximadamente 650 acuíferos en su territorio, de acuerdo con el Atlas de la Comisión Nacional del Agua (2009), 101 de los 282 acuíferos más importantes que proveen el 66% del agua utilizada en todo el país; se encuentran actualmente en estado de explotación intensiva. En consecuencia, una extracción mayor que la recarga, origina abatimientos del nivel estocástico del agua subterránea, mermando los volúmenes disponibles. Uno de los efectos colaterales de la explotación intensiva de los acuíferos, es la subsidencia del relieve que pueden tener su expresión en el terreno como movimientos diferenciales paulatinos o por colapso del mismo (Rodríguez- Castillo y Rodríguez- Velásquez, 2006).</w:t>
      </w:r>
    </w:p>
    <w:p>
      <w:pPr>
        <w:pStyle w:val="BodyText"/>
        <w:spacing w:before="10"/>
      </w:pPr>
    </w:p>
    <w:p>
      <w:pPr>
        <w:pStyle w:val="BodyText"/>
        <w:spacing w:line="480" w:lineRule="auto"/>
        <w:ind w:left="115" w:right="118" w:firstLine="714"/>
        <w:jc w:val="both"/>
      </w:pPr>
      <w:r>
        <w:rPr/>
        <w:t>En</w:t>
      </w:r>
      <w:r>
        <w:rPr>
          <w:spacing w:val="-5"/>
        </w:rPr>
        <w:t> </w:t>
      </w:r>
      <w:r>
        <w:rPr/>
        <w:t>el</w:t>
      </w:r>
      <w:r>
        <w:rPr>
          <w:spacing w:val="-4"/>
        </w:rPr>
        <w:t> </w:t>
      </w:r>
      <w:r>
        <w:rPr/>
        <w:t>presente</w:t>
      </w:r>
      <w:r>
        <w:rPr>
          <w:spacing w:val="-4"/>
        </w:rPr>
        <w:t> </w:t>
      </w:r>
      <w:r>
        <w:rPr/>
        <w:t>capítulo</w:t>
      </w:r>
      <w:r>
        <w:rPr>
          <w:spacing w:val="-4"/>
        </w:rPr>
        <w:t> </w:t>
      </w:r>
      <w:r>
        <w:rPr/>
        <w:t>tiene</w:t>
      </w:r>
      <w:r>
        <w:rPr>
          <w:spacing w:val="-5"/>
        </w:rPr>
        <w:t> </w:t>
      </w:r>
      <w:r>
        <w:rPr/>
        <w:t>por</w:t>
      </w:r>
      <w:r>
        <w:rPr>
          <w:spacing w:val="-5"/>
        </w:rPr>
        <w:t> </w:t>
      </w:r>
      <w:r>
        <w:rPr/>
        <w:t>objeto</w:t>
      </w:r>
      <w:r>
        <w:rPr>
          <w:spacing w:val="-5"/>
        </w:rPr>
        <w:t> </w:t>
      </w:r>
      <w:r>
        <w:rPr/>
        <w:t>el</w:t>
      </w:r>
      <w:r>
        <w:rPr>
          <w:spacing w:val="-4"/>
        </w:rPr>
        <w:t> </w:t>
      </w:r>
      <w:r>
        <w:rPr/>
        <w:t>análisis</w:t>
      </w:r>
      <w:r>
        <w:rPr>
          <w:spacing w:val="-6"/>
        </w:rPr>
        <w:t> </w:t>
      </w:r>
      <w:r>
        <w:rPr/>
        <w:t>de</w:t>
      </w:r>
      <w:r>
        <w:rPr>
          <w:spacing w:val="-5"/>
        </w:rPr>
        <w:t> </w:t>
      </w:r>
      <w:r>
        <w:rPr/>
        <w:t>procesos</w:t>
      </w:r>
      <w:r>
        <w:rPr>
          <w:spacing w:val="-6"/>
        </w:rPr>
        <w:t> </w:t>
      </w:r>
      <w:r>
        <w:rPr/>
        <w:t>de</w:t>
      </w:r>
      <w:r>
        <w:rPr>
          <w:spacing w:val="-5"/>
        </w:rPr>
        <w:t> </w:t>
      </w:r>
      <w:r>
        <w:rPr/>
        <w:t>subsidencia</w:t>
      </w:r>
      <w:r>
        <w:rPr>
          <w:spacing w:val="-5"/>
        </w:rPr>
        <w:t> </w:t>
      </w:r>
      <w:r>
        <w:rPr/>
        <w:t>en</w:t>
      </w:r>
      <w:r>
        <w:rPr>
          <w:spacing w:val="-5"/>
        </w:rPr>
        <w:t> </w:t>
      </w:r>
      <w:r>
        <w:rPr/>
        <w:t>la</w:t>
      </w:r>
      <w:r>
        <w:rPr>
          <w:spacing w:val="-4"/>
        </w:rPr>
        <w:t> </w:t>
      </w:r>
      <w:r>
        <w:rPr/>
        <w:t>Ciudad de Toluca asociados a la sobre explotación del Acuífero del Valle de Toluca (AVT) a partir de técnicas de radar y su correlación espacial con la geología superficial y estimación de curvas de abatimiento para el periodo</w:t>
      </w:r>
      <w:r>
        <w:rPr>
          <w:spacing w:val="-4"/>
        </w:rPr>
        <w:t> </w:t>
      </w:r>
      <w:r>
        <w:rPr/>
        <w:t>2003-2010.</w:t>
      </w:r>
    </w:p>
    <w:p>
      <w:pPr>
        <w:pStyle w:val="BodyText"/>
        <w:spacing w:before="1"/>
        <w:rPr>
          <w:sz w:val="25"/>
        </w:rPr>
      </w:pPr>
    </w:p>
    <w:p>
      <w:pPr>
        <w:pStyle w:val="Heading1"/>
      </w:pPr>
      <w:r>
        <w:rPr/>
        <w:t>ANTECEDENTES DE LA ZONA DE ESTUDIO</w:t>
      </w:r>
    </w:p>
    <w:p>
      <w:pPr>
        <w:pStyle w:val="BodyText"/>
        <w:rPr>
          <w:b/>
        </w:rPr>
      </w:pPr>
    </w:p>
    <w:p>
      <w:pPr>
        <w:pStyle w:val="BodyText"/>
        <w:rPr>
          <w:b/>
        </w:rPr>
      </w:pPr>
    </w:p>
    <w:p>
      <w:pPr>
        <w:pStyle w:val="Heading2"/>
        <w:ind w:right="110"/>
        <w:rPr>
          <w:i/>
        </w:rPr>
      </w:pPr>
      <w:r>
        <w:rPr>
          <w:i/>
        </w:rPr>
        <w:t>Localización</w:t>
      </w:r>
    </w:p>
    <w:p>
      <w:pPr>
        <w:spacing w:after="0"/>
        <w:sectPr>
          <w:pgSz w:w="12240" w:h="15840"/>
          <w:pgMar w:header="737" w:footer="968" w:top="1620" w:bottom="1160" w:left="1320" w:right="1320"/>
        </w:sectPr>
      </w:pPr>
    </w:p>
    <w:p>
      <w:pPr>
        <w:pStyle w:val="BodyText"/>
        <w:spacing w:before="4"/>
        <w:rPr>
          <w:b/>
          <w:i/>
          <w:sz w:val="10"/>
        </w:rPr>
      </w:pPr>
    </w:p>
    <w:p>
      <w:pPr>
        <w:pStyle w:val="BodyText"/>
        <w:spacing w:line="477" w:lineRule="auto" w:before="69"/>
        <w:ind w:left="110" w:right="116" w:firstLine="718"/>
        <w:jc w:val="both"/>
      </w:pPr>
      <w:r>
        <w:rPr/>
        <w:t>La</w:t>
      </w:r>
      <w:r>
        <w:rPr>
          <w:spacing w:val="-13"/>
        </w:rPr>
        <w:t> </w:t>
      </w:r>
      <w:r>
        <w:rPr/>
        <w:t>Ciudad</w:t>
      </w:r>
      <w:r>
        <w:rPr>
          <w:spacing w:val="-13"/>
        </w:rPr>
        <w:t> </w:t>
      </w:r>
      <w:r>
        <w:rPr/>
        <w:t>de</w:t>
      </w:r>
      <w:r>
        <w:rPr>
          <w:spacing w:val="-13"/>
        </w:rPr>
        <w:t> </w:t>
      </w:r>
      <w:r>
        <w:rPr/>
        <w:t>Toluca</w:t>
      </w:r>
      <w:r>
        <w:rPr>
          <w:spacing w:val="-14"/>
        </w:rPr>
        <w:t> </w:t>
      </w:r>
      <w:r>
        <w:rPr/>
        <w:t>se</w:t>
      </w:r>
      <w:r>
        <w:rPr>
          <w:spacing w:val="-14"/>
        </w:rPr>
        <w:t> </w:t>
      </w:r>
      <w:r>
        <w:rPr/>
        <w:t>encuentra</w:t>
      </w:r>
      <w:r>
        <w:rPr>
          <w:spacing w:val="-14"/>
        </w:rPr>
        <w:t> </w:t>
      </w:r>
      <w:r>
        <w:rPr/>
        <w:t>asentada</w:t>
      </w:r>
      <w:r>
        <w:rPr>
          <w:spacing w:val="-14"/>
        </w:rPr>
        <w:t> </w:t>
      </w:r>
      <w:r>
        <w:rPr/>
        <w:t>en</w:t>
      </w:r>
      <w:r>
        <w:rPr>
          <w:spacing w:val="-12"/>
        </w:rPr>
        <w:t> </w:t>
      </w:r>
      <w:r>
        <w:rPr/>
        <w:t>el</w:t>
      </w:r>
      <w:r>
        <w:rPr>
          <w:spacing w:val="-14"/>
        </w:rPr>
        <w:t> </w:t>
      </w:r>
      <w:r>
        <w:rPr/>
        <w:t>AVT</w:t>
      </w:r>
      <w:r>
        <w:rPr>
          <w:spacing w:val="33"/>
        </w:rPr>
        <w:t> </w:t>
      </w:r>
      <w:r>
        <w:rPr/>
        <w:t>sobre</w:t>
      </w:r>
      <w:r>
        <w:rPr>
          <w:spacing w:val="-13"/>
        </w:rPr>
        <w:t> </w:t>
      </w:r>
      <w:r>
        <w:rPr/>
        <w:t>la</w:t>
      </w:r>
      <w:r>
        <w:rPr>
          <w:spacing w:val="-14"/>
        </w:rPr>
        <w:t> </w:t>
      </w:r>
      <w:r>
        <w:rPr/>
        <w:t>Cuenca</w:t>
      </w:r>
      <w:r>
        <w:rPr>
          <w:spacing w:val="-13"/>
        </w:rPr>
        <w:t> </w:t>
      </w:r>
      <w:r>
        <w:rPr/>
        <w:t>Alta</w:t>
      </w:r>
      <w:r>
        <w:rPr>
          <w:spacing w:val="-14"/>
        </w:rPr>
        <w:t> </w:t>
      </w:r>
      <w:r>
        <w:rPr/>
        <w:t>del</w:t>
      </w:r>
      <w:r>
        <w:rPr>
          <w:spacing w:val="-14"/>
        </w:rPr>
        <w:t> </w:t>
      </w:r>
      <w:r>
        <w:rPr/>
        <w:t>Río</w:t>
      </w:r>
      <w:r>
        <w:rPr>
          <w:spacing w:val="-13"/>
        </w:rPr>
        <w:t> </w:t>
      </w:r>
      <w:r>
        <w:rPr/>
        <w:t>Lerma, que limita al norte con el acuífero Ixtlahuaca-Atlacomulco, al sur con el Cerro de Tenango, al  este</w:t>
      </w:r>
      <w:r>
        <w:rPr>
          <w:spacing w:val="-11"/>
        </w:rPr>
        <w:t> </w:t>
      </w:r>
      <w:r>
        <w:rPr/>
        <w:t>con</w:t>
      </w:r>
      <w:r>
        <w:rPr>
          <w:spacing w:val="-12"/>
        </w:rPr>
        <w:t> </w:t>
      </w:r>
      <w:r>
        <w:rPr/>
        <w:t>la</w:t>
      </w:r>
      <w:r>
        <w:rPr>
          <w:spacing w:val="-10"/>
        </w:rPr>
        <w:t> </w:t>
      </w:r>
      <w:r>
        <w:rPr/>
        <w:t>Sierra</w:t>
      </w:r>
      <w:r>
        <w:rPr>
          <w:spacing w:val="-12"/>
        </w:rPr>
        <w:t> </w:t>
      </w:r>
      <w:r>
        <w:rPr/>
        <w:t>de</w:t>
      </w:r>
      <w:r>
        <w:rPr>
          <w:spacing w:val="-11"/>
        </w:rPr>
        <w:t> </w:t>
      </w:r>
      <w:r>
        <w:rPr/>
        <w:t>las</w:t>
      </w:r>
      <w:r>
        <w:rPr>
          <w:spacing w:val="-11"/>
        </w:rPr>
        <w:t> </w:t>
      </w:r>
      <w:r>
        <w:rPr/>
        <w:t>Cruces</w:t>
      </w:r>
      <w:r>
        <w:rPr>
          <w:spacing w:val="-10"/>
        </w:rPr>
        <w:t> </w:t>
      </w:r>
      <w:r>
        <w:rPr/>
        <w:t>y</w:t>
      </w:r>
      <w:r>
        <w:rPr>
          <w:spacing w:val="-11"/>
        </w:rPr>
        <w:t> </w:t>
      </w:r>
      <w:r>
        <w:rPr/>
        <w:t>Monte</w:t>
      </w:r>
      <w:r>
        <w:rPr>
          <w:spacing w:val="-10"/>
        </w:rPr>
        <w:t> </w:t>
      </w:r>
      <w:r>
        <w:rPr/>
        <w:t>Alto</w:t>
      </w:r>
      <w:r>
        <w:rPr>
          <w:spacing w:val="-11"/>
        </w:rPr>
        <w:t> </w:t>
      </w:r>
      <w:r>
        <w:rPr/>
        <w:t>y</w:t>
      </w:r>
      <w:r>
        <w:rPr>
          <w:spacing w:val="39"/>
        </w:rPr>
        <w:t> </w:t>
      </w:r>
      <w:r>
        <w:rPr/>
        <w:t>por</w:t>
      </w:r>
      <w:r>
        <w:rPr>
          <w:spacing w:val="-11"/>
        </w:rPr>
        <w:t> </w:t>
      </w:r>
      <w:r>
        <w:rPr/>
        <w:t>al</w:t>
      </w:r>
      <w:r>
        <w:rPr>
          <w:spacing w:val="-10"/>
        </w:rPr>
        <w:t> </w:t>
      </w:r>
      <w:r>
        <w:rPr/>
        <w:t>oeste</w:t>
      </w:r>
      <w:r>
        <w:rPr>
          <w:spacing w:val="-10"/>
        </w:rPr>
        <w:t> </w:t>
      </w:r>
      <w:r>
        <w:rPr/>
        <w:t>con</w:t>
      </w:r>
      <w:r>
        <w:rPr>
          <w:spacing w:val="-11"/>
        </w:rPr>
        <w:t> </w:t>
      </w:r>
      <w:r>
        <w:rPr/>
        <w:t>los</w:t>
      </w:r>
      <w:r>
        <w:rPr>
          <w:spacing w:val="-10"/>
        </w:rPr>
        <w:t> </w:t>
      </w:r>
      <w:r>
        <w:rPr/>
        <w:t>volcanes</w:t>
      </w:r>
      <w:r>
        <w:rPr>
          <w:spacing w:val="-11"/>
        </w:rPr>
        <w:t> </w:t>
      </w:r>
      <w:r>
        <w:rPr/>
        <w:t>del</w:t>
      </w:r>
      <w:r>
        <w:rPr>
          <w:spacing w:val="-10"/>
        </w:rPr>
        <w:t> </w:t>
      </w:r>
      <w:r>
        <w:rPr/>
        <w:t>Nevado</w:t>
      </w:r>
      <w:r>
        <w:rPr>
          <w:spacing w:val="-11"/>
        </w:rPr>
        <w:t> </w:t>
      </w:r>
      <w:r>
        <w:rPr/>
        <w:t>de</w:t>
      </w:r>
      <w:r>
        <w:rPr>
          <w:spacing w:val="-11"/>
        </w:rPr>
        <w:t> </w:t>
      </w:r>
      <w:r>
        <w:rPr/>
        <w:t>Toluca y San Antonio (Figura 1). El AVT tiene un área aproximada de 2782.8 km</w:t>
      </w:r>
      <w:r>
        <w:rPr>
          <w:position w:val="9"/>
          <w:sz w:val="16"/>
        </w:rPr>
        <w:t>2</w:t>
      </w:r>
      <w:r>
        <w:rPr/>
        <w:t>, con un altitud promedio de 2600 msnm, de acuerdo al Censo 2010 la población total del área Metropolitana del Valle de Toluca es de 2,172,651 habitantes (Análisis Preliminar Censo de Población y Vivienda 2010,</w:t>
      </w:r>
      <w:r>
        <w:rPr>
          <w:spacing w:val="-15"/>
        </w:rPr>
        <w:t> </w:t>
      </w:r>
      <w:r>
        <w:rPr/>
        <w:t>INEGI),</w:t>
      </w:r>
      <w:r>
        <w:rPr>
          <w:spacing w:val="-14"/>
        </w:rPr>
        <w:t> </w:t>
      </w:r>
      <w:r>
        <w:rPr/>
        <w:t>y</w:t>
      </w:r>
      <w:r>
        <w:rPr>
          <w:spacing w:val="-15"/>
        </w:rPr>
        <w:t> </w:t>
      </w:r>
      <w:r>
        <w:rPr/>
        <w:t>ya</w:t>
      </w:r>
      <w:r>
        <w:rPr>
          <w:spacing w:val="-14"/>
        </w:rPr>
        <w:t> </w:t>
      </w:r>
      <w:r>
        <w:rPr/>
        <w:t>que</w:t>
      </w:r>
      <w:r>
        <w:rPr>
          <w:spacing w:val="-14"/>
        </w:rPr>
        <w:t> </w:t>
      </w:r>
      <w:r>
        <w:rPr/>
        <w:t>se</w:t>
      </w:r>
      <w:r>
        <w:rPr>
          <w:spacing w:val="-14"/>
        </w:rPr>
        <w:t> </w:t>
      </w:r>
      <w:r>
        <w:rPr/>
        <w:t>encuentra</w:t>
      </w:r>
      <w:r>
        <w:rPr>
          <w:spacing w:val="-15"/>
        </w:rPr>
        <w:t> </w:t>
      </w:r>
      <w:r>
        <w:rPr/>
        <w:t>localizada</w:t>
      </w:r>
      <w:r>
        <w:rPr>
          <w:spacing w:val="-15"/>
        </w:rPr>
        <w:t> </w:t>
      </w:r>
      <w:r>
        <w:rPr/>
        <w:t>en</w:t>
      </w:r>
      <w:r>
        <w:rPr>
          <w:spacing w:val="-16"/>
        </w:rPr>
        <w:t> </w:t>
      </w:r>
      <w:r>
        <w:rPr/>
        <w:t>la</w:t>
      </w:r>
      <w:r>
        <w:rPr>
          <w:spacing w:val="-14"/>
        </w:rPr>
        <w:t> </w:t>
      </w:r>
      <w:r>
        <w:rPr/>
        <w:t>parte</w:t>
      </w:r>
      <w:r>
        <w:rPr>
          <w:spacing w:val="-15"/>
        </w:rPr>
        <w:t> </w:t>
      </w:r>
      <w:r>
        <w:rPr/>
        <w:t>central</w:t>
      </w:r>
      <w:r>
        <w:rPr>
          <w:spacing w:val="-14"/>
        </w:rPr>
        <w:t> </w:t>
      </w:r>
      <w:r>
        <w:rPr/>
        <w:t>de</w:t>
      </w:r>
      <w:r>
        <w:rPr>
          <w:spacing w:val="-14"/>
        </w:rPr>
        <w:t> </w:t>
      </w:r>
      <w:r>
        <w:rPr/>
        <w:t>México,</w:t>
      </w:r>
      <w:r>
        <w:rPr>
          <w:spacing w:val="-13"/>
        </w:rPr>
        <w:t> </w:t>
      </w:r>
      <w:r>
        <w:rPr/>
        <w:t>adyacente</w:t>
      </w:r>
      <w:r>
        <w:rPr>
          <w:spacing w:val="-14"/>
        </w:rPr>
        <w:t> </w:t>
      </w:r>
      <w:r>
        <w:rPr/>
        <w:t>a</w:t>
      </w:r>
      <w:r>
        <w:rPr>
          <w:spacing w:val="-16"/>
        </w:rPr>
        <w:t> </w:t>
      </w:r>
      <w:r>
        <w:rPr/>
        <w:t>la</w:t>
      </w:r>
      <w:r>
        <w:rPr>
          <w:spacing w:val="-14"/>
        </w:rPr>
        <w:t> </w:t>
      </w:r>
      <w:r>
        <w:rPr/>
        <w:t>capital del</w:t>
      </w:r>
      <w:r>
        <w:rPr>
          <w:spacing w:val="-16"/>
        </w:rPr>
        <w:t> </w:t>
      </w:r>
      <w:r>
        <w:rPr/>
        <w:t>país;</w:t>
      </w:r>
      <w:r>
        <w:rPr>
          <w:spacing w:val="28"/>
        </w:rPr>
        <w:t> </w:t>
      </w:r>
      <w:r>
        <w:rPr/>
        <w:t>ha</w:t>
      </w:r>
      <w:r>
        <w:rPr>
          <w:spacing w:val="-18"/>
        </w:rPr>
        <w:t> </w:t>
      </w:r>
      <w:r>
        <w:rPr/>
        <w:t>permitido</w:t>
      </w:r>
      <w:r>
        <w:rPr>
          <w:spacing w:val="-16"/>
        </w:rPr>
        <w:t> </w:t>
      </w:r>
      <w:r>
        <w:rPr/>
        <w:t>que</w:t>
      </w:r>
      <w:r>
        <w:rPr>
          <w:spacing w:val="-17"/>
        </w:rPr>
        <w:t> </w:t>
      </w:r>
      <w:r>
        <w:rPr/>
        <w:t>se</w:t>
      </w:r>
      <w:r>
        <w:rPr>
          <w:spacing w:val="-16"/>
        </w:rPr>
        <w:t> </w:t>
      </w:r>
      <w:r>
        <w:rPr/>
        <w:t>desarrolle</w:t>
      </w:r>
      <w:r>
        <w:rPr>
          <w:spacing w:val="-17"/>
        </w:rPr>
        <w:t> </w:t>
      </w:r>
      <w:r>
        <w:rPr/>
        <w:t>una</w:t>
      </w:r>
      <w:r>
        <w:rPr>
          <w:spacing w:val="-18"/>
        </w:rPr>
        <w:t> </w:t>
      </w:r>
      <w:r>
        <w:rPr/>
        <w:t>actividad</w:t>
      </w:r>
      <w:r>
        <w:rPr>
          <w:spacing w:val="-17"/>
        </w:rPr>
        <w:t> </w:t>
      </w:r>
      <w:r>
        <w:rPr/>
        <w:t>industrial</w:t>
      </w:r>
      <w:r>
        <w:rPr>
          <w:spacing w:val="-16"/>
        </w:rPr>
        <w:t> </w:t>
      </w:r>
      <w:r>
        <w:rPr/>
        <w:t>prominente</w:t>
      </w:r>
      <w:r>
        <w:rPr>
          <w:spacing w:val="-17"/>
        </w:rPr>
        <w:t> </w:t>
      </w:r>
      <w:r>
        <w:rPr/>
        <w:t>para</w:t>
      </w:r>
      <w:r>
        <w:rPr>
          <w:spacing w:val="-17"/>
        </w:rPr>
        <w:t> </w:t>
      </w:r>
      <w:r>
        <w:rPr/>
        <w:t>la</w:t>
      </w:r>
      <w:r>
        <w:rPr>
          <w:spacing w:val="-17"/>
        </w:rPr>
        <w:t> </w:t>
      </w:r>
      <w:r>
        <w:rPr/>
        <w:t>zona</w:t>
      </w:r>
      <w:r>
        <w:rPr>
          <w:spacing w:val="-16"/>
        </w:rPr>
        <w:t> </w:t>
      </w:r>
      <w:r>
        <w:rPr/>
        <w:t>de</w:t>
      </w:r>
      <w:r>
        <w:rPr>
          <w:spacing w:val="-18"/>
        </w:rPr>
        <w:t> </w:t>
      </w:r>
      <w:r>
        <w:rPr/>
        <w:t>estudio.</w:t>
      </w:r>
    </w:p>
    <w:p>
      <w:pPr>
        <w:pStyle w:val="BodyText"/>
        <w:spacing w:before="3"/>
        <w:rPr>
          <w:sz w:val="25"/>
        </w:rPr>
      </w:pPr>
    </w:p>
    <w:p>
      <w:pPr>
        <w:pStyle w:val="Heading1"/>
        <w:spacing w:before="1"/>
      </w:pPr>
      <w:r>
        <w:rPr/>
        <w:t>GEOLOGÍA SUPERFICIAL</w:t>
      </w:r>
    </w:p>
    <w:p>
      <w:pPr>
        <w:pStyle w:val="BodyText"/>
        <w:rPr>
          <w:b/>
        </w:rPr>
      </w:pPr>
    </w:p>
    <w:p>
      <w:pPr>
        <w:pStyle w:val="BodyText"/>
        <w:spacing w:before="9"/>
        <w:rPr>
          <w:b/>
          <w:sz w:val="23"/>
        </w:rPr>
      </w:pPr>
    </w:p>
    <w:p>
      <w:pPr>
        <w:pStyle w:val="BodyText"/>
        <w:spacing w:line="480" w:lineRule="auto"/>
        <w:ind w:left="115" w:right="116" w:firstLine="714"/>
        <w:jc w:val="both"/>
      </w:pPr>
      <w:r>
        <w:rPr/>
        <w:t>La geología superficial del AVT se asocia a rocas aflorantes que van del terciario medio (26 millones de años) al reciente, asociando a tres grupos principalmente. La descripción a continuación puede ser correlacionada con la cartografía de la Figura 1 elaborada por el IFOMEGEN (Instituto de Fomento Minero y Estudios Geológicos del Estado de México) y modificada</w:t>
      </w:r>
      <w:r>
        <w:rPr>
          <w:spacing w:val="-10"/>
        </w:rPr>
        <w:t> </w:t>
      </w:r>
      <w:r>
        <w:rPr/>
        <w:t>por</w:t>
      </w:r>
      <w:r>
        <w:rPr>
          <w:spacing w:val="-9"/>
        </w:rPr>
        <w:t> </w:t>
      </w:r>
      <w:r>
        <w:rPr/>
        <w:t>Expósito</w:t>
      </w:r>
      <w:r>
        <w:rPr>
          <w:spacing w:val="-11"/>
        </w:rPr>
        <w:t> </w:t>
      </w:r>
      <w:r>
        <w:rPr/>
        <w:t>(2012).</w:t>
      </w:r>
      <w:r>
        <w:rPr>
          <w:spacing w:val="-10"/>
        </w:rPr>
        <w:t> </w:t>
      </w:r>
      <w:r>
        <w:rPr/>
        <w:t>Primer</w:t>
      </w:r>
      <w:r>
        <w:rPr>
          <w:spacing w:val="-9"/>
        </w:rPr>
        <w:t> </w:t>
      </w:r>
      <w:r>
        <w:rPr/>
        <w:t>Grupo:</w:t>
      </w:r>
      <w:r>
        <w:rPr>
          <w:spacing w:val="-9"/>
        </w:rPr>
        <w:t> </w:t>
      </w:r>
      <w:r>
        <w:rPr/>
        <w:t>rocas</w:t>
      </w:r>
      <w:r>
        <w:rPr>
          <w:spacing w:val="-9"/>
        </w:rPr>
        <w:t> </w:t>
      </w:r>
      <w:r>
        <w:rPr/>
        <w:t>de</w:t>
      </w:r>
      <w:r>
        <w:rPr>
          <w:spacing w:val="-11"/>
        </w:rPr>
        <w:t> </w:t>
      </w:r>
      <w:r>
        <w:rPr/>
        <w:t>origen</w:t>
      </w:r>
      <w:r>
        <w:rPr>
          <w:spacing w:val="-10"/>
        </w:rPr>
        <w:t> </w:t>
      </w:r>
      <w:r>
        <w:rPr/>
        <w:t>volcánico</w:t>
      </w:r>
      <w:r>
        <w:rPr>
          <w:spacing w:val="-10"/>
        </w:rPr>
        <w:t> </w:t>
      </w:r>
      <w:r>
        <w:rPr/>
        <w:t>localizadas</w:t>
      </w:r>
      <w:r>
        <w:rPr>
          <w:spacing w:val="-11"/>
        </w:rPr>
        <w:t> </w:t>
      </w:r>
      <w:r>
        <w:rPr/>
        <w:t>en</w:t>
      </w:r>
      <w:r>
        <w:rPr>
          <w:spacing w:val="-10"/>
        </w:rPr>
        <w:t> </w:t>
      </w:r>
      <w:r>
        <w:rPr/>
        <w:t>las</w:t>
      </w:r>
      <w:r>
        <w:rPr>
          <w:spacing w:val="-9"/>
        </w:rPr>
        <w:t> </w:t>
      </w:r>
      <w:r>
        <w:rPr/>
        <w:t>partes altas constituidas por basaltos y andesitas principalmente (unidades geológicas Qhv, Qpv, Tmpv, Tmv, Tpv). Segundo Grupo: materiales piroclásticos que se encuentran bordeando las sierras, incluyen tobas, aglomerados, brechas, cenizas volcánicas y depósitos de pie de monte (unidades geológicas</w:t>
      </w:r>
      <w:r>
        <w:rPr>
          <w:spacing w:val="-6"/>
        </w:rPr>
        <w:t> </w:t>
      </w:r>
      <w:r>
        <w:rPr/>
        <w:t>Qpvc</w:t>
      </w:r>
      <w:r>
        <w:rPr>
          <w:spacing w:val="-5"/>
        </w:rPr>
        <w:t> </w:t>
      </w:r>
      <w:r>
        <w:rPr/>
        <w:t>y</w:t>
      </w:r>
      <w:r>
        <w:rPr>
          <w:spacing w:val="-5"/>
        </w:rPr>
        <w:t> </w:t>
      </w:r>
      <w:r>
        <w:rPr/>
        <w:t>Tpvc).</w:t>
      </w:r>
      <w:r>
        <w:rPr>
          <w:spacing w:val="-5"/>
        </w:rPr>
        <w:t> </w:t>
      </w:r>
      <w:r>
        <w:rPr/>
        <w:t>Tercer</w:t>
      </w:r>
      <w:r>
        <w:rPr>
          <w:spacing w:val="-5"/>
        </w:rPr>
        <w:t> </w:t>
      </w:r>
      <w:r>
        <w:rPr/>
        <w:t>Grupo:</w:t>
      </w:r>
      <w:r>
        <w:rPr>
          <w:spacing w:val="-4"/>
        </w:rPr>
        <w:t> </w:t>
      </w:r>
      <w:r>
        <w:rPr/>
        <w:t>materiales</w:t>
      </w:r>
      <w:r>
        <w:rPr>
          <w:spacing w:val="-4"/>
        </w:rPr>
        <w:t> </w:t>
      </w:r>
      <w:r>
        <w:rPr/>
        <w:t>producto</w:t>
      </w:r>
      <w:r>
        <w:rPr>
          <w:spacing w:val="-6"/>
        </w:rPr>
        <w:t> </w:t>
      </w:r>
      <w:r>
        <w:rPr/>
        <w:t>de</w:t>
      </w:r>
      <w:r>
        <w:rPr>
          <w:spacing w:val="-5"/>
        </w:rPr>
        <w:t> </w:t>
      </w:r>
      <w:r>
        <w:rPr/>
        <w:t>la</w:t>
      </w:r>
      <w:r>
        <w:rPr>
          <w:spacing w:val="-4"/>
        </w:rPr>
        <w:t> </w:t>
      </w:r>
      <w:r>
        <w:rPr/>
        <w:t>desintegración</w:t>
      </w:r>
      <w:r>
        <w:rPr>
          <w:spacing w:val="-4"/>
        </w:rPr>
        <w:t> </w:t>
      </w:r>
      <w:r>
        <w:rPr/>
        <w:t>y</w:t>
      </w:r>
      <w:r>
        <w:rPr>
          <w:spacing w:val="-6"/>
        </w:rPr>
        <w:t> </w:t>
      </w:r>
      <w:r>
        <w:rPr/>
        <w:t>erosión</w:t>
      </w:r>
      <w:r>
        <w:rPr>
          <w:spacing w:val="-4"/>
        </w:rPr>
        <w:t> </w:t>
      </w:r>
      <w:r>
        <w:rPr/>
        <w:t>de</w:t>
      </w:r>
      <w:r>
        <w:rPr>
          <w:spacing w:val="-5"/>
        </w:rPr>
        <w:t> </w:t>
      </w:r>
      <w:r>
        <w:rPr/>
        <w:t>los dos grupos anteriores constituidos principalmente por arenas, gravas, arcillas, limos y depósitos lacustres (unidades geológicas Qal, Qla, y</w:t>
      </w:r>
      <w:r>
        <w:rPr>
          <w:spacing w:val="-7"/>
        </w:rPr>
        <w:t> </w:t>
      </w:r>
      <w:r>
        <w:rPr/>
        <w:t>Qpla).</w:t>
      </w:r>
    </w:p>
    <w:p>
      <w:pPr>
        <w:spacing w:after="0" w:line="480" w:lineRule="auto"/>
        <w:jc w:val="both"/>
        <w:sectPr>
          <w:pgSz w:w="12240" w:h="15840"/>
          <w:pgMar w:header="737" w:footer="968" w:top="1620" w:bottom="1160" w:left="1320" w:right="1320"/>
        </w:sectPr>
      </w:pPr>
    </w:p>
    <w:p>
      <w:pPr>
        <w:pStyle w:val="BodyText"/>
        <w:spacing w:before="6"/>
        <w:rPr>
          <w:sz w:val="9"/>
        </w:rPr>
      </w:pPr>
    </w:p>
    <w:p>
      <w:pPr>
        <w:spacing w:before="77"/>
        <w:ind w:left="2886" w:right="110" w:firstLine="0"/>
        <w:jc w:val="left"/>
        <w:rPr>
          <w:sz w:val="18"/>
        </w:rPr>
      </w:pPr>
      <w:r>
        <w:rPr>
          <w:i/>
          <w:sz w:val="18"/>
        </w:rPr>
        <w:t>Figura 1</w:t>
      </w:r>
      <w:r>
        <w:rPr>
          <w:sz w:val="18"/>
        </w:rPr>
        <w:t>. Mapa de localización de la zona de estudio</w:t>
      </w:r>
    </w:p>
    <w:p>
      <w:pPr>
        <w:pStyle w:val="BodyText"/>
        <w:rPr>
          <w:sz w:val="20"/>
        </w:rPr>
      </w:pPr>
    </w:p>
    <w:p>
      <w:pPr>
        <w:pStyle w:val="BodyText"/>
        <w:rPr>
          <w:sz w:val="19"/>
        </w:rPr>
      </w:pPr>
      <w:r>
        <w:rPr/>
        <w:drawing>
          <wp:anchor distT="0" distB="0" distL="0" distR="0" allowOverlap="1" layoutInCell="1" locked="0" behindDoc="0" simplePos="0" relativeHeight="1120">
            <wp:simplePos x="0" y="0"/>
            <wp:positionH relativeFrom="page">
              <wp:posOffset>1520952</wp:posOffset>
            </wp:positionH>
            <wp:positionV relativeFrom="paragraph">
              <wp:posOffset>163756</wp:posOffset>
            </wp:positionV>
            <wp:extent cx="4712200" cy="313639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1" cstate="print"/>
                    <a:stretch>
                      <a:fillRect/>
                    </a:stretch>
                  </pic:blipFill>
                  <pic:spPr>
                    <a:xfrm>
                      <a:off x="0" y="0"/>
                      <a:ext cx="4712200" cy="3136392"/>
                    </a:xfrm>
                    <a:prstGeom prst="rect">
                      <a:avLst/>
                    </a:prstGeom>
                  </pic:spPr>
                </pic:pic>
              </a:graphicData>
            </a:graphic>
          </wp:anchor>
        </w:drawing>
      </w:r>
    </w:p>
    <w:p>
      <w:pPr>
        <w:pStyle w:val="BodyText"/>
        <w:rPr>
          <w:sz w:val="18"/>
        </w:rPr>
      </w:pPr>
    </w:p>
    <w:p>
      <w:pPr>
        <w:pStyle w:val="BodyText"/>
        <w:rPr>
          <w:sz w:val="18"/>
        </w:rPr>
      </w:pPr>
    </w:p>
    <w:p>
      <w:pPr>
        <w:pStyle w:val="BodyText"/>
        <w:spacing w:line="480" w:lineRule="auto" w:before="119"/>
        <w:ind w:left="115" w:right="118" w:firstLine="714"/>
        <w:jc w:val="right"/>
      </w:pPr>
      <w:r>
        <w:rPr/>
        <w:t>En términos generales, los basaltos de composición andesítica se encuentran en</w:t>
      </w:r>
      <w:r>
        <w:rPr>
          <w:spacing w:val="40"/>
        </w:rPr>
        <w:t> </w:t>
      </w:r>
      <w:r>
        <w:rPr/>
        <w:t>forma</w:t>
      </w:r>
      <w:r>
        <w:rPr>
          <w:spacing w:val="2"/>
        </w:rPr>
        <w:t> </w:t>
      </w:r>
      <w:r>
        <w:rPr/>
        <w:t>de extensos mantos de lava, asociados a fisuras o por numerosos volcanes que</w:t>
      </w:r>
      <w:r>
        <w:rPr>
          <w:spacing w:val="39"/>
        </w:rPr>
        <w:t> </w:t>
      </w:r>
      <w:r>
        <w:rPr/>
        <w:t>se</w:t>
      </w:r>
      <w:r>
        <w:rPr>
          <w:spacing w:val="13"/>
        </w:rPr>
        <w:t> </w:t>
      </w:r>
      <w:r>
        <w:rPr/>
        <w:t>localizan principalmente</w:t>
      </w:r>
      <w:r>
        <w:rPr>
          <w:spacing w:val="31"/>
        </w:rPr>
        <w:t> </w:t>
      </w:r>
      <w:r>
        <w:rPr/>
        <w:t>en</w:t>
      </w:r>
      <w:r>
        <w:rPr>
          <w:spacing w:val="31"/>
        </w:rPr>
        <w:t> </w:t>
      </w:r>
      <w:r>
        <w:rPr/>
        <w:t>la</w:t>
      </w:r>
      <w:r>
        <w:rPr>
          <w:spacing w:val="31"/>
        </w:rPr>
        <w:t> </w:t>
      </w:r>
      <w:r>
        <w:rPr/>
        <w:t>parte</w:t>
      </w:r>
      <w:r>
        <w:rPr>
          <w:spacing w:val="31"/>
        </w:rPr>
        <w:t> </w:t>
      </w:r>
      <w:r>
        <w:rPr/>
        <w:t>sur</w:t>
      </w:r>
      <w:r>
        <w:rPr>
          <w:spacing w:val="34"/>
        </w:rPr>
        <w:t> </w:t>
      </w:r>
      <w:r>
        <w:rPr/>
        <w:t>y</w:t>
      </w:r>
      <w:r>
        <w:rPr>
          <w:spacing w:val="31"/>
        </w:rPr>
        <w:t> </w:t>
      </w:r>
      <w:r>
        <w:rPr/>
        <w:t>sureste</w:t>
      </w:r>
      <w:r>
        <w:rPr>
          <w:spacing w:val="31"/>
        </w:rPr>
        <w:t> </w:t>
      </w:r>
      <w:r>
        <w:rPr/>
        <w:t>del</w:t>
      </w:r>
      <w:r>
        <w:rPr>
          <w:spacing w:val="31"/>
        </w:rPr>
        <w:t> </w:t>
      </w:r>
      <w:r>
        <w:rPr/>
        <w:t>acuífero.</w:t>
      </w:r>
      <w:r>
        <w:rPr>
          <w:spacing w:val="31"/>
        </w:rPr>
        <w:t> </w:t>
      </w:r>
      <w:r>
        <w:rPr/>
        <w:t>La</w:t>
      </w:r>
      <w:r>
        <w:rPr>
          <w:spacing w:val="31"/>
        </w:rPr>
        <w:t> </w:t>
      </w:r>
      <w:r>
        <w:rPr/>
        <w:t>importancia</w:t>
      </w:r>
      <w:r>
        <w:rPr>
          <w:spacing w:val="30"/>
        </w:rPr>
        <w:t> </w:t>
      </w:r>
      <w:r>
        <w:rPr/>
        <w:t>de</w:t>
      </w:r>
      <w:r>
        <w:rPr>
          <w:spacing w:val="31"/>
        </w:rPr>
        <w:t> </w:t>
      </w:r>
      <w:r>
        <w:rPr/>
        <w:t>la</w:t>
      </w:r>
      <w:r>
        <w:rPr>
          <w:spacing w:val="31"/>
        </w:rPr>
        <w:t> </w:t>
      </w:r>
      <w:r>
        <w:rPr/>
        <w:t>ubicación</w:t>
      </w:r>
      <w:r>
        <w:rPr>
          <w:spacing w:val="31"/>
        </w:rPr>
        <w:t> </w:t>
      </w:r>
      <w:r>
        <w:rPr/>
        <w:t>de</w:t>
      </w:r>
      <w:r>
        <w:rPr>
          <w:spacing w:val="31"/>
        </w:rPr>
        <w:t> </w:t>
      </w:r>
      <w:r>
        <w:rPr/>
        <w:t>estos</w:t>
      </w:r>
      <w:r>
        <w:rPr>
          <w:w w:val="99"/>
        </w:rPr>
        <w:t> </w:t>
      </w:r>
      <w:r>
        <w:rPr/>
        <w:t>basaltos radica en su alta porosidad y permeabilidad e intercalaciones con capas</w:t>
      </w:r>
      <w:r>
        <w:rPr>
          <w:spacing w:val="26"/>
        </w:rPr>
        <w:t> </w:t>
      </w:r>
      <w:r>
        <w:rPr/>
        <w:t>de</w:t>
      </w:r>
      <w:r>
        <w:rPr>
          <w:spacing w:val="42"/>
        </w:rPr>
        <w:t> </w:t>
      </w:r>
      <w:r>
        <w:rPr/>
        <w:t>material escoriáceo;</w:t>
      </w:r>
      <w:r>
        <w:rPr>
          <w:spacing w:val="-15"/>
        </w:rPr>
        <w:t> </w:t>
      </w:r>
      <w:r>
        <w:rPr/>
        <w:t>que</w:t>
      </w:r>
      <w:r>
        <w:rPr>
          <w:spacing w:val="-14"/>
        </w:rPr>
        <w:t> </w:t>
      </w:r>
      <w:r>
        <w:rPr/>
        <w:t>por</w:t>
      </w:r>
      <w:r>
        <w:rPr>
          <w:spacing w:val="-14"/>
        </w:rPr>
        <w:t> </w:t>
      </w:r>
      <w:r>
        <w:rPr/>
        <w:t>su</w:t>
      </w:r>
      <w:r>
        <w:rPr>
          <w:spacing w:val="-14"/>
        </w:rPr>
        <w:t> </w:t>
      </w:r>
      <w:r>
        <w:rPr/>
        <w:t>extensión</w:t>
      </w:r>
      <w:r>
        <w:rPr>
          <w:spacing w:val="-15"/>
        </w:rPr>
        <w:t> </w:t>
      </w:r>
      <w:r>
        <w:rPr/>
        <w:t>juegan</w:t>
      </w:r>
      <w:r>
        <w:rPr>
          <w:spacing w:val="-15"/>
        </w:rPr>
        <w:t> </w:t>
      </w:r>
      <w:r>
        <w:rPr/>
        <w:t>un</w:t>
      </w:r>
      <w:r>
        <w:rPr>
          <w:spacing w:val="-15"/>
        </w:rPr>
        <w:t> </w:t>
      </w:r>
      <w:r>
        <w:rPr/>
        <w:t>importante</w:t>
      </w:r>
      <w:r>
        <w:rPr>
          <w:spacing w:val="-14"/>
        </w:rPr>
        <w:t> </w:t>
      </w:r>
      <w:r>
        <w:rPr/>
        <w:t>papel</w:t>
      </w:r>
      <w:r>
        <w:rPr>
          <w:spacing w:val="-15"/>
        </w:rPr>
        <w:t> </w:t>
      </w:r>
      <w:r>
        <w:rPr/>
        <w:t>por</w:t>
      </w:r>
      <w:r>
        <w:rPr>
          <w:spacing w:val="-14"/>
        </w:rPr>
        <w:t> </w:t>
      </w:r>
      <w:r>
        <w:rPr/>
        <w:t>ser</w:t>
      </w:r>
      <w:r>
        <w:rPr>
          <w:spacing w:val="-15"/>
        </w:rPr>
        <w:t> </w:t>
      </w:r>
      <w:r>
        <w:rPr/>
        <w:t>la</w:t>
      </w:r>
      <w:r>
        <w:rPr>
          <w:spacing w:val="-12"/>
        </w:rPr>
        <w:t> </w:t>
      </w:r>
      <w:r>
        <w:rPr/>
        <w:t>zona</w:t>
      </w:r>
      <w:r>
        <w:rPr>
          <w:spacing w:val="-14"/>
        </w:rPr>
        <w:t> </w:t>
      </w:r>
      <w:r>
        <w:rPr/>
        <w:t>de</w:t>
      </w:r>
      <w:r>
        <w:rPr>
          <w:spacing w:val="-14"/>
        </w:rPr>
        <w:t> </w:t>
      </w:r>
      <w:r>
        <w:rPr/>
        <w:t>recarga</w:t>
      </w:r>
      <w:r>
        <w:rPr>
          <w:spacing w:val="-14"/>
        </w:rPr>
        <w:t> </w:t>
      </w:r>
      <w:r>
        <w:rPr/>
        <w:t>del</w:t>
      </w:r>
      <w:r>
        <w:rPr>
          <w:spacing w:val="-14"/>
        </w:rPr>
        <w:t> </w:t>
      </w:r>
      <w:r>
        <w:rPr/>
        <w:t>acuífero.</w:t>
      </w:r>
    </w:p>
    <w:p>
      <w:pPr>
        <w:pStyle w:val="BodyText"/>
        <w:spacing w:before="10"/>
      </w:pPr>
    </w:p>
    <w:p>
      <w:pPr>
        <w:pStyle w:val="BodyText"/>
        <w:spacing w:line="480" w:lineRule="auto"/>
        <w:ind w:left="115" w:right="118" w:firstLine="714"/>
        <w:jc w:val="both"/>
      </w:pPr>
      <w:r>
        <w:rPr/>
        <w:t>Las rocas piroclásticas cubren extensas porciones del Valle de Toluca, especialmente en las partes de poca pendiente o planas, y están constituidas principalmente por tobas lacustres con intercalaciones de limo, arcilla, ceniza y horizontes de pómez; y se caracterizan por presentar un elevado potencial de recarga y almacenamiento de agua por la intercalación de materiales de diferente granulometría; por lo que un número considerable de pozos de extracción se encuentran situados en dicha zona.</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6" w:firstLine="714"/>
        <w:jc w:val="both"/>
      </w:pPr>
      <w:r>
        <w:rPr/>
        <w:t>Los depósitos lacustres del Holoceno están constituidos por sedimentos arcillosos y limosos dispuestos en capas laminares relativamente de horizontes poco potentes. Se localizan en las zonas donde existieron lagunas como las de Almoloya, Mexicalcingo, Lerma y San Bartolo. Se considera que estos depósitos, dadas sus características litológicas y extensión presentan poca importancia</w:t>
      </w:r>
      <w:r>
        <w:rPr>
          <w:spacing w:val="-5"/>
        </w:rPr>
        <w:t> </w:t>
      </w:r>
      <w:r>
        <w:rPr/>
        <w:t>en</w:t>
      </w:r>
      <w:r>
        <w:rPr>
          <w:spacing w:val="-4"/>
        </w:rPr>
        <w:t> </w:t>
      </w:r>
      <w:r>
        <w:rPr/>
        <w:t>la</w:t>
      </w:r>
      <w:r>
        <w:rPr>
          <w:spacing w:val="-3"/>
        </w:rPr>
        <w:t> </w:t>
      </w:r>
      <w:r>
        <w:rPr/>
        <w:t>recarga</w:t>
      </w:r>
      <w:r>
        <w:rPr>
          <w:spacing w:val="-4"/>
        </w:rPr>
        <w:t> </w:t>
      </w:r>
      <w:r>
        <w:rPr/>
        <w:t>al</w:t>
      </w:r>
      <w:r>
        <w:rPr>
          <w:spacing w:val="-3"/>
        </w:rPr>
        <w:t> </w:t>
      </w:r>
      <w:r>
        <w:rPr/>
        <w:t>acuífero</w:t>
      </w:r>
      <w:r>
        <w:rPr>
          <w:spacing w:val="-4"/>
        </w:rPr>
        <w:t> </w:t>
      </w:r>
      <w:r>
        <w:rPr/>
        <w:t>(UNITECNIA</w:t>
      </w:r>
      <w:r>
        <w:rPr>
          <w:spacing w:val="-4"/>
        </w:rPr>
        <w:t> </w:t>
      </w:r>
      <w:r>
        <w:rPr/>
        <w:t>S.A.</w:t>
      </w:r>
      <w:r>
        <w:rPr>
          <w:spacing w:val="-3"/>
        </w:rPr>
        <w:t> </w:t>
      </w:r>
      <w:r>
        <w:rPr/>
        <w:t>de</w:t>
      </w:r>
      <w:r>
        <w:rPr>
          <w:spacing w:val="-4"/>
        </w:rPr>
        <w:t> </w:t>
      </w:r>
      <w:r>
        <w:rPr/>
        <w:t>C.V.,</w:t>
      </w:r>
      <w:r>
        <w:rPr>
          <w:spacing w:val="-4"/>
        </w:rPr>
        <w:t> </w:t>
      </w:r>
      <w:r>
        <w:rPr/>
        <w:t>1996);</w:t>
      </w:r>
      <w:r>
        <w:rPr>
          <w:spacing w:val="-3"/>
        </w:rPr>
        <w:t> </w:t>
      </w:r>
      <w:r>
        <w:rPr/>
        <w:t>pero</w:t>
      </w:r>
      <w:r>
        <w:rPr>
          <w:spacing w:val="-4"/>
        </w:rPr>
        <w:t> </w:t>
      </w:r>
      <w:r>
        <w:rPr/>
        <w:t>sí</w:t>
      </w:r>
      <w:r>
        <w:rPr>
          <w:spacing w:val="-3"/>
        </w:rPr>
        <w:t> </w:t>
      </w:r>
      <w:r>
        <w:rPr/>
        <w:t>un</w:t>
      </w:r>
      <w:r>
        <w:rPr>
          <w:spacing w:val="-4"/>
        </w:rPr>
        <w:t> </w:t>
      </w:r>
      <w:r>
        <w:rPr/>
        <w:t>área</w:t>
      </w:r>
      <w:r>
        <w:rPr>
          <w:spacing w:val="-4"/>
        </w:rPr>
        <w:t> </w:t>
      </w:r>
      <w:r>
        <w:rPr/>
        <w:t>potencial para evidencias físicas de procesos de subsidencia del terreno debido a las propiedades de compresión y expansión de las arcillas. Por otra parte, los depósitos de aluvión se originaron por la erosión de del Valle de Toluca y cubren los depósitos volcanoclásticos. Estos depósitos están constituidos por acarreos de tamaño variable, que va de arcillas, arenas, gravas hasta cantos sin consolidar, presentan una alta capacidad de infiltración y se consideran buenos acuíferos (CONAGUA,</w:t>
      </w:r>
      <w:r>
        <w:rPr>
          <w:spacing w:val="-2"/>
        </w:rPr>
        <w:t> </w:t>
      </w:r>
      <w:r>
        <w:rPr/>
        <w:t>2008).</w:t>
      </w:r>
    </w:p>
    <w:p>
      <w:pPr>
        <w:pStyle w:val="BodyText"/>
        <w:spacing w:before="9"/>
      </w:pPr>
    </w:p>
    <w:p>
      <w:pPr>
        <w:pStyle w:val="BodyText"/>
        <w:spacing w:line="480" w:lineRule="auto"/>
        <w:ind w:left="115" w:right="117" w:firstLine="714"/>
        <w:jc w:val="both"/>
      </w:pPr>
      <w:r>
        <w:rPr/>
        <w:t>Por otra parte, en términos hidrogeológicos se puede decir que de acuerdo a la secuencia geológica descrita, el sistema está formado por varios niveles acuíferos superpuestos que constituyen un acuífero multicapa (Ariel Consultores, S.A., 1996). Sin embargo, de manera general, se distinguen dos tipos de unidades acuíferas, una relacionada con el medio poroso representado por los depósitos de clásticos no consolidados que rellenan la cuenca del Valle de Toluca, cuyo espesor varía desde unos cuantos metros hasta 300 m en el centro del valle y otra unidad</w:t>
      </w:r>
      <w:r>
        <w:rPr>
          <w:spacing w:val="-14"/>
        </w:rPr>
        <w:t> </w:t>
      </w:r>
      <w:r>
        <w:rPr/>
        <w:t>relacionada</w:t>
      </w:r>
      <w:r>
        <w:rPr>
          <w:spacing w:val="-14"/>
        </w:rPr>
        <w:t> </w:t>
      </w:r>
      <w:r>
        <w:rPr/>
        <w:t>con</w:t>
      </w:r>
      <w:r>
        <w:rPr>
          <w:spacing w:val="-14"/>
        </w:rPr>
        <w:t> </w:t>
      </w:r>
      <w:r>
        <w:rPr/>
        <w:t>rocas</w:t>
      </w:r>
      <w:r>
        <w:rPr>
          <w:spacing w:val="-15"/>
        </w:rPr>
        <w:t> </w:t>
      </w:r>
      <w:r>
        <w:rPr/>
        <w:t>volcánicas</w:t>
      </w:r>
      <w:r>
        <w:rPr>
          <w:spacing w:val="-15"/>
        </w:rPr>
        <w:t> </w:t>
      </w:r>
      <w:r>
        <w:rPr/>
        <w:t>afectadas</w:t>
      </w:r>
      <w:r>
        <w:rPr>
          <w:spacing w:val="-14"/>
        </w:rPr>
        <w:t> </w:t>
      </w:r>
      <w:r>
        <w:rPr/>
        <w:t>por</w:t>
      </w:r>
      <w:r>
        <w:rPr>
          <w:spacing w:val="-14"/>
        </w:rPr>
        <w:t> </w:t>
      </w:r>
      <w:r>
        <w:rPr/>
        <w:t>tectonismo</w:t>
      </w:r>
      <w:r>
        <w:rPr>
          <w:spacing w:val="-15"/>
        </w:rPr>
        <w:t> </w:t>
      </w:r>
      <w:r>
        <w:rPr/>
        <w:t>y</w:t>
      </w:r>
      <w:r>
        <w:rPr>
          <w:spacing w:val="-15"/>
        </w:rPr>
        <w:t> </w:t>
      </w:r>
      <w:r>
        <w:rPr/>
        <w:t>que</w:t>
      </w:r>
      <w:r>
        <w:rPr>
          <w:spacing w:val="-13"/>
        </w:rPr>
        <w:t> </w:t>
      </w:r>
      <w:r>
        <w:rPr/>
        <w:t>manifiestan</w:t>
      </w:r>
      <w:r>
        <w:rPr>
          <w:spacing w:val="-15"/>
        </w:rPr>
        <w:t> </w:t>
      </w:r>
      <w:r>
        <w:rPr/>
        <w:t>permeabilidad secundaria por fracturamiento, con espesores de 150 a 250 m (CONAGUA, 2008, 2009;</w:t>
      </w:r>
      <w:r>
        <w:rPr>
          <w:spacing w:val="-17"/>
        </w:rPr>
        <w:t> </w:t>
      </w:r>
      <w:r>
        <w:rPr/>
        <w:t>Escolero et al., 2009). Cabe destacar que la mayoría de los sensores piezométricos se encuentran ubicados a dichas profundidades, así como las columnas estratigráficas que los</w:t>
      </w:r>
      <w:r>
        <w:rPr>
          <w:spacing w:val="-9"/>
        </w:rPr>
        <w:t> </w:t>
      </w:r>
      <w:r>
        <w:rPr/>
        <w:t>acompañan.</w:t>
      </w:r>
    </w:p>
    <w:p>
      <w:pPr>
        <w:spacing w:after="0" w:line="480" w:lineRule="auto"/>
        <w:jc w:val="both"/>
        <w:sectPr>
          <w:pgSz w:w="12240" w:h="15840"/>
          <w:pgMar w:header="737" w:footer="968" w:top="1620" w:bottom="1160" w:left="1320" w:right="1320"/>
        </w:sectPr>
      </w:pPr>
    </w:p>
    <w:p>
      <w:pPr>
        <w:pStyle w:val="BodyText"/>
        <w:spacing w:before="6"/>
        <w:rPr>
          <w:sz w:val="9"/>
        </w:rPr>
      </w:pPr>
    </w:p>
    <w:p>
      <w:pPr>
        <w:spacing w:line="480" w:lineRule="auto" w:before="77"/>
        <w:ind w:left="4472" w:right="110" w:hanging="4309"/>
        <w:jc w:val="left"/>
        <w:rPr>
          <w:sz w:val="18"/>
        </w:rPr>
      </w:pPr>
      <w:r>
        <w:rPr>
          <w:i/>
          <w:sz w:val="18"/>
        </w:rPr>
        <w:t>Figura 2</w:t>
      </w:r>
      <w:r>
        <w:rPr>
          <w:sz w:val="18"/>
        </w:rPr>
        <w:t>. Mapa y Corte Geológico del Acuífero del Valle de Toluca (AVT). (Fuente: Expósito 2011, con datos de IFOMEGEN de 1994).</w:t>
      </w:r>
    </w:p>
    <w:p>
      <w:pPr>
        <w:pStyle w:val="BodyText"/>
        <w:spacing w:before="3"/>
        <w:rPr>
          <w:sz w:val="9"/>
        </w:rPr>
      </w:pPr>
      <w:r>
        <w:rPr/>
        <w:drawing>
          <wp:anchor distT="0" distB="0" distL="0" distR="0" allowOverlap="1" layoutInCell="1" locked="0" behindDoc="0" simplePos="0" relativeHeight="1144">
            <wp:simplePos x="0" y="0"/>
            <wp:positionH relativeFrom="page">
              <wp:posOffset>1251203</wp:posOffset>
            </wp:positionH>
            <wp:positionV relativeFrom="paragraph">
              <wp:posOffset>92537</wp:posOffset>
            </wp:positionV>
            <wp:extent cx="5334327" cy="5975604"/>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5334327" cy="5975604"/>
                    </a:xfrm>
                    <a:prstGeom prst="rect">
                      <a:avLst/>
                    </a:prstGeom>
                  </pic:spPr>
                </pic:pic>
              </a:graphicData>
            </a:graphic>
          </wp:anchor>
        </w:drawing>
      </w:r>
    </w:p>
    <w:p>
      <w:pPr>
        <w:pStyle w:val="BodyText"/>
        <w:rPr>
          <w:sz w:val="18"/>
        </w:rPr>
      </w:pPr>
    </w:p>
    <w:p>
      <w:pPr>
        <w:pStyle w:val="BodyText"/>
        <w:spacing w:before="8"/>
        <w:rPr>
          <w:sz w:val="19"/>
        </w:rPr>
      </w:pPr>
    </w:p>
    <w:p>
      <w:pPr>
        <w:pStyle w:val="Heading1"/>
      </w:pPr>
      <w:r>
        <w:rPr/>
        <w:t>METODOLOGÍA</w:t>
      </w:r>
    </w:p>
    <w:p>
      <w:pPr>
        <w:pStyle w:val="BodyText"/>
        <w:rPr>
          <w:b/>
        </w:rPr>
      </w:pPr>
    </w:p>
    <w:p>
      <w:pPr>
        <w:pStyle w:val="BodyText"/>
        <w:spacing w:before="9"/>
        <w:rPr>
          <w:b/>
          <w:sz w:val="23"/>
        </w:rPr>
      </w:pPr>
    </w:p>
    <w:p>
      <w:pPr>
        <w:pStyle w:val="BodyText"/>
        <w:spacing w:line="463" w:lineRule="auto"/>
        <w:ind w:left="115" w:right="110" w:firstLine="714"/>
      </w:pPr>
      <w:r>
        <w:rPr/>
        <w:t>Para</w:t>
      </w:r>
      <w:r>
        <w:rPr>
          <w:spacing w:val="-14"/>
        </w:rPr>
        <w:t> </w:t>
      </w:r>
      <w:r>
        <w:rPr/>
        <w:t>aplicar</w:t>
      </w:r>
      <w:r>
        <w:rPr>
          <w:spacing w:val="-15"/>
        </w:rPr>
        <w:t> </w:t>
      </w:r>
      <w:r>
        <w:rPr/>
        <w:t>la</w:t>
      </w:r>
      <w:r>
        <w:rPr>
          <w:spacing w:val="-14"/>
        </w:rPr>
        <w:t> </w:t>
      </w:r>
      <w:r>
        <w:rPr/>
        <w:t>técnica</w:t>
      </w:r>
      <w:r>
        <w:rPr>
          <w:spacing w:val="-13"/>
        </w:rPr>
        <w:t> </w:t>
      </w:r>
      <w:r>
        <w:rPr/>
        <w:t>InSAR-Persistent</w:t>
      </w:r>
      <w:r>
        <w:rPr>
          <w:spacing w:val="-14"/>
        </w:rPr>
        <w:t> </w:t>
      </w:r>
      <w:r>
        <w:rPr/>
        <w:t>Scatterer</w:t>
      </w:r>
      <w:r>
        <w:rPr>
          <w:spacing w:val="-15"/>
        </w:rPr>
        <w:t> </w:t>
      </w:r>
      <w:r>
        <w:rPr/>
        <w:t>(PS)</w:t>
      </w:r>
      <w:r>
        <w:rPr>
          <w:spacing w:val="-14"/>
        </w:rPr>
        <w:t> </w:t>
      </w:r>
      <w:r>
        <w:rPr/>
        <w:t>se</w:t>
      </w:r>
      <w:r>
        <w:rPr>
          <w:spacing w:val="-14"/>
        </w:rPr>
        <w:t> </w:t>
      </w:r>
      <w:r>
        <w:rPr/>
        <w:t>utilizaron</w:t>
      </w:r>
      <w:r>
        <w:rPr>
          <w:spacing w:val="-15"/>
        </w:rPr>
        <w:t> </w:t>
      </w:r>
      <w:r>
        <w:rPr/>
        <w:t>31</w:t>
      </w:r>
      <w:r>
        <w:rPr>
          <w:spacing w:val="-15"/>
        </w:rPr>
        <w:t> </w:t>
      </w:r>
      <w:r>
        <w:rPr/>
        <w:t>imágenes</w:t>
      </w:r>
      <w:r>
        <w:rPr>
          <w:spacing w:val="-14"/>
        </w:rPr>
        <w:t> </w:t>
      </w:r>
      <w:r>
        <w:rPr/>
        <w:t>complejas SLC  (Single  Light  Complex)  del  sensor  Envisat  -  ASAR  del  periodo  2003-2010,     </w:t>
      </w:r>
      <w:r>
        <w:rPr>
          <w:spacing w:val="29"/>
        </w:rPr>
        <w:t> </w:t>
      </w:r>
      <w:r>
        <w:rPr/>
        <w:t>órbita</w:t>
      </w:r>
    </w:p>
    <w:p>
      <w:pPr>
        <w:spacing w:after="0" w:line="463" w:lineRule="auto"/>
        <w:sectPr>
          <w:pgSz w:w="12240" w:h="15840"/>
          <w:pgMar w:header="737" w:footer="968" w:top="1620" w:bottom="1160" w:left="1320" w:right="1320"/>
        </w:sectPr>
      </w:pPr>
    </w:p>
    <w:p>
      <w:pPr>
        <w:pStyle w:val="BodyText"/>
        <w:spacing w:before="4"/>
        <w:rPr>
          <w:sz w:val="10"/>
        </w:rPr>
      </w:pPr>
    </w:p>
    <w:p>
      <w:pPr>
        <w:pStyle w:val="BodyText"/>
        <w:spacing w:line="463" w:lineRule="auto" w:before="69"/>
        <w:ind w:left="115" w:right="116"/>
        <w:jc w:val="both"/>
      </w:pPr>
      <w:r>
        <w:rPr/>
        <w:t>descendente, tracking 2162. Cabe destacar que la adquisición de imágenes de radar se realizó mediante el proyecto de investigación celebrado con la Agencia Espacial Europea (ESA por sus siglas en inglés), convenio CP1179. La descripción detallada de la técnica INSAR-PS se muestra en el diagrama de flujo de la Figura 3, donde se enlista por fases el procesamiento para la estimación</w:t>
      </w:r>
      <w:r>
        <w:rPr>
          <w:spacing w:val="-11"/>
        </w:rPr>
        <w:t> </w:t>
      </w:r>
      <w:r>
        <w:rPr/>
        <w:t>diferencial</w:t>
      </w:r>
      <w:r>
        <w:rPr>
          <w:spacing w:val="-11"/>
        </w:rPr>
        <w:t> </w:t>
      </w:r>
      <w:r>
        <w:rPr/>
        <w:t>de</w:t>
      </w:r>
      <w:r>
        <w:rPr>
          <w:spacing w:val="-12"/>
        </w:rPr>
        <w:t> </w:t>
      </w:r>
      <w:r>
        <w:rPr/>
        <w:t>la</w:t>
      </w:r>
      <w:r>
        <w:rPr>
          <w:spacing w:val="-10"/>
        </w:rPr>
        <w:t> </w:t>
      </w:r>
      <w:r>
        <w:rPr/>
        <w:t>fase.</w:t>
      </w:r>
      <w:r>
        <w:rPr>
          <w:spacing w:val="-11"/>
        </w:rPr>
        <w:t> </w:t>
      </w:r>
      <w:r>
        <w:rPr/>
        <w:t>Así</w:t>
      </w:r>
      <w:r>
        <w:rPr>
          <w:spacing w:val="-11"/>
        </w:rPr>
        <w:t> </w:t>
      </w:r>
      <w:r>
        <w:rPr/>
        <w:t>la</w:t>
      </w:r>
      <w:r>
        <w:rPr>
          <w:spacing w:val="-11"/>
        </w:rPr>
        <w:t> </w:t>
      </w:r>
      <w:r>
        <w:rPr/>
        <w:t>Fase</w:t>
      </w:r>
      <w:r>
        <w:rPr>
          <w:spacing w:val="-11"/>
        </w:rPr>
        <w:t> </w:t>
      </w:r>
      <w:r>
        <w:rPr/>
        <w:t>A</w:t>
      </w:r>
      <w:r>
        <w:rPr>
          <w:spacing w:val="-12"/>
        </w:rPr>
        <w:t> </w:t>
      </w:r>
      <w:r>
        <w:rPr/>
        <w:t>explica</w:t>
      </w:r>
      <w:r>
        <w:rPr>
          <w:spacing w:val="-11"/>
        </w:rPr>
        <w:t> </w:t>
      </w:r>
      <w:r>
        <w:rPr/>
        <w:t>de</w:t>
      </w:r>
      <w:r>
        <w:rPr>
          <w:spacing w:val="-11"/>
        </w:rPr>
        <w:t> </w:t>
      </w:r>
      <w:r>
        <w:rPr/>
        <w:t>manera</w:t>
      </w:r>
      <w:r>
        <w:rPr>
          <w:spacing w:val="-11"/>
        </w:rPr>
        <w:t> </w:t>
      </w:r>
      <w:r>
        <w:rPr/>
        <w:t>detallada</w:t>
      </w:r>
      <w:r>
        <w:rPr>
          <w:spacing w:val="-11"/>
        </w:rPr>
        <w:t> </w:t>
      </w:r>
      <w:r>
        <w:rPr/>
        <w:t>las</w:t>
      </w:r>
      <w:r>
        <w:rPr>
          <w:spacing w:val="-11"/>
        </w:rPr>
        <w:t> </w:t>
      </w:r>
      <w:r>
        <w:rPr/>
        <w:t>etapas</w:t>
      </w:r>
      <w:r>
        <w:rPr>
          <w:spacing w:val="-11"/>
        </w:rPr>
        <w:t> </w:t>
      </w:r>
      <w:r>
        <w:rPr/>
        <w:t>del</w:t>
      </w:r>
      <w:r>
        <w:rPr>
          <w:spacing w:val="-11"/>
        </w:rPr>
        <w:t> </w:t>
      </w:r>
      <w:r>
        <w:rPr/>
        <w:t>principio INSAR</w:t>
      </w:r>
      <w:r>
        <w:rPr>
          <w:spacing w:val="-8"/>
        </w:rPr>
        <w:t> </w:t>
      </w:r>
      <w:r>
        <w:rPr/>
        <w:t>y</w:t>
      </w:r>
      <w:r>
        <w:rPr>
          <w:spacing w:val="-7"/>
        </w:rPr>
        <w:t> </w:t>
      </w:r>
      <w:r>
        <w:rPr/>
        <w:t>la</w:t>
      </w:r>
      <w:r>
        <w:rPr>
          <w:spacing w:val="-7"/>
        </w:rPr>
        <w:t> </w:t>
      </w:r>
      <w:r>
        <w:rPr/>
        <w:t>Fase</w:t>
      </w:r>
      <w:r>
        <w:rPr>
          <w:spacing w:val="-7"/>
        </w:rPr>
        <w:t> </w:t>
      </w:r>
      <w:r>
        <w:rPr/>
        <w:t>B</w:t>
      </w:r>
      <w:r>
        <w:rPr>
          <w:spacing w:val="-8"/>
        </w:rPr>
        <w:t> </w:t>
      </w:r>
      <w:r>
        <w:rPr/>
        <w:t>describe</w:t>
      </w:r>
      <w:r>
        <w:rPr>
          <w:spacing w:val="-7"/>
        </w:rPr>
        <w:t> </w:t>
      </w:r>
      <w:r>
        <w:rPr/>
        <w:t>la</w:t>
      </w:r>
      <w:r>
        <w:rPr>
          <w:spacing w:val="-8"/>
        </w:rPr>
        <w:t> </w:t>
      </w:r>
      <w:r>
        <w:rPr/>
        <w:t>técnica</w:t>
      </w:r>
      <w:r>
        <w:rPr>
          <w:spacing w:val="-7"/>
        </w:rPr>
        <w:t> </w:t>
      </w:r>
      <w:r>
        <w:rPr/>
        <w:t>Persisten</w:t>
      </w:r>
      <w:r>
        <w:rPr>
          <w:spacing w:val="-7"/>
        </w:rPr>
        <w:t> </w:t>
      </w:r>
      <w:r>
        <w:rPr/>
        <w:t>Scatterer</w:t>
      </w:r>
      <w:r>
        <w:rPr>
          <w:spacing w:val="-7"/>
        </w:rPr>
        <w:t> </w:t>
      </w:r>
      <w:r>
        <w:rPr/>
        <w:t>(PS)</w:t>
      </w:r>
      <w:r>
        <w:rPr>
          <w:spacing w:val="-8"/>
        </w:rPr>
        <w:t> </w:t>
      </w:r>
      <w:r>
        <w:rPr/>
        <w:t>para</w:t>
      </w:r>
      <w:r>
        <w:rPr>
          <w:spacing w:val="-7"/>
        </w:rPr>
        <w:t> </w:t>
      </w:r>
      <w:r>
        <w:rPr/>
        <w:t>estimar</w:t>
      </w:r>
      <w:r>
        <w:rPr>
          <w:spacing w:val="-8"/>
        </w:rPr>
        <w:t> </w:t>
      </w:r>
      <w:r>
        <w:rPr/>
        <w:t>a</w:t>
      </w:r>
      <w:r>
        <w:rPr>
          <w:spacing w:val="-7"/>
        </w:rPr>
        <w:t> </w:t>
      </w:r>
      <w:r>
        <w:rPr/>
        <w:t>mayor</w:t>
      </w:r>
      <w:r>
        <w:rPr>
          <w:spacing w:val="-7"/>
        </w:rPr>
        <w:t> </w:t>
      </w:r>
      <w:r>
        <w:rPr/>
        <w:t>detalle</w:t>
      </w:r>
      <w:r>
        <w:rPr>
          <w:spacing w:val="-8"/>
        </w:rPr>
        <w:t> </w:t>
      </w:r>
      <w:r>
        <w:rPr/>
        <w:t>la</w:t>
      </w:r>
      <w:r>
        <w:rPr>
          <w:spacing w:val="-7"/>
        </w:rPr>
        <w:t> </w:t>
      </w:r>
      <w:r>
        <w:rPr/>
        <w:t>fase diferencial asociada a movimientos diferenciales o subsidencias del</w:t>
      </w:r>
      <w:r>
        <w:rPr>
          <w:spacing w:val="-7"/>
        </w:rPr>
        <w:t> </w:t>
      </w:r>
      <w:r>
        <w:rPr/>
        <w:t>terreno.</w:t>
      </w:r>
    </w:p>
    <w:p>
      <w:pPr>
        <w:pStyle w:val="BodyText"/>
      </w:pPr>
    </w:p>
    <w:p>
      <w:pPr>
        <w:spacing w:before="141"/>
        <w:ind w:left="1631" w:right="110" w:firstLine="0"/>
        <w:jc w:val="left"/>
        <w:rPr>
          <w:sz w:val="18"/>
        </w:rPr>
      </w:pPr>
      <w:r>
        <w:rPr>
          <w:i/>
          <w:sz w:val="18"/>
        </w:rPr>
        <w:t>Figura 3. </w:t>
      </w:r>
      <w:r>
        <w:rPr>
          <w:sz w:val="18"/>
        </w:rPr>
        <w:t>Fases metodológicas del principio y técnicas InSAR-Persistent Scatterer (PS).</w:t>
      </w:r>
    </w:p>
    <w:p>
      <w:pPr>
        <w:pStyle w:val="BodyText"/>
        <w:rPr>
          <w:sz w:val="20"/>
        </w:rPr>
      </w:pPr>
    </w:p>
    <w:p>
      <w:pPr>
        <w:pStyle w:val="BodyText"/>
        <w:spacing w:before="6"/>
        <w:rPr>
          <w:sz w:val="18"/>
        </w:rPr>
      </w:pPr>
      <w:r>
        <w:rPr/>
        <w:pict>
          <v:group style="position:absolute;margin-left:133.725006pt;margin-top:12.619187pt;width:344.65pt;height:328.65pt;mso-position-horizontal-relative:page;mso-position-vertical-relative:paragraph;z-index:1168;mso-wrap-distance-left:0;mso-wrap-distance-right:0" coordorigin="2675,252" coordsize="6893,6573">
            <v:shape style="position:absolute;left:2695;top:273;width:6851;height:6532" type="#_x0000_t75" stroked="false">
              <v:imagedata r:id="rId13" o:title=""/>
            </v:shape>
            <v:rect style="position:absolute;left:2685;top:263;width:6871;height:6552" filled="false" stroked="true" strokeweight="1.02pt" strokecolor="#000000"/>
            <w10:wrap type="topAndBottom"/>
          </v:group>
        </w:pict>
      </w:r>
    </w:p>
    <w:p>
      <w:pPr>
        <w:spacing w:after="0"/>
        <w:rPr>
          <w:sz w:val="18"/>
        </w:rPr>
        <w:sectPr>
          <w:pgSz w:w="12240" w:h="15840"/>
          <w:pgMar w:header="737" w:footer="968" w:top="1620" w:bottom="1160" w:left="1320" w:right="1320"/>
        </w:sectPr>
      </w:pPr>
    </w:p>
    <w:p>
      <w:pPr>
        <w:pStyle w:val="BodyText"/>
        <w:spacing w:before="4"/>
        <w:rPr>
          <w:sz w:val="10"/>
        </w:rPr>
      </w:pPr>
    </w:p>
    <w:p>
      <w:pPr>
        <w:pStyle w:val="BodyText"/>
        <w:spacing w:line="480" w:lineRule="auto" w:before="69"/>
        <w:ind w:left="100" w:right="315" w:firstLine="439"/>
        <w:jc w:val="both"/>
      </w:pPr>
      <w:r>
        <w:rPr/>
        <w:t>InSAR</w:t>
      </w:r>
      <w:r>
        <w:rPr>
          <w:spacing w:val="-13"/>
        </w:rPr>
        <w:t> </w:t>
      </w:r>
      <w:r>
        <w:rPr/>
        <w:t>es</w:t>
      </w:r>
      <w:r>
        <w:rPr>
          <w:spacing w:val="-12"/>
        </w:rPr>
        <w:t> </w:t>
      </w:r>
      <w:r>
        <w:rPr/>
        <w:t>un</w:t>
      </w:r>
      <w:r>
        <w:rPr>
          <w:spacing w:val="-13"/>
        </w:rPr>
        <w:t> </w:t>
      </w:r>
      <w:r>
        <w:rPr/>
        <w:t>principio</w:t>
      </w:r>
      <w:r>
        <w:rPr>
          <w:spacing w:val="-13"/>
        </w:rPr>
        <w:t> </w:t>
      </w:r>
      <w:r>
        <w:rPr/>
        <w:t>y</w:t>
      </w:r>
      <w:r>
        <w:rPr>
          <w:spacing w:val="-13"/>
        </w:rPr>
        <w:t> </w:t>
      </w:r>
      <w:r>
        <w:rPr/>
        <w:t>técnica</w:t>
      </w:r>
      <w:r>
        <w:rPr>
          <w:spacing w:val="-13"/>
        </w:rPr>
        <w:t> </w:t>
      </w:r>
      <w:r>
        <w:rPr/>
        <w:t>que</w:t>
      </w:r>
      <w:r>
        <w:rPr>
          <w:spacing w:val="-13"/>
        </w:rPr>
        <w:t> </w:t>
      </w:r>
      <w:r>
        <w:rPr/>
        <w:t>permite</w:t>
      </w:r>
      <w:r>
        <w:rPr>
          <w:spacing w:val="-12"/>
        </w:rPr>
        <w:t> </w:t>
      </w:r>
      <w:r>
        <w:rPr/>
        <w:t>la</w:t>
      </w:r>
      <w:r>
        <w:rPr>
          <w:spacing w:val="-13"/>
        </w:rPr>
        <w:t> </w:t>
      </w:r>
      <w:r>
        <w:rPr/>
        <w:t>estimación</w:t>
      </w:r>
      <w:r>
        <w:rPr>
          <w:spacing w:val="-12"/>
        </w:rPr>
        <w:t> </w:t>
      </w:r>
      <w:r>
        <w:rPr/>
        <w:t>de</w:t>
      </w:r>
      <w:r>
        <w:rPr>
          <w:spacing w:val="-12"/>
        </w:rPr>
        <w:t> </w:t>
      </w:r>
      <w:r>
        <w:rPr/>
        <w:t>distancias</w:t>
      </w:r>
      <w:r>
        <w:rPr>
          <w:spacing w:val="-13"/>
        </w:rPr>
        <w:t> </w:t>
      </w:r>
      <w:r>
        <w:rPr/>
        <w:t>angulares</w:t>
      </w:r>
      <w:r>
        <w:rPr>
          <w:spacing w:val="-13"/>
        </w:rPr>
        <w:t> </w:t>
      </w:r>
      <w:r>
        <w:rPr/>
        <w:t>asociados a un cambio de fase en la señal de retrodispersión al radar, que pueden ser resueltas mediante</w:t>
      </w:r>
      <w:r>
        <w:rPr>
          <w:spacing w:val="-32"/>
        </w:rPr>
        <w:t> </w:t>
      </w:r>
      <w:r>
        <w:rPr/>
        <w:t>la geometría asociada a las múltiples observaciones del radar para una misma área iluminada en tiempos distintos (Hanssen, 2001). Así, para llevar a cabo InSAR se requiere por lo menos de un par interferométrico (es decir de imágenes complejas que estén constituidas por la magnitud y</w:t>
      </w:r>
      <w:r>
        <w:rPr>
          <w:spacing w:val="-6"/>
        </w:rPr>
        <w:t> </w:t>
      </w:r>
      <w:r>
        <w:rPr/>
        <w:t>la</w:t>
      </w:r>
      <w:r>
        <w:rPr>
          <w:spacing w:val="-6"/>
        </w:rPr>
        <w:t> </w:t>
      </w:r>
      <w:r>
        <w:rPr/>
        <w:t>fase</w:t>
      </w:r>
      <w:r>
        <w:rPr>
          <w:spacing w:val="-6"/>
        </w:rPr>
        <w:t> </w:t>
      </w:r>
      <w:r>
        <w:rPr/>
        <w:t>de</w:t>
      </w:r>
      <w:r>
        <w:rPr>
          <w:spacing w:val="-6"/>
        </w:rPr>
        <w:t> </w:t>
      </w:r>
      <w:r>
        <w:rPr/>
        <w:t>la</w:t>
      </w:r>
      <w:r>
        <w:rPr>
          <w:spacing w:val="-6"/>
        </w:rPr>
        <w:t> </w:t>
      </w:r>
      <w:r>
        <w:rPr/>
        <w:t>señal)</w:t>
      </w:r>
      <w:r>
        <w:rPr>
          <w:spacing w:val="-6"/>
        </w:rPr>
        <w:t> </w:t>
      </w:r>
      <w:r>
        <w:rPr/>
        <w:t>donde</w:t>
      </w:r>
      <w:r>
        <w:rPr>
          <w:spacing w:val="-6"/>
        </w:rPr>
        <w:t> </w:t>
      </w:r>
      <w:r>
        <w:rPr/>
        <w:t>la</w:t>
      </w:r>
      <w:r>
        <w:rPr>
          <w:spacing w:val="-6"/>
        </w:rPr>
        <w:t> </w:t>
      </w:r>
      <w:r>
        <w:rPr/>
        <w:t>primera</w:t>
      </w:r>
      <w:r>
        <w:rPr>
          <w:spacing w:val="-6"/>
        </w:rPr>
        <w:t> </w:t>
      </w:r>
      <w:r>
        <w:rPr/>
        <w:t>imagen</w:t>
      </w:r>
      <w:r>
        <w:rPr>
          <w:spacing w:val="-6"/>
        </w:rPr>
        <w:t> </w:t>
      </w:r>
      <w:r>
        <w:rPr/>
        <w:t>es</w:t>
      </w:r>
      <w:r>
        <w:rPr>
          <w:spacing w:val="-5"/>
        </w:rPr>
        <w:t> </w:t>
      </w:r>
      <w:r>
        <w:rPr/>
        <w:t>nombrada</w:t>
      </w:r>
      <w:r>
        <w:rPr>
          <w:spacing w:val="-6"/>
        </w:rPr>
        <w:t> </w:t>
      </w:r>
      <w:r>
        <w:rPr/>
        <w:t>“master”</w:t>
      </w:r>
      <w:r>
        <w:rPr>
          <w:spacing w:val="-6"/>
        </w:rPr>
        <w:t> </w:t>
      </w:r>
      <w:r>
        <w:rPr/>
        <w:t>y</w:t>
      </w:r>
      <w:r>
        <w:rPr>
          <w:spacing w:val="-6"/>
        </w:rPr>
        <w:t> </w:t>
      </w:r>
      <w:r>
        <w:rPr/>
        <w:t>la</w:t>
      </w:r>
      <w:r>
        <w:rPr>
          <w:spacing w:val="-6"/>
        </w:rPr>
        <w:t> </w:t>
      </w:r>
      <w:r>
        <w:rPr/>
        <w:t>segunda</w:t>
      </w:r>
      <w:r>
        <w:rPr>
          <w:spacing w:val="-6"/>
        </w:rPr>
        <w:t> </w:t>
      </w:r>
      <w:r>
        <w:rPr/>
        <w:t>“slave”.</w:t>
      </w:r>
      <w:r>
        <w:rPr>
          <w:spacing w:val="-6"/>
        </w:rPr>
        <w:t> </w:t>
      </w:r>
      <w:r>
        <w:rPr/>
        <w:t>En</w:t>
      </w:r>
      <w:r>
        <w:rPr>
          <w:spacing w:val="-7"/>
        </w:rPr>
        <w:t> </w:t>
      </w:r>
      <w:r>
        <w:rPr/>
        <w:t>la Figura 4 se muestra la geometría que sigue la técnica InSAR, donde SAR 1 y SAR 2 se encuentran</w:t>
      </w:r>
      <w:r>
        <w:rPr>
          <w:spacing w:val="-13"/>
        </w:rPr>
        <w:t> </w:t>
      </w:r>
      <w:r>
        <w:rPr/>
        <w:t>separados</w:t>
      </w:r>
      <w:r>
        <w:rPr>
          <w:spacing w:val="-13"/>
        </w:rPr>
        <w:t> </w:t>
      </w:r>
      <w:r>
        <w:rPr/>
        <w:t>por</w:t>
      </w:r>
      <w:r>
        <w:rPr>
          <w:spacing w:val="-14"/>
        </w:rPr>
        <w:t> </w:t>
      </w:r>
      <w:r>
        <w:rPr/>
        <w:t>una</w:t>
      </w:r>
      <w:r>
        <w:rPr>
          <w:spacing w:val="-13"/>
        </w:rPr>
        <w:t> </w:t>
      </w:r>
      <w:r>
        <w:rPr/>
        <w:t>cierta</w:t>
      </w:r>
      <w:r>
        <w:rPr>
          <w:spacing w:val="-13"/>
        </w:rPr>
        <w:t> </w:t>
      </w:r>
      <w:r>
        <w:rPr/>
        <w:t>distancia,</w:t>
      </w:r>
      <w:r>
        <w:rPr>
          <w:spacing w:val="-13"/>
        </w:rPr>
        <w:t> </w:t>
      </w:r>
      <w:r>
        <w:rPr/>
        <w:t>a</w:t>
      </w:r>
      <w:r>
        <w:rPr>
          <w:spacing w:val="-13"/>
        </w:rPr>
        <w:t> </w:t>
      </w:r>
      <w:r>
        <w:rPr/>
        <w:t>la</w:t>
      </w:r>
      <w:r>
        <w:rPr>
          <w:spacing w:val="-13"/>
        </w:rPr>
        <w:t> </w:t>
      </w:r>
      <w:r>
        <w:rPr/>
        <w:t>línea</w:t>
      </w:r>
      <w:r>
        <w:rPr>
          <w:spacing w:val="-13"/>
        </w:rPr>
        <w:t> </w:t>
      </w:r>
      <w:r>
        <w:rPr/>
        <w:t>que</w:t>
      </w:r>
      <w:r>
        <w:rPr>
          <w:spacing w:val="-13"/>
        </w:rPr>
        <w:t> </w:t>
      </w:r>
      <w:r>
        <w:rPr/>
        <w:t>determina</w:t>
      </w:r>
      <w:r>
        <w:rPr>
          <w:spacing w:val="-13"/>
        </w:rPr>
        <w:t> </w:t>
      </w:r>
      <w:r>
        <w:rPr/>
        <w:t>la</w:t>
      </w:r>
      <w:r>
        <w:rPr>
          <w:spacing w:val="-13"/>
        </w:rPr>
        <w:t> </w:t>
      </w:r>
      <w:r>
        <w:rPr/>
        <w:t>dirección</w:t>
      </w:r>
      <w:r>
        <w:rPr>
          <w:spacing w:val="-13"/>
        </w:rPr>
        <w:t> </w:t>
      </w:r>
      <w:r>
        <w:rPr/>
        <w:t>de</w:t>
      </w:r>
      <w:r>
        <w:rPr>
          <w:spacing w:val="-13"/>
        </w:rPr>
        <w:t> </w:t>
      </w:r>
      <w:r>
        <w:rPr/>
        <w:t>separación de las dos antenas recibe el nombre de línea de base el cual permite estimar las diferencias angulares entre las dos adquisiciones</w:t>
      </w:r>
      <w:r>
        <w:rPr>
          <w:spacing w:val="-6"/>
        </w:rPr>
        <w:t> </w:t>
      </w:r>
      <w:r>
        <w:rPr/>
        <w:t>INSAR.</w:t>
      </w:r>
    </w:p>
    <w:p>
      <w:pPr>
        <w:pStyle w:val="BodyText"/>
        <w:rPr>
          <w:sz w:val="29"/>
        </w:rPr>
      </w:pPr>
    </w:p>
    <w:p>
      <w:pPr>
        <w:spacing w:before="0"/>
        <w:ind w:left="3233" w:right="403" w:firstLine="0"/>
        <w:jc w:val="left"/>
        <w:rPr>
          <w:sz w:val="18"/>
        </w:rPr>
      </w:pPr>
      <w:r>
        <w:rPr>
          <w:i/>
          <w:sz w:val="18"/>
        </w:rPr>
        <w:t>Figura 3. </w:t>
      </w:r>
      <w:r>
        <w:rPr>
          <w:sz w:val="18"/>
        </w:rPr>
        <w:t>Geometría de adquisición INSAR</w:t>
      </w:r>
    </w:p>
    <w:p>
      <w:pPr>
        <w:pStyle w:val="BodyText"/>
        <w:rPr>
          <w:sz w:val="20"/>
        </w:rPr>
      </w:pPr>
    </w:p>
    <w:p>
      <w:pPr>
        <w:pStyle w:val="BodyText"/>
        <w:spacing w:before="4"/>
        <w:rPr>
          <w:sz w:val="23"/>
        </w:rPr>
      </w:pPr>
      <w:r>
        <w:rPr/>
        <w:pict>
          <v:group style="position:absolute;margin-left:158.880005pt;margin-top:15.394622pt;width:287.1pt;height:200.95pt;mso-position-horizontal-relative:page;mso-position-vertical-relative:paragraph;z-index:1192;mso-wrap-distance-left:0;mso-wrap-distance-right:0" coordorigin="3178,308" coordsize="5742,4019">
            <v:shape style="position:absolute;left:8362;top:4168;width:36;height:159" type="#_x0000_t75" stroked="false">
              <v:imagedata r:id="rId14" o:title=""/>
            </v:shape>
            <v:shape style="position:absolute;left:3178;top:308;width:5184;height:3956" type="#_x0000_t75" stroked="false">
              <v:imagedata r:id="rId15" o:title=""/>
            </v:shape>
            <v:shape style="position:absolute;left:6708;top:899;width:430;height:237" type="#_x0000_t75" stroked="false">
              <v:imagedata r:id="rId16" o:title=""/>
            </v:shape>
            <v:shape style="position:absolute;left:6938;top:899;width:1945;height:237" type="#_x0000_t75" stroked="false">
              <v:imagedata r:id="rId17" o:title=""/>
            </v:shape>
            <v:shape style="position:absolute;left:7116;top:899;width:1421;height:237" type="#_x0000_t75" stroked="false">
              <v:imagedata r:id="rId18" o:title=""/>
            </v:shape>
            <v:shape style="position:absolute;left:8355;top:899;width:256;height:237" type="#_x0000_t75" stroked="false">
              <v:imagedata r:id="rId19" o:title=""/>
            </v:shape>
            <v:shape style="position:absolute;left:6708;top:1245;width:829;height:237" type="#_x0000_t75" stroked="false">
              <v:imagedata r:id="rId20" o:title=""/>
            </v:shape>
            <v:shape style="position:absolute;left:6868;top:1245;width:132;height:237" type="#_x0000_t75" stroked="false">
              <v:imagedata r:id="rId21" o:title=""/>
            </v:shape>
            <v:shape style="position:absolute;left:6868;top:1245;width:593;height:237" type="#_x0000_t75" stroked="false">
              <v:imagedata r:id="rId22" o:title=""/>
            </v:shape>
            <v:shape style="position:absolute;left:7279;top:1245;width:256;height:237" type="#_x0000_t75" stroked="false">
              <v:imagedata r:id="rId23" o:title=""/>
            </v:shape>
            <v:shape style="position:absolute;left:6708;top:1593;width:2212;height:237" type="#_x0000_t75" stroked="false">
              <v:imagedata r:id="rId24" o:title=""/>
            </v:shape>
            <v:shape style="position:absolute;left:6906;top:1631;width:1471;height:114" type="#_x0000_t75" stroked="false">
              <v:imagedata r:id="rId25" o:title=""/>
            </v:shape>
            <v:shape style="position:absolute;left:8330;top:1593;width:256;height:237" type="#_x0000_t75" stroked="false">
              <v:imagedata r:id="rId26" o:title=""/>
            </v:shape>
            <v:shape style="position:absolute;left:6708;top:1805;width:504;height:237" type="#_x0000_t75" stroked="false">
              <v:imagedata r:id="rId27" o:title=""/>
            </v:shape>
            <v:shape style="position:absolute;left:6708;top:1805;width:472;height:237" type="#_x0000_t75" stroked="false">
              <v:imagedata r:id="rId28" o:title=""/>
            </v:shape>
            <v:shape style="position:absolute;left:6997;top:1805;width:215;height:237" type="#_x0000_t75" stroked="false">
              <v:imagedata r:id="rId29" o:title=""/>
            </v:shape>
            <v:shape style="position:absolute;left:6708;top:2153;width:167;height:237" type="#_x0000_t75" stroked="false">
              <v:imagedata r:id="rId30" o:title=""/>
            </v:shape>
            <v:shape style="position:absolute;left:6742;top:2153;width:1155;height:237" type="#_x0000_t75" stroked="false">
              <v:imagedata r:id="rId31" o:title=""/>
            </v:shape>
            <v:shape style="position:absolute;left:6919;top:2153;width:826;height:237" type="#_x0000_t75" stroked="false">
              <v:imagedata r:id="rId32" o:title=""/>
            </v:shape>
            <v:shape style="position:absolute;left:7563;top:2153;width:256;height:237" type="#_x0000_t75" stroked="false">
              <v:imagedata r:id="rId26" o:title=""/>
            </v:shape>
            <v:shape style="position:absolute;left:7654;top:2153;width:609;height:237" type="#_x0000_t75" stroked="false">
              <v:imagedata r:id="rId33" o:title=""/>
            </v:shape>
            <v:shape style="position:absolute;left:7654;top:2153;width:548;height:237" type="#_x0000_t75" stroked="false">
              <v:imagedata r:id="rId34" o:title=""/>
            </v:shape>
            <v:shape style="position:absolute;left:8020;top:2153;width:243;height:237" type="#_x0000_t75" stroked="false">
              <v:imagedata r:id="rId35" o:title=""/>
            </v:shape>
            <v:shape style="position:absolute;left:6708;top:2499;width:1651;height:237" type="#_x0000_t75" stroked="false">
              <v:imagedata r:id="rId36" o:title=""/>
            </v:shape>
            <v:shape style="position:absolute;left:6843;top:2499;width:131;height:237" type="#_x0000_t75" stroked="false">
              <v:imagedata r:id="rId21" o:title=""/>
            </v:shape>
            <v:shape style="position:absolute;left:6843;top:2499;width:1233;height:237" type="#_x0000_t75" stroked="false">
              <v:imagedata r:id="rId37" o:title=""/>
            </v:shape>
            <v:shape style="position:absolute;left:7894;top:2499;width:256;height:237" type="#_x0000_t75" stroked="false">
              <v:imagedata r:id="rId26" o:title=""/>
            </v:shape>
            <v:shape style="position:absolute;left:7983;top:2499;width:176;height:237" type="#_x0000_t75" stroked="false">
              <v:imagedata r:id="rId38" o:title=""/>
            </v:shape>
            <w10:wrap type="topAndBottom"/>
          </v:group>
        </w:pict>
      </w:r>
    </w:p>
    <w:p>
      <w:pPr>
        <w:pStyle w:val="BodyText"/>
        <w:rPr>
          <w:sz w:val="18"/>
        </w:rPr>
      </w:pPr>
    </w:p>
    <w:p>
      <w:pPr>
        <w:pStyle w:val="BodyText"/>
        <w:rPr>
          <w:sz w:val="18"/>
        </w:rPr>
      </w:pPr>
    </w:p>
    <w:p>
      <w:pPr>
        <w:pStyle w:val="BodyText"/>
        <w:spacing w:before="11"/>
        <w:rPr>
          <w:sz w:val="25"/>
        </w:rPr>
      </w:pPr>
    </w:p>
    <w:p>
      <w:pPr>
        <w:pStyle w:val="BodyText"/>
        <w:spacing w:line="480" w:lineRule="auto"/>
        <w:ind w:left="560" w:right="403" w:firstLine="353"/>
      </w:pPr>
      <w:r>
        <w:rPr/>
        <w:t>Partiendo así del principio InSAR el objetivo de la técnica Interferometría Diferencial (DInSAR por sus siglas en inglés) radica en medir cambios mínimos o deformaciones</w:t>
      </w:r>
    </w:p>
    <w:p>
      <w:pPr>
        <w:spacing w:after="0" w:line="480" w:lineRule="auto"/>
        <w:sectPr>
          <w:pgSz w:w="12240" w:h="15840"/>
          <w:pgMar w:header="737" w:footer="968" w:top="1620" w:bottom="1160" w:left="1340" w:right="1320"/>
        </w:sectPr>
      </w:pPr>
    </w:p>
    <w:p>
      <w:pPr>
        <w:pStyle w:val="BodyText"/>
        <w:spacing w:before="4"/>
        <w:rPr>
          <w:sz w:val="10"/>
        </w:rPr>
      </w:pPr>
    </w:p>
    <w:p>
      <w:pPr>
        <w:pStyle w:val="BodyText"/>
        <w:spacing w:line="480" w:lineRule="auto" w:before="69"/>
        <w:ind w:left="645" w:right="392" w:hanging="434"/>
      </w:pPr>
      <w:r>
        <w:rPr/>
        <w:t>expresados en la superficie terrestre a partir de un par interferométrico complejo adquirido en distintas pasadas o tiempos (ver Figura 15), lo cual puede ser expresado de la forma:</w:t>
      </w:r>
    </w:p>
    <w:p>
      <w:pPr>
        <w:pStyle w:val="BodyText"/>
        <w:spacing w:before="1"/>
        <w:rPr>
          <w:sz w:val="26"/>
        </w:rPr>
      </w:pPr>
      <w:r>
        <w:rPr/>
        <w:drawing>
          <wp:anchor distT="0" distB="0" distL="0" distR="0" allowOverlap="1" layoutInCell="1" locked="0" behindDoc="0" simplePos="0" relativeHeight="1216">
            <wp:simplePos x="0" y="0"/>
            <wp:positionH relativeFrom="page">
              <wp:posOffset>3555491</wp:posOffset>
            </wp:positionH>
            <wp:positionV relativeFrom="paragraph">
              <wp:posOffset>215839</wp:posOffset>
            </wp:positionV>
            <wp:extent cx="737754" cy="324611"/>
            <wp:effectExtent l="0" t="0" r="0" b="0"/>
            <wp:wrapTopAndBottom/>
            <wp:docPr id="11" name="image32.png" descr=""/>
            <wp:cNvGraphicFramePr>
              <a:graphicFrameLocks noChangeAspect="1"/>
            </wp:cNvGraphicFramePr>
            <a:graphic>
              <a:graphicData uri="http://schemas.openxmlformats.org/drawingml/2006/picture">
                <pic:pic>
                  <pic:nvPicPr>
                    <pic:cNvPr id="12" name="image32.png"/>
                    <pic:cNvPicPr/>
                  </pic:nvPicPr>
                  <pic:blipFill>
                    <a:blip r:embed="rId39" cstate="print"/>
                    <a:stretch>
                      <a:fillRect/>
                    </a:stretch>
                  </pic:blipFill>
                  <pic:spPr>
                    <a:xfrm>
                      <a:off x="0" y="0"/>
                      <a:ext cx="737754" cy="324611"/>
                    </a:xfrm>
                    <a:prstGeom prst="rect">
                      <a:avLst/>
                    </a:prstGeom>
                  </pic:spPr>
                </pic:pic>
              </a:graphicData>
            </a:graphic>
          </wp:anchor>
        </w:drawing>
      </w:r>
    </w:p>
    <w:p>
      <w:pPr>
        <w:pStyle w:val="BodyText"/>
      </w:pPr>
    </w:p>
    <w:p>
      <w:pPr>
        <w:pStyle w:val="BodyText"/>
        <w:spacing w:before="2"/>
        <w:rPr>
          <w:sz w:val="19"/>
        </w:rPr>
      </w:pPr>
    </w:p>
    <w:p>
      <w:pPr>
        <w:pStyle w:val="BodyText"/>
        <w:spacing w:line="463" w:lineRule="auto" w:before="1"/>
        <w:ind w:left="115" w:right="118" w:hanging="5"/>
        <w:jc w:val="both"/>
      </w:pPr>
      <w:r>
        <w:rPr/>
        <w:t>donde: Δφ se le conoce como la fase interferométrica, ΔR es el cambio en el rango debido a un desplazamiento del terreno ocurrido entre la primera y la segunda observacion</w:t>
      </w:r>
      <w:r>
        <w:rPr>
          <w:b/>
        </w:rPr>
        <w:t>, </w:t>
      </w:r>
      <w:r>
        <w:rPr/>
        <w:t>y λ es la longitud de</w:t>
      </w:r>
      <w:r>
        <w:rPr>
          <w:spacing w:val="-4"/>
        </w:rPr>
        <w:t> </w:t>
      </w:r>
      <w:r>
        <w:rPr/>
        <w:t>onda</w:t>
      </w:r>
      <w:r>
        <w:rPr>
          <w:b/>
        </w:rPr>
        <w:t>.</w:t>
      </w:r>
      <w:r>
        <w:rPr>
          <w:b/>
          <w:spacing w:val="-4"/>
        </w:rPr>
        <w:t> </w:t>
      </w:r>
      <w:r>
        <w:rPr/>
        <w:t>La</w:t>
      </w:r>
      <w:r>
        <w:rPr>
          <w:spacing w:val="-6"/>
        </w:rPr>
        <w:t> </w:t>
      </w:r>
      <w:r>
        <w:rPr/>
        <w:t>ecuación</w:t>
      </w:r>
      <w:r>
        <w:rPr>
          <w:spacing w:val="-5"/>
        </w:rPr>
        <w:t> </w:t>
      </w:r>
      <w:r>
        <w:rPr/>
        <w:t>nos</w:t>
      </w:r>
      <w:r>
        <w:rPr>
          <w:spacing w:val="-4"/>
        </w:rPr>
        <w:t> </w:t>
      </w:r>
      <w:r>
        <w:rPr/>
        <w:t>indica</w:t>
      </w:r>
      <w:r>
        <w:rPr>
          <w:spacing w:val="-5"/>
        </w:rPr>
        <w:t> </w:t>
      </w:r>
      <w:r>
        <w:rPr/>
        <w:t>la</w:t>
      </w:r>
      <w:r>
        <w:rPr>
          <w:spacing w:val="-3"/>
        </w:rPr>
        <w:t> </w:t>
      </w:r>
      <w:r>
        <w:rPr/>
        <w:t>diferencia</w:t>
      </w:r>
      <w:r>
        <w:rPr>
          <w:spacing w:val="-4"/>
        </w:rPr>
        <w:t> </w:t>
      </w:r>
      <w:r>
        <w:rPr/>
        <w:t>de</w:t>
      </w:r>
      <w:r>
        <w:rPr>
          <w:spacing w:val="-4"/>
        </w:rPr>
        <w:t> </w:t>
      </w:r>
      <w:r>
        <w:rPr/>
        <w:t>fase</w:t>
      </w:r>
      <w:r>
        <w:rPr>
          <w:spacing w:val="-3"/>
        </w:rPr>
        <w:t> </w:t>
      </w:r>
      <w:r>
        <w:rPr/>
        <w:t>de</w:t>
      </w:r>
      <w:r>
        <w:rPr>
          <w:spacing w:val="-5"/>
        </w:rPr>
        <w:t> </w:t>
      </w:r>
      <w:r>
        <w:rPr/>
        <w:t>dos</w:t>
      </w:r>
      <w:r>
        <w:rPr>
          <w:spacing w:val="-5"/>
        </w:rPr>
        <w:t> </w:t>
      </w:r>
      <w:r>
        <w:rPr/>
        <w:t>imágenes</w:t>
      </w:r>
      <w:r>
        <w:rPr>
          <w:spacing w:val="-3"/>
        </w:rPr>
        <w:t> </w:t>
      </w:r>
      <w:r>
        <w:rPr/>
        <w:t>radar</w:t>
      </w:r>
      <w:r>
        <w:rPr>
          <w:spacing w:val="-3"/>
        </w:rPr>
        <w:t> </w:t>
      </w:r>
      <w:r>
        <w:rPr/>
        <w:t>(par</w:t>
      </w:r>
      <w:r>
        <w:rPr>
          <w:spacing w:val="-5"/>
        </w:rPr>
        <w:t> </w:t>
      </w:r>
      <w:r>
        <w:rPr/>
        <w:t>interferométrico) adquiridas desde dos posiciones</w:t>
      </w:r>
      <w:r>
        <w:rPr>
          <w:spacing w:val="-7"/>
        </w:rPr>
        <w:t> </w:t>
      </w:r>
      <w:r>
        <w:rPr/>
        <w:t>diferentes.</w:t>
      </w:r>
    </w:p>
    <w:p>
      <w:pPr>
        <w:pStyle w:val="BodyText"/>
      </w:pPr>
    </w:p>
    <w:p>
      <w:pPr>
        <w:pStyle w:val="BodyText"/>
        <w:spacing w:line="463" w:lineRule="auto" w:before="143"/>
        <w:ind w:left="115" w:right="116" w:firstLine="714"/>
        <w:jc w:val="both"/>
      </w:pPr>
      <w:r>
        <w:rPr/>
        <w:t>La fase asociada al desplazamiento es extraída directamente del interferograma generado previamente; cuando se logra aislar la fase asociada se puede estimar la componente de movimiento o deformación de cada una de las adquisiciones (SAR 1 y SAR 2) (Crosetto, et al., 2005). De manera gráfica la generación de un interferograma a partir de SAR 1 y SAR 2 es la suma de contribución de los distintos elementos que conforman la fase:</w:t>
      </w:r>
    </w:p>
    <w:p>
      <w:pPr>
        <w:pStyle w:val="BodyText"/>
      </w:pPr>
    </w:p>
    <w:p>
      <w:pPr>
        <w:spacing w:before="146"/>
        <w:ind w:left="2683" w:right="110" w:firstLine="0"/>
        <w:jc w:val="left"/>
        <w:rPr>
          <w:rFonts w:ascii="Cambria Math" w:hAnsi="Cambria Math" w:eastAsia="Cambria Math"/>
          <w:sz w:val="17"/>
        </w:rPr>
      </w:pPr>
      <w:r>
        <w:rPr>
          <w:rFonts w:ascii="Cambria Math" w:hAnsi="Cambria Math" w:eastAsia="Cambria Math"/>
          <w:spacing w:val="-1"/>
          <w:w w:val="100"/>
          <w:sz w:val="24"/>
        </w:rPr>
        <w:t>∆</w:t>
      </w:r>
      <w:r>
        <w:rPr>
          <w:rFonts w:ascii="Cambria Math" w:hAnsi="Cambria Math" w:eastAsia="Cambria Math"/>
          <w:w w:val="99"/>
          <w:sz w:val="24"/>
        </w:rPr>
        <w:t>𝜙</w:t>
      </w:r>
      <w:r>
        <w:rPr>
          <w:rFonts w:ascii="Cambria Math" w:hAnsi="Cambria Math" w:eastAsia="Cambria Math"/>
          <w:w w:val="100"/>
          <w:sz w:val="17"/>
        </w:rPr>
        <w:t>𝒊</w:t>
      </w:r>
      <w:r>
        <w:rPr>
          <w:rFonts w:ascii="Cambria Math" w:hAnsi="Cambria Math" w:eastAsia="Cambria Math"/>
          <w:spacing w:val="-2"/>
          <w:w w:val="100"/>
          <w:sz w:val="17"/>
        </w:rPr>
        <w:t>𝒏</w:t>
      </w:r>
      <w:r>
        <w:rPr>
          <w:rFonts w:ascii="Cambria Math" w:hAnsi="Cambria Math" w:eastAsia="Cambria Math"/>
          <w:w w:val="100"/>
          <w:sz w:val="17"/>
        </w:rPr>
        <w:t>𝒕</w:t>
      </w:r>
      <w:r>
        <w:rPr>
          <w:rFonts w:ascii="Cambria Math" w:hAnsi="Cambria Math" w:eastAsia="Cambria Math"/>
          <w:sz w:val="17"/>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pacing w:val="-1"/>
          <w:w w:val="100"/>
          <w:sz w:val="24"/>
        </w:rPr>
        <w:t>∆</w:t>
      </w:r>
      <w:r>
        <w:rPr>
          <w:rFonts w:ascii="Cambria Math" w:hAnsi="Cambria Math" w:eastAsia="Cambria Math"/>
          <w:w w:val="99"/>
          <w:sz w:val="24"/>
        </w:rPr>
        <w:t>𝜙</w:t>
      </w:r>
      <w:r>
        <w:rPr>
          <w:rFonts w:ascii="Cambria Math" w:hAnsi="Cambria Math" w:eastAsia="Cambria Math"/>
          <w:spacing w:val="-1"/>
          <w:w w:val="60"/>
          <w:sz w:val="17"/>
        </w:rPr>
        <w:t>�</w:t>
      </w:r>
      <w:r>
        <w:rPr>
          <w:rFonts w:ascii="Cambria Math" w:hAnsi="Cambria Math" w:eastAsia="Cambria Math"/>
          <w:w w:val="81"/>
          <w:sz w:val="17"/>
        </w:rPr>
        <w:t>�</w:t>
      </w:r>
      <w:r>
        <w:rPr>
          <w:rFonts w:ascii="Cambria Math" w:hAnsi="Cambria Math" w:eastAsia="Cambria Math"/>
          <w:spacing w:val="-1"/>
          <w:w w:val="84"/>
          <w:sz w:val="17"/>
        </w:rPr>
        <w:t>�</w:t>
      </w:r>
      <w:r>
        <w:rPr>
          <w:rFonts w:ascii="Cambria Math" w:hAnsi="Cambria Math" w:eastAsia="Cambria Math"/>
          <w:w w:val="81"/>
          <w:sz w:val="17"/>
        </w:rPr>
        <w:t>�</w:t>
      </w:r>
      <w:r>
        <w:rPr>
          <w:rFonts w:ascii="Cambria Math" w:hAnsi="Cambria Math" w:eastAsia="Cambria Math"/>
          <w:sz w:val="17"/>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pacing w:val="-1"/>
          <w:w w:val="100"/>
          <w:sz w:val="24"/>
        </w:rPr>
        <w:t>∆</w:t>
      </w:r>
      <w:r>
        <w:rPr>
          <w:rFonts w:ascii="Cambria Math" w:hAnsi="Cambria Math" w:eastAsia="Cambria Math"/>
          <w:w w:val="99"/>
          <w:sz w:val="24"/>
        </w:rPr>
        <w:t>𝜙</w:t>
      </w:r>
      <w:r>
        <w:rPr>
          <w:rFonts w:ascii="Cambria Math" w:hAnsi="Cambria Math" w:eastAsia="Cambria Math"/>
          <w:spacing w:val="-1"/>
          <w:w w:val="88"/>
          <w:sz w:val="17"/>
        </w:rPr>
        <w:t>�</w:t>
      </w:r>
      <w:r>
        <w:rPr>
          <w:rFonts w:ascii="Cambria Math" w:hAnsi="Cambria Math" w:eastAsia="Cambria Math"/>
          <w:w w:val="100"/>
          <w:sz w:val="17"/>
        </w:rPr>
        <w:t>𝑖</w:t>
      </w:r>
      <w:r>
        <w:rPr>
          <w:rFonts w:ascii="Cambria Math" w:hAnsi="Cambria Math" w:eastAsia="Cambria Math"/>
          <w:spacing w:val="-1"/>
          <w:w w:val="83"/>
          <w:sz w:val="17"/>
        </w:rPr>
        <w:t>�</w:t>
      </w:r>
      <w:r>
        <w:rPr>
          <w:rFonts w:ascii="Cambria Math" w:hAnsi="Cambria Math" w:eastAsia="Cambria Math"/>
          <w:w w:val="83"/>
          <w:sz w:val="17"/>
        </w:rPr>
        <w:t>�</w:t>
      </w:r>
      <w:r>
        <w:rPr>
          <w:rFonts w:ascii="Cambria Math" w:hAnsi="Cambria Math" w:eastAsia="Cambria Math"/>
          <w:spacing w:val="-2"/>
          <w:sz w:val="17"/>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pacing w:val="-1"/>
          <w:w w:val="100"/>
          <w:sz w:val="24"/>
        </w:rPr>
        <w:t>∆</w:t>
      </w:r>
      <w:r>
        <w:rPr>
          <w:rFonts w:ascii="Cambria Math" w:hAnsi="Cambria Math" w:eastAsia="Cambria Math"/>
          <w:w w:val="99"/>
          <w:sz w:val="24"/>
        </w:rPr>
        <w:t>𝜙</w:t>
      </w:r>
      <w:r>
        <w:rPr>
          <w:rFonts w:ascii="Cambria Math" w:hAnsi="Cambria Math" w:eastAsia="Cambria Math"/>
          <w:spacing w:val="-1"/>
          <w:w w:val="100"/>
          <w:sz w:val="17"/>
        </w:rPr>
        <w:t>𝑎</w:t>
      </w:r>
      <w:r>
        <w:rPr>
          <w:rFonts w:ascii="Cambria Math" w:hAnsi="Cambria Math" w:eastAsia="Cambria Math"/>
          <w:spacing w:val="-1"/>
          <w:w w:val="60"/>
          <w:sz w:val="17"/>
        </w:rPr>
        <w:t>�</w:t>
      </w:r>
      <w:r>
        <w:rPr>
          <w:rFonts w:ascii="Cambria Math" w:hAnsi="Cambria Math" w:eastAsia="Cambria Math"/>
          <w:w w:val="127"/>
          <w:sz w:val="17"/>
        </w:rPr>
        <w:t>�</w:t>
      </w:r>
      <w:r>
        <w:rPr>
          <w:rFonts w:ascii="Cambria Math" w:hAnsi="Cambria Math" w:eastAsia="Cambria Math"/>
          <w:spacing w:val="-1"/>
          <w:sz w:val="17"/>
        </w:rPr>
        <w:t> </w:t>
      </w:r>
      <w:r>
        <w:rPr>
          <w:rFonts w:ascii="Cambria Math" w:hAnsi="Cambria Math" w:eastAsia="Cambria Math"/>
          <w:sz w:val="24"/>
        </w:rPr>
        <w:t>+ </w:t>
      </w:r>
      <w:r>
        <w:rPr>
          <w:rFonts w:ascii="Cambria Math" w:hAnsi="Cambria Math" w:eastAsia="Cambria Math"/>
          <w:w w:val="100"/>
          <w:sz w:val="24"/>
        </w:rPr>
        <w:t>∆</w:t>
      </w:r>
      <w:r>
        <w:rPr>
          <w:rFonts w:ascii="Cambria Math" w:hAnsi="Cambria Math" w:eastAsia="Cambria Math"/>
          <w:w w:val="99"/>
          <w:sz w:val="24"/>
        </w:rPr>
        <w:t>𝜙</w:t>
      </w:r>
      <w:r>
        <w:rPr>
          <w:rFonts w:ascii="Cambria Math" w:hAnsi="Cambria Math" w:eastAsia="Cambria Math"/>
          <w:spacing w:val="-1"/>
          <w:w w:val="87"/>
          <w:sz w:val="17"/>
        </w:rPr>
        <w:t>�</w:t>
      </w:r>
      <w:r>
        <w:rPr>
          <w:rFonts w:ascii="Cambria Math" w:hAnsi="Cambria Math" w:eastAsia="Cambria Math"/>
          <w:w w:val="81"/>
          <w:sz w:val="17"/>
        </w:rPr>
        <w:t>�</w:t>
      </w:r>
      <w:r>
        <w:rPr>
          <w:rFonts w:ascii="Cambria Math" w:hAnsi="Cambria Math" w:eastAsia="Cambria Math"/>
          <w:w w:val="100"/>
          <w:sz w:val="17"/>
        </w:rPr>
        <w:t>𝑖</w:t>
      </w:r>
      <w:r>
        <w:rPr>
          <w:rFonts w:ascii="Cambria Math" w:hAnsi="Cambria Math" w:eastAsia="Cambria Math"/>
          <w:w w:val="70"/>
          <w:sz w:val="17"/>
        </w:rPr>
        <w:t>�</w:t>
      </w:r>
      <w:r>
        <w:rPr>
          <w:rFonts w:ascii="Cambria Math" w:hAnsi="Cambria Math" w:eastAsia="Cambria Math"/>
          <w:w w:val="75"/>
          <w:sz w:val="17"/>
        </w:rPr>
        <w:t>�</w:t>
      </w:r>
    </w:p>
    <w:p>
      <w:pPr>
        <w:pStyle w:val="BodyText"/>
        <w:rPr>
          <w:rFonts w:ascii="Cambria Math"/>
        </w:rPr>
      </w:pPr>
    </w:p>
    <w:p>
      <w:pPr>
        <w:pStyle w:val="BodyText"/>
        <w:spacing w:line="475" w:lineRule="auto" w:before="157"/>
        <w:ind w:left="129" w:right="103" w:hanging="5"/>
        <w:jc w:val="both"/>
      </w:pPr>
      <w:r>
        <w:rPr>
          <w:position w:val="1"/>
        </w:rPr>
        <w:t>dónde: </w:t>
      </w:r>
      <w:r>
        <w:rPr>
          <w:spacing w:val="-1"/>
          <w:w w:val="99"/>
          <w:position w:val="-4"/>
        </w:rPr>
        <w:drawing>
          <wp:inline distT="0" distB="0" distL="0" distR="0">
            <wp:extent cx="95250" cy="142494"/>
            <wp:effectExtent l="0" t="0" r="0" b="0"/>
            <wp:docPr id="13" name="image33.png" descr=""/>
            <wp:cNvGraphicFramePr>
              <a:graphicFrameLocks noChangeAspect="1"/>
            </wp:cNvGraphicFramePr>
            <a:graphic>
              <a:graphicData uri="http://schemas.openxmlformats.org/drawingml/2006/picture">
                <pic:pic>
                  <pic:nvPicPr>
                    <pic:cNvPr id="14" name="image33.png"/>
                    <pic:cNvPicPr/>
                  </pic:nvPicPr>
                  <pic:blipFill>
                    <a:blip r:embed="rId40" cstate="print"/>
                    <a:stretch>
                      <a:fillRect/>
                    </a:stretch>
                  </pic:blipFill>
                  <pic:spPr>
                    <a:xfrm>
                      <a:off x="0" y="0"/>
                      <a:ext cx="95250" cy="142494"/>
                    </a:xfrm>
                    <a:prstGeom prst="rect">
                      <a:avLst/>
                    </a:prstGeom>
                  </pic:spPr>
                </pic:pic>
              </a:graphicData>
            </a:graphic>
          </wp:inline>
        </w:drawing>
      </w:r>
      <w:r>
        <w:rPr>
          <w:spacing w:val="-1"/>
          <w:w w:val="99"/>
          <w:position w:val="-4"/>
        </w:rPr>
      </w:r>
      <w:r>
        <w:rPr>
          <w:i/>
          <w:sz w:val="16"/>
        </w:rPr>
        <w:t>int </w:t>
      </w:r>
      <w:r>
        <w:rPr>
          <w:position w:val="1"/>
        </w:rPr>
        <w:t>representa el interferograma, </w:t>
      </w:r>
      <w:r>
        <w:rPr>
          <w:spacing w:val="2"/>
          <w:w w:val="99"/>
          <w:position w:val="-4"/>
        </w:rPr>
        <w:drawing>
          <wp:inline distT="0" distB="0" distL="0" distR="0">
            <wp:extent cx="95250" cy="142494"/>
            <wp:effectExtent l="0" t="0" r="0" b="0"/>
            <wp:docPr id="15" name="image33.png" descr=""/>
            <wp:cNvGraphicFramePr>
              <a:graphicFrameLocks noChangeAspect="1"/>
            </wp:cNvGraphicFramePr>
            <a:graphic>
              <a:graphicData uri="http://schemas.openxmlformats.org/drawingml/2006/picture">
                <pic:pic>
                  <pic:nvPicPr>
                    <pic:cNvPr id="16" name="image33.png"/>
                    <pic:cNvPicPr/>
                  </pic:nvPicPr>
                  <pic:blipFill>
                    <a:blip r:embed="rId40" cstate="print"/>
                    <a:stretch>
                      <a:fillRect/>
                    </a:stretch>
                  </pic:blipFill>
                  <pic:spPr>
                    <a:xfrm>
                      <a:off x="0" y="0"/>
                      <a:ext cx="95250" cy="142494"/>
                    </a:xfrm>
                    <a:prstGeom prst="rect">
                      <a:avLst/>
                    </a:prstGeom>
                  </pic:spPr>
                </pic:pic>
              </a:graphicData>
            </a:graphic>
          </wp:inline>
        </w:drawing>
      </w:r>
      <w:r>
        <w:rPr>
          <w:spacing w:val="2"/>
          <w:w w:val="99"/>
          <w:position w:val="-4"/>
        </w:rPr>
      </w:r>
      <w:r>
        <w:rPr>
          <w:sz w:val="16"/>
        </w:rPr>
        <w:t>topo </w:t>
      </w:r>
      <w:r>
        <w:rPr>
          <w:position w:val="1"/>
        </w:rPr>
        <w:t>componente debida a la topografía irregular del terreno y está en función de la línea de base, </w:t>
      </w:r>
      <w:r>
        <w:rPr>
          <w:spacing w:val="2"/>
          <w:w w:val="99"/>
          <w:position w:val="-6"/>
        </w:rPr>
        <w:drawing>
          <wp:inline distT="0" distB="0" distL="0" distR="0">
            <wp:extent cx="95250" cy="143256"/>
            <wp:effectExtent l="0" t="0" r="0" b="0"/>
            <wp:docPr id="17" name="image34.png" descr=""/>
            <wp:cNvGraphicFramePr>
              <a:graphicFrameLocks noChangeAspect="1"/>
            </wp:cNvGraphicFramePr>
            <a:graphic>
              <a:graphicData uri="http://schemas.openxmlformats.org/drawingml/2006/picture">
                <pic:pic>
                  <pic:nvPicPr>
                    <pic:cNvPr id="18" name="image34.png"/>
                    <pic:cNvPicPr/>
                  </pic:nvPicPr>
                  <pic:blipFill>
                    <a:blip r:embed="rId41" cstate="print"/>
                    <a:stretch>
                      <a:fillRect/>
                    </a:stretch>
                  </pic:blipFill>
                  <pic:spPr>
                    <a:xfrm>
                      <a:off x="0" y="0"/>
                      <a:ext cx="95250" cy="143256"/>
                    </a:xfrm>
                    <a:prstGeom prst="rect">
                      <a:avLst/>
                    </a:prstGeom>
                  </pic:spPr>
                </pic:pic>
              </a:graphicData>
            </a:graphic>
          </wp:inline>
        </w:drawing>
      </w:r>
      <w:r>
        <w:rPr>
          <w:spacing w:val="2"/>
          <w:w w:val="99"/>
          <w:position w:val="-6"/>
        </w:rPr>
      </w:r>
      <w:r>
        <w:rPr>
          <w:sz w:val="16"/>
        </w:rPr>
        <w:t>diff  </w:t>
      </w:r>
      <w:r>
        <w:rPr>
          <w:position w:val="1"/>
        </w:rPr>
        <w:t>es la parte diferencial o componente debido a  la deformación, e implica que tanto se aleja o se acerca el sensor de una escena y otra, </w:t>
      </w:r>
      <w:r>
        <w:rPr>
          <w:spacing w:val="1"/>
          <w:w w:val="99"/>
          <w:position w:val="-2"/>
        </w:rPr>
        <w:drawing>
          <wp:inline distT="0" distB="0" distL="0" distR="0">
            <wp:extent cx="95250" cy="143256"/>
            <wp:effectExtent l="0" t="0" r="0" b="0"/>
            <wp:docPr id="19" name="image35.png" descr=""/>
            <wp:cNvGraphicFramePr>
              <a:graphicFrameLocks noChangeAspect="1"/>
            </wp:cNvGraphicFramePr>
            <a:graphic>
              <a:graphicData uri="http://schemas.openxmlformats.org/drawingml/2006/picture">
                <pic:pic>
                  <pic:nvPicPr>
                    <pic:cNvPr id="20" name="image35.png"/>
                    <pic:cNvPicPr/>
                  </pic:nvPicPr>
                  <pic:blipFill>
                    <a:blip r:embed="rId42" cstate="print"/>
                    <a:stretch>
                      <a:fillRect/>
                    </a:stretch>
                  </pic:blipFill>
                  <pic:spPr>
                    <a:xfrm>
                      <a:off x="0" y="0"/>
                      <a:ext cx="95250" cy="143256"/>
                    </a:xfrm>
                    <a:prstGeom prst="rect">
                      <a:avLst/>
                    </a:prstGeom>
                  </pic:spPr>
                </pic:pic>
              </a:graphicData>
            </a:graphic>
          </wp:inline>
        </w:drawing>
      </w:r>
      <w:r>
        <w:rPr>
          <w:spacing w:val="1"/>
          <w:w w:val="99"/>
          <w:position w:val="-2"/>
        </w:rPr>
      </w:r>
      <w:r>
        <w:rPr>
          <w:sz w:val="16"/>
        </w:rPr>
        <w:t>atm </w:t>
      </w:r>
      <w:r>
        <w:rPr>
          <w:position w:val="1"/>
        </w:rPr>
        <w:t>es la contribución de la atmósfera, debido a cambios en la troposfera y ionosfera, Δ</w:t>
      </w:r>
      <w:r>
        <w:rPr>
          <w:rFonts w:ascii="Cambria Math" w:hAnsi="Cambria Math" w:eastAsia="Cambria Math"/>
          <w:position w:val="1"/>
        </w:rPr>
        <w:t>𝜙</w:t>
      </w:r>
      <w:r>
        <w:rPr>
          <w:rFonts w:ascii="Cambria Math" w:hAnsi="Cambria Math" w:eastAsia="Cambria Math"/>
          <w:sz w:val="16"/>
        </w:rPr>
        <w:t>noise </w:t>
      </w:r>
      <w:r>
        <w:rPr>
          <w:position w:val="1"/>
        </w:rPr>
        <w:t>es la componte </w:t>
      </w:r>
      <w:r>
        <w:rPr/>
        <w:t>debida al ruido por perturbaciones de la señal. (DLR,</w:t>
      </w:r>
      <w:r>
        <w:rPr>
          <w:spacing w:val="-12"/>
        </w:rPr>
        <w:t> </w:t>
      </w:r>
      <w:r>
        <w:rPr/>
        <w:t>2010).</w:t>
      </w:r>
    </w:p>
    <w:p>
      <w:pPr>
        <w:spacing w:after="0" w:line="475"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09" w:right="103" w:firstLine="699"/>
        <w:jc w:val="both"/>
      </w:pPr>
      <w:r>
        <w:rPr/>
        <w:t>Por consiguiente si lo que necesitamos es estimar el cambio en la fase como una variación </w:t>
      </w:r>
      <w:r>
        <w:rPr>
          <w:position w:val="1"/>
        </w:rPr>
        <w:t>de tiempo  tan  solo  es  necesario  despejar  </w:t>
      </w:r>
      <w:r>
        <w:rPr>
          <w:rFonts w:ascii="Cambria Math" w:hAnsi="Cambria Math" w:eastAsia="Cambria Math"/>
          <w:position w:val="1"/>
        </w:rPr>
        <w:t>𝛥𝜙</w:t>
      </w:r>
      <w:r>
        <w:rPr>
          <w:rFonts w:ascii="Cambria Math" w:hAnsi="Cambria Math" w:eastAsia="Cambria Math"/>
          <w:sz w:val="16"/>
        </w:rPr>
        <w:t>�𝑖��  </w:t>
      </w:r>
      <w:r>
        <w:rPr>
          <w:position w:val="1"/>
        </w:rPr>
        <w:t>lo  cual  implica  modelar  o eliminar de </w:t>
      </w:r>
      <w:r>
        <w:rPr/>
        <w:t>interferograma cualquier elemento asociado a la topografía original del terreno así como</w:t>
      </w:r>
      <w:r>
        <w:rPr>
          <w:spacing w:val="25"/>
        </w:rPr>
        <w:t> </w:t>
      </w:r>
      <w:r>
        <w:rPr/>
        <w:t>ruido</w:t>
      </w:r>
      <w:r>
        <w:rPr>
          <w:spacing w:val="-1"/>
        </w:rPr>
        <w:t> </w:t>
      </w:r>
      <w:r>
        <w:rPr/>
        <w:t>inherente</w:t>
      </w:r>
      <w:r>
        <w:rPr>
          <w:spacing w:val="-14"/>
        </w:rPr>
        <w:t> </w:t>
      </w:r>
      <w:r>
        <w:rPr/>
        <w:t>y</w:t>
      </w:r>
      <w:r>
        <w:rPr>
          <w:spacing w:val="-15"/>
        </w:rPr>
        <w:t> </w:t>
      </w:r>
      <w:r>
        <w:rPr/>
        <w:t>atmosférico;</w:t>
      </w:r>
      <w:r>
        <w:rPr>
          <w:spacing w:val="-15"/>
        </w:rPr>
        <w:t> </w:t>
      </w:r>
      <w:r>
        <w:rPr/>
        <w:t>así</w:t>
      </w:r>
      <w:r>
        <w:rPr>
          <w:spacing w:val="-14"/>
        </w:rPr>
        <w:t> </w:t>
      </w:r>
      <w:r>
        <w:rPr/>
        <w:t>el</w:t>
      </w:r>
      <w:r>
        <w:rPr>
          <w:spacing w:val="-14"/>
        </w:rPr>
        <w:t> </w:t>
      </w:r>
      <w:r>
        <w:rPr/>
        <w:t>descomponer</w:t>
      </w:r>
      <w:r>
        <w:rPr>
          <w:spacing w:val="-14"/>
        </w:rPr>
        <w:t> </w:t>
      </w:r>
      <w:r>
        <w:rPr/>
        <w:t>la</w:t>
      </w:r>
      <w:r>
        <w:rPr>
          <w:spacing w:val="-14"/>
        </w:rPr>
        <w:t> </w:t>
      </w:r>
      <w:r>
        <w:rPr/>
        <w:t>fase</w:t>
      </w:r>
      <w:r>
        <w:rPr>
          <w:spacing w:val="-15"/>
        </w:rPr>
        <w:t> </w:t>
      </w:r>
      <w:r>
        <w:rPr/>
        <w:t>implicaría</w:t>
      </w:r>
      <w:r>
        <w:rPr>
          <w:spacing w:val="-15"/>
        </w:rPr>
        <w:t> </w:t>
      </w:r>
      <w:r>
        <w:rPr/>
        <w:t>calcular</w:t>
      </w:r>
      <w:r>
        <w:rPr>
          <w:spacing w:val="-14"/>
        </w:rPr>
        <w:t> </w:t>
      </w:r>
      <w:r>
        <w:rPr/>
        <w:t>la</w:t>
      </w:r>
      <w:r>
        <w:rPr>
          <w:spacing w:val="-15"/>
        </w:rPr>
        <w:t> </w:t>
      </w:r>
      <w:r>
        <w:rPr/>
        <w:t>magnitud</w:t>
      </w:r>
      <w:r>
        <w:rPr>
          <w:spacing w:val="-15"/>
        </w:rPr>
        <w:t> </w:t>
      </w:r>
      <w:r>
        <w:rPr/>
        <w:t>de movimiento. En este caso, la fase interferométrica DinSAR es proporcional a la distancia que   ha recorrido el punto, bajo observación en la dirección del rango, es decir, a la proyección del tramo que une la posición del punto antes y después de su movimiento en la línea de     incidencia satélite-objetivo (Hanssen et al;</w:t>
      </w:r>
      <w:r>
        <w:rPr>
          <w:spacing w:val="18"/>
        </w:rPr>
        <w:t> </w:t>
      </w:r>
      <w:r>
        <w:rPr/>
        <w:t>2001).</w:t>
      </w:r>
    </w:p>
    <w:p>
      <w:pPr>
        <w:pStyle w:val="BodyText"/>
        <w:spacing w:line="480" w:lineRule="auto" w:before="168"/>
        <w:ind w:left="109" w:right="104" w:firstLine="699"/>
        <w:jc w:val="both"/>
      </w:pPr>
      <w:r>
        <w:rPr/>
        <w:t>Resulta importante resaltar que son diversos los componentes o variables que se deben de considerar para realizar un proceso DInSAR con éxito, uno de los más importantes es la línea de base, la cual se define como la distancia que existe entre SAR1 y SAR 2 cuando dicha distancia es mayor a los 1000m entonces el principio InSAR y mucho menos el método DInSAR pueden ser llevados a cabo; esto debido a que las distancias angulares derivadas de la geometría entre SAR1 y SAR 2 no podrían ser conservadas.</w:t>
      </w:r>
    </w:p>
    <w:p>
      <w:pPr>
        <w:pStyle w:val="BodyText"/>
        <w:spacing w:line="480" w:lineRule="auto" w:before="168"/>
        <w:ind w:left="109" w:right="101" w:firstLine="699"/>
        <w:jc w:val="both"/>
      </w:pPr>
      <w:r>
        <w:rPr/>
        <w:t>Hasta este momento la técnica INSAR es útil para la generación y selección de interferogramas entre pares individuales para estimar la fase diferencial asociada a subsidencias del terreno. Así, con la finalidad de obtener una mayor precisión se utilizó la técnica Persistent Scatterer (PS); la cual radica en cálculos a partir de píxeles persistentes (</w:t>
      </w:r>
      <w:r>
        <w:rPr>
          <w:i/>
        </w:rPr>
        <w:t>Persistent Scatterers</w:t>
      </w:r>
      <w:r>
        <w:rPr/>
        <w:t>), y reduce el problema atmosférico debido a la redundancia de imágenes que debe ser mayor a 30,</w:t>
      </w:r>
      <w:r>
        <w:rPr>
          <w:spacing w:val="-37"/>
        </w:rPr>
        <w:t> </w:t>
      </w:r>
      <w:r>
        <w:rPr/>
        <w:t>un aumento en este número y el procesamiento de todos los interferogramas en un solo tiempo; implica una mayor precisión del</w:t>
      </w:r>
      <w:r>
        <w:rPr>
          <w:spacing w:val="-5"/>
        </w:rPr>
        <w:t> </w:t>
      </w:r>
      <w:r>
        <w:rPr/>
        <w:t>modelo.</w:t>
      </w:r>
    </w:p>
    <w:p>
      <w:pPr>
        <w:spacing w:after="0" w:line="480" w:lineRule="auto"/>
        <w:jc w:val="both"/>
        <w:sectPr>
          <w:pgSz w:w="12240" w:h="15840"/>
          <w:pgMar w:header="737" w:footer="968" w:top="1620" w:bottom="1160" w:left="1340" w:right="1320"/>
        </w:sectPr>
      </w:pPr>
    </w:p>
    <w:p>
      <w:pPr>
        <w:pStyle w:val="BodyText"/>
        <w:spacing w:before="4"/>
        <w:rPr>
          <w:sz w:val="10"/>
        </w:rPr>
      </w:pPr>
    </w:p>
    <w:p>
      <w:pPr>
        <w:pStyle w:val="BodyText"/>
        <w:spacing w:line="480" w:lineRule="auto" w:before="69"/>
        <w:ind w:left="124" w:right="101" w:firstLine="704"/>
        <w:jc w:val="both"/>
      </w:pPr>
      <w:r>
        <w:rPr/>
        <w:t>La selección de pixeles candidatos consiste en se realiza en función a la dispersión de la amplitud,</w:t>
      </w:r>
      <w:r>
        <w:rPr>
          <w:spacing w:val="-13"/>
        </w:rPr>
        <w:t> </w:t>
      </w:r>
      <w:r>
        <w:rPr/>
        <w:t>que</w:t>
      </w:r>
      <w:r>
        <w:rPr>
          <w:spacing w:val="-13"/>
        </w:rPr>
        <w:t> </w:t>
      </w:r>
      <w:r>
        <w:rPr/>
        <w:t>fue</w:t>
      </w:r>
      <w:r>
        <w:rPr>
          <w:spacing w:val="-13"/>
        </w:rPr>
        <w:t> </w:t>
      </w:r>
      <w:r>
        <w:rPr/>
        <w:t>el</w:t>
      </w:r>
      <w:r>
        <w:rPr>
          <w:spacing w:val="-13"/>
        </w:rPr>
        <w:t> </w:t>
      </w:r>
      <w:r>
        <w:rPr/>
        <w:t>primer</w:t>
      </w:r>
      <w:r>
        <w:rPr>
          <w:spacing w:val="-13"/>
        </w:rPr>
        <w:t> </w:t>
      </w:r>
      <w:r>
        <w:rPr/>
        <w:t>método</w:t>
      </w:r>
      <w:r>
        <w:rPr>
          <w:spacing w:val="-13"/>
        </w:rPr>
        <w:t> </w:t>
      </w:r>
      <w:r>
        <w:rPr/>
        <w:t>desarrollado</w:t>
      </w:r>
      <w:r>
        <w:rPr>
          <w:spacing w:val="-13"/>
        </w:rPr>
        <w:t> </w:t>
      </w:r>
      <w:r>
        <w:rPr/>
        <w:t>para</w:t>
      </w:r>
      <w:r>
        <w:rPr>
          <w:spacing w:val="-13"/>
        </w:rPr>
        <w:t> </w:t>
      </w:r>
      <w:r>
        <w:rPr/>
        <w:t>identificar</w:t>
      </w:r>
      <w:r>
        <w:rPr>
          <w:spacing w:val="-13"/>
        </w:rPr>
        <w:t> </w:t>
      </w:r>
      <w:r>
        <w:rPr/>
        <w:t>PS</w:t>
      </w:r>
      <w:r>
        <w:rPr>
          <w:spacing w:val="-13"/>
        </w:rPr>
        <w:t> </w:t>
      </w:r>
      <w:r>
        <w:rPr/>
        <w:t>en</w:t>
      </w:r>
      <w:r>
        <w:rPr>
          <w:spacing w:val="-13"/>
        </w:rPr>
        <w:t> </w:t>
      </w:r>
      <w:r>
        <w:rPr/>
        <w:t>una</w:t>
      </w:r>
      <w:r>
        <w:rPr>
          <w:spacing w:val="-13"/>
        </w:rPr>
        <w:t> </w:t>
      </w:r>
      <w:r>
        <w:rPr/>
        <w:t>serie</w:t>
      </w:r>
      <w:r>
        <w:rPr>
          <w:spacing w:val="-13"/>
        </w:rPr>
        <w:t> </w:t>
      </w:r>
      <w:r>
        <w:rPr/>
        <w:t>de</w:t>
      </w:r>
      <w:r>
        <w:rPr>
          <w:spacing w:val="-13"/>
        </w:rPr>
        <w:t> </w:t>
      </w:r>
      <w:r>
        <w:rPr/>
        <w:t>imágenes</w:t>
      </w:r>
      <w:r>
        <w:rPr>
          <w:spacing w:val="-13"/>
        </w:rPr>
        <w:t> </w:t>
      </w:r>
      <w:r>
        <w:rPr/>
        <w:t>SAR, y que se define como la razón entre la desviación estándar y la media de la amplitud SAR, que es calculado píxel a píxel; de ésta manera se identifican un conjunto de píxeles que pasen cierto umbral</w:t>
      </w:r>
      <w:r>
        <w:rPr>
          <w:spacing w:val="-5"/>
        </w:rPr>
        <w:t> </w:t>
      </w:r>
      <w:r>
        <w:rPr/>
        <w:t>establecido</w:t>
      </w:r>
      <w:r>
        <w:rPr>
          <w:spacing w:val="-6"/>
        </w:rPr>
        <w:t> </w:t>
      </w:r>
      <w:r>
        <w:rPr/>
        <w:t>que</w:t>
      </w:r>
      <w:r>
        <w:rPr>
          <w:spacing w:val="-6"/>
        </w:rPr>
        <w:t> </w:t>
      </w:r>
      <w:r>
        <w:rPr/>
        <w:t>pudiera</w:t>
      </w:r>
      <w:r>
        <w:rPr>
          <w:spacing w:val="-6"/>
        </w:rPr>
        <w:t> </w:t>
      </w:r>
      <w:r>
        <w:rPr/>
        <w:t>ser</w:t>
      </w:r>
      <w:r>
        <w:rPr>
          <w:spacing w:val="-6"/>
        </w:rPr>
        <w:t> </w:t>
      </w:r>
      <w:r>
        <w:rPr/>
        <w:t>mayor</w:t>
      </w:r>
      <w:r>
        <w:rPr>
          <w:spacing w:val="-5"/>
        </w:rPr>
        <w:t> </w:t>
      </w:r>
      <w:r>
        <w:rPr/>
        <w:t>a</w:t>
      </w:r>
      <w:r>
        <w:rPr>
          <w:spacing w:val="-5"/>
        </w:rPr>
        <w:t> </w:t>
      </w:r>
      <w:r>
        <w:rPr/>
        <w:t>0.5</w:t>
      </w:r>
      <w:r>
        <w:rPr>
          <w:spacing w:val="-3"/>
        </w:rPr>
        <w:t> </w:t>
      </w:r>
      <w:r>
        <w:rPr/>
        <w:t>en</w:t>
      </w:r>
      <w:r>
        <w:rPr>
          <w:spacing w:val="-5"/>
        </w:rPr>
        <w:t> </w:t>
      </w:r>
      <w:r>
        <w:rPr/>
        <w:t>términos</w:t>
      </w:r>
      <w:r>
        <w:rPr>
          <w:spacing w:val="-4"/>
        </w:rPr>
        <w:t> </w:t>
      </w:r>
      <w:r>
        <w:rPr/>
        <w:t>de</w:t>
      </w:r>
      <w:r>
        <w:rPr>
          <w:spacing w:val="-5"/>
        </w:rPr>
        <w:t> </w:t>
      </w:r>
      <w:r>
        <w:rPr/>
        <w:t>coherencia.</w:t>
      </w:r>
      <w:r>
        <w:rPr>
          <w:spacing w:val="-5"/>
        </w:rPr>
        <w:t> </w:t>
      </w:r>
      <w:r>
        <w:rPr/>
        <w:t>Para</w:t>
      </w:r>
      <w:r>
        <w:rPr>
          <w:spacing w:val="-5"/>
        </w:rPr>
        <w:t> </w:t>
      </w:r>
      <w:r>
        <w:rPr/>
        <w:t>altos</w:t>
      </w:r>
      <w:r>
        <w:rPr>
          <w:spacing w:val="-6"/>
        </w:rPr>
        <w:t> </w:t>
      </w:r>
      <w:r>
        <w:rPr/>
        <w:t>píxeles</w:t>
      </w:r>
      <w:r>
        <w:rPr>
          <w:spacing w:val="-5"/>
        </w:rPr>
        <w:t> </w:t>
      </w:r>
      <w:r>
        <w:rPr/>
        <w:t>SCR (Signal-to-clutter),</w:t>
      </w:r>
      <w:r>
        <w:rPr>
          <w:spacing w:val="-6"/>
        </w:rPr>
        <w:t> </w:t>
      </w:r>
      <w:r>
        <w:rPr/>
        <w:t>como</w:t>
      </w:r>
      <w:r>
        <w:rPr>
          <w:spacing w:val="-4"/>
        </w:rPr>
        <w:t> </w:t>
      </w:r>
      <w:r>
        <w:rPr/>
        <w:t>ocurre</w:t>
      </w:r>
      <w:r>
        <w:rPr>
          <w:spacing w:val="-5"/>
        </w:rPr>
        <w:t> </w:t>
      </w:r>
      <w:r>
        <w:rPr/>
        <w:t>en</w:t>
      </w:r>
      <w:r>
        <w:rPr>
          <w:spacing w:val="-6"/>
        </w:rPr>
        <w:t> </w:t>
      </w:r>
      <w:r>
        <w:rPr/>
        <w:t>las</w:t>
      </w:r>
      <w:r>
        <w:rPr>
          <w:spacing w:val="-5"/>
        </w:rPr>
        <w:t> </w:t>
      </w:r>
      <w:r>
        <w:rPr/>
        <w:t>zonas</w:t>
      </w:r>
      <w:r>
        <w:rPr>
          <w:spacing w:val="-4"/>
        </w:rPr>
        <w:t> </w:t>
      </w:r>
      <w:r>
        <w:rPr/>
        <w:t>urbanas,</w:t>
      </w:r>
      <w:r>
        <w:rPr>
          <w:spacing w:val="-4"/>
        </w:rPr>
        <w:t> </w:t>
      </w:r>
      <w:r>
        <w:rPr/>
        <w:t>la</w:t>
      </w:r>
      <w:r>
        <w:rPr>
          <w:spacing w:val="-5"/>
        </w:rPr>
        <w:t> </w:t>
      </w:r>
      <w:r>
        <w:rPr/>
        <w:t>distribución</w:t>
      </w:r>
      <w:r>
        <w:rPr>
          <w:spacing w:val="-4"/>
        </w:rPr>
        <w:t> </w:t>
      </w:r>
      <w:r>
        <w:rPr/>
        <w:t>de</w:t>
      </w:r>
      <w:r>
        <w:rPr>
          <w:spacing w:val="-6"/>
        </w:rPr>
        <w:t> </w:t>
      </w:r>
      <w:r>
        <w:rPr/>
        <w:t>la</w:t>
      </w:r>
      <w:r>
        <w:rPr>
          <w:spacing w:val="-5"/>
        </w:rPr>
        <w:t> </w:t>
      </w:r>
      <w:r>
        <w:rPr/>
        <w:t>amplitud</w:t>
      </w:r>
      <w:r>
        <w:rPr>
          <w:spacing w:val="-4"/>
        </w:rPr>
        <w:t> </w:t>
      </w:r>
      <w:r>
        <w:rPr/>
        <w:t>se</w:t>
      </w:r>
      <w:r>
        <w:rPr>
          <w:spacing w:val="-5"/>
        </w:rPr>
        <w:t> </w:t>
      </w:r>
      <w:r>
        <w:rPr/>
        <w:t>aproxima</w:t>
      </w:r>
      <w:r>
        <w:rPr>
          <w:spacing w:val="-5"/>
        </w:rPr>
        <w:t> </w:t>
      </w:r>
      <w:r>
        <w:rPr/>
        <w:t>a una distribución Gaussiana (Ferreti et al., 2001dispersada). Lo cual indica una mayor intensidad en la retrodispersión de la señal siendo los ambientes urbanos ideales para aplicar la técnica PS. Para</w:t>
      </w:r>
      <w:r>
        <w:rPr>
          <w:spacing w:val="-5"/>
        </w:rPr>
        <w:t> </w:t>
      </w:r>
      <w:r>
        <w:rPr/>
        <w:t>llevar</w:t>
      </w:r>
      <w:r>
        <w:rPr>
          <w:spacing w:val="-6"/>
        </w:rPr>
        <w:t> </w:t>
      </w:r>
      <w:r>
        <w:rPr/>
        <w:t>a</w:t>
      </w:r>
      <w:r>
        <w:rPr>
          <w:spacing w:val="-6"/>
        </w:rPr>
        <w:t> </w:t>
      </w:r>
      <w:r>
        <w:rPr/>
        <w:t>cabo</w:t>
      </w:r>
      <w:r>
        <w:rPr>
          <w:spacing w:val="-5"/>
        </w:rPr>
        <w:t> </w:t>
      </w:r>
      <w:r>
        <w:rPr/>
        <w:t>cualquier</w:t>
      </w:r>
      <w:r>
        <w:rPr>
          <w:spacing w:val="-4"/>
        </w:rPr>
        <w:t> </w:t>
      </w:r>
      <w:r>
        <w:rPr/>
        <w:t>principio</w:t>
      </w:r>
      <w:r>
        <w:rPr>
          <w:spacing w:val="-6"/>
        </w:rPr>
        <w:t> </w:t>
      </w:r>
      <w:r>
        <w:rPr/>
        <w:t>INSAR</w:t>
      </w:r>
      <w:r>
        <w:rPr>
          <w:spacing w:val="-6"/>
        </w:rPr>
        <w:t> </w:t>
      </w:r>
      <w:r>
        <w:rPr/>
        <w:t>es</w:t>
      </w:r>
      <w:r>
        <w:rPr>
          <w:spacing w:val="-5"/>
        </w:rPr>
        <w:t> </w:t>
      </w:r>
      <w:r>
        <w:rPr/>
        <w:t>necesario</w:t>
      </w:r>
      <w:r>
        <w:rPr>
          <w:spacing w:val="-5"/>
        </w:rPr>
        <w:t> </w:t>
      </w:r>
      <w:r>
        <w:rPr/>
        <w:t>considerar</w:t>
      </w:r>
      <w:r>
        <w:rPr>
          <w:spacing w:val="-5"/>
        </w:rPr>
        <w:t> </w:t>
      </w:r>
      <w:r>
        <w:rPr/>
        <w:t>diversos</w:t>
      </w:r>
      <w:r>
        <w:rPr>
          <w:spacing w:val="-5"/>
        </w:rPr>
        <w:t> </w:t>
      </w:r>
      <w:r>
        <w:rPr/>
        <w:t>límites</w:t>
      </w:r>
      <w:r>
        <w:rPr>
          <w:spacing w:val="-5"/>
        </w:rPr>
        <w:t> </w:t>
      </w:r>
      <w:r>
        <w:rPr/>
        <w:t>en</w:t>
      </w:r>
      <w:r>
        <w:rPr>
          <w:spacing w:val="-5"/>
        </w:rPr>
        <w:t> </w:t>
      </w:r>
      <w:r>
        <w:rPr/>
        <w:t>términos de magnitud, fase y geometría de las imágenes empleadas, para el caso PS se enlistan en la Tabla 1.</w:t>
      </w:r>
    </w:p>
    <w:p>
      <w:pPr>
        <w:spacing w:before="167"/>
        <w:ind w:left="1385" w:right="110" w:firstLine="0"/>
        <w:jc w:val="left"/>
        <w:rPr>
          <w:sz w:val="18"/>
        </w:rPr>
      </w:pPr>
      <w:r>
        <w:rPr>
          <w:i/>
          <w:sz w:val="18"/>
        </w:rPr>
        <w:t>TABLA 1.. </w:t>
      </w:r>
      <w:r>
        <w:rPr>
          <w:sz w:val="18"/>
        </w:rPr>
        <w:t>PARÁMETROS DE ENTRADA PARA LA ESTIMACIÓN DE LA TÉCNICA PS.</w:t>
      </w:r>
    </w:p>
    <w:p>
      <w:pPr>
        <w:pStyle w:val="BodyText"/>
        <w:rPr>
          <w:sz w:val="20"/>
        </w:rPr>
      </w:pPr>
    </w:p>
    <w:p>
      <w:pPr>
        <w:pStyle w:val="BodyText"/>
        <w:spacing w:before="3"/>
        <w:rPr>
          <w:sz w:val="12"/>
        </w:rPr>
      </w:pPr>
    </w:p>
    <w:tbl>
      <w:tblPr>
        <w:tblW w:w="0" w:type="auto"/>
        <w:jc w:val="left"/>
        <w:tblInd w:w="19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34"/>
        <w:gridCol w:w="2061"/>
      </w:tblGrid>
      <w:tr>
        <w:trPr>
          <w:trHeight w:val="307" w:hRule="exact"/>
        </w:trPr>
        <w:tc>
          <w:tcPr>
            <w:tcW w:w="3234" w:type="dxa"/>
            <w:shd w:val="clear" w:color="auto" w:fill="EDEBE0"/>
          </w:tcPr>
          <w:p>
            <w:pPr>
              <w:pStyle w:val="TableParagraph"/>
              <w:spacing w:before="58"/>
              <w:ind w:right="108"/>
              <w:rPr>
                <w:b/>
                <w:sz w:val="18"/>
              </w:rPr>
            </w:pPr>
            <w:r>
              <w:rPr>
                <w:b/>
                <w:sz w:val="18"/>
              </w:rPr>
              <w:t>PARÁMETROS DE ENTRADA</w:t>
            </w:r>
          </w:p>
        </w:tc>
        <w:tc>
          <w:tcPr>
            <w:tcW w:w="2061" w:type="dxa"/>
            <w:shd w:val="clear" w:color="auto" w:fill="EDEBE0"/>
          </w:tcPr>
          <w:p>
            <w:pPr>
              <w:pStyle w:val="TableParagraph"/>
              <w:spacing w:before="58"/>
              <w:ind w:left="567"/>
              <w:rPr>
                <w:b/>
                <w:sz w:val="18"/>
              </w:rPr>
            </w:pPr>
            <w:r>
              <w:rPr>
                <w:b/>
                <w:sz w:val="18"/>
              </w:rPr>
              <w:t>VALORES</w:t>
            </w:r>
          </w:p>
        </w:tc>
      </w:tr>
      <w:tr>
        <w:trPr>
          <w:trHeight w:val="287" w:hRule="exact"/>
        </w:trPr>
        <w:tc>
          <w:tcPr>
            <w:tcW w:w="3234" w:type="dxa"/>
          </w:tcPr>
          <w:p>
            <w:pPr>
              <w:pStyle w:val="TableParagraph"/>
              <w:spacing w:before="34"/>
              <w:ind w:right="110"/>
              <w:rPr>
                <w:sz w:val="18"/>
              </w:rPr>
            </w:pPr>
            <w:r>
              <w:rPr>
                <w:sz w:val="18"/>
              </w:rPr>
              <w:t>Mínima Línea de Base Normal mínima</w:t>
            </w:r>
          </w:p>
        </w:tc>
        <w:tc>
          <w:tcPr>
            <w:tcW w:w="2061" w:type="dxa"/>
          </w:tcPr>
          <w:p>
            <w:pPr>
              <w:pStyle w:val="TableParagraph"/>
              <w:spacing w:before="34"/>
              <w:ind w:left="567" w:right="522"/>
              <w:rPr>
                <w:sz w:val="18"/>
              </w:rPr>
            </w:pPr>
            <w:r>
              <w:rPr>
                <w:sz w:val="18"/>
              </w:rPr>
              <w:t>10 m</w:t>
            </w:r>
          </w:p>
        </w:tc>
      </w:tr>
      <w:tr>
        <w:trPr>
          <w:trHeight w:val="292" w:hRule="exact"/>
        </w:trPr>
        <w:tc>
          <w:tcPr>
            <w:tcW w:w="3234" w:type="dxa"/>
          </w:tcPr>
          <w:p>
            <w:pPr>
              <w:pStyle w:val="TableParagraph"/>
              <w:spacing w:before="39"/>
              <w:ind w:right="108"/>
              <w:rPr>
                <w:sz w:val="18"/>
              </w:rPr>
            </w:pPr>
            <w:r>
              <w:rPr>
                <w:sz w:val="18"/>
              </w:rPr>
              <w:t>Máxima Línea de Base Normal máxima</w:t>
            </w:r>
          </w:p>
        </w:tc>
        <w:tc>
          <w:tcPr>
            <w:tcW w:w="2061" w:type="dxa"/>
          </w:tcPr>
          <w:p>
            <w:pPr>
              <w:pStyle w:val="TableParagraph"/>
              <w:spacing w:before="39"/>
              <w:ind w:left="566"/>
              <w:rPr>
                <w:sz w:val="18"/>
              </w:rPr>
            </w:pPr>
            <w:r>
              <w:rPr>
                <w:sz w:val="18"/>
              </w:rPr>
              <w:t>600 m</w:t>
            </w:r>
          </w:p>
        </w:tc>
      </w:tr>
      <w:tr>
        <w:trPr>
          <w:trHeight w:val="281" w:hRule="exact"/>
        </w:trPr>
        <w:tc>
          <w:tcPr>
            <w:tcW w:w="3234" w:type="dxa"/>
          </w:tcPr>
          <w:p>
            <w:pPr>
              <w:pStyle w:val="TableParagraph"/>
              <w:spacing w:before="28"/>
              <w:ind w:right="111"/>
              <w:rPr>
                <w:sz w:val="18"/>
              </w:rPr>
            </w:pPr>
            <w:r>
              <w:rPr>
                <w:sz w:val="18"/>
              </w:rPr>
              <w:t>Mínima Línea de Base Temporal mínima</w:t>
            </w:r>
          </w:p>
        </w:tc>
        <w:tc>
          <w:tcPr>
            <w:tcW w:w="2061" w:type="dxa"/>
          </w:tcPr>
          <w:p>
            <w:pPr>
              <w:pStyle w:val="TableParagraph"/>
              <w:spacing w:before="28"/>
              <w:ind w:left="566"/>
              <w:rPr>
                <w:sz w:val="18"/>
              </w:rPr>
            </w:pPr>
            <w:r>
              <w:rPr>
                <w:sz w:val="18"/>
              </w:rPr>
              <w:t>30 días</w:t>
            </w:r>
          </w:p>
        </w:tc>
      </w:tr>
      <w:tr>
        <w:trPr>
          <w:trHeight w:val="286" w:hRule="exact"/>
        </w:trPr>
        <w:tc>
          <w:tcPr>
            <w:tcW w:w="3234" w:type="dxa"/>
          </w:tcPr>
          <w:p>
            <w:pPr>
              <w:pStyle w:val="TableParagraph"/>
              <w:spacing w:before="32"/>
              <w:ind w:right="107"/>
              <w:rPr>
                <w:sz w:val="18"/>
              </w:rPr>
            </w:pPr>
            <w:r>
              <w:rPr>
                <w:sz w:val="18"/>
              </w:rPr>
              <w:t>Máxima Línea de Base Temporal alta</w:t>
            </w:r>
          </w:p>
        </w:tc>
        <w:tc>
          <w:tcPr>
            <w:tcW w:w="2061" w:type="dxa"/>
          </w:tcPr>
          <w:p>
            <w:pPr>
              <w:pStyle w:val="TableParagraph"/>
              <w:spacing w:before="32"/>
              <w:ind w:left="566"/>
              <w:rPr>
                <w:sz w:val="18"/>
              </w:rPr>
            </w:pPr>
            <w:r>
              <w:rPr>
                <w:sz w:val="18"/>
              </w:rPr>
              <w:t>3500 días</w:t>
            </w:r>
          </w:p>
        </w:tc>
      </w:tr>
      <w:tr>
        <w:trPr>
          <w:trHeight w:val="288" w:hRule="exact"/>
        </w:trPr>
        <w:tc>
          <w:tcPr>
            <w:tcW w:w="3234" w:type="dxa"/>
          </w:tcPr>
          <w:p>
            <w:pPr>
              <w:pStyle w:val="TableParagraph"/>
              <w:spacing w:before="36"/>
              <w:ind w:right="109"/>
              <w:rPr>
                <w:sz w:val="18"/>
              </w:rPr>
            </w:pPr>
            <w:r>
              <w:rPr>
                <w:sz w:val="18"/>
              </w:rPr>
              <w:t>Límite Coherencia normalizada</w:t>
            </w:r>
          </w:p>
        </w:tc>
        <w:tc>
          <w:tcPr>
            <w:tcW w:w="2061" w:type="dxa"/>
          </w:tcPr>
          <w:p>
            <w:pPr>
              <w:pStyle w:val="TableParagraph"/>
              <w:spacing w:before="36"/>
              <w:ind w:left="566"/>
              <w:rPr>
                <w:sz w:val="18"/>
              </w:rPr>
            </w:pPr>
            <w:r>
              <w:rPr>
                <w:sz w:val="18"/>
              </w:rPr>
              <w:t>0.8</w:t>
            </w:r>
          </w:p>
        </w:tc>
      </w:tr>
      <w:tr>
        <w:trPr>
          <w:trHeight w:val="248" w:hRule="exact"/>
        </w:trPr>
        <w:tc>
          <w:tcPr>
            <w:tcW w:w="3234" w:type="dxa"/>
          </w:tcPr>
          <w:p>
            <w:pPr>
              <w:pStyle w:val="TableParagraph"/>
              <w:spacing w:line="203" w:lineRule="exact"/>
              <w:ind w:right="107"/>
              <w:rPr>
                <w:sz w:val="18"/>
              </w:rPr>
            </w:pPr>
            <w:r>
              <w:rPr>
                <w:sz w:val="18"/>
              </w:rPr>
              <w:t>Correlación de pares radar</w:t>
            </w:r>
          </w:p>
        </w:tc>
        <w:tc>
          <w:tcPr>
            <w:tcW w:w="2061" w:type="dxa"/>
          </w:tcPr>
          <w:p>
            <w:pPr>
              <w:pStyle w:val="TableParagraph"/>
              <w:spacing w:line="203" w:lineRule="exact"/>
              <w:ind w:left="567"/>
              <w:rPr>
                <w:sz w:val="18"/>
              </w:rPr>
            </w:pPr>
            <w:r>
              <w:rPr>
                <w:sz w:val="18"/>
              </w:rPr>
              <w:t>0.35</w:t>
            </w:r>
          </w:p>
        </w:tc>
      </w:tr>
    </w:tbl>
    <w:p>
      <w:pPr>
        <w:pStyle w:val="BodyText"/>
        <w:rPr>
          <w:sz w:val="20"/>
        </w:rPr>
      </w:pPr>
    </w:p>
    <w:p>
      <w:pPr>
        <w:pStyle w:val="BodyText"/>
        <w:rPr>
          <w:sz w:val="20"/>
        </w:rPr>
      </w:pPr>
    </w:p>
    <w:p>
      <w:pPr>
        <w:pStyle w:val="BodyText"/>
        <w:spacing w:before="10"/>
        <w:rPr>
          <w:sz w:val="25"/>
        </w:rPr>
      </w:pPr>
    </w:p>
    <w:p>
      <w:pPr>
        <w:pStyle w:val="Heading1"/>
        <w:spacing w:before="69"/>
      </w:pPr>
      <w:r>
        <w:rPr/>
        <w:t>RESULTADOS</w:t>
      </w:r>
    </w:p>
    <w:p>
      <w:pPr>
        <w:pStyle w:val="BodyText"/>
        <w:spacing w:before="9"/>
        <w:rPr>
          <w:b/>
          <w:sz w:val="23"/>
        </w:rPr>
      </w:pPr>
    </w:p>
    <w:p>
      <w:pPr>
        <w:pStyle w:val="BodyText"/>
        <w:spacing w:line="480" w:lineRule="auto"/>
        <w:ind w:left="115" w:right="116" w:firstLine="714"/>
        <w:jc w:val="both"/>
      </w:pPr>
      <w:r>
        <w:rPr/>
        <w:t>Con</w:t>
      </w:r>
      <w:r>
        <w:rPr>
          <w:spacing w:val="-13"/>
        </w:rPr>
        <w:t> </w:t>
      </w:r>
      <w:r>
        <w:rPr/>
        <w:t>base</w:t>
      </w:r>
      <w:r>
        <w:rPr>
          <w:spacing w:val="-11"/>
        </w:rPr>
        <w:t> </w:t>
      </w:r>
      <w:r>
        <w:rPr/>
        <w:t>en</w:t>
      </w:r>
      <w:r>
        <w:rPr>
          <w:spacing w:val="-12"/>
        </w:rPr>
        <w:t> </w:t>
      </w:r>
      <w:r>
        <w:rPr/>
        <w:t>los</w:t>
      </w:r>
      <w:r>
        <w:rPr>
          <w:spacing w:val="-12"/>
        </w:rPr>
        <w:t> </w:t>
      </w:r>
      <w:r>
        <w:rPr/>
        <w:t>límites</w:t>
      </w:r>
      <w:r>
        <w:rPr>
          <w:spacing w:val="36"/>
        </w:rPr>
        <w:t> </w:t>
      </w:r>
      <w:r>
        <w:rPr/>
        <w:t>previamente</w:t>
      </w:r>
      <w:r>
        <w:rPr>
          <w:spacing w:val="-12"/>
        </w:rPr>
        <w:t> </w:t>
      </w:r>
      <w:r>
        <w:rPr/>
        <w:t>establecidos</w:t>
      </w:r>
      <w:r>
        <w:rPr>
          <w:spacing w:val="-12"/>
        </w:rPr>
        <w:t> </w:t>
      </w:r>
      <w:r>
        <w:rPr/>
        <w:t>se</w:t>
      </w:r>
      <w:r>
        <w:rPr>
          <w:spacing w:val="-12"/>
        </w:rPr>
        <w:t> </w:t>
      </w:r>
      <w:r>
        <w:rPr/>
        <w:t>calcularon</w:t>
      </w:r>
      <w:r>
        <w:rPr>
          <w:spacing w:val="-13"/>
        </w:rPr>
        <w:t> </w:t>
      </w:r>
      <w:r>
        <w:rPr/>
        <w:t>59</w:t>
      </w:r>
      <w:r>
        <w:rPr>
          <w:spacing w:val="-12"/>
        </w:rPr>
        <w:t> </w:t>
      </w:r>
      <w:r>
        <w:rPr/>
        <w:t>combinaciones</w:t>
      </w:r>
      <w:r>
        <w:rPr>
          <w:spacing w:val="-12"/>
        </w:rPr>
        <w:t> </w:t>
      </w:r>
      <w:r>
        <w:rPr/>
        <w:t>de</w:t>
      </w:r>
      <w:r>
        <w:rPr>
          <w:spacing w:val="-12"/>
        </w:rPr>
        <w:t> </w:t>
      </w:r>
      <w:r>
        <w:rPr/>
        <w:t>líneas de base normal y representa un paso crítico para obtener resultados de calidad en las etapas subsiguientes (Figura 4); esta condición se definió      </w:t>
      </w:r>
      <w:r>
        <w:rPr>
          <w:spacing w:val="36"/>
        </w:rPr>
        <w:t> </w:t>
      </w:r>
      <w:r>
        <w:rPr/>
        <w:t>con la finalidad de preservar la coherencia</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0"/>
      </w:pPr>
      <w:r>
        <w:rPr/>
        <w:t>interferométrica. Así, la imagen “master” se seleccionó con base en la fecha de adquisición más distante (enero-2003); mientras que el resto de las imágenes se consideran como “exclavos”.</w:t>
      </w:r>
    </w:p>
    <w:p>
      <w:pPr>
        <w:pStyle w:val="BodyText"/>
        <w:spacing w:before="9"/>
      </w:pPr>
    </w:p>
    <w:p>
      <w:pPr>
        <w:spacing w:before="0"/>
        <w:ind w:left="607" w:right="110" w:firstLine="0"/>
        <w:jc w:val="left"/>
        <w:rPr>
          <w:sz w:val="18"/>
        </w:rPr>
      </w:pPr>
      <w:r>
        <w:rPr>
          <w:i/>
          <w:sz w:val="18"/>
        </w:rPr>
        <w:t>Figura 4. </w:t>
      </w:r>
      <w:r>
        <w:rPr>
          <w:sz w:val="18"/>
        </w:rPr>
        <w:t>Gráfica de la estimación de líneas de base normal para la selección de los mejores pares interferométricos.</w:t>
      </w:r>
    </w:p>
    <w:p>
      <w:pPr>
        <w:pStyle w:val="BodyText"/>
        <w:rPr>
          <w:sz w:val="20"/>
        </w:rPr>
      </w:pPr>
    </w:p>
    <w:p>
      <w:pPr>
        <w:pStyle w:val="BodyText"/>
        <w:rPr>
          <w:sz w:val="19"/>
        </w:rPr>
      </w:pPr>
      <w:r>
        <w:rPr/>
        <w:drawing>
          <wp:anchor distT="0" distB="0" distL="0" distR="0" allowOverlap="1" layoutInCell="1" locked="0" behindDoc="0" simplePos="0" relativeHeight="1240">
            <wp:simplePos x="0" y="0"/>
            <wp:positionH relativeFrom="page">
              <wp:posOffset>1901951</wp:posOffset>
            </wp:positionH>
            <wp:positionV relativeFrom="paragraph">
              <wp:posOffset>163502</wp:posOffset>
            </wp:positionV>
            <wp:extent cx="3934430" cy="1911096"/>
            <wp:effectExtent l="0" t="0" r="0" b="0"/>
            <wp:wrapTopAndBottom/>
            <wp:docPr id="21" name="image36.png" descr=""/>
            <wp:cNvGraphicFramePr>
              <a:graphicFrameLocks noChangeAspect="1"/>
            </wp:cNvGraphicFramePr>
            <a:graphic>
              <a:graphicData uri="http://schemas.openxmlformats.org/drawingml/2006/picture">
                <pic:pic>
                  <pic:nvPicPr>
                    <pic:cNvPr id="22" name="image36.png"/>
                    <pic:cNvPicPr/>
                  </pic:nvPicPr>
                  <pic:blipFill>
                    <a:blip r:embed="rId43" cstate="print"/>
                    <a:stretch>
                      <a:fillRect/>
                    </a:stretch>
                  </pic:blipFill>
                  <pic:spPr>
                    <a:xfrm>
                      <a:off x="0" y="0"/>
                      <a:ext cx="3934430" cy="1911096"/>
                    </a:xfrm>
                    <a:prstGeom prst="rect">
                      <a:avLst/>
                    </a:prstGeom>
                  </pic:spPr>
                </pic:pic>
              </a:graphicData>
            </a:graphic>
          </wp:anchor>
        </w:drawing>
      </w:r>
    </w:p>
    <w:p>
      <w:pPr>
        <w:pStyle w:val="BodyText"/>
        <w:rPr>
          <w:sz w:val="18"/>
        </w:rPr>
      </w:pPr>
    </w:p>
    <w:p>
      <w:pPr>
        <w:pStyle w:val="BodyText"/>
        <w:rPr>
          <w:sz w:val="18"/>
        </w:rPr>
      </w:pPr>
    </w:p>
    <w:p>
      <w:pPr>
        <w:pStyle w:val="BodyText"/>
        <w:spacing w:line="480" w:lineRule="auto" w:before="126"/>
        <w:ind w:left="115" w:right="119" w:firstLine="714"/>
        <w:jc w:val="both"/>
      </w:pPr>
      <w:r>
        <w:rPr/>
        <w:t>Para proseguir con las etapas interferométricas se realizó un proceso de multilooking que implica una estimación de promedio de los pixeles que conforman la imagen de radar, esto con la intención de obtener coherencia geométrica en la magnitud de la señal ya que el archivo original presenta una compresión importante en el acimut; finalmente se aplicó un Kernel de 5x1 (5 en acimut y 1 en rango), quedando una resolución de pixel de 20m en rango y 4.4 m en acimut. Posteriormente el proceso de corregistración se realizó con el objeto de igualar las dimensiones entre</w:t>
      </w:r>
      <w:r>
        <w:rPr>
          <w:spacing w:val="-17"/>
        </w:rPr>
        <w:t> </w:t>
      </w:r>
      <w:r>
        <w:rPr/>
        <w:t>píxeles</w:t>
      </w:r>
      <w:r>
        <w:rPr>
          <w:spacing w:val="-16"/>
        </w:rPr>
        <w:t> </w:t>
      </w:r>
      <w:r>
        <w:rPr/>
        <w:t>no</w:t>
      </w:r>
      <w:r>
        <w:rPr>
          <w:spacing w:val="-16"/>
        </w:rPr>
        <w:t> </w:t>
      </w:r>
      <w:r>
        <w:rPr/>
        <w:t>coincidentes</w:t>
      </w:r>
      <w:r>
        <w:rPr>
          <w:spacing w:val="-17"/>
        </w:rPr>
        <w:t> </w:t>
      </w:r>
      <w:r>
        <w:rPr/>
        <w:t>(relación</w:t>
      </w:r>
      <w:r>
        <w:rPr>
          <w:spacing w:val="-16"/>
        </w:rPr>
        <w:t> </w:t>
      </w:r>
      <w:r>
        <w:rPr/>
        <w:t>de</w:t>
      </w:r>
      <w:r>
        <w:rPr>
          <w:spacing w:val="-16"/>
        </w:rPr>
        <w:t> </w:t>
      </w:r>
      <w:r>
        <w:rPr/>
        <w:t>pixeles</w:t>
      </w:r>
      <w:r>
        <w:rPr>
          <w:spacing w:val="-18"/>
        </w:rPr>
        <w:t> </w:t>
      </w:r>
      <w:r>
        <w:rPr/>
        <w:t>uno</w:t>
      </w:r>
      <w:r>
        <w:rPr>
          <w:spacing w:val="-16"/>
        </w:rPr>
        <w:t> </w:t>
      </w:r>
      <w:r>
        <w:rPr/>
        <w:t>a</w:t>
      </w:r>
      <w:r>
        <w:rPr>
          <w:spacing w:val="-16"/>
        </w:rPr>
        <w:t> </w:t>
      </w:r>
      <w:r>
        <w:rPr/>
        <w:t>uno)</w:t>
      </w:r>
      <w:r>
        <w:rPr>
          <w:spacing w:val="-17"/>
        </w:rPr>
        <w:t> </w:t>
      </w:r>
      <w:r>
        <w:rPr/>
        <w:t>y</w:t>
      </w:r>
      <w:r>
        <w:rPr>
          <w:spacing w:val="29"/>
        </w:rPr>
        <w:t> </w:t>
      </w:r>
      <w:r>
        <w:rPr/>
        <w:t>poder</w:t>
      </w:r>
      <w:r>
        <w:rPr>
          <w:spacing w:val="-17"/>
        </w:rPr>
        <w:t> </w:t>
      </w:r>
      <w:r>
        <w:rPr/>
        <w:t>reconstruir</w:t>
      </w:r>
      <w:r>
        <w:rPr>
          <w:spacing w:val="-17"/>
        </w:rPr>
        <w:t> </w:t>
      </w:r>
      <w:r>
        <w:rPr/>
        <w:t>la</w:t>
      </w:r>
      <w:r>
        <w:rPr>
          <w:spacing w:val="-15"/>
        </w:rPr>
        <w:t> </w:t>
      </w:r>
      <w:r>
        <w:rPr/>
        <w:t>fase</w:t>
      </w:r>
      <w:r>
        <w:rPr>
          <w:spacing w:val="-18"/>
        </w:rPr>
        <w:t> </w:t>
      </w:r>
      <w:r>
        <w:rPr/>
        <w:t>en</w:t>
      </w:r>
      <w:r>
        <w:rPr>
          <w:spacing w:val="-16"/>
        </w:rPr>
        <w:t> </w:t>
      </w:r>
      <w:r>
        <w:rPr/>
        <w:t>términos de la magnitud de la</w:t>
      </w:r>
      <w:r>
        <w:rPr>
          <w:spacing w:val="-3"/>
        </w:rPr>
        <w:t> </w:t>
      </w:r>
      <w:r>
        <w:rPr/>
        <w:t>señal.</w:t>
      </w:r>
    </w:p>
    <w:p>
      <w:pPr>
        <w:pStyle w:val="BodyText"/>
        <w:spacing w:before="9"/>
      </w:pPr>
    </w:p>
    <w:p>
      <w:pPr>
        <w:pStyle w:val="BodyText"/>
        <w:spacing w:line="480" w:lineRule="auto"/>
        <w:ind w:left="115" w:right="115" w:firstLine="714"/>
        <w:jc w:val="both"/>
      </w:pPr>
      <w:r>
        <w:rPr/>
        <w:t>Por otro lado, con base en el cálculo de las líneas de base normales, corregistración y estimación normalizada de la coherencia en términos de la magnitud de la señal, se generaron 46 interferogramas</w:t>
      </w:r>
      <w:r>
        <w:rPr>
          <w:spacing w:val="-7"/>
        </w:rPr>
        <w:t> </w:t>
      </w:r>
      <w:r>
        <w:rPr/>
        <w:t>multiplicando</w:t>
      </w:r>
      <w:r>
        <w:rPr>
          <w:spacing w:val="-9"/>
        </w:rPr>
        <w:t> </w:t>
      </w:r>
      <w:r>
        <w:rPr/>
        <w:t>una</w:t>
      </w:r>
      <w:r>
        <w:rPr>
          <w:spacing w:val="-10"/>
        </w:rPr>
        <w:t> </w:t>
      </w:r>
      <w:r>
        <w:rPr/>
        <w:t>imagen</w:t>
      </w:r>
      <w:r>
        <w:rPr>
          <w:spacing w:val="-9"/>
        </w:rPr>
        <w:t> </w:t>
      </w:r>
      <w:r>
        <w:rPr/>
        <w:t>compleja</w:t>
      </w:r>
      <w:r>
        <w:rPr>
          <w:spacing w:val="-11"/>
        </w:rPr>
        <w:t> </w:t>
      </w:r>
      <w:r>
        <w:rPr/>
        <w:t>(master)</w:t>
      </w:r>
      <w:r>
        <w:rPr>
          <w:spacing w:val="-10"/>
        </w:rPr>
        <w:t> </w:t>
      </w:r>
      <w:r>
        <w:rPr/>
        <w:t>por</w:t>
      </w:r>
      <w:r>
        <w:rPr>
          <w:spacing w:val="-9"/>
        </w:rPr>
        <w:t> </w:t>
      </w:r>
      <w:r>
        <w:rPr/>
        <w:t>el</w:t>
      </w:r>
      <w:r>
        <w:rPr>
          <w:spacing w:val="-9"/>
        </w:rPr>
        <w:t> </w:t>
      </w:r>
      <w:r>
        <w:rPr/>
        <w:t>conjugado</w:t>
      </w:r>
      <w:r>
        <w:rPr>
          <w:spacing w:val="-9"/>
        </w:rPr>
        <w:t> </w:t>
      </w:r>
      <w:r>
        <w:rPr/>
        <w:t>complejo</w:t>
      </w:r>
      <w:r>
        <w:rPr>
          <w:spacing w:val="-9"/>
        </w:rPr>
        <w:t> </w:t>
      </w:r>
      <w:r>
        <w:rPr/>
        <w:t>de</w:t>
      </w:r>
      <w:r>
        <w:rPr>
          <w:spacing w:val="-10"/>
        </w:rPr>
        <w:t> </w:t>
      </w:r>
      <w:r>
        <w:rPr/>
        <w:t>la</w:t>
      </w:r>
      <w:r>
        <w:rPr>
          <w:spacing w:val="-9"/>
        </w:rPr>
        <w:t> </w:t>
      </w:r>
      <w:r>
        <w:rPr/>
        <w:t>otra (esclavo).</w:t>
      </w:r>
      <w:r>
        <w:rPr>
          <w:spacing w:val="-11"/>
        </w:rPr>
        <w:t> </w:t>
      </w:r>
      <w:r>
        <w:rPr/>
        <w:t>De</w:t>
      </w:r>
      <w:r>
        <w:rPr>
          <w:spacing w:val="-11"/>
        </w:rPr>
        <w:t> </w:t>
      </w:r>
      <w:r>
        <w:rPr/>
        <w:t>esta</w:t>
      </w:r>
      <w:r>
        <w:rPr>
          <w:spacing w:val="-11"/>
        </w:rPr>
        <w:t> </w:t>
      </w:r>
      <w:r>
        <w:rPr/>
        <w:t>forma</w:t>
      </w:r>
      <w:r>
        <w:rPr>
          <w:spacing w:val="-10"/>
        </w:rPr>
        <w:t> </w:t>
      </w:r>
      <w:r>
        <w:rPr/>
        <w:t>la</w:t>
      </w:r>
      <w:r>
        <w:rPr>
          <w:spacing w:val="-10"/>
        </w:rPr>
        <w:t> </w:t>
      </w:r>
      <w:r>
        <w:rPr/>
        <w:t>fase</w:t>
      </w:r>
      <w:r>
        <w:rPr>
          <w:spacing w:val="-12"/>
        </w:rPr>
        <w:t> </w:t>
      </w:r>
      <w:r>
        <w:rPr/>
        <w:t>resultante</w:t>
      </w:r>
      <w:r>
        <w:rPr>
          <w:spacing w:val="-11"/>
        </w:rPr>
        <w:t> </w:t>
      </w:r>
      <w:r>
        <w:rPr/>
        <w:t>se</w:t>
      </w:r>
      <w:r>
        <w:rPr>
          <w:spacing w:val="-11"/>
        </w:rPr>
        <w:t> </w:t>
      </w:r>
      <w:r>
        <w:rPr/>
        <w:t>entiende</w:t>
      </w:r>
      <w:r>
        <w:rPr>
          <w:spacing w:val="-11"/>
        </w:rPr>
        <w:t> </w:t>
      </w:r>
      <w:r>
        <w:rPr/>
        <w:t>como</w:t>
      </w:r>
      <w:r>
        <w:rPr>
          <w:spacing w:val="-11"/>
        </w:rPr>
        <w:t> </w:t>
      </w:r>
      <w:r>
        <w:rPr/>
        <w:t>la</w:t>
      </w:r>
      <w:r>
        <w:rPr>
          <w:spacing w:val="-10"/>
        </w:rPr>
        <w:t> </w:t>
      </w:r>
      <w:r>
        <w:rPr/>
        <w:t>topografía</w:t>
      </w:r>
      <w:r>
        <w:rPr>
          <w:spacing w:val="-12"/>
        </w:rPr>
        <w:t> </w:t>
      </w:r>
      <w:r>
        <w:rPr/>
        <w:t>total</w:t>
      </w:r>
      <w:r>
        <w:rPr>
          <w:spacing w:val="-10"/>
        </w:rPr>
        <w:t> </w:t>
      </w:r>
      <w:r>
        <w:rPr/>
        <w:t>del</w:t>
      </w:r>
      <w:r>
        <w:rPr>
          <w:spacing w:val="-12"/>
        </w:rPr>
        <w:t> </w:t>
      </w:r>
      <w:r>
        <w:rPr/>
        <w:t>terreno,</w:t>
      </w:r>
      <w:r>
        <w:rPr>
          <w:spacing w:val="-12"/>
        </w:rPr>
        <w:t> </w:t>
      </w:r>
      <w:r>
        <w:rPr/>
        <w:t>es</w:t>
      </w:r>
      <w:r>
        <w:rPr>
          <w:spacing w:val="-11"/>
        </w:rPr>
        <w:t> </w:t>
      </w:r>
      <w:r>
        <w:rPr/>
        <w:t>decir,</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6"/>
        <w:jc w:val="both"/>
      </w:pPr>
      <w:r>
        <w:rPr/>
        <w:t>representa la suma de la topografía original y cualquier modificación de la misma a lo largo del tiempo.</w:t>
      </w:r>
      <w:r>
        <w:rPr>
          <w:spacing w:val="-16"/>
        </w:rPr>
        <w:t> </w:t>
      </w:r>
      <w:r>
        <w:rPr/>
        <w:t>Cabe</w:t>
      </w:r>
      <w:r>
        <w:rPr>
          <w:spacing w:val="-16"/>
        </w:rPr>
        <w:t> </w:t>
      </w:r>
      <w:r>
        <w:rPr/>
        <w:t>señalar</w:t>
      </w:r>
      <w:r>
        <w:rPr>
          <w:spacing w:val="-15"/>
        </w:rPr>
        <w:t> </w:t>
      </w:r>
      <w:r>
        <w:rPr/>
        <w:t>que</w:t>
      </w:r>
      <w:r>
        <w:rPr>
          <w:spacing w:val="-17"/>
        </w:rPr>
        <w:t> </w:t>
      </w:r>
      <w:r>
        <w:rPr/>
        <w:t>la</w:t>
      </w:r>
      <w:r>
        <w:rPr>
          <w:spacing w:val="-15"/>
        </w:rPr>
        <w:t> </w:t>
      </w:r>
      <w:r>
        <w:rPr/>
        <w:t>fase</w:t>
      </w:r>
      <w:r>
        <w:rPr>
          <w:spacing w:val="-16"/>
        </w:rPr>
        <w:t> </w:t>
      </w:r>
      <w:r>
        <w:rPr/>
        <w:t>interferométrica</w:t>
      </w:r>
      <w:r>
        <w:rPr>
          <w:spacing w:val="-15"/>
        </w:rPr>
        <w:t> </w:t>
      </w:r>
      <w:r>
        <w:rPr/>
        <w:t>entre</w:t>
      </w:r>
      <w:r>
        <w:rPr>
          <w:spacing w:val="-16"/>
        </w:rPr>
        <w:t> </w:t>
      </w:r>
      <w:r>
        <w:rPr/>
        <w:t>dos</w:t>
      </w:r>
      <w:r>
        <w:rPr>
          <w:spacing w:val="-16"/>
        </w:rPr>
        <w:t> </w:t>
      </w:r>
      <w:r>
        <w:rPr/>
        <w:t>imágenes</w:t>
      </w:r>
      <w:r>
        <w:rPr>
          <w:spacing w:val="-15"/>
        </w:rPr>
        <w:t> </w:t>
      </w:r>
      <w:r>
        <w:rPr/>
        <w:t>no</w:t>
      </w:r>
      <w:r>
        <w:rPr>
          <w:spacing w:val="-16"/>
        </w:rPr>
        <w:t> </w:t>
      </w:r>
      <w:r>
        <w:rPr/>
        <w:t>siempre</w:t>
      </w:r>
      <w:r>
        <w:rPr>
          <w:spacing w:val="-15"/>
        </w:rPr>
        <w:t> </w:t>
      </w:r>
      <w:r>
        <w:rPr/>
        <w:t>se</w:t>
      </w:r>
      <w:r>
        <w:rPr>
          <w:spacing w:val="-15"/>
        </w:rPr>
        <w:t> </w:t>
      </w:r>
      <w:r>
        <w:rPr/>
        <w:t>resuelve</w:t>
      </w:r>
      <w:r>
        <w:rPr>
          <w:spacing w:val="-15"/>
        </w:rPr>
        <w:t> </w:t>
      </w:r>
      <w:r>
        <w:rPr/>
        <w:t>debido al</w:t>
      </w:r>
      <w:r>
        <w:rPr>
          <w:spacing w:val="-9"/>
        </w:rPr>
        <w:t> </w:t>
      </w:r>
      <w:r>
        <w:rPr/>
        <w:t>ruido</w:t>
      </w:r>
      <w:r>
        <w:rPr>
          <w:spacing w:val="-10"/>
        </w:rPr>
        <w:t> </w:t>
      </w:r>
      <w:r>
        <w:rPr/>
        <w:t>o</w:t>
      </w:r>
      <w:r>
        <w:rPr>
          <w:spacing w:val="-10"/>
        </w:rPr>
        <w:t> </w:t>
      </w:r>
      <w:r>
        <w:rPr/>
        <w:t>a</w:t>
      </w:r>
      <w:r>
        <w:rPr>
          <w:spacing w:val="-11"/>
        </w:rPr>
        <w:t> </w:t>
      </w:r>
      <w:r>
        <w:rPr/>
        <w:t>variantes</w:t>
      </w:r>
      <w:r>
        <w:rPr>
          <w:spacing w:val="-9"/>
        </w:rPr>
        <w:t> </w:t>
      </w:r>
      <w:r>
        <w:rPr/>
        <w:t>en</w:t>
      </w:r>
      <w:r>
        <w:rPr>
          <w:spacing w:val="-11"/>
        </w:rPr>
        <w:t> </w:t>
      </w:r>
      <w:r>
        <w:rPr/>
        <w:t>la</w:t>
      </w:r>
      <w:r>
        <w:rPr>
          <w:spacing w:val="-9"/>
        </w:rPr>
        <w:t> </w:t>
      </w:r>
      <w:r>
        <w:rPr/>
        <w:t>correlación</w:t>
      </w:r>
      <w:r>
        <w:rPr>
          <w:spacing w:val="-10"/>
        </w:rPr>
        <w:t> </w:t>
      </w:r>
      <w:r>
        <w:rPr/>
        <w:t>espacial</w:t>
      </w:r>
      <w:r>
        <w:rPr>
          <w:spacing w:val="-9"/>
        </w:rPr>
        <w:t> </w:t>
      </w:r>
      <w:r>
        <w:rPr/>
        <w:t>entre</w:t>
      </w:r>
      <w:r>
        <w:rPr>
          <w:spacing w:val="-10"/>
        </w:rPr>
        <w:t> </w:t>
      </w:r>
      <w:r>
        <w:rPr/>
        <w:t>las</w:t>
      </w:r>
      <w:r>
        <w:rPr>
          <w:spacing w:val="-10"/>
        </w:rPr>
        <w:t> </w:t>
      </w:r>
      <w:r>
        <w:rPr/>
        <w:t>dos</w:t>
      </w:r>
      <w:r>
        <w:rPr>
          <w:spacing w:val="-10"/>
        </w:rPr>
        <w:t> </w:t>
      </w:r>
      <w:r>
        <w:rPr/>
        <w:t>imágenes</w:t>
      </w:r>
      <w:r>
        <w:rPr>
          <w:spacing w:val="-9"/>
        </w:rPr>
        <w:t> </w:t>
      </w:r>
      <w:r>
        <w:rPr/>
        <w:t>complejas,</w:t>
      </w:r>
      <w:r>
        <w:rPr>
          <w:spacing w:val="-10"/>
        </w:rPr>
        <w:t> </w:t>
      </w:r>
      <w:r>
        <w:rPr/>
        <w:t>como</w:t>
      </w:r>
      <w:r>
        <w:rPr>
          <w:spacing w:val="-10"/>
        </w:rPr>
        <w:t> </w:t>
      </w:r>
      <w:r>
        <w:rPr/>
        <w:t>se</w:t>
      </w:r>
      <w:r>
        <w:rPr>
          <w:spacing w:val="-8"/>
        </w:rPr>
        <w:t> </w:t>
      </w:r>
      <w:r>
        <w:rPr/>
        <w:t>muestra en el ejemplo de la Figura 5, donde los polígonos rojos muestran zonas resueltas y los polígonos azules muestran zonas sin resolver. Lo anterior puede ser interpretado como sigue: la fase que compone un interferograma está constituida por valores complejos 2π; que en términos visuales se identifica por franjas que van de coloraciones del azul al rojo las cuales se vuelven cíclicas al trabajar con valores</w:t>
      </w:r>
      <w:r>
        <w:rPr>
          <w:spacing w:val="-4"/>
        </w:rPr>
        <w:t> </w:t>
      </w:r>
      <w:r>
        <w:rPr/>
        <w:t>complejos.</w:t>
      </w:r>
    </w:p>
    <w:p>
      <w:pPr>
        <w:pStyle w:val="BodyText"/>
        <w:spacing w:before="8"/>
      </w:pPr>
    </w:p>
    <w:p>
      <w:pPr>
        <w:spacing w:before="0"/>
        <w:ind w:left="1739" w:right="110" w:firstLine="0"/>
        <w:jc w:val="left"/>
        <w:rPr>
          <w:sz w:val="18"/>
        </w:rPr>
      </w:pPr>
      <w:r>
        <w:rPr>
          <w:i/>
          <w:sz w:val="18"/>
        </w:rPr>
        <w:t>Figura 5</w:t>
      </w:r>
      <w:r>
        <w:rPr>
          <w:b/>
          <w:sz w:val="18"/>
        </w:rPr>
        <w:t>. </w:t>
      </w:r>
      <w:r>
        <w:rPr>
          <w:sz w:val="18"/>
        </w:rPr>
        <w:t>Ejemplo de un Interferograma generado a partir de un par interferométrico.</w:t>
      </w:r>
    </w:p>
    <w:p>
      <w:pPr>
        <w:pStyle w:val="BodyText"/>
        <w:spacing w:before="2"/>
        <w:rPr>
          <w:sz w:val="26"/>
        </w:rPr>
      </w:pPr>
      <w:r>
        <w:rPr/>
        <w:pict>
          <v:group style="position:absolute;margin-left:71.440002pt;margin-top:17.033211pt;width:426.8pt;height:122.75pt;mso-position-horizontal-relative:page;mso-position-vertical-relative:paragraph;z-index:1312;mso-wrap-distance-left:0;mso-wrap-distance-right:0" coordorigin="1429,341" coordsize="8536,2455">
            <v:shape style="position:absolute;left:5675;top:2495;width:77;height:300" type="#_x0000_t75" stroked="false">
              <v:imagedata r:id="rId44" o:title=""/>
            </v:shape>
            <v:shape style="position:absolute;left:1460;top:370;width:4187;height:2292" type="#_x0000_t75" stroked="false">
              <v:imagedata r:id="rId45" o:title=""/>
            </v:shape>
            <v:rect style="position:absolute;left:1445;top:357;width:4217;height:2318" filled="false" stroked="true" strokeweight="1.56pt" strokecolor="#000000"/>
            <v:shape style="position:absolute;left:9889;top:2495;width:76;height:300" type="#_x0000_t75" stroked="false">
              <v:imagedata r:id="rId44" o:title=""/>
            </v:shape>
            <v:shape style="position:absolute;left:5759;top:370;width:4096;height:2269" type="#_x0000_t75" stroked="false">
              <v:imagedata r:id="rId46" o:title=""/>
            </v:shape>
            <v:rect style="position:absolute;left:5744;top:357;width:4126;height:2296" filled="false" stroked="true" strokeweight="1.56pt" strokecolor="#000000"/>
            <v:rect style="position:absolute;left:4562;top:666;width:986;height:1508" filled="false" stroked="true" strokeweight=".72pt" strokecolor="#375f92"/>
            <v:rect style="position:absolute;left:2918;top:1249;width:1037;height:712" filled="false" stroked="true" strokeweight=".72pt" strokecolor="#ff0000"/>
            <v:rect style="position:absolute;left:1526;top:855;width:1126;height:1644" filled="false" stroked="true" strokeweight=".72pt" strokecolor="#375f92"/>
            <v:rect style="position:absolute;left:5989;top:757;width:2644;height:1508" filled="false" stroked="true" strokeweight=".72pt" strokecolor="#ff0000"/>
            <v:rect style="position:absolute;left:8958;top:539;width:782;height:1883" filled="false" stroked="true" strokeweight=".72pt" strokecolor="#375f92"/>
            <v:rect style="position:absolute;left:1471;top:382;width:1931;height:308" filled="true" fillcolor="#ffffff" stroked="false">
              <v:fill type="solid"/>
            </v:rect>
            <v:shape style="position:absolute;left:2480;top:453;width:408;height:200" type="#_x0000_t75" stroked="false">
              <v:imagedata r:id="rId47" o:title=""/>
            </v:shape>
            <v:shape style="position:absolute;left:1685;top:453;width:821;height:200" type="#_x0000_t75" stroked="false">
              <v:imagedata r:id="rId48" o:title=""/>
            </v:shape>
            <v:shape style="position:absolute;left:2788;top:453;width:456;height:200" type="#_x0000_t75" stroked="false">
              <v:imagedata r:id="rId49" o:title=""/>
            </v:shape>
            <v:rect style="position:absolute;left:5939;top:382;width:1868;height:308" filled="true" fillcolor="#ffffff" stroked="false">
              <v:fill type="solid"/>
            </v:rect>
            <v:shape style="position:absolute;left:6082;top:453;width:1559;height:200" type="#_x0000_t75" stroked="false">
              <v:imagedata r:id="rId50" o:title=""/>
            </v:shape>
            <v:shape style="position:absolute;left:1685;top:470;width:1516;height:160" type="#_x0000_t202" filled="false" stroked="false">
              <v:textbox inset="0,0,0,0">
                <w:txbxContent>
                  <w:p>
                    <w:pPr>
                      <w:spacing w:line="160" w:lineRule="exact" w:before="0"/>
                      <w:ind w:left="0" w:right="-5" w:firstLine="0"/>
                      <w:jc w:val="left"/>
                      <w:rPr>
                        <w:sz w:val="16"/>
                      </w:rPr>
                    </w:pPr>
                    <w:r>
                      <w:rPr>
                        <w:spacing w:val="-3"/>
                        <w:sz w:val="16"/>
                      </w:rPr>
                      <w:t>2003-03-26 </w:t>
                    </w:r>
                    <w:r>
                      <w:rPr>
                        <w:spacing w:val="-4"/>
                        <w:sz w:val="16"/>
                      </w:rPr>
                      <w:t>/2005-08-17</w:t>
                    </w:r>
                  </w:p>
                </w:txbxContent>
              </v:textbox>
              <w10:wrap type="none"/>
            </v:shape>
            <v:shape style="position:absolute;left:6082;top:470;width:1518;height:160" type="#_x0000_t202" filled="false" stroked="false">
              <v:textbox inset="0,0,0,0">
                <w:txbxContent>
                  <w:p>
                    <w:pPr>
                      <w:spacing w:line="160" w:lineRule="exact" w:before="0"/>
                      <w:ind w:left="0" w:right="-14" w:firstLine="0"/>
                      <w:jc w:val="left"/>
                      <w:rPr>
                        <w:sz w:val="16"/>
                      </w:rPr>
                    </w:pPr>
                    <w:r>
                      <w:rPr>
                        <w:spacing w:val="-3"/>
                        <w:sz w:val="16"/>
                      </w:rPr>
                      <w:t>2010-10-20 /2010-04-28</w:t>
                    </w:r>
                  </w:p>
                </w:txbxContent>
              </v:textbox>
              <w10:wrap type="none"/>
            </v:shape>
            <w10:wrap type="topAndBottom"/>
          </v:group>
        </w:pict>
      </w:r>
    </w:p>
    <w:p>
      <w:pPr>
        <w:pStyle w:val="BodyText"/>
        <w:spacing w:before="9"/>
        <w:rPr>
          <w:sz w:val="7"/>
        </w:rPr>
      </w:pPr>
    </w:p>
    <w:p>
      <w:pPr>
        <w:pStyle w:val="BodyText"/>
        <w:ind w:left="2613"/>
        <w:rPr>
          <w:sz w:val="20"/>
        </w:rPr>
      </w:pPr>
      <w:r>
        <w:rPr>
          <w:sz w:val="20"/>
        </w:rPr>
        <w:drawing>
          <wp:inline distT="0" distB="0" distL="0" distR="0">
            <wp:extent cx="48415" cy="191357"/>
            <wp:effectExtent l="0" t="0" r="0" b="0"/>
            <wp:docPr id="23" name="image37.png" descr=""/>
            <wp:cNvGraphicFramePr>
              <a:graphicFrameLocks noChangeAspect="1"/>
            </wp:cNvGraphicFramePr>
            <a:graphic>
              <a:graphicData uri="http://schemas.openxmlformats.org/drawingml/2006/picture">
                <pic:pic>
                  <pic:nvPicPr>
                    <pic:cNvPr id="24" name="image37.png"/>
                    <pic:cNvPicPr/>
                  </pic:nvPicPr>
                  <pic:blipFill>
                    <a:blip r:embed="rId44" cstate="print"/>
                    <a:stretch>
                      <a:fillRect/>
                    </a:stretch>
                  </pic:blipFill>
                  <pic:spPr>
                    <a:xfrm>
                      <a:off x="0" y="0"/>
                      <a:ext cx="48415" cy="191357"/>
                    </a:xfrm>
                    <a:prstGeom prst="rect">
                      <a:avLst/>
                    </a:prstGeom>
                  </pic:spPr>
                </pic:pic>
              </a:graphicData>
            </a:graphic>
          </wp:inline>
        </w:drawing>
      </w:r>
      <w:r>
        <w:rPr>
          <w:sz w:val="20"/>
        </w:rPr>
      </w:r>
    </w:p>
    <w:p>
      <w:pPr>
        <w:pStyle w:val="BodyText"/>
        <w:spacing w:before="6"/>
        <w:rPr>
          <w:sz w:val="23"/>
        </w:rPr>
      </w:pPr>
    </w:p>
    <w:p>
      <w:pPr>
        <w:pStyle w:val="BodyText"/>
        <w:spacing w:line="480" w:lineRule="auto"/>
        <w:ind w:left="115" w:right="116" w:firstLine="714"/>
        <w:jc w:val="both"/>
      </w:pPr>
      <w:r>
        <w:rPr/>
        <w:t>De igual forma, al generarse 46 interferogramas se estimaron igual número de mapas de coherencia,</w:t>
      </w:r>
      <w:r>
        <w:rPr>
          <w:spacing w:val="-8"/>
        </w:rPr>
        <w:t> </w:t>
      </w:r>
      <w:r>
        <w:rPr/>
        <w:t>que</w:t>
      </w:r>
      <w:r>
        <w:rPr>
          <w:spacing w:val="-7"/>
        </w:rPr>
        <w:t> </w:t>
      </w:r>
      <w:r>
        <w:rPr/>
        <w:t>de</w:t>
      </w:r>
      <w:r>
        <w:rPr>
          <w:spacing w:val="-8"/>
        </w:rPr>
        <w:t> </w:t>
      </w:r>
      <w:r>
        <w:rPr/>
        <w:t>acuerdo</w:t>
      </w:r>
      <w:r>
        <w:rPr>
          <w:spacing w:val="-7"/>
        </w:rPr>
        <w:t> </w:t>
      </w:r>
      <w:r>
        <w:rPr/>
        <w:t>con</w:t>
      </w:r>
      <w:r>
        <w:rPr>
          <w:spacing w:val="-7"/>
        </w:rPr>
        <w:t> </w:t>
      </w:r>
      <w:r>
        <w:rPr/>
        <w:t>el</w:t>
      </w:r>
      <w:r>
        <w:rPr>
          <w:spacing w:val="-7"/>
        </w:rPr>
        <w:t> </w:t>
      </w:r>
      <w:r>
        <w:rPr/>
        <w:t>diagrama</w:t>
      </w:r>
      <w:r>
        <w:rPr>
          <w:spacing w:val="-7"/>
        </w:rPr>
        <w:t> </w:t>
      </w:r>
      <w:r>
        <w:rPr/>
        <w:t>de</w:t>
      </w:r>
      <w:r>
        <w:rPr>
          <w:spacing w:val="-7"/>
        </w:rPr>
        <w:t> </w:t>
      </w:r>
      <w:r>
        <w:rPr/>
        <w:t>flujo</w:t>
      </w:r>
      <w:r>
        <w:rPr>
          <w:spacing w:val="-7"/>
        </w:rPr>
        <w:t> </w:t>
      </w:r>
      <w:r>
        <w:rPr/>
        <w:t>metodológico</w:t>
      </w:r>
      <w:r>
        <w:rPr>
          <w:spacing w:val="-6"/>
        </w:rPr>
        <w:t> </w:t>
      </w:r>
      <w:r>
        <w:rPr/>
        <w:t>es</w:t>
      </w:r>
      <w:r>
        <w:rPr>
          <w:spacing w:val="-7"/>
        </w:rPr>
        <w:t> </w:t>
      </w:r>
      <w:r>
        <w:rPr/>
        <w:t>una</w:t>
      </w:r>
      <w:r>
        <w:rPr>
          <w:spacing w:val="-8"/>
        </w:rPr>
        <w:t> </w:t>
      </w:r>
      <w:r>
        <w:rPr/>
        <w:t>etapa</w:t>
      </w:r>
      <w:r>
        <w:rPr>
          <w:spacing w:val="-8"/>
        </w:rPr>
        <w:t> </w:t>
      </w:r>
      <w:r>
        <w:rPr/>
        <w:t>indispensable</w:t>
      </w:r>
      <w:r>
        <w:rPr>
          <w:spacing w:val="-8"/>
        </w:rPr>
        <w:t> </w:t>
      </w:r>
      <w:r>
        <w:rPr/>
        <w:t>para la estimación de la fase diferencial. Así, la coherencia se estimó como la correlación normalizada (0-1) de los píxeles en términos de su fase y amplitud, logrando como principal objetivo evaluar la</w:t>
      </w:r>
      <w:r>
        <w:rPr>
          <w:spacing w:val="-8"/>
        </w:rPr>
        <w:t> </w:t>
      </w:r>
      <w:r>
        <w:rPr/>
        <w:t>calidad</w:t>
      </w:r>
      <w:r>
        <w:rPr>
          <w:spacing w:val="-10"/>
        </w:rPr>
        <w:t> </w:t>
      </w:r>
      <w:r>
        <w:rPr/>
        <w:t>de</w:t>
      </w:r>
      <w:r>
        <w:rPr>
          <w:spacing w:val="-10"/>
        </w:rPr>
        <w:t> </w:t>
      </w:r>
      <w:r>
        <w:rPr/>
        <w:t>los</w:t>
      </w:r>
      <w:r>
        <w:rPr>
          <w:spacing w:val="-8"/>
        </w:rPr>
        <w:t> </w:t>
      </w:r>
      <w:r>
        <w:rPr/>
        <w:t>interferogramas</w:t>
      </w:r>
      <w:r>
        <w:rPr>
          <w:spacing w:val="-8"/>
        </w:rPr>
        <w:t> </w:t>
      </w:r>
      <w:r>
        <w:rPr/>
        <w:t>generados.</w:t>
      </w:r>
      <w:r>
        <w:rPr>
          <w:spacing w:val="-8"/>
        </w:rPr>
        <w:t> </w:t>
      </w:r>
      <w:r>
        <w:rPr/>
        <w:t>Se</w:t>
      </w:r>
      <w:r>
        <w:rPr>
          <w:spacing w:val="-9"/>
        </w:rPr>
        <w:t> </w:t>
      </w:r>
      <w:r>
        <w:rPr/>
        <w:t>pueden</w:t>
      </w:r>
      <w:r>
        <w:rPr>
          <w:spacing w:val="-8"/>
        </w:rPr>
        <w:t> </w:t>
      </w:r>
      <w:r>
        <w:rPr/>
        <w:t>presentar</w:t>
      </w:r>
      <w:r>
        <w:rPr>
          <w:spacing w:val="-8"/>
        </w:rPr>
        <w:t> </w:t>
      </w:r>
      <w:r>
        <w:rPr/>
        <w:t>valores</w:t>
      </w:r>
      <w:r>
        <w:rPr>
          <w:spacing w:val="-8"/>
        </w:rPr>
        <w:t> </w:t>
      </w:r>
      <w:r>
        <w:rPr/>
        <w:t>de</w:t>
      </w:r>
      <w:r>
        <w:rPr>
          <w:spacing w:val="-10"/>
        </w:rPr>
        <w:t> </w:t>
      </w:r>
      <w:r>
        <w:rPr/>
        <w:t>0</w:t>
      </w:r>
      <w:r>
        <w:rPr>
          <w:spacing w:val="-9"/>
        </w:rPr>
        <w:t> </w:t>
      </w:r>
      <w:r>
        <w:rPr/>
        <w:t>(falta</w:t>
      </w:r>
      <w:r>
        <w:rPr>
          <w:spacing w:val="-9"/>
        </w:rPr>
        <w:t> </w:t>
      </w:r>
      <w:r>
        <w:rPr/>
        <w:t>de</w:t>
      </w:r>
      <w:r>
        <w:rPr>
          <w:spacing w:val="-8"/>
        </w:rPr>
        <w:t> </w:t>
      </w:r>
      <w:r>
        <w:rPr/>
        <w:t>coherencia) a</w:t>
      </w:r>
      <w:r>
        <w:rPr>
          <w:spacing w:val="-8"/>
        </w:rPr>
        <w:t> </w:t>
      </w:r>
      <w:r>
        <w:rPr/>
        <w:t>1</w:t>
      </w:r>
      <w:r>
        <w:rPr>
          <w:spacing w:val="-9"/>
        </w:rPr>
        <w:t> </w:t>
      </w:r>
      <w:r>
        <w:rPr/>
        <w:t>(máxima</w:t>
      </w:r>
      <w:r>
        <w:rPr>
          <w:spacing w:val="-8"/>
        </w:rPr>
        <w:t> </w:t>
      </w:r>
      <w:r>
        <w:rPr/>
        <w:t>coherencia).</w:t>
      </w:r>
      <w:r>
        <w:rPr>
          <w:spacing w:val="-9"/>
        </w:rPr>
        <w:t> </w:t>
      </w:r>
      <w:r>
        <w:rPr/>
        <w:t>Cuando</w:t>
      </w:r>
      <w:r>
        <w:rPr>
          <w:spacing w:val="-9"/>
        </w:rPr>
        <w:t> </w:t>
      </w:r>
      <w:r>
        <w:rPr/>
        <w:t>el</w:t>
      </w:r>
      <w:r>
        <w:rPr>
          <w:spacing w:val="-9"/>
        </w:rPr>
        <w:t> </w:t>
      </w:r>
      <w:r>
        <w:rPr/>
        <w:t>mapa</w:t>
      </w:r>
      <w:r>
        <w:rPr>
          <w:spacing w:val="-8"/>
        </w:rPr>
        <w:t> </w:t>
      </w:r>
      <w:r>
        <w:rPr/>
        <w:t>de</w:t>
      </w:r>
      <w:r>
        <w:rPr>
          <w:spacing w:val="-8"/>
        </w:rPr>
        <w:t> </w:t>
      </w:r>
      <w:r>
        <w:rPr/>
        <w:t>coherencia</w:t>
      </w:r>
      <w:r>
        <w:rPr>
          <w:spacing w:val="-8"/>
        </w:rPr>
        <w:t> </w:t>
      </w:r>
      <w:r>
        <w:rPr/>
        <w:t>presenta</w:t>
      </w:r>
      <w:r>
        <w:rPr>
          <w:spacing w:val="-8"/>
        </w:rPr>
        <w:t> </w:t>
      </w:r>
      <w:r>
        <w:rPr/>
        <w:t>valores</w:t>
      </w:r>
      <w:r>
        <w:rPr>
          <w:spacing w:val="-10"/>
        </w:rPr>
        <w:t> </w:t>
      </w:r>
      <w:r>
        <w:rPr/>
        <w:t>de</w:t>
      </w:r>
      <w:r>
        <w:rPr>
          <w:spacing w:val="-8"/>
        </w:rPr>
        <w:t> </w:t>
      </w:r>
      <w:r>
        <w:rPr/>
        <w:t>0.3</w:t>
      </w:r>
      <w:r>
        <w:rPr>
          <w:spacing w:val="-9"/>
        </w:rPr>
        <w:t> </w:t>
      </w:r>
      <w:r>
        <w:rPr/>
        <w:t>a</w:t>
      </w:r>
      <w:r>
        <w:rPr>
          <w:spacing w:val="-8"/>
        </w:rPr>
        <w:t> </w:t>
      </w:r>
      <w:r>
        <w:rPr/>
        <w:t>0.7</w:t>
      </w:r>
      <w:r>
        <w:rPr>
          <w:spacing w:val="-10"/>
        </w:rPr>
        <w:t> </w:t>
      </w:r>
      <w:r>
        <w:rPr/>
        <w:t>se</w:t>
      </w:r>
      <w:r>
        <w:rPr>
          <w:spacing w:val="-8"/>
        </w:rPr>
        <w:t> </w:t>
      </w:r>
      <w:r>
        <w:rPr/>
        <w:t>consideró como coherencia aceptable, mientras valores entre 0.7 a 1.0 se considera que la coherencia es excelente</w:t>
      </w:r>
      <w:r>
        <w:rPr>
          <w:spacing w:val="46"/>
        </w:rPr>
        <w:t> </w:t>
      </w:r>
      <w:r>
        <w:rPr/>
        <w:t>(Lira,</w:t>
      </w:r>
      <w:r>
        <w:rPr>
          <w:spacing w:val="45"/>
        </w:rPr>
        <w:t> </w:t>
      </w:r>
      <w:r>
        <w:rPr/>
        <w:t>2002).</w:t>
      </w:r>
      <w:r>
        <w:rPr>
          <w:spacing w:val="44"/>
        </w:rPr>
        <w:t> </w:t>
      </w:r>
      <w:r>
        <w:rPr/>
        <w:t>De</w:t>
      </w:r>
      <w:r>
        <w:rPr>
          <w:spacing w:val="45"/>
        </w:rPr>
        <w:t> </w:t>
      </w:r>
      <w:r>
        <w:rPr/>
        <w:t>acuerdo</w:t>
      </w:r>
      <w:r>
        <w:rPr>
          <w:spacing w:val="45"/>
        </w:rPr>
        <w:t> </w:t>
      </w:r>
      <w:r>
        <w:rPr/>
        <w:t>con</w:t>
      </w:r>
      <w:r>
        <w:rPr>
          <w:spacing w:val="45"/>
        </w:rPr>
        <w:t> </w:t>
      </w:r>
      <w:r>
        <w:rPr/>
        <w:t>el</w:t>
      </w:r>
      <w:r>
        <w:rPr>
          <w:spacing w:val="46"/>
        </w:rPr>
        <w:t> </w:t>
      </w:r>
      <w:r>
        <w:rPr/>
        <w:t>ejemplo</w:t>
      </w:r>
      <w:r>
        <w:rPr>
          <w:spacing w:val="46"/>
        </w:rPr>
        <w:t> </w:t>
      </w:r>
      <w:r>
        <w:rPr/>
        <w:t>de</w:t>
      </w:r>
      <w:r>
        <w:rPr>
          <w:spacing w:val="45"/>
        </w:rPr>
        <w:t> </w:t>
      </w:r>
      <w:r>
        <w:rPr/>
        <w:t>la</w:t>
      </w:r>
      <w:r>
        <w:rPr>
          <w:spacing w:val="46"/>
        </w:rPr>
        <w:t> </w:t>
      </w:r>
      <w:r>
        <w:rPr/>
        <w:t>Figura</w:t>
      </w:r>
      <w:r>
        <w:rPr>
          <w:spacing w:val="45"/>
        </w:rPr>
        <w:t> </w:t>
      </w:r>
      <w:r>
        <w:rPr/>
        <w:t>6,</w:t>
      </w:r>
      <w:r>
        <w:rPr>
          <w:spacing w:val="45"/>
        </w:rPr>
        <w:t> </w:t>
      </w:r>
      <w:r>
        <w:rPr/>
        <w:t>los</w:t>
      </w:r>
      <w:r>
        <w:rPr>
          <w:spacing w:val="45"/>
        </w:rPr>
        <w:t> </w:t>
      </w:r>
      <w:r>
        <w:rPr/>
        <w:t>mapas</w:t>
      </w:r>
      <w:r>
        <w:rPr>
          <w:spacing w:val="46"/>
        </w:rPr>
        <w:t> </w:t>
      </w:r>
      <w:r>
        <w:rPr/>
        <w:t>de</w:t>
      </w:r>
      <w:r>
        <w:rPr>
          <w:spacing w:val="45"/>
        </w:rPr>
        <w:t> </w:t>
      </w:r>
      <w:r>
        <w:rPr/>
        <w:t>coherencia</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8"/>
        <w:jc w:val="both"/>
      </w:pPr>
      <w:r>
        <w:rPr/>
        <w:t>interferométrica generados muestran pixeles brillantes, con valores cercanos a 1, los cuales se concentran</w:t>
      </w:r>
      <w:r>
        <w:rPr>
          <w:spacing w:val="-3"/>
        </w:rPr>
        <w:t> </w:t>
      </w:r>
      <w:r>
        <w:rPr/>
        <w:t>en</w:t>
      </w:r>
      <w:r>
        <w:rPr>
          <w:spacing w:val="-4"/>
        </w:rPr>
        <w:t> </w:t>
      </w:r>
      <w:r>
        <w:rPr/>
        <w:t>el</w:t>
      </w:r>
      <w:r>
        <w:rPr>
          <w:spacing w:val="-3"/>
        </w:rPr>
        <w:t> </w:t>
      </w:r>
      <w:r>
        <w:rPr/>
        <w:t>casco</w:t>
      </w:r>
      <w:r>
        <w:rPr>
          <w:spacing w:val="-4"/>
        </w:rPr>
        <w:t> </w:t>
      </w:r>
      <w:r>
        <w:rPr/>
        <w:t>histórico</w:t>
      </w:r>
      <w:r>
        <w:rPr>
          <w:spacing w:val="-4"/>
        </w:rPr>
        <w:t> </w:t>
      </w:r>
      <w:r>
        <w:rPr/>
        <w:t>de</w:t>
      </w:r>
      <w:r>
        <w:rPr>
          <w:spacing w:val="-4"/>
        </w:rPr>
        <w:t> </w:t>
      </w:r>
      <w:r>
        <w:rPr/>
        <w:t>la</w:t>
      </w:r>
      <w:r>
        <w:rPr>
          <w:spacing w:val="-4"/>
        </w:rPr>
        <w:t> </w:t>
      </w:r>
      <w:r>
        <w:rPr/>
        <w:t>ciudad</w:t>
      </w:r>
      <w:r>
        <w:rPr>
          <w:spacing w:val="-4"/>
        </w:rPr>
        <w:t> </w:t>
      </w:r>
      <w:r>
        <w:rPr/>
        <w:t>de</w:t>
      </w:r>
      <w:r>
        <w:rPr>
          <w:spacing w:val="-4"/>
        </w:rPr>
        <w:t> </w:t>
      </w:r>
      <w:r>
        <w:rPr/>
        <w:t>Toluca</w:t>
      </w:r>
      <w:r>
        <w:rPr>
          <w:spacing w:val="-3"/>
        </w:rPr>
        <w:t> </w:t>
      </w:r>
      <w:r>
        <w:rPr/>
        <w:t>principalmente,</w:t>
      </w:r>
      <w:r>
        <w:rPr>
          <w:spacing w:val="-4"/>
        </w:rPr>
        <w:t> </w:t>
      </w:r>
      <w:r>
        <w:rPr/>
        <w:t>es</w:t>
      </w:r>
      <w:r>
        <w:rPr>
          <w:spacing w:val="-3"/>
        </w:rPr>
        <w:t> </w:t>
      </w:r>
      <w:r>
        <w:rPr/>
        <w:t>decir</w:t>
      </w:r>
      <w:r>
        <w:rPr>
          <w:spacing w:val="-3"/>
        </w:rPr>
        <w:t> </w:t>
      </w:r>
      <w:r>
        <w:rPr/>
        <w:t>en</w:t>
      </w:r>
      <w:r>
        <w:rPr>
          <w:spacing w:val="-5"/>
        </w:rPr>
        <w:t> </w:t>
      </w:r>
      <w:r>
        <w:rPr/>
        <w:t>la</w:t>
      </w:r>
      <w:r>
        <w:rPr>
          <w:spacing w:val="-3"/>
        </w:rPr>
        <w:t> </w:t>
      </w:r>
      <w:r>
        <w:rPr/>
        <w:t>zona</w:t>
      </w:r>
      <w:r>
        <w:rPr>
          <w:spacing w:val="-4"/>
        </w:rPr>
        <w:t> </w:t>
      </w:r>
      <w:r>
        <w:rPr/>
        <w:t>urbana donde la reflectividad es máxima; mientras que los pixeles en tonalidades oscuras se asocian a valores de baja coherencia vinculadas con zonas de vegetación o cultivos; siendo zonas donde la fase simplemente no puede ser resuelta o</w:t>
      </w:r>
      <w:r>
        <w:rPr>
          <w:spacing w:val="-8"/>
        </w:rPr>
        <w:t> </w:t>
      </w:r>
      <w:r>
        <w:rPr/>
        <w:t>calculada.</w:t>
      </w:r>
    </w:p>
    <w:p>
      <w:pPr>
        <w:pStyle w:val="BodyText"/>
        <w:spacing w:before="11"/>
        <w:rPr>
          <w:sz w:val="34"/>
        </w:rPr>
      </w:pPr>
    </w:p>
    <w:p>
      <w:pPr>
        <w:spacing w:before="0"/>
        <w:ind w:left="2101" w:right="110" w:firstLine="0"/>
        <w:jc w:val="left"/>
        <w:rPr>
          <w:sz w:val="18"/>
        </w:rPr>
      </w:pPr>
      <w:r>
        <w:rPr>
          <w:i/>
          <w:sz w:val="18"/>
        </w:rPr>
        <w:t>Figura 6. </w:t>
      </w:r>
      <w:r>
        <w:rPr>
          <w:sz w:val="18"/>
        </w:rPr>
        <w:t>Mapa de coherencia generado a partir de un par interferométrico.</w:t>
      </w:r>
    </w:p>
    <w:p>
      <w:pPr>
        <w:pStyle w:val="BodyText"/>
        <w:spacing w:before="6"/>
        <w:rPr>
          <w:sz w:val="13"/>
        </w:rPr>
      </w:pPr>
      <w:r>
        <w:rPr/>
        <w:pict>
          <v:group style="position:absolute;margin-left:72.220001pt;margin-top:9.773228pt;width:445pt;height:162.950pt;mso-position-horizontal-relative:page;mso-position-vertical-relative:paragraph;z-index:1384;mso-wrap-distance-left:0;mso-wrap-distance-right:0" coordorigin="1444,195" coordsize="8900,3259">
            <v:shape style="position:absolute;left:5794;top:3100;width:161;height:354" type="#_x0000_t75" stroked="false">
              <v:imagedata r:id="rId51" o:title=""/>
            </v:shape>
            <v:shape style="position:absolute;left:1470;top:221;width:4304;height:3074" type="#_x0000_t75" stroked="false">
              <v:imagedata r:id="rId52" o:title=""/>
            </v:shape>
            <v:rect style="position:absolute;left:1460;top:211;width:4332;height:3098" filled="false" stroked="true" strokeweight="1.56pt" strokecolor="#000000"/>
            <v:shape style="position:absolute;left:10264;top:3100;width:80;height:354" type="#_x0000_t75" stroked="false">
              <v:imagedata r:id="rId53" o:title=""/>
            </v:shape>
            <v:shape style="position:absolute;left:5940;top:221;width:4304;height:3065" type="#_x0000_t75" stroked="false">
              <v:imagedata r:id="rId54" o:title=""/>
            </v:shape>
            <v:rect style="position:absolute;left:5929;top:211;width:4332;height:3089" filled="false" stroked="true" strokeweight="1.56pt" strokecolor="#000000"/>
            <v:rect style="position:absolute;left:1481;top:340;width:1978;height:343" filled="true" fillcolor="#ffffff" stroked="false">
              <v:fill type="solid"/>
            </v:rect>
            <v:shape style="position:absolute;left:1632;top:420;width:1631;height:236" type="#_x0000_t75" stroked="false">
              <v:imagedata r:id="rId55" o:title=""/>
            </v:shape>
            <v:rect style="position:absolute;left:6194;top:340;width:1999;height:343" filled="true" fillcolor="#ffffff" stroked="false">
              <v:fill type="solid"/>
            </v:rect>
            <v:shape style="position:absolute;left:6344;top:420;width:1631;height:236" type="#_x0000_t75" stroked="false">
              <v:imagedata r:id="rId56" o:title=""/>
            </v:shape>
            <v:rect style="position:absolute;left:4541;top:2356;width:1183;height:919" filled="true" fillcolor="#ffffff" stroked="false">
              <v:fill type="solid"/>
            </v:rect>
            <v:rect style="position:absolute;left:4541;top:2356;width:1183;height:919" filled="false" stroked="true" strokeweight=".48pt" strokecolor="#000000"/>
            <v:shape style="position:absolute;left:5501;top:2908;width:80;height:354" type="#_x0000_t75" stroked="false">
              <v:imagedata r:id="rId53" o:title=""/>
            </v:shape>
            <v:shape style="position:absolute;left:4685;top:2425;width:815;height:690" type="#_x0000_t75" stroked="false">
              <v:imagedata r:id="rId57" o:title=""/>
            </v:shape>
            <v:rect style="position:absolute;left:8990;top:2339;width:1195;height:919" filled="true" fillcolor="#ffffff" stroked="false">
              <v:fill type="solid"/>
            </v:rect>
            <v:rect style="position:absolute;left:8990;top:2339;width:1195;height:919" filled="false" stroked="true" strokeweight=".48pt" strokecolor="#000000"/>
            <v:shape style="position:absolute;left:9982;top:2964;width:79;height:353" type="#_x0000_t75" stroked="false">
              <v:imagedata r:id="rId58" o:title=""/>
            </v:shape>
            <v:shape style="position:absolute;left:9139;top:2416;width:826;height:766" type="#_x0000_t75" stroked="false">
              <v:imagedata r:id="rId59" o:title=""/>
            </v:shape>
            <v:shape style="position:absolute;left:1632;top:441;width:1580;height:160" type="#_x0000_t202" filled="false" stroked="false">
              <v:textbox inset="0,0,0,0">
                <w:txbxContent>
                  <w:p>
                    <w:pPr>
                      <w:spacing w:line="160" w:lineRule="exact" w:before="0"/>
                      <w:ind w:left="0" w:right="-18" w:firstLine="0"/>
                      <w:jc w:val="left"/>
                      <w:rPr>
                        <w:sz w:val="16"/>
                      </w:rPr>
                    </w:pPr>
                    <w:r>
                      <w:rPr>
                        <w:sz w:val="16"/>
                      </w:rPr>
                      <w:t>2003-03-26 /2005-08-17</w:t>
                    </w:r>
                  </w:p>
                </w:txbxContent>
              </v:textbox>
              <w10:wrap type="none"/>
            </v:shape>
            <v:shape style="position:absolute;left:6345;top:441;width:1580;height:160" type="#_x0000_t202" filled="false" stroked="false">
              <v:textbox inset="0,0,0,0">
                <w:txbxContent>
                  <w:p>
                    <w:pPr>
                      <w:spacing w:line="160" w:lineRule="exact" w:before="0"/>
                      <w:ind w:left="0" w:right="-18" w:firstLine="0"/>
                      <w:jc w:val="left"/>
                      <w:rPr>
                        <w:sz w:val="16"/>
                      </w:rPr>
                    </w:pPr>
                    <w:r>
                      <w:rPr>
                        <w:sz w:val="16"/>
                      </w:rPr>
                      <w:t>2010-10-20 /2010-04-28</w:t>
                    </w:r>
                  </w:p>
                </w:txbxContent>
              </v:textbox>
              <w10:wrap type="none"/>
            </v:shape>
            <w10:wrap type="topAndBottom"/>
          </v:group>
        </w:pict>
      </w:r>
    </w:p>
    <w:p>
      <w:pPr>
        <w:pStyle w:val="BodyText"/>
        <w:rPr>
          <w:sz w:val="18"/>
        </w:rPr>
      </w:pPr>
    </w:p>
    <w:p>
      <w:pPr>
        <w:pStyle w:val="BodyText"/>
        <w:rPr>
          <w:sz w:val="19"/>
        </w:rPr>
      </w:pPr>
    </w:p>
    <w:p>
      <w:pPr>
        <w:pStyle w:val="BodyText"/>
        <w:spacing w:line="480" w:lineRule="auto"/>
        <w:ind w:left="115" w:right="117" w:firstLine="714"/>
        <w:jc w:val="both"/>
      </w:pPr>
      <w:r>
        <w:rPr/>
        <w:t>Debido a que la fase interferométrica trabaja con valores complejos que solo pueden ser representados en ciclos de 2π, se hace necesario resolver el problema de la ambigüedad en el desarrollo de la fase (phase unwrapping), lo que significa que cada ciclo 2π regresa al origen (0) para volver a iniciar el ciclo; así </w:t>
      </w:r>
      <w:r>
        <w:rPr>
          <w:i/>
        </w:rPr>
        <w:t>phase unwrapping </w:t>
      </w:r>
      <w:r>
        <w:rPr/>
        <w:t>implica transformar el interferograma de una función compleja a una función continua. Para el caso de la investigación se aplicó el algoritmo estadístico del Mínimo Coste de Flujo para los 46 interferogramas, realizando un </w:t>
      </w:r>
      <w:r>
        <w:rPr>
          <w:i/>
        </w:rPr>
        <w:t>unwrapping </w:t>
      </w:r>
      <w:r>
        <w:rPr/>
        <w:t>únicamente en aquellos píxeles donde la coherencia supere un umbral determinado, que en éste caso fue de 0.7 como se mencionó en la Tabla 1. Además, se hace necesario resaltar que la precisión de la deformación es centimétrica, y está en función del radio de la longitud de onda,</w:t>
      </w:r>
      <w:r>
        <w:rPr>
          <w:spacing w:val="-24"/>
        </w:rPr>
        <w:t> </w:t>
      </w:r>
      <w:r>
        <w:rPr/>
        <w:t>ya que</w:t>
      </w:r>
      <w:r>
        <w:rPr>
          <w:spacing w:val="25"/>
        </w:rPr>
        <w:t> </w:t>
      </w:r>
      <w:r>
        <w:rPr/>
        <w:t>es</w:t>
      </w:r>
      <w:r>
        <w:rPr>
          <w:spacing w:val="25"/>
        </w:rPr>
        <w:t> </w:t>
      </w:r>
      <w:r>
        <w:rPr/>
        <w:t>el</w:t>
      </w:r>
      <w:r>
        <w:rPr>
          <w:spacing w:val="25"/>
        </w:rPr>
        <w:t> </w:t>
      </w:r>
      <w:r>
        <w:rPr/>
        <w:t>frente</w:t>
      </w:r>
      <w:r>
        <w:rPr>
          <w:spacing w:val="25"/>
        </w:rPr>
        <w:t> </w:t>
      </w:r>
      <w:r>
        <w:rPr/>
        <w:t>de</w:t>
      </w:r>
      <w:r>
        <w:rPr>
          <w:spacing w:val="24"/>
        </w:rPr>
        <w:t> </w:t>
      </w:r>
      <w:r>
        <w:rPr/>
        <w:t>la</w:t>
      </w:r>
      <w:r>
        <w:rPr>
          <w:spacing w:val="24"/>
        </w:rPr>
        <w:t> </w:t>
      </w:r>
      <w:r>
        <w:rPr/>
        <w:t>onda</w:t>
      </w:r>
      <w:r>
        <w:rPr>
          <w:spacing w:val="25"/>
        </w:rPr>
        <w:t> </w:t>
      </w:r>
      <w:r>
        <w:rPr/>
        <w:t>la</w:t>
      </w:r>
      <w:r>
        <w:rPr>
          <w:spacing w:val="25"/>
        </w:rPr>
        <w:t> </w:t>
      </w:r>
      <w:r>
        <w:rPr/>
        <w:t>que</w:t>
      </w:r>
      <w:r>
        <w:rPr>
          <w:spacing w:val="25"/>
        </w:rPr>
        <w:t> </w:t>
      </w:r>
      <w:r>
        <w:rPr/>
        <w:t>interactúa</w:t>
      </w:r>
      <w:r>
        <w:rPr>
          <w:spacing w:val="24"/>
        </w:rPr>
        <w:t> </w:t>
      </w:r>
      <w:r>
        <w:rPr/>
        <w:t>con</w:t>
      </w:r>
      <w:r>
        <w:rPr>
          <w:spacing w:val="25"/>
        </w:rPr>
        <w:t> </w:t>
      </w:r>
      <w:r>
        <w:rPr/>
        <w:t>el</w:t>
      </w:r>
      <w:r>
        <w:rPr>
          <w:spacing w:val="25"/>
        </w:rPr>
        <w:t> </w:t>
      </w:r>
      <w:r>
        <w:rPr/>
        <w:t>objeto.</w:t>
      </w:r>
      <w:r>
        <w:rPr>
          <w:spacing w:val="22"/>
        </w:rPr>
        <w:t> </w:t>
      </w:r>
      <w:r>
        <w:rPr/>
        <w:t>Para</w:t>
      </w:r>
      <w:r>
        <w:rPr>
          <w:spacing w:val="25"/>
        </w:rPr>
        <w:t> </w:t>
      </w:r>
      <w:r>
        <w:rPr/>
        <w:t>el</w:t>
      </w:r>
      <w:r>
        <w:rPr>
          <w:spacing w:val="25"/>
        </w:rPr>
        <w:t> </w:t>
      </w:r>
      <w:r>
        <w:rPr/>
        <w:t>caso</w:t>
      </w:r>
      <w:r>
        <w:rPr>
          <w:spacing w:val="23"/>
        </w:rPr>
        <w:t> </w:t>
      </w:r>
      <w:r>
        <w:rPr/>
        <w:t>de</w:t>
      </w:r>
      <w:r>
        <w:rPr>
          <w:spacing w:val="25"/>
        </w:rPr>
        <w:t> </w:t>
      </w:r>
      <w:r>
        <w:rPr/>
        <w:t>la</w:t>
      </w:r>
      <w:r>
        <w:rPr>
          <w:spacing w:val="24"/>
        </w:rPr>
        <w:t> </w:t>
      </w:r>
      <w:r>
        <w:rPr/>
        <w:t>investigación,</w:t>
      </w:r>
      <w:r>
        <w:rPr>
          <w:spacing w:val="25"/>
        </w:rPr>
        <w:t> </w:t>
      </w:r>
      <w:r>
        <w:rPr/>
        <w:t>la</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6"/>
        <w:jc w:val="both"/>
      </w:pPr>
      <w:r>
        <w:rPr/>
        <w:t>longitud de onda (λ) es de 5 cm, por lo tanto, cada ciclo 2π representa </w:t>
      </w:r>
      <w:r>
        <w:rPr>
          <w:spacing w:val="2"/>
        </w:rPr>
        <w:t>un </w:t>
      </w:r>
      <w:r>
        <w:rPr/>
        <w:t>desplazamiento (LOS - Light of Sight) de 2.5 cm en la vertical. Es a partir de esta etapa donde los pixeles candidatos han sido seleccionados de los interferogramas originales para poder estimar la deformación como una función continua y real. Por tanto, al aplicar la técnica PS tiene logramos generar un mapa de deformaciones puntuales con precisión milimétrica, dicha precisión se obtiene de la redundancia y manejo de todo un conjuntos de datos de distintas fechas al mismo tiempo de una misma zona, que como ya se mencionó, la cantidad de imágenes debe ser mayor a 30 (Ferreti, et al.,2001) para cumplir</w:t>
      </w:r>
      <w:r>
        <w:rPr>
          <w:spacing w:val="-13"/>
        </w:rPr>
        <w:t> </w:t>
      </w:r>
      <w:r>
        <w:rPr/>
        <w:t>con</w:t>
      </w:r>
      <w:r>
        <w:rPr>
          <w:spacing w:val="-14"/>
        </w:rPr>
        <w:t> </w:t>
      </w:r>
      <w:r>
        <w:rPr/>
        <w:t>dicha</w:t>
      </w:r>
      <w:r>
        <w:rPr>
          <w:spacing w:val="-13"/>
        </w:rPr>
        <w:t> </w:t>
      </w:r>
      <w:r>
        <w:rPr/>
        <w:t>precisión;</w:t>
      </w:r>
      <w:r>
        <w:rPr>
          <w:spacing w:val="-13"/>
        </w:rPr>
        <w:t> </w:t>
      </w:r>
      <w:r>
        <w:rPr/>
        <w:t>por</w:t>
      </w:r>
      <w:r>
        <w:rPr>
          <w:spacing w:val="-14"/>
        </w:rPr>
        <w:t> </w:t>
      </w:r>
      <w:r>
        <w:rPr/>
        <w:t>lo</w:t>
      </w:r>
      <w:r>
        <w:rPr>
          <w:spacing w:val="-13"/>
        </w:rPr>
        <w:t> </w:t>
      </w:r>
      <w:r>
        <w:rPr/>
        <w:t>que</w:t>
      </w:r>
      <w:r>
        <w:rPr>
          <w:spacing w:val="-13"/>
        </w:rPr>
        <w:t> </w:t>
      </w:r>
      <w:r>
        <w:rPr/>
        <w:t>se</w:t>
      </w:r>
      <w:r>
        <w:rPr>
          <w:spacing w:val="-13"/>
        </w:rPr>
        <w:t> </w:t>
      </w:r>
      <w:r>
        <w:rPr/>
        <w:t>obtuvieron</w:t>
      </w:r>
      <w:r>
        <w:rPr>
          <w:spacing w:val="-14"/>
        </w:rPr>
        <w:t> </w:t>
      </w:r>
      <w:r>
        <w:rPr/>
        <w:t>31</w:t>
      </w:r>
      <w:r>
        <w:rPr>
          <w:spacing w:val="-13"/>
        </w:rPr>
        <w:t> </w:t>
      </w:r>
      <w:r>
        <w:rPr/>
        <w:t>imágenes</w:t>
      </w:r>
      <w:r>
        <w:rPr>
          <w:spacing w:val="-13"/>
        </w:rPr>
        <w:t> </w:t>
      </w:r>
      <w:r>
        <w:rPr/>
        <w:t>complejas</w:t>
      </w:r>
      <w:r>
        <w:rPr>
          <w:spacing w:val="-13"/>
        </w:rPr>
        <w:t> </w:t>
      </w:r>
      <w:r>
        <w:rPr/>
        <w:t>de</w:t>
      </w:r>
      <w:r>
        <w:rPr>
          <w:spacing w:val="-14"/>
        </w:rPr>
        <w:t> </w:t>
      </w:r>
      <w:r>
        <w:rPr/>
        <w:t>la</w:t>
      </w:r>
      <w:r>
        <w:rPr>
          <w:spacing w:val="-14"/>
        </w:rPr>
        <w:t> </w:t>
      </w:r>
      <w:r>
        <w:rPr/>
        <w:t>zona</w:t>
      </w:r>
      <w:r>
        <w:rPr>
          <w:spacing w:val="-14"/>
        </w:rPr>
        <w:t> </w:t>
      </w:r>
      <w:r>
        <w:rPr/>
        <w:t>de</w:t>
      </w:r>
      <w:r>
        <w:rPr>
          <w:spacing w:val="-13"/>
        </w:rPr>
        <w:t> </w:t>
      </w:r>
      <w:r>
        <w:rPr/>
        <w:t>estudio. Para restar la fase asociada a la tipografía original se utilizó un Modelo Digital de Elevación de INEGI con una resolución de pixel de 15m. En la Figura 7, se muestra el mapa derivado del proceso Persistent Scatterer (PS), los puntos rojos representan las zonas de máxima velocidad de deformación que fluctúan de -25 a -69.7 mm, dicha zona se localiza al este del casco urbano de Toluca, además se logra visualizar cierta tendencia de la localización de los punto rojos hacia el norte- noreste de la ciudad, hacia la zona del Parque Industrial de Toluca 2000 y la localidad de Villa Cuauhtémoc en el municipio de Otzolotepec. En segundo término se muestran puntos en color naranja que tienen valores que van desde -15 a 24.999 mm y que se localizan también en la localidad de San Pedro Totoltepec, San Miguel Ameyalco, en la zona Industrial de Lerma y San Mateo</w:t>
      </w:r>
      <w:r>
        <w:rPr>
          <w:spacing w:val="-5"/>
        </w:rPr>
        <w:t> </w:t>
      </w:r>
      <w:r>
        <w:rPr/>
        <w:t>Atenco.</w:t>
      </w:r>
      <w:r>
        <w:rPr>
          <w:spacing w:val="-5"/>
        </w:rPr>
        <w:t> </w:t>
      </w:r>
      <w:r>
        <w:rPr/>
        <w:t>También</w:t>
      </w:r>
      <w:r>
        <w:rPr>
          <w:spacing w:val="-4"/>
        </w:rPr>
        <w:t> </w:t>
      </w:r>
      <w:r>
        <w:rPr/>
        <w:t>podemos</w:t>
      </w:r>
      <w:r>
        <w:rPr>
          <w:spacing w:val="-5"/>
        </w:rPr>
        <w:t> </w:t>
      </w:r>
      <w:r>
        <w:rPr/>
        <w:t>observar</w:t>
      </w:r>
      <w:r>
        <w:rPr>
          <w:spacing w:val="-6"/>
        </w:rPr>
        <w:t> </w:t>
      </w:r>
      <w:r>
        <w:rPr/>
        <w:t>puntos</w:t>
      </w:r>
      <w:r>
        <w:rPr>
          <w:spacing w:val="-6"/>
        </w:rPr>
        <w:t> </w:t>
      </w:r>
      <w:r>
        <w:rPr/>
        <w:t>amarillos</w:t>
      </w:r>
      <w:r>
        <w:rPr>
          <w:spacing w:val="-6"/>
        </w:rPr>
        <w:t> </w:t>
      </w:r>
      <w:r>
        <w:rPr/>
        <w:t>cuyos</w:t>
      </w:r>
      <w:r>
        <w:rPr>
          <w:spacing w:val="-5"/>
        </w:rPr>
        <w:t> </w:t>
      </w:r>
      <w:r>
        <w:rPr/>
        <w:t>valores</w:t>
      </w:r>
      <w:r>
        <w:rPr>
          <w:spacing w:val="-6"/>
        </w:rPr>
        <w:t> </w:t>
      </w:r>
      <w:r>
        <w:rPr/>
        <w:t>fluctúan</w:t>
      </w:r>
      <w:r>
        <w:rPr>
          <w:spacing w:val="-4"/>
        </w:rPr>
        <w:t> </w:t>
      </w:r>
      <w:r>
        <w:rPr/>
        <w:t>de</w:t>
      </w:r>
      <w:r>
        <w:rPr>
          <w:spacing w:val="-4"/>
        </w:rPr>
        <w:t> </w:t>
      </w:r>
      <w:r>
        <w:rPr/>
        <w:t>-5</w:t>
      </w:r>
      <w:r>
        <w:rPr>
          <w:spacing w:val="-5"/>
        </w:rPr>
        <w:t> </w:t>
      </w:r>
      <w:r>
        <w:rPr/>
        <w:t>a</w:t>
      </w:r>
      <w:r>
        <w:rPr>
          <w:spacing w:val="-6"/>
        </w:rPr>
        <w:t> </w:t>
      </w:r>
      <w:r>
        <w:rPr/>
        <w:t>-14.99 mm y que se localizan en la zona de Metepec. Los puntos verdes representan zonas de mínima deformación, estos valores varían de 0 a -4.99 mm; y por último tenemos los puntos azules</w:t>
      </w:r>
      <w:r>
        <w:rPr>
          <w:spacing w:val="-19"/>
        </w:rPr>
        <w:t> </w:t>
      </w:r>
      <w:r>
        <w:rPr/>
        <w:t>donde no se presentan</w:t>
      </w:r>
      <w:r>
        <w:rPr>
          <w:spacing w:val="-3"/>
        </w:rPr>
        <w:t> </w:t>
      </w:r>
      <w:r>
        <w:rPr/>
        <w:t>deformaciones.</w:t>
      </w:r>
    </w:p>
    <w:p>
      <w:pPr>
        <w:pStyle w:val="BodyText"/>
      </w:pPr>
    </w:p>
    <w:p>
      <w:pPr>
        <w:pStyle w:val="BodyText"/>
        <w:spacing w:before="5"/>
        <w:rPr>
          <w:sz w:val="20"/>
        </w:rPr>
      </w:pPr>
    </w:p>
    <w:p>
      <w:pPr>
        <w:pStyle w:val="Heading2"/>
        <w:jc w:val="both"/>
        <w:rPr>
          <w:i/>
        </w:rPr>
      </w:pPr>
      <w:r>
        <w:rPr>
          <w:i/>
        </w:rPr>
        <w:t>Validación y Discusión  de los resultados derivados de la técnica PS</w:t>
      </w:r>
    </w:p>
    <w:p>
      <w:pPr>
        <w:spacing w:after="0"/>
        <w:jc w:val="both"/>
        <w:sectPr>
          <w:pgSz w:w="12240" w:h="15840"/>
          <w:pgMar w:header="737" w:footer="968" w:top="1620" w:bottom="1160" w:left="1320" w:right="1320"/>
        </w:sectPr>
      </w:pPr>
    </w:p>
    <w:p>
      <w:pPr>
        <w:pStyle w:val="BodyText"/>
        <w:spacing w:before="4"/>
        <w:rPr>
          <w:b/>
          <w:i/>
          <w:sz w:val="10"/>
        </w:rPr>
      </w:pPr>
    </w:p>
    <w:p>
      <w:pPr>
        <w:pStyle w:val="BodyText"/>
        <w:spacing w:line="480" w:lineRule="auto" w:before="69"/>
        <w:ind w:left="115" w:right="117" w:firstLine="714"/>
        <w:jc w:val="both"/>
      </w:pPr>
      <w:r>
        <w:rPr/>
        <w:t>Se emplearon datos piezométricos históricos de la CONAGUA (Comisión Nacional del Agua) para encontrar  posibles  relaciones  espaciales  entre la superficie del terreno con  respecto</w:t>
      </w:r>
      <w:r>
        <w:rPr>
          <w:spacing w:val="-2"/>
        </w:rPr>
        <w:t> </w:t>
      </w:r>
      <w:r>
        <w:rPr/>
        <w:t>al</w:t>
      </w:r>
    </w:p>
    <w:p>
      <w:pPr>
        <w:pStyle w:val="BodyText"/>
      </w:pPr>
    </w:p>
    <w:p>
      <w:pPr>
        <w:pStyle w:val="BodyText"/>
        <w:rPr>
          <w:sz w:val="20"/>
        </w:rPr>
      </w:pPr>
    </w:p>
    <w:p>
      <w:pPr>
        <w:spacing w:before="0"/>
        <w:ind w:left="548" w:right="110" w:firstLine="0"/>
        <w:jc w:val="left"/>
        <w:rPr>
          <w:sz w:val="18"/>
        </w:rPr>
      </w:pPr>
      <w:r>
        <w:rPr>
          <w:i/>
          <w:sz w:val="18"/>
        </w:rPr>
        <w:t>Figura 7.  </w:t>
      </w:r>
      <w:r>
        <w:rPr>
          <w:sz w:val="18"/>
        </w:rPr>
        <w:t>Mapa de deformaciones puntuales utilizando la técnica  Persistent Scatterer (PS) para el periodo 2003-2010</w:t>
      </w:r>
    </w:p>
    <w:p>
      <w:pPr>
        <w:pStyle w:val="BodyText"/>
        <w:rPr>
          <w:sz w:val="20"/>
        </w:rPr>
      </w:pPr>
    </w:p>
    <w:p>
      <w:pPr>
        <w:pStyle w:val="BodyText"/>
        <w:spacing w:before="5"/>
        <w:rPr>
          <w:sz w:val="14"/>
        </w:rPr>
      </w:pPr>
      <w:r>
        <w:rPr/>
        <w:drawing>
          <wp:anchor distT="0" distB="0" distL="0" distR="0" allowOverlap="1" layoutInCell="1" locked="0" behindDoc="0" simplePos="0" relativeHeight="1408">
            <wp:simplePos x="0" y="0"/>
            <wp:positionH relativeFrom="page">
              <wp:posOffset>990600</wp:posOffset>
            </wp:positionH>
            <wp:positionV relativeFrom="paragraph">
              <wp:posOffset>130736</wp:posOffset>
            </wp:positionV>
            <wp:extent cx="5899592" cy="4328922"/>
            <wp:effectExtent l="0" t="0" r="0" b="0"/>
            <wp:wrapTopAndBottom/>
            <wp:docPr id="25" name="image53.jpeg" descr=""/>
            <wp:cNvGraphicFramePr>
              <a:graphicFrameLocks noChangeAspect="1"/>
            </wp:cNvGraphicFramePr>
            <a:graphic>
              <a:graphicData uri="http://schemas.openxmlformats.org/drawingml/2006/picture">
                <pic:pic>
                  <pic:nvPicPr>
                    <pic:cNvPr id="26" name="image53.jpeg"/>
                    <pic:cNvPicPr/>
                  </pic:nvPicPr>
                  <pic:blipFill>
                    <a:blip r:embed="rId60" cstate="print"/>
                    <a:stretch>
                      <a:fillRect/>
                    </a:stretch>
                  </pic:blipFill>
                  <pic:spPr>
                    <a:xfrm>
                      <a:off x="0" y="0"/>
                      <a:ext cx="5899592" cy="4328922"/>
                    </a:xfrm>
                    <a:prstGeom prst="rect">
                      <a:avLst/>
                    </a:prstGeom>
                  </pic:spPr>
                </pic:pic>
              </a:graphicData>
            </a:graphic>
          </wp:anchor>
        </w:drawing>
      </w:r>
    </w:p>
    <w:p>
      <w:pPr>
        <w:pStyle w:val="BodyText"/>
        <w:rPr>
          <w:sz w:val="18"/>
        </w:rPr>
      </w:pPr>
    </w:p>
    <w:p>
      <w:pPr>
        <w:pStyle w:val="BodyText"/>
        <w:spacing w:before="8"/>
        <w:rPr>
          <w:sz w:val="19"/>
        </w:rPr>
      </w:pPr>
    </w:p>
    <w:p>
      <w:pPr>
        <w:pStyle w:val="BodyText"/>
        <w:spacing w:line="480" w:lineRule="auto"/>
        <w:ind w:left="110" w:right="117"/>
        <w:jc w:val="both"/>
      </w:pPr>
      <w:r>
        <w:rPr/>
        <w:t>abatimiento del Acuífero del Valle de Toluca (AVT). Para ello se realizaron mapas de curvas de abatimiento para sondas con una profundidad que va de 100 – 200 m, para el periodo 1968 al 2011. La selección de la profundidad de la sonda se eligió debido a que a esta profundidad se han seguido realizando mayores extracciones de agua potable y representa el nivel más explotado del acuífero (Expósito, 2011).</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0" w:right="116" w:firstLine="718"/>
        <w:jc w:val="both"/>
      </w:pPr>
      <w:r>
        <w:rPr/>
        <w:t>Las interpolaciones realizadas para la generación de las curvas de aproximación de abatimiento</w:t>
      </w:r>
      <w:r>
        <w:rPr>
          <w:spacing w:val="-15"/>
        </w:rPr>
        <w:t> </w:t>
      </w:r>
      <w:r>
        <w:rPr/>
        <w:t>se</w:t>
      </w:r>
      <w:r>
        <w:rPr>
          <w:spacing w:val="-15"/>
        </w:rPr>
        <w:t> </w:t>
      </w:r>
      <w:r>
        <w:rPr/>
        <w:t>estimaron</w:t>
      </w:r>
      <w:r>
        <w:rPr>
          <w:spacing w:val="-16"/>
        </w:rPr>
        <w:t> </w:t>
      </w:r>
      <w:r>
        <w:rPr/>
        <w:t>con</w:t>
      </w:r>
      <w:r>
        <w:rPr>
          <w:spacing w:val="-16"/>
        </w:rPr>
        <w:t> </w:t>
      </w:r>
      <w:r>
        <w:rPr/>
        <w:t>base</w:t>
      </w:r>
      <w:r>
        <w:rPr>
          <w:spacing w:val="-15"/>
        </w:rPr>
        <w:t> </w:t>
      </w:r>
      <w:r>
        <w:rPr/>
        <w:t>en</w:t>
      </w:r>
      <w:r>
        <w:rPr>
          <w:spacing w:val="-14"/>
        </w:rPr>
        <w:t> </w:t>
      </w:r>
      <w:r>
        <w:rPr/>
        <w:t>el</w:t>
      </w:r>
      <w:r>
        <w:rPr>
          <w:spacing w:val="-15"/>
        </w:rPr>
        <w:t> </w:t>
      </w:r>
      <w:r>
        <w:rPr/>
        <w:t>algoritmo</w:t>
      </w:r>
      <w:r>
        <w:rPr>
          <w:spacing w:val="-14"/>
        </w:rPr>
        <w:t> </w:t>
      </w:r>
      <w:r>
        <w:rPr>
          <w:i/>
        </w:rPr>
        <w:t>Kriging</w:t>
      </w:r>
      <w:r>
        <w:rPr/>
        <w:t>,</w:t>
      </w:r>
      <w:r>
        <w:rPr>
          <w:spacing w:val="-16"/>
        </w:rPr>
        <w:t> </w:t>
      </w:r>
      <w:r>
        <w:rPr/>
        <w:t>que</w:t>
      </w:r>
      <w:r>
        <w:rPr>
          <w:spacing w:val="-16"/>
        </w:rPr>
        <w:t> </w:t>
      </w:r>
      <w:r>
        <w:rPr/>
        <w:t>es</w:t>
      </w:r>
      <w:r>
        <w:rPr>
          <w:spacing w:val="-15"/>
        </w:rPr>
        <w:t> </w:t>
      </w:r>
      <w:r>
        <w:rPr/>
        <w:t>un</w:t>
      </w:r>
      <w:r>
        <w:rPr>
          <w:spacing w:val="-15"/>
        </w:rPr>
        <w:t> </w:t>
      </w:r>
      <w:r>
        <w:rPr/>
        <w:t>método</w:t>
      </w:r>
      <w:r>
        <w:rPr>
          <w:spacing w:val="-16"/>
        </w:rPr>
        <w:t> </w:t>
      </w:r>
      <w:r>
        <w:rPr/>
        <w:t>geoestadístico</w:t>
      </w:r>
      <w:r>
        <w:rPr>
          <w:spacing w:val="-16"/>
        </w:rPr>
        <w:t> </w:t>
      </w:r>
      <w:r>
        <w:rPr/>
        <w:t>basado en la autocorrelación; este pondera los valores medidos circundantes para calcular una predicción de una ubicación sin mediciones. Además se tuvieron en cuenta criterios hidrogeológicos como son el comportamiento del agua a niveles superficiales para acuíferos confinados, el límite entre las unidades geológicas y la topografía superficial de la zona de</w:t>
      </w:r>
      <w:r>
        <w:rPr>
          <w:spacing w:val="-10"/>
        </w:rPr>
        <w:t> </w:t>
      </w:r>
      <w:r>
        <w:rPr/>
        <w:t>estudio.</w:t>
      </w:r>
    </w:p>
    <w:p>
      <w:pPr>
        <w:pStyle w:val="BodyText"/>
      </w:pPr>
    </w:p>
    <w:p>
      <w:pPr>
        <w:pStyle w:val="BodyText"/>
        <w:spacing w:before="5"/>
        <w:rPr>
          <w:sz w:val="27"/>
        </w:rPr>
      </w:pPr>
    </w:p>
    <w:p>
      <w:pPr>
        <w:pStyle w:val="BodyText"/>
        <w:spacing w:line="480" w:lineRule="auto"/>
        <w:ind w:left="115" w:right="116" w:firstLine="718"/>
        <w:jc w:val="both"/>
      </w:pPr>
      <w:r>
        <w:rPr/>
        <w:t>La Figura 8, representa el mapa abatimiento del acuífero para el periodo 1968-2011 sobrepuesto</w:t>
      </w:r>
      <w:r>
        <w:rPr>
          <w:spacing w:val="-6"/>
        </w:rPr>
        <w:t> </w:t>
      </w:r>
      <w:r>
        <w:rPr/>
        <w:t>al</w:t>
      </w:r>
      <w:r>
        <w:rPr>
          <w:spacing w:val="-4"/>
        </w:rPr>
        <w:t> </w:t>
      </w:r>
      <w:r>
        <w:rPr/>
        <w:t>mapa</w:t>
      </w:r>
      <w:r>
        <w:rPr>
          <w:spacing w:val="-5"/>
        </w:rPr>
        <w:t> </w:t>
      </w:r>
      <w:r>
        <w:rPr/>
        <w:t>de</w:t>
      </w:r>
      <w:r>
        <w:rPr>
          <w:spacing w:val="-5"/>
        </w:rPr>
        <w:t> </w:t>
      </w:r>
      <w:r>
        <w:rPr/>
        <w:t>velocidad</w:t>
      </w:r>
      <w:r>
        <w:rPr>
          <w:spacing w:val="-5"/>
        </w:rPr>
        <w:t> </w:t>
      </w:r>
      <w:r>
        <w:rPr/>
        <w:t>promedio</w:t>
      </w:r>
      <w:r>
        <w:rPr>
          <w:spacing w:val="-4"/>
        </w:rPr>
        <w:t> </w:t>
      </w:r>
      <w:r>
        <w:rPr/>
        <w:t>de</w:t>
      </w:r>
      <w:r>
        <w:rPr>
          <w:spacing w:val="-5"/>
        </w:rPr>
        <w:t> </w:t>
      </w:r>
      <w:r>
        <w:rPr/>
        <w:t>subsidencias</w:t>
      </w:r>
      <w:r>
        <w:rPr>
          <w:spacing w:val="-3"/>
        </w:rPr>
        <w:t> </w:t>
      </w:r>
      <w:r>
        <w:rPr/>
        <w:t>y</w:t>
      </w:r>
      <w:r>
        <w:rPr>
          <w:spacing w:val="-6"/>
        </w:rPr>
        <w:t> </w:t>
      </w:r>
      <w:r>
        <w:rPr/>
        <w:t>distribución</w:t>
      </w:r>
      <w:r>
        <w:rPr>
          <w:spacing w:val="-6"/>
        </w:rPr>
        <w:t> </w:t>
      </w:r>
      <w:r>
        <w:rPr/>
        <w:t>de</w:t>
      </w:r>
      <w:r>
        <w:rPr>
          <w:spacing w:val="-5"/>
        </w:rPr>
        <w:t> </w:t>
      </w:r>
      <w:r>
        <w:rPr/>
        <w:t>pozos</w:t>
      </w:r>
      <w:r>
        <w:rPr>
          <w:spacing w:val="-6"/>
        </w:rPr>
        <w:t> </w:t>
      </w:r>
      <w:r>
        <w:rPr/>
        <w:t>de</w:t>
      </w:r>
      <w:r>
        <w:rPr>
          <w:spacing w:val="-6"/>
        </w:rPr>
        <w:t> </w:t>
      </w:r>
      <w:r>
        <w:rPr/>
        <w:t>extracción (Figura 7), en el cual se puede observar un mayor acotamiento o acercamiento entre las curvas resaltando la máxima cota de abatimiento de. De igual forma el acotamiento de abatimiento máximo guarda una correlación espacial directa con el límite o inicio de los puntos de velocidad de formación máxima derivados de la técnica PS (que corresponden al rango -25 a 69 mm/año). Del mismo modo la simulación de las curvas de máximo abatimiento corresponden con la ubicación de la batería de pozos al este que se asocian con uso industrial y al noreste que corresponden con una concentración de pozos para uso industrial y agrícola al parecer de relativa reciente</w:t>
      </w:r>
      <w:r>
        <w:rPr>
          <w:spacing w:val="-1"/>
        </w:rPr>
        <w:t> </w:t>
      </w:r>
      <w:r>
        <w:rPr/>
        <w:t>creación.</w:t>
      </w:r>
    </w:p>
    <w:p>
      <w:pPr>
        <w:pStyle w:val="BodyText"/>
        <w:spacing w:before="10"/>
      </w:pPr>
    </w:p>
    <w:p>
      <w:pPr>
        <w:pStyle w:val="BodyText"/>
        <w:spacing w:line="480" w:lineRule="auto"/>
        <w:ind w:left="115" w:right="116" w:firstLine="718"/>
        <w:jc w:val="both"/>
      </w:pPr>
      <w:r>
        <w:rPr/>
        <w:t>Para poder correlacionar los puntos de subsidencia PS con otras variables que fuesen de utilidad para justificar la expresión de las subsidencias en el terreno, se utilizó la correlación topográfica con la geología superficial del Valle de Toluca; esto con la finalidad de identificar secuencias geológicas asociadas a un medio poroso o impermeable que pueda ser asociado a procesos</w:t>
      </w:r>
      <w:r>
        <w:rPr>
          <w:spacing w:val="-14"/>
        </w:rPr>
        <w:t> </w:t>
      </w:r>
      <w:r>
        <w:rPr/>
        <w:t>de</w:t>
      </w:r>
      <w:r>
        <w:rPr>
          <w:spacing w:val="-14"/>
        </w:rPr>
        <w:t> </w:t>
      </w:r>
      <w:r>
        <w:rPr/>
        <w:t>subsidencia.</w:t>
      </w:r>
      <w:r>
        <w:rPr>
          <w:spacing w:val="-15"/>
        </w:rPr>
        <w:t> </w:t>
      </w:r>
      <w:r>
        <w:rPr/>
        <w:t>De</w:t>
      </w:r>
      <w:r>
        <w:rPr>
          <w:spacing w:val="-14"/>
        </w:rPr>
        <w:t> </w:t>
      </w:r>
      <w:r>
        <w:rPr/>
        <w:t>esta</w:t>
      </w:r>
      <w:r>
        <w:rPr>
          <w:spacing w:val="-13"/>
        </w:rPr>
        <w:t> </w:t>
      </w:r>
      <w:r>
        <w:rPr/>
        <w:t>forma</w:t>
      </w:r>
      <w:r>
        <w:rPr>
          <w:spacing w:val="-13"/>
        </w:rPr>
        <w:t> </w:t>
      </w:r>
      <w:r>
        <w:rPr/>
        <w:t>se</w:t>
      </w:r>
      <w:r>
        <w:rPr>
          <w:spacing w:val="-13"/>
        </w:rPr>
        <w:t> </w:t>
      </w:r>
      <w:r>
        <w:rPr/>
        <w:t>definieron</w:t>
      </w:r>
      <w:r>
        <w:rPr>
          <w:spacing w:val="-14"/>
        </w:rPr>
        <w:t> </w:t>
      </w:r>
      <w:r>
        <w:rPr/>
        <w:t>tres</w:t>
      </w:r>
      <w:r>
        <w:rPr>
          <w:spacing w:val="-13"/>
        </w:rPr>
        <w:t> </w:t>
      </w:r>
      <w:r>
        <w:rPr/>
        <w:t>perfiles</w:t>
      </w:r>
      <w:r>
        <w:rPr>
          <w:spacing w:val="-13"/>
        </w:rPr>
        <w:t> </w:t>
      </w:r>
      <w:r>
        <w:rPr/>
        <w:t>(A-A’,</w:t>
      </w:r>
      <w:r>
        <w:rPr>
          <w:spacing w:val="-13"/>
        </w:rPr>
        <w:t> </w:t>
      </w:r>
      <w:r>
        <w:rPr/>
        <w:t>B-B’</w:t>
      </w:r>
      <w:r>
        <w:rPr>
          <w:spacing w:val="-13"/>
        </w:rPr>
        <w:t> </w:t>
      </w:r>
      <w:r>
        <w:rPr/>
        <w:t>y</w:t>
      </w:r>
      <w:r>
        <w:rPr>
          <w:spacing w:val="-13"/>
        </w:rPr>
        <w:t> </w:t>
      </w:r>
      <w:r>
        <w:rPr/>
        <w:t>C-C’)</w:t>
      </w:r>
      <w:r>
        <w:rPr>
          <w:spacing w:val="-14"/>
        </w:rPr>
        <w:t> </w:t>
      </w:r>
      <w:r>
        <w:rPr/>
        <w:t>en</w:t>
      </w:r>
      <w:r>
        <w:rPr>
          <w:spacing w:val="-13"/>
        </w:rPr>
        <w:t> </w:t>
      </w:r>
      <w:r>
        <w:rPr/>
        <w:t>dirección</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6"/>
        <w:jc w:val="both"/>
      </w:pPr>
      <w:r>
        <w:rPr/>
        <w:t>norte-sur, oeste-este, suroeste-noreste respectivamente; todos ellos ubicados dentro la zonas de mayor velocidad de subsidencia (que corresponden al rango -25 a 69 mm/año) ubicadas en su mayoría en el sector norte-noreste-este del AVT. De igual forma, para la selección del transecto de cada uno de los perfiles debía cumplir con la condición de intersectar por lo menos 3 multipiezómetros con la finalidad de obtener información de las columnas estratigráficas asociadas a los piezómetros con profundidades máximas de hasta 300 m (Figura 9).</w:t>
      </w:r>
    </w:p>
    <w:p>
      <w:pPr>
        <w:pStyle w:val="BodyText"/>
        <w:spacing w:before="8"/>
      </w:pPr>
    </w:p>
    <w:p>
      <w:pPr>
        <w:spacing w:before="0"/>
        <w:ind w:left="300" w:right="110" w:firstLine="0"/>
        <w:jc w:val="left"/>
        <w:rPr>
          <w:sz w:val="18"/>
        </w:rPr>
      </w:pPr>
      <w:r>
        <w:rPr>
          <w:i/>
          <w:sz w:val="18"/>
        </w:rPr>
        <w:t>Figura 8</w:t>
      </w:r>
      <w:r>
        <w:rPr>
          <w:sz w:val="18"/>
        </w:rPr>
        <w:t>. Mapa curvas de abatimiento para rangos de agua subterránea para100-200 m de profundidad; periodo 1968 – 2011.</w:t>
      </w:r>
    </w:p>
    <w:p>
      <w:pPr>
        <w:pStyle w:val="BodyText"/>
        <w:rPr>
          <w:sz w:val="20"/>
        </w:rPr>
      </w:pPr>
    </w:p>
    <w:p>
      <w:pPr>
        <w:pStyle w:val="BodyText"/>
        <w:rPr>
          <w:sz w:val="19"/>
        </w:rPr>
      </w:pPr>
      <w:r>
        <w:rPr/>
        <w:drawing>
          <wp:anchor distT="0" distB="0" distL="0" distR="0" allowOverlap="1" layoutInCell="1" locked="0" behindDoc="0" simplePos="0" relativeHeight="1432">
            <wp:simplePos x="0" y="0"/>
            <wp:positionH relativeFrom="page">
              <wp:posOffset>1088897</wp:posOffset>
            </wp:positionH>
            <wp:positionV relativeFrom="paragraph">
              <wp:posOffset>163501</wp:posOffset>
            </wp:positionV>
            <wp:extent cx="5614249" cy="3488436"/>
            <wp:effectExtent l="0" t="0" r="0" b="0"/>
            <wp:wrapTopAndBottom/>
            <wp:docPr id="27" name="image54.png" descr=""/>
            <wp:cNvGraphicFramePr>
              <a:graphicFrameLocks noChangeAspect="1"/>
            </wp:cNvGraphicFramePr>
            <a:graphic>
              <a:graphicData uri="http://schemas.openxmlformats.org/drawingml/2006/picture">
                <pic:pic>
                  <pic:nvPicPr>
                    <pic:cNvPr id="28" name="image54.png"/>
                    <pic:cNvPicPr/>
                  </pic:nvPicPr>
                  <pic:blipFill>
                    <a:blip r:embed="rId61" cstate="print"/>
                    <a:stretch>
                      <a:fillRect/>
                    </a:stretch>
                  </pic:blipFill>
                  <pic:spPr>
                    <a:xfrm>
                      <a:off x="0" y="0"/>
                      <a:ext cx="5614249" cy="3488436"/>
                    </a:xfrm>
                    <a:prstGeom prst="rect">
                      <a:avLst/>
                    </a:prstGeom>
                  </pic:spPr>
                </pic:pic>
              </a:graphicData>
            </a:graphic>
          </wp:anchor>
        </w:drawing>
      </w:r>
    </w:p>
    <w:p>
      <w:pPr>
        <w:pStyle w:val="BodyText"/>
        <w:rPr>
          <w:sz w:val="18"/>
        </w:rPr>
      </w:pPr>
    </w:p>
    <w:p>
      <w:pPr>
        <w:pStyle w:val="BodyText"/>
        <w:spacing w:before="4"/>
        <w:rPr>
          <w:sz w:val="25"/>
        </w:rPr>
      </w:pPr>
    </w:p>
    <w:p>
      <w:pPr>
        <w:pStyle w:val="BodyText"/>
        <w:spacing w:line="480" w:lineRule="auto"/>
        <w:ind w:left="115" w:right="117" w:firstLine="714"/>
        <w:jc w:val="both"/>
      </w:pPr>
      <w:r>
        <w:rPr/>
        <w:t>La Figura 10-a representa el perfil A – A’ (dirección norte – sur), que abarca los multipiezómetros 369 – 205 – 202, se analizaron cada una de las columnas estratigráficas. Para el caso de PL 369, muestra arcillas a diferentes profundidades intercaladas con grava, arena y limo, con un espesor total aproximado de 45 m, que se encuentran asociadas a la actividad volcánica  y</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7"/>
        <w:jc w:val="both"/>
      </w:pPr>
      <w:r>
        <w:rPr/>
        <w:t>al drenaje a lo largo de ríos y arroyos. En PL 205, se observa arcillas intercaladas con sedimentos lacustres vulcanogénicos, con un espesor total aproximado de 70 m. Por último para PL 202, se observa un espesor de 80 m de arcilla intercaladas con grava y limo.</w:t>
      </w:r>
    </w:p>
    <w:p>
      <w:pPr>
        <w:pStyle w:val="BodyText"/>
        <w:spacing w:before="8"/>
      </w:pPr>
    </w:p>
    <w:p>
      <w:pPr>
        <w:spacing w:before="0"/>
        <w:ind w:left="2630" w:right="110" w:firstLine="0"/>
        <w:jc w:val="left"/>
        <w:rPr>
          <w:sz w:val="18"/>
        </w:rPr>
      </w:pPr>
      <w:r>
        <w:rPr>
          <w:i/>
          <w:sz w:val="18"/>
        </w:rPr>
        <w:t>Figura 9. </w:t>
      </w:r>
      <w:r>
        <w:rPr>
          <w:sz w:val="18"/>
        </w:rPr>
        <w:t>Mapa de ubicación de perfiles A-A´, B-B’ y C-C’.</w:t>
      </w:r>
    </w:p>
    <w:p>
      <w:pPr>
        <w:pStyle w:val="BodyText"/>
        <w:spacing w:before="11"/>
        <w:rPr>
          <w:sz w:val="14"/>
        </w:rPr>
      </w:pPr>
      <w:r>
        <w:rPr/>
        <w:drawing>
          <wp:anchor distT="0" distB="0" distL="0" distR="0" allowOverlap="1" layoutInCell="1" locked="0" behindDoc="0" simplePos="0" relativeHeight="1456">
            <wp:simplePos x="0" y="0"/>
            <wp:positionH relativeFrom="page">
              <wp:posOffset>1475232</wp:posOffset>
            </wp:positionH>
            <wp:positionV relativeFrom="paragraph">
              <wp:posOffset>134280</wp:posOffset>
            </wp:positionV>
            <wp:extent cx="4921308" cy="6190488"/>
            <wp:effectExtent l="0" t="0" r="0" b="0"/>
            <wp:wrapTopAndBottom/>
            <wp:docPr id="29" name="image55.png" descr=""/>
            <wp:cNvGraphicFramePr>
              <a:graphicFrameLocks noChangeAspect="1"/>
            </wp:cNvGraphicFramePr>
            <a:graphic>
              <a:graphicData uri="http://schemas.openxmlformats.org/drawingml/2006/picture">
                <pic:pic>
                  <pic:nvPicPr>
                    <pic:cNvPr id="30" name="image55.png"/>
                    <pic:cNvPicPr/>
                  </pic:nvPicPr>
                  <pic:blipFill>
                    <a:blip r:embed="rId62" cstate="print"/>
                    <a:stretch>
                      <a:fillRect/>
                    </a:stretch>
                  </pic:blipFill>
                  <pic:spPr>
                    <a:xfrm>
                      <a:off x="0" y="0"/>
                      <a:ext cx="4921308" cy="6190488"/>
                    </a:xfrm>
                    <a:prstGeom prst="rect">
                      <a:avLst/>
                    </a:prstGeom>
                  </pic:spPr>
                </pic:pic>
              </a:graphicData>
            </a:graphic>
          </wp:anchor>
        </w:drawing>
      </w:r>
    </w:p>
    <w:p>
      <w:pPr>
        <w:spacing w:after="0"/>
        <w:rPr>
          <w:sz w:val="14"/>
        </w:rPr>
        <w:sectPr>
          <w:pgSz w:w="12240" w:h="15840"/>
          <w:pgMar w:header="737" w:footer="968" w:top="1620" w:bottom="1160" w:left="1320" w:right="1320"/>
        </w:sectPr>
      </w:pPr>
    </w:p>
    <w:p>
      <w:pPr>
        <w:pStyle w:val="BodyText"/>
        <w:spacing w:before="6"/>
        <w:rPr>
          <w:sz w:val="9"/>
        </w:rPr>
      </w:pPr>
    </w:p>
    <w:p>
      <w:pPr>
        <w:spacing w:before="77"/>
        <w:ind w:left="2500" w:right="110" w:firstLine="0"/>
        <w:jc w:val="left"/>
        <w:rPr>
          <w:sz w:val="18"/>
        </w:rPr>
      </w:pPr>
      <w:r>
        <w:rPr>
          <w:i/>
          <w:sz w:val="18"/>
        </w:rPr>
        <w:t>Figura 10-a</w:t>
      </w:r>
      <w:r>
        <w:rPr>
          <w:sz w:val="18"/>
        </w:rPr>
        <w:t>. Perfil A – A’ (Multipiezómetros 369 – 205 – 202).</w:t>
      </w:r>
    </w:p>
    <w:p>
      <w:pPr>
        <w:pStyle w:val="BodyText"/>
        <w:rPr>
          <w:sz w:val="20"/>
        </w:rPr>
      </w:pPr>
    </w:p>
    <w:p>
      <w:pPr>
        <w:pStyle w:val="BodyText"/>
        <w:rPr>
          <w:sz w:val="20"/>
        </w:rPr>
      </w:pPr>
    </w:p>
    <w:p>
      <w:pPr>
        <w:pStyle w:val="BodyText"/>
        <w:rPr>
          <w:sz w:val="20"/>
        </w:rPr>
      </w:pPr>
    </w:p>
    <w:p>
      <w:pPr>
        <w:pStyle w:val="BodyText"/>
        <w:spacing w:before="6"/>
        <w:rPr>
          <w:sz w:val="29"/>
        </w:rPr>
      </w:pPr>
      <w:r>
        <w:rPr/>
        <w:drawing>
          <wp:anchor distT="0" distB="0" distL="0" distR="0" allowOverlap="1" layoutInCell="1" locked="0" behindDoc="0" simplePos="0" relativeHeight="1480">
            <wp:simplePos x="0" y="0"/>
            <wp:positionH relativeFrom="page">
              <wp:posOffset>951738</wp:posOffset>
            </wp:positionH>
            <wp:positionV relativeFrom="paragraph">
              <wp:posOffset>240489</wp:posOffset>
            </wp:positionV>
            <wp:extent cx="5610466" cy="4023360"/>
            <wp:effectExtent l="0" t="0" r="0" b="0"/>
            <wp:wrapTopAndBottom/>
            <wp:docPr id="31" name="image56.png" descr=""/>
            <wp:cNvGraphicFramePr>
              <a:graphicFrameLocks noChangeAspect="1"/>
            </wp:cNvGraphicFramePr>
            <a:graphic>
              <a:graphicData uri="http://schemas.openxmlformats.org/drawingml/2006/picture">
                <pic:pic>
                  <pic:nvPicPr>
                    <pic:cNvPr id="32" name="image56.png"/>
                    <pic:cNvPicPr/>
                  </pic:nvPicPr>
                  <pic:blipFill>
                    <a:blip r:embed="rId63" cstate="print"/>
                    <a:stretch>
                      <a:fillRect/>
                    </a:stretch>
                  </pic:blipFill>
                  <pic:spPr>
                    <a:xfrm>
                      <a:off x="0" y="0"/>
                      <a:ext cx="5610466" cy="4023360"/>
                    </a:xfrm>
                    <a:prstGeom prst="rect">
                      <a:avLst/>
                    </a:prstGeom>
                  </pic:spPr>
                </pic:pic>
              </a:graphicData>
            </a:graphic>
          </wp:anchor>
        </w:drawing>
      </w:r>
    </w:p>
    <w:p>
      <w:pPr>
        <w:pStyle w:val="BodyText"/>
        <w:rPr>
          <w:sz w:val="18"/>
        </w:rPr>
      </w:pPr>
    </w:p>
    <w:p>
      <w:pPr>
        <w:pStyle w:val="BodyText"/>
        <w:spacing w:before="6"/>
        <w:rPr>
          <w:sz w:val="25"/>
        </w:rPr>
      </w:pPr>
    </w:p>
    <w:p>
      <w:pPr>
        <w:pStyle w:val="BodyText"/>
        <w:spacing w:line="480" w:lineRule="auto" w:before="1"/>
        <w:ind w:left="115" w:right="117" w:firstLine="714"/>
        <w:jc w:val="both"/>
      </w:pPr>
      <w:r>
        <w:rPr/>
        <w:t>El perfil B – B’ (dirección oeste – este), (Figura 10-b), abarca los multipiezómetros 201 – 202</w:t>
      </w:r>
      <w:r>
        <w:rPr>
          <w:spacing w:val="-13"/>
        </w:rPr>
        <w:t> </w:t>
      </w:r>
      <w:r>
        <w:rPr/>
        <w:t>–</w:t>
      </w:r>
      <w:r>
        <w:rPr>
          <w:spacing w:val="-13"/>
        </w:rPr>
        <w:t> </w:t>
      </w:r>
      <w:r>
        <w:rPr/>
        <w:t>203</w:t>
      </w:r>
      <w:r>
        <w:rPr>
          <w:spacing w:val="-14"/>
        </w:rPr>
        <w:t> </w:t>
      </w:r>
      <w:r>
        <w:rPr/>
        <w:t>-</w:t>
      </w:r>
      <w:r>
        <w:rPr>
          <w:spacing w:val="-14"/>
        </w:rPr>
        <w:t> </w:t>
      </w:r>
      <w:r>
        <w:rPr/>
        <w:t>130.</w:t>
      </w:r>
      <w:r>
        <w:rPr>
          <w:spacing w:val="-13"/>
        </w:rPr>
        <w:t> </w:t>
      </w:r>
      <w:r>
        <w:rPr/>
        <w:t>Para</w:t>
      </w:r>
      <w:r>
        <w:rPr>
          <w:spacing w:val="-14"/>
        </w:rPr>
        <w:t> </w:t>
      </w:r>
      <w:r>
        <w:rPr/>
        <w:t>el</w:t>
      </w:r>
      <w:r>
        <w:rPr>
          <w:spacing w:val="-15"/>
        </w:rPr>
        <w:t> </w:t>
      </w:r>
      <w:r>
        <w:rPr/>
        <w:t>caso</w:t>
      </w:r>
      <w:r>
        <w:rPr>
          <w:spacing w:val="-13"/>
        </w:rPr>
        <w:t> </w:t>
      </w:r>
      <w:r>
        <w:rPr/>
        <w:t>de</w:t>
      </w:r>
      <w:r>
        <w:rPr>
          <w:spacing w:val="-14"/>
        </w:rPr>
        <w:t> </w:t>
      </w:r>
      <w:r>
        <w:rPr/>
        <w:t>PL</w:t>
      </w:r>
      <w:r>
        <w:rPr>
          <w:spacing w:val="-14"/>
        </w:rPr>
        <w:t> </w:t>
      </w:r>
      <w:r>
        <w:rPr/>
        <w:t>201,</w:t>
      </w:r>
      <w:r>
        <w:rPr>
          <w:spacing w:val="-13"/>
        </w:rPr>
        <w:t> </w:t>
      </w:r>
      <w:r>
        <w:rPr/>
        <w:t>muestra</w:t>
      </w:r>
      <w:r>
        <w:rPr>
          <w:spacing w:val="-14"/>
        </w:rPr>
        <w:t> </w:t>
      </w:r>
      <w:r>
        <w:rPr/>
        <w:t>arcillas</w:t>
      </w:r>
      <w:r>
        <w:rPr>
          <w:spacing w:val="-13"/>
        </w:rPr>
        <w:t> </w:t>
      </w:r>
      <w:r>
        <w:rPr/>
        <w:t>intercaladas</w:t>
      </w:r>
      <w:r>
        <w:rPr>
          <w:spacing w:val="-13"/>
        </w:rPr>
        <w:t> </w:t>
      </w:r>
      <w:r>
        <w:rPr/>
        <w:t>con</w:t>
      </w:r>
      <w:r>
        <w:rPr>
          <w:spacing w:val="-16"/>
        </w:rPr>
        <w:t> </w:t>
      </w:r>
      <w:r>
        <w:rPr/>
        <w:t>grava</w:t>
      </w:r>
      <w:r>
        <w:rPr>
          <w:spacing w:val="-13"/>
        </w:rPr>
        <w:t> </w:t>
      </w:r>
      <w:r>
        <w:rPr/>
        <w:t>y</w:t>
      </w:r>
      <w:r>
        <w:rPr>
          <w:spacing w:val="-15"/>
        </w:rPr>
        <w:t> </w:t>
      </w:r>
      <w:r>
        <w:rPr/>
        <w:t>arena</w:t>
      </w:r>
      <w:r>
        <w:rPr>
          <w:spacing w:val="-13"/>
        </w:rPr>
        <w:t> </w:t>
      </w:r>
      <w:r>
        <w:rPr/>
        <w:t>a</w:t>
      </w:r>
      <w:r>
        <w:rPr>
          <w:spacing w:val="-13"/>
        </w:rPr>
        <w:t> </w:t>
      </w:r>
      <w:r>
        <w:rPr/>
        <w:t>diferentes profundidades, con un espesor total aproximado de 70 m. En PL 202, se observa un espesor de</w:t>
      </w:r>
      <w:r>
        <w:rPr>
          <w:spacing w:val="-30"/>
        </w:rPr>
        <w:t> </w:t>
      </w:r>
      <w:r>
        <w:rPr/>
        <w:t>80 m de arcilla intercaladas con grava y limo a diferentes profundidades. Para PL 203, que se encuentra en la terraza de inundación del río Lerma, se observa una potente columna de arcilla intercalada</w:t>
      </w:r>
      <w:r>
        <w:rPr>
          <w:spacing w:val="-17"/>
        </w:rPr>
        <w:t> </w:t>
      </w:r>
      <w:r>
        <w:rPr/>
        <w:t>con</w:t>
      </w:r>
      <w:r>
        <w:rPr>
          <w:spacing w:val="-17"/>
        </w:rPr>
        <w:t> </w:t>
      </w:r>
      <w:r>
        <w:rPr/>
        <w:t>arena,</w:t>
      </w:r>
      <w:r>
        <w:rPr>
          <w:spacing w:val="-17"/>
        </w:rPr>
        <w:t> </w:t>
      </w:r>
      <w:r>
        <w:rPr/>
        <w:t>que</w:t>
      </w:r>
      <w:r>
        <w:rPr>
          <w:spacing w:val="-17"/>
        </w:rPr>
        <w:t> </w:t>
      </w:r>
      <w:r>
        <w:rPr/>
        <w:t>tiene</w:t>
      </w:r>
      <w:r>
        <w:rPr>
          <w:spacing w:val="-17"/>
        </w:rPr>
        <w:t> </w:t>
      </w:r>
      <w:r>
        <w:rPr/>
        <w:t>un</w:t>
      </w:r>
      <w:r>
        <w:rPr>
          <w:spacing w:val="-17"/>
        </w:rPr>
        <w:t> </w:t>
      </w:r>
      <w:r>
        <w:rPr/>
        <w:t>espesor</w:t>
      </w:r>
      <w:r>
        <w:rPr>
          <w:spacing w:val="-16"/>
        </w:rPr>
        <w:t> </w:t>
      </w:r>
      <w:r>
        <w:rPr/>
        <w:t>aproximado</w:t>
      </w:r>
      <w:r>
        <w:rPr>
          <w:spacing w:val="-15"/>
        </w:rPr>
        <w:t> </w:t>
      </w:r>
      <w:r>
        <w:rPr/>
        <w:t>de</w:t>
      </w:r>
      <w:r>
        <w:rPr>
          <w:spacing w:val="-17"/>
        </w:rPr>
        <w:t> </w:t>
      </w:r>
      <w:r>
        <w:rPr/>
        <w:t>145</w:t>
      </w:r>
      <w:r>
        <w:rPr>
          <w:spacing w:val="-16"/>
        </w:rPr>
        <w:t> </w:t>
      </w:r>
      <w:r>
        <w:rPr/>
        <w:t>m.</w:t>
      </w:r>
      <w:r>
        <w:rPr>
          <w:spacing w:val="-16"/>
        </w:rPr>
        <w:t> </w:t>
      </w:r>
      <w:r>
        <w:rPr/>
        <w:t>Por</w:t>
      </w:r>
      <w:r>
        <w:rPr>
          <w:spacing w:val="-17"/>
        </w:rPr>
        <w:t> </w:t>
      </w:r>
      <w:r>
        <w:rPr/>
        <w:t>último,</w:t>
      </w:r>
      <w:r>
        <w:rPr>
          <w:spacing w:val="-17"/>
        </w:rPr>
        <w:t> </w:t>
      </w:r>
      <w:r>
        <w:rPr/>
        <w:t>para</w:t>
      </w:r>
      <w:r>
        <w:rPr>
          <w:spacing w:val="-17"/>
        </w:rPr>
        <w:t> </w:t>
      </w:r>
      <w:r>
        <w:rPr/>
        <w:t>PL</w:t>
      </w:r>
      <w:r>
        <w:rPr>
          <w:spacing w:val="-17"/>
        </w:rPr>
        <w:t> </w:t>
      </w:r>
      <w:r>
        <w:rPr/>
        <w:t>130,</w:t>
      </w:r>
      <w:r>
        <w:rPr>
          <w:spacing w:val="-17"/>
        </w:rPr>
        <w:t> </w:t>
      </w:r>
      <w:r>
        <w:rPr/>
        <w:t>también se muestra una potente columna de arcilla intercalada con arena y limo, que tiene un espesor aproximado de 140 m (Figura</w:t>
      </w:r>
      <w:r>
        <w:rPr>
          <w:spacing w:val="-6"/>
        </w:rPr>
        <w:t> </w:t>
      </w:r>
      <w:r>
        <w:rPr/>
        <w:t>10-b).</w:t>
      </w:r>
    </w:p>
    <w:p>
      <w:pPr>
        <w:spacing w:after="0" w:line="480" w:lineRule="auto"/>
        <w:jc w:val="both"/>
        <w:sectPr>
          <w:pgSz w:w="12240" w:h="15840"/>
          <w:pgMar w:header="737" w:footer="968" w:top="1620" w:bottom="1160" w:left="1320" w:right="1320"/>
        </w:sectPr>
      </w:pPr>
    </w:p>
    <w:p>
      <w:pPr>
        <w:pStyle w:val="BodyText"/>
        <w:spacing w:before="6"/>
        <w:rPr>
          <w:sz w:val="9"/>
        </w:rPr>
      </w:pPr>
    </w:p>
    <w:p>
      <w:pPr>
        <w:spacing w:before="77"/>
        <w:ind w:left="2299" w:right="110" w:firstLine="0"/>
        <w:jc w:val="left"/>
        <w:rPr>
          <w:sz w:val="18"/>
        </w:rPr>
      </w:pPr>
      <w:r>
        <w:rPr>
          <w:i/>
          <w:sz w:val="18"/>
        </w:rPr>
        <w:t>Figura 10-b</w:t>
      </w:r>
      <w:r>
        <w:rPr>
          <w:sz w:val="18"/>
        </w:rPr>
        <w:t>. Perfil B – B’ (Multipiezómetros 201 – 202 – 203 - 130).</w:t>
      </w:r>
    </w:p>
    <w:p>
      <w:pPr>
        <w:pStyle w:val="BodyText"/>
        <w:rPr>
          <w:sz w:val="20"/>
        </w:rPr>
      </w:pPr>
    </w:p>
    <w:p>
      <w:pPr>
        <w:pStyle w:val="BodyText"/>
        <w:rPr>
          <w:sz w:val="20"/>
        </w:rPr>
      </w:pPr>
    </w:p>
    <w:p>
      <w:pPr>
        <w:pStyle w:val="BodyText"/>
        <w:rPr>
          <w:sz w:val="20"/>
        </w:rPr>
      </w:pPr>
    </w:p>
    <w:p>
      <w:pPr>
        <w:pStyle w:val="BodyText"/>
        <w:spacing w:before="3"/>
      </w:pPr>
      <w:r>
        <w:rPr/>
        <w:drawing>
          <wp:anchor distT="0" distB="0" distL="0" distR="0" allowOverlap="1" layoutInCell="1" locked="0" behindDoc="0" simplePos="0" relativeHeight="1504">
            <wp:simplePos x="0" y="0"/>
            <wp:positionH relativeFrom="page">
              <wp:posOffset>1118616</wp:posOffset>
            </wp:positionH>
            <wp:positionV relativeFrom="paragraph">
              <wp:posOffset>202389</wp:posOffset>
            </wp:positionV>
            <wp:extent cx="5609276" cy="4087367"/>
            <wp:effectExtent l="0" t="0" r="0" b="0"/>
            <wp:wrapTopAndBottom/>
            <wp:docPr id="33" name="image57.jpeg" descr=""/>
            <wp:cNvGraphicFramePr>
              <a:graphicFrameLocks noChangeAspect="1"/>
            </wp:cNvGraphicFramePr>
            <a:graphic>
              <a:graphicData uri="http://schemas.openxmlformats.org/drawingml/2006/picture">
                <pic:pic>
                  <pic:nvPicPr>
                    <pic:cNvPr id="34" name="image57.jpeg"/>
                    <pic:cNvPicPr/>
                  </pic:nvPicPr>
                  <pic:blipFill>
                    <a:blip r:embed="rId64" cstate="print"/>
                    <a:stretch>
                      <a:fillRect/>
                    </a:stretch>
                  </pic:blipFill>
                  <pic:spPr>
                    <a:xfrm>
                      <a:off x="0" y="0"/>
                      <a:ext cx="5609276" cy="4087367"/>
                    </a:xfrm>
                    <a:prstGeom prst="rect">
                      <a:avLst/>
                    </a:prstGeom>
                  </pic:spPr>
                </pic:pic>
              </a:graphicData>
            </a:graphic>
          </wp:anchor>
        </w:drawing>
      </w:r>
    </w:p>
    <w:p>
      <w:pPr>
        <w:pStyle w:val="BodyText"/>
        <w:rPr>
          <w:sz w:val="18"/>
        </w:rPr>
      </w:pPr>
    </w:p>
    <w:p>
      <w:pPr>
        <w:pStyle w:val="BodyText"/>
        <w:spacing w:before="2"/>
        <w:rPr>
          <w:sz w:val="23"/>
        </w:rPr>
      </w:pPr>
    </w:p>
    <w:p>
      <w:pPr>
        <w:pStyle w:val="BodyText"/>
        <w:spacing w:line="480" w:lineRule="auto"/>
        <w:ind w:left="115" w:right="117" w:firstLine="714"/>
        <w:jc w:val="both"/>
      </w:pPr>
      <w:r>
        <w:rPr/>
        <w:t>Finalmente, el perfil C – C’ (dirección suroeste-noreste), (Figura 10-c) abarca los multipiezómetros 205 – 212 – 179. Para el caso de PL 205, se observa arcillas intercaladas con sedimentos lacustres vulcanogénicos y grava a diferentes profundidades, con un espesor total aproximado</w:t>
      </w:r>
      <w:r>
        <w:rPr>
          <w:spacing w:val="-7"/>
        </w:rPr>
        <w:t> </w:t>
      </w:r>
      <w:r>
        <w:rPr/>
        <w:t>de</w:t>
      </w:r>
      <w:r>
        <w:rPr>
          <w:spacing w:val="-7"/>
        </w:rPr>
        <w:t> </w:t>
      </w:r>
      <w:r>
        <w:rPr/>
        <w:t>70</w:t>
      </w:r>
      <w:r>
        <w:rPr>
          <w:spacing w:val="-6"/>
        </w:rPr>
        <w:t> </w:t>
      </w:r>
      <w:r>
        <w:rPr/>
        <w:t>m.</w:t>
      </w:r>
      <w:r>
        <w:rPr>
          <w:spacing w:val="-7"/>
        </w:rPr>
        <w:t> </w:t>
      </w:r>
      <w:r>
        <w:rPr/>
        <w:t>Para</w:t>
      </w:r>
      <w:r>
        <w:rPr>
          <w:spacing w:val="-7"/>
        </w:rPr>
        <w:t> </w:t>
      </w:r>
      <w:r>
        <w:rPr/>
        <w:t>PL</w:t>
      </w:r>
      <w:r>
        <w:rPr>
          <w:spacing w:val="-8"/>
        </w:rPr>
        <w:t> </w:t>
      </w:r>
      <w:r>
        <w:rPr/>
        <w:t>212,</w:t>
      </w:r>
      <w:r>
        <w:rPr>
          <w:spacing w:val="-7"/>
        </w:rPr>
        <w:t> </w:t>
      </w:r>
      <w:r>
        <w:rPr/>
        <w:t>se</w:t>
      </w:r>
      <w:r>
        <w:rPr>
          <w:spacing w:val="-6"/>
        </w:rPr>
        <w:t> </w:t>
      </w:r>
      <w:r>
        <w:rPr/>
        <w:t>observa</w:t>
      </w:r>
      <w:r>
        <w:rPr>
          <w:spacing w:val="-7"/>
        </w:rPr>
        <w:t> </w:t>
      </w:r>
      <w:r>
        <w:rPr/>
        <w:t>una</w:t>
      </w:r>
      <w:r>
        <w:rPr>
          <w:spacing w:val="-8"/>
        </w:rPr>
        <w:t> </w:t>
      </w:r>
      <w:r>
        <w:rPr/>
        <w:t>potente</w:t>
      </w:r>
      <w:r>
        <w:rPr>
          <w:spacing w:val="-7"/>
        </w:rPr>
        <w:t> </w:t>
      </w:r>
      <w:r>
        <w:rPr/>
        <w:t>columna</w:t>
      </w:r>
      <w:r>
        <w:rPr>
          <w:spacing w:val="-7"/>
        </w:rPr>
        <w:t> </w:t>
      </w:r>
      <w:r>
        <w:rPr/>
        <w:t>de</w:t>
      </w:r>
      <w:r>
        <w:rPr>
          <w:spacing w:val="-7"/>
        </w:rPr>
        <w:t> </w:t>
      </w:r>
      <w:r>
        <w:rPr/>
        <w:t>arcilla</w:t>
      </w:r>
      <w:r>
        <w:rPr>
          <w:spacing w:val="-7"/>
        </w:rPr>
        <w:t> </w:t>
      </w:r>
      <w:r>
        <w:rPr/>
        <w:t>intercalada</w:t>
      </w:r>
      <w:r>
        <w:rPr>
          <w:spacing w:val="-8"/>
        </w:rPr>
        <w:t> </w:t>
      </w:r>
      <w:r>
        <w:rPr/>
        <w:t>de</w:t>
      </w:r>
      <w:r>
        <w:rPr>
          <w:spacing w:val="-7"/>
        </w:rPr>
        <w:t> </w:t>
      </w:r>
      <w:r>
        <w:rPr/>
        <w:t>arena, con un espesor aproximado de 140 m, dichas arcillas se desarrollaron a partir de tobas y cenizas volcánicas. Por último,</w:t>
      </w:r>
      <w:r>
        <w:rPr>
          <w:spacing w:val="-6"/>
        </w:rPr>
        <w:t> </w:t>
      </w:r>
      <w:r>
        <w:rPr/>
        <w:t>para</w:t>
      </w:r>
    </w:p>
    <w:p>
      <w:pPr>
        <w:pStyle w:val="BodyText"/>
        <w:spacing w:before="10"/>
      </w:pPr>
    </w:p>
    <w:p>
      <w:pPr>
        <w:pStyle w:val="BodyText"/>
        <w:spacing w:line="480" w:lineRule="auto"/>
        <w:ind w:left="115" w:right="110" w:hanging="5"/>
      </w:pPr>
      <w:r>
        <w:rPr/>
        <w:t>PL 179, se observa en los primeros metros intercalaciones de grava, arena y limo, además se muestra un espesor de arcilla intercalada con arena y limo, con un espesor aproximado de 80 m.</w:t>
      </w:r>
    </w:p>
    <w:p>
      <w:pPr>
        <w:spacing w:after="0" w:line="480" w:lineRule="auto"/>
        <w:sectPr>
          <w:pgSz w:w="12240" w:h="15840"/>
          <w:pgMar w:header="737" w:footer="968" w:top="1620" w:bottom="1160" w:left="1320" w:right="1320"/>
        </w:sectPr>
      </w:pPr>
    </w:p>
    <w:p>
      <w:pPr>
        <w:pStyle w:val="BodyText"/>
        <w:spacing w:before="6"/>
        <w:rPr>
          <w:sz w:val="9"/>
        </w:rPr>
      </w:pPr>
    </w:p>
    <w:p>
      <w:pPr>
        <w:spacing w:before="77"/>
        <w:ind w:left="2488" w:right="110" w:firstLine="0"/>
        <w:jc w:val="left"/>
        <w:rPr>
          <w:sz w:val="18"/>
        </w:rPr>
      </w:pPr>
      <w:r>
        <w:rPr>
          <w:i/>
          <w:sz w:val="18"/>
        </w:rPr>
        <w:t>Figura 10-b</w:t>
      </w:r>
      <w:r>
        <w:rPr>
          <w:sz w:val="18"/>
        </w:rPr>
        <w:t>.  Perfil B – B’ (Multipiezómetros 205 – 212 – 179).</w:t>
      </w:r>
    </w:p>
    <w:p>
      <w:pPr>
        <w:pStyle w:val="BodyText"/>
        <w:spacing w:before="7"/>
        <w:rPr>
          <w:sz w:val="26"/>
        </w:rPr>
      </w:pPr>
      <w:r>
        <w:rPr/>
        <w:drawing>
          <wp:anchor distT="0" distB="0" distL="0" distR="0" allowOverlap="1" layoutInCell="1" locked="0" behindDoc="0" simplePos="0" relativeHeight="1528">
            <wp:simplePos x="0" y="0"/>
            <wp:positionH relativeFrom="page">
              <wp:posOffset>1118616</wp:posOffset>
            </wp:positionH>
            <wp:positionV relativeFrom="paragraph">
              <wp:posOffset>219116</wp:posOffset>
            </wp:positionV>
            <wp:extent cx="5606997" cy="4887468"/>
            <wp:effectExtent l="0" t="0" r="0" b="0"/>
            <wp:wrapTopAndBottom/>
            <wp:docPr id="35" name="image58.jpeg" descr=""/>
            <wp:cNvGraphicFramePr>
              <a:graphicFrameLocks noChangeAspect="1"/>
            </wp:cNvGraphicFramePr>
            <a:graphic>
              <a:graphicData uri="http://schemas.openxmlformats.org/drawingml/2006/picture">
                <pic:pic>
                  <pic:nvPicPr>
                    <pic:cNvPr id="36" name="image58.jpeg"/>
                    <pic:cNvPicPr/>
                  </pic:nvPicPr>
                  <pic:blipFill>
                    <a:blip r:embed="rId65" cstate="print"/>
                    <a:stretch>
                      <a:fillRect/>
                    </a:stretch>
                  </pic:blipFill>
                  <pic:spPr>
                    <a:xfrm>
                      <a:off x="0" y="0"/>
                      <a:ext cx="5606997" cy="4887468"/>
                    </a:xfrm>
                    <a:prstGeom prst="rect">
                      <a:avLst/>
                    </a:prstGeom>
                  </pic:spPr>
                </pic:pic>
              </a:graphicData>
            </a:graphic>
          </wp:anchor>
        </w:drawing>
      </w:r>
    </w:p>
    <w:p>
      <w:pPr>
        <w:pStyle w:val="BodyText"/>
        <w:rPr>
          <w:sz w:val="18"/>
        </w:rPr>
      </w:pPr>
    </w:p>
    <w:p>
      <w:pPr>
        <w:pStyle w:val="BodyText"/>
        <w:spacing w:before="7"/>
        <w:rPr>
          <w:sz w:val="23"/>
        </w:rPr>
      </w:pPr>
    </w:p>
    <w:p>
      <w:pPr>
        <w:pStyle w:val="BodyText"/>
        <w:spacing w:line="480" w:lineRule="auto"/>
        <w:ind w:left="115" w:right="119" w:firstLine="714"/>
        <w:jc w:val="both"/>
      </w:pPr>
      <w:r>
        <w:rPr/>
        <w:t>De esta forma, en términos generales de acuerdo a los perfiles topográficos y columnas descritas</w:t>
      </w:r>
      <w:r>
        <w:rPr>
          <w:spacing w:val="-13"/>
        </w:rPr>
        <w:t> </w:t>
      </w:r>
      <w:r>
        <w:rPr/>
        <w:t>se</w:t>
      </w:r>
      <w:r>
        <w:rPr>
          <w:spacing w:val="-14"/>
        </w:rPr>
        <w:t> </w:t>
      </w:r>
      <w:r>
        <w:rPr/>
        <w:t>observa</w:t>
      </w:r>
      <w:r>
        <w:rPr>
          <w:spacing w:val="-12"/>
        </w:rPr>
        <w:t> </w:t>
      </w:r>
      <w:r>
        <w:rPr/>
        <w:t>un</w:t>
      </w:r>
      <w:r>
        <w:rPr>
          <w:spacing w:val="-13"/>
        </w:rPr>
        <w:t> </w:t>
      </w:r>
      <w:r>
        <w:rPr/>
        <w:t>patrón</w:t>
      </w:r>
      <w:r>
        <w:rPr>
          <w:spacing w:val="-13"/>
        </w:rPr>
        <w:t> </w:t>
      </w:r>
      <w:r>
        <w:rPr/>
        <w:t>espacial</w:t>
      </w:r>
      <w:r>
        <w:rPr>
          <w:spacing w:val="-12"/>
        </w:rPr>
        <w:t> </w:t>
      </w:r>
      <w:r>
        <w:rPr/>
        <w:t>con</w:t>
      </w:r>
      <w:r>
        <w:rPr>
          <w:spacing w:val="-13"/>
        </w:rPr>
        <w:t> </w:t>
      </w:r>
      <w:r>
        <w:rPr/>
        <w:t>respecto</w:t>
      </w:r>
      <w:r>
        <w:rPr>
          <w:spacing w:val="-12"/>
        </w:rPr>
        <w:t> </w:t>
      </w:r>
      <w:r>
        <w:rPr/>
        <w:t>a</w:t>
      </w:r>
      <w:r>
        <w:rPr>
          <w:spacing w:val="-13"/>
        </w:rPr>
        <w:t> </w:t>
      </w:r>
      <w:r>
        <w:rPr/>
        <w:t>los</w:t>
      </w:r>
      <w:r>
        <w:rPr>
          <w:spacing w:val="-13"/>
        </w:rPr>
        <w:t> </w:t>
      </w:r>
      <w:r>
        <w:rPr/>
        <w:t>valores</w:t>
      </w:r>
      <w:r>
        <w:rPr>
          <w:spacing w:val="-12"/>
        </w:rPr>
        <w:t> </w:t>
      </w:r>
      <w:r>
        <w:rPr/>
        <w:t>de</w:t>
      </w:r>
      <w:r>
        <w:rPr>
          <w:spacing w:val="-13"/>
        </w:rPr>
        <w:t> </w:t>
      </w:r>
      <w:r>
        <w:rPr/>
        <w:t>deformación</w:t>
      </w:r>
      <w:r>
        <w:rPr>
          <w:spacing w:val="-12"/>
        </w:rPr>
        <w:t> </w:t>
      </w:r>
      <w:r>
        <w:rPr/>
        <w:t>PS,</w:t>
      </w:r>
      <w:r>
        <w:rPr>
          <w:spacing w:val="-13"/>
        </w:rPr>
        <w:t> </w:t>
      </w:r>
      <w:r>
        <w:rPr/>
        <w:t>considerando los siguientes argumentos. La estratigrafía de los multipiezómetros que muestran los horizontes más</w:t>
      </w:r>
      <w:r>
        <w:rPr>
          <w:spacing w:val="19"/>
        </w:rPr>
        <w:t> </w:t>
      </w:r>
      <w:r>
        <w:rPr/>
        <w:t>potentes</w:t>
      </w:r>
      <w:r>
        <w:rPr>
          <w:spacing w:val="19"/>
        </w:rPr>
        <w:t> </w:t>
      </w:r>
      <w:r>
        <w:rPr/>
        <w:t>de</w:t>
      </w:r>
      <w:r>
        <w:rPr>
          <w:spacing w:val="19"/>
        </w:rPr>
        <w:t> </w:t>
      </w:r>
      <w:r>
        <w:rPr/>
        <w:t>secuencias</w:t>
      </w:r>
      <w:r>
        <w:rPr>
          <w:spacing w:val="19"/>
        </w:rPr>
        <w:t> </w:t>
      </w:r>
      <w:r>
        <w:rPr/>
        <w:t>de</w:t>
      </w:r>
      <w:r>
        <w:rPr>
          <w:spacing w:val="19"/>
        </w:rPr>
        <w:t> </w:t>
      </w:r>
      <w:r>
        <w:rPr/>
        <w:t>arcillas,</w:t>
      </w:r>
      <w:r>
        <w:rPr>
          <w:spacing w:val="17"/>
        </w:rPr>
        <w:t> </w:t>
      </w:r>
      <w:r>
        <w:rPr/>
        <w:t>tales</w:t>
      </w:r>
      <w:r>
        <w:rPr>
          <w:spacing w:val="19"/>
        </w:rPr>
        <w:t> </w:t>
      </w:r>
      <w:r>
        <w:rPr/>
        <w:t>como</w:t>
      </w:r>
      <w:r>
        <w:rPr>
          <w:spacing w:val="19"/>
        </w:rPr>
        <w:t> </w:t>
      </w:r>
      <w:r>
        <w:rPr/>
        <w:t>PL</w:t>
      </w:r>
      <w:r>
        <w:rPr>
          <w:spacing w:val="18"/>
        </w:rPr>
        <w:t> </w:t>
      </w:r>
      <w:r>
        <w:rPr/>
        <w:t>369</w:t>
      </w:r>
      <w:r>
        <w:rPr>
          <w:spacing w:val="19"/>
        </w:rPr>
        <w:t> </w:t>
      </w:r>
      <w:r>
        <w:rPr/>
        <w:t>(45</w:t>
      </w:r>
      <w:r>
        <w:rPr>
          <w:spacing w:val="19"/>
        </w:rPr>
        <w:t> </w:t>
      </w:r>
      <w:r>
        <w:rPr/>
        <w:t>m),</w:t>
      </w:r>
      <w:r>
        <w:rPr>
          <w:spacing w:val="19"/>
        </w:rPr>
        <w:t> </w:t>
      </w:r>
      <w:r>
        <w:rPr/>
        <w:t>PL</w:t>
      </w:r>
      <w:r>
        <w:rPr>
          <w:spacing w:val="18"/>
        </w:rPr>
        <w:t> </w:t>
      </w:r>
      <w:r>
        <w:rPr/>
        <w:t>205</w:t>
      </w:r>
      <w:r>
        <w:rPr>
          <w:spacing w:val="19"/>
        </w:rPr>
        <w:t> </w:t>
      </w:r>
      <w:r>
        <w:rPr/>
        <w:t>(70</w:t>
      </w:r>
      <w:r>
        <w:rPr>
          <w:spacing w:val="19"/>
        </w:rPr>
        <w:t> </w:t>
      </w:r>
      <w:r>
        <w:rPr/>
        <w:t>m),</w:t>
      </w:r>
      <w:r>
        <w:rPr>
          <w:spacing w:val="19"/>
        </w:rPr>
        <w:t> </w:t>
      </w:r>
      <w:r>
        <w:rPr/>
        <w:t>PL</w:t>
      </w:r>
      <w:r>
        <w:rPr>
          <w:spacing w:val="18"/>
        </w:rPr>
        <w:t> </w:t>
      </w:r>
      <w:r>
        <w:rPr/>
        <w:t>202</w:t>
      </w:r>
      <w:r>
        <w:rPr>
          <w:spacing w:val="19"/>
        </w:rPr>
        <w:t> </w:t>
      </w:r>
      <w:r>
        <w:rPr/>
        <w:t>(80</w:t>
      </w:r>
    </w:p>
    <w:p>
      <w:pPr>
        <w:pStyle w:val="BodyText"/>
        <w:spacing w:line="480" w:lineRule="auto" w:before="10"/>
        <w:ind w:left="115" w:right="117"/>
        <w:jc w:val="both"/>
      </w:pPr>
      <w:r>
        <w:rPr/>
        <w:t>m),PL</w:t>
      </w:r>
      <w:r>
        <w:rPr>
          <w:spacing w:val="-4"/>
        </w:rPr>
        <w:t> </w:t>
      </w:r>
      <w:r>
        <w:rPr/>
        <w:t>203</w:t>
      </w:r>
      <w:r>
        <w:rPr>
          <w:spacing w:val="-4"/>
        </w:rPr>
        <w:t> </w:t>
      </w:r>
      <w:r>
        <w:rPr/>
        <w:t>(145</w:t>
      </w:r>
      <w:r>
        <w:rPr>
          <w:spacing w:val="-2"/>
        </w:rPr>
        <w:t> </w:t>
      </w:r>
      <w:r>
        <w:rPr/>
        <w:t>m),</w:t>
      </w:r>
      <w:r>
        <w:rPr>
          <w:spacing w:val="-3"/>
        </w:rPr>
        <w:t> </w:t>
      </w:r>
      <w:r>
        <w:rPr/>
        <w:t>PL</w:t>
      </w:r>
      <w:r>
        <w:rPr>
          <w:spacing w:val="-3"/>
        </w:rPr>
        <w:t> </w:t>
      </w:r>
      <w:r>
        <w:rPr/>
        <w:t>212</w:t>
      </w:r>
      <w:r>
        <w:rPr>
          <w:spacing w:val="-4"/>
        </w:rPr>
        <w:t> </w:t>
      </w:r>
      <w:r>
        <w:rPr/>
        <w:t>(140</w:t>
      </w:r>
      <w:r>
        <w:rPr>
          <w:spacing w:val="-3"/>
        </w:rPr>
        <w:t> </w:t>
      </w:r>
      <w:r>
        <w:rPr/>
        <w:t>m)</w:t>
      </w:r>
      <w:r>
        <w:rPr>
          <w:spacing w:val="-2"/>
        </w:rPr>
        <w:t> </w:t>
      </w:r>
      <w:r>
        <w:rPr/>
        <w:t>y</w:t>
      </w:r>
      <w:r>
        <w:rPr>
          <w:spacing w:val="-4"/>
        </w:rPr>
        <w:t> </w:t>
      </w:r>
      <w:r>
        <w:rPr/>
        <w:t>PL</w:t>
      </w:r>
      <w:r>
        <w:rPr>
          <w:spacing w:val="-4"/>
        </w:rPr>
        <w:t> </w:t>
      </w:r>
      <w:r>
        <w:rPr/>
        <w:t>179</w:t>
      </w:r>
      <w:r>
        <w:rPr>
          <w:spacing w:val="-4"/>
        </w:rPr>
        <w:t> </w:t>
      </w:r>
      <w:r>
        <w:rPr/>
        <w:t>(50</w:t>
      </w:r>
      <w:r>
        <w:rPr>
          <w:spacing w:val="-3"/>
        </w:rPr>
        <w:t> </w:t>
      </w:r>
      <w:r>
        <w:rPr/>
        <w:t>m),</w:t>
      </w:r>
      <w:r>
        <w:rPr>
          <w:spacing w:val="-3"/>
        </w:rPr>
        <w:t> </w:t>
      </w:r>
      <w:r>
        <w:rPr/>
        <w:t>corresponden</w:t>
      </w:r>
      <w:r>
        <w:rPr>
          <w:spacing w:val="-4"/>
        </w:rPr>
        <w:t> </w:t>
      </w:r>
      <w:r>
        <w:rPr/>
        <w:t>con</w:t>
      </w:r>
      <w:r>
        <w:rPr>
          <w:spacing w:val="-4"/>
        </w:rPr>
        <w:t> </w:t>
      </w:r>
      <w:r>
        <w:rPr/>
        <w:t>la</w:t>
      </w:r>
      <w:r>
        <w:rPr>
          <w:spacing w:val="-3"/>
        </w:rPr>
        <w:t> </w:t>
      </w:r>
      <w:r>
        <w:rPr/>
        <w:t>llanura</w:t>
      </w:r>
      <w:r>
        <w:rPr>
          <w:spacing w:val="-5"/>
        </w:rPr>
        <w:t> </w:t>
      </w:r>
      <w:r>
        <w:rPr/>
        <w:t>inundación</w:t>
      </w:r>
      <w:r>
        <w:rPr>
          <w:spacing w:val="-4"/>
        </w:rPr>
        <w:t> </w:t>
      </w:r>
      <w:r>
        <w:rPr/>
        <w:t>del río Lerma y se extienden hasta las distintas terrazas de inundación del mismo, es decir, podemos encontrar una mayor secuencia de depósitos lacustres hacia la zona noreste-este que coincide</w:t>
      </w:r>
      <w:r>
        <w:rPr>
          <w:spacing w:val="12"/>
        </w:rPr>
        <w:t> </w:t>
      </w:r>
      <w:r>
        <w:rPr/>
        <w:t>con</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7"/>
        <w:jc w:val="both"/>
      </w:pPr>
      <w:r>
        <w:rPr/>
        <w:t>el</w:t>
      </w:r>
      <w:r>
        <w:rPr>
          <w:spacing w:val="-4"/>
        </w:rPr>
        <w:t> </w:t>
      </w:r>
      <w:r>
        <w:rPr/>
        <w:t>cauce</w:t>
      </w:r>
      <w:r>
        <w:rPr>
          <w:spacing w:val="-5"/>
        </w:rPr>
        <w:t> </w:t>
      </w:r>
      <w:r>
        <w:rPr/>
        <w:t>principal</w:t>
      </w:r>
      <w:r>
        <w:rPr>
          <w:spacing w:val="-6"/>
        </w:rPr>
        <w:t> </w:t>
      </w:r>
      <w:r>
        <w:rPr/>
        <w:t>del</w:t>
      </w:r>
      <w:r>
        <w:rPr>
          <w:spacing w:val="-5"/>
        </w:rPr>
        <w:t> </w:t>
      </w:r>
      <w:r>
        <w:rPr/>
        <w:t>río</w:t>
      </w:r>
      <w:r>
        <w:rPr>
          <w:spacing w:val="-7"/>
        </w:rPr>
        <w:t> </w:t>
      </w:r>
      <w:r>
        <w:rPr/>
        <w:t>pero</w:t>
      </w:r>
      <w:r>
        <w:rPr>
          <w:spacing w:val="-5"/>
        </w:rPr>
        <w:t> </w:t>
      </w:r>
      <w:r>
        <w:rPr/>
        <w:t>que</w:t>
      </w:r>
      <w:r>
        <w:rPr>
          <w:spacing w:val="-6"/>
        </w:rPr>
        <w:t> </w:t>
      </w:r>
      <w:r>
        <w:rPr/>
        <w:t>a</w:t>
      </w:r>
      <w:r>
        <w:rPr>
          <w:spacing w:val="-5"/>
        </w:rPr>
        <w:t> </w:t>
      </w:r>
      <w:r>
        <w:rPr/>
        <w:t>su</w:t>
      </w:r>
      <w:r>
        <w:rPr>
          <w:spacing w:val="-5"/>
        </w:rPr>
        <w:t> </w:t>
      </w:r>
      <w:r>
        <w:rPr/>
        <w:t>vez</w:t>
      </w:r>
      <w:r>
        <w:rPr>
          <w:spacing w:val="-5"/>
        </w:rPr>
        <w:t> </w:t>
      </w:r>
      <w:r>
        <w:rPr/>
        <w:t>coindice</w:t>
      </w:r>
      <w:r>
        <w:rPr>
          <w:spacing w:val="-5"/>
        </w:rPr>
        <w:t> </w:t>
      </w:r>
      <w:r>
        <w:rPr/>
        <w:t>de</w:t>
      </w:r>
      <w:r>
        <w:rPr>
          <w:spacing w:val="-6"/>
        </w:rPr>
        <w:t> </w:t>
      </w:r>
      <w:r>
        <w:rPr/>
        <w:t>igual</w:t>
      </w:r>
      <w:r>
        <w:rPr>
          <w:spacing w:val="-5"/>
        </w:rPr>
        <w:t> </w:t>
      </w:r>
      <w:r>
        <w:rPr/>
        <w:t>forma</w:t>
      </w:r>
      <w:r>
        <w:rPr>
          <w:spacing w:val="-5"/>
        </w:rPr>
        <w:t> </w:t>
      </w:r>
      <w:r>
        <w:rPr/>
        <w:t>con</w:t>
      </w:r>
      <w:r>
        <w:rPr>
          <w:spacing w:val="-5"/>
        </w:rPr>
        <w:t> </w:t>
      </w:r>
      <w:r>
        <w:rPr/>
        <w:t>la</w:t>
      </w:r>
      <w:r>
        <w:rPr>
          <w:spacing w:val="-6"/>
        </w:rPr>
        <w:t> </w:t>
      </w:r>
      <w:r>
        <w:rPr/>
        <w:t>mayor</w:t>
      </w:r>
      <w:r>
        <w:rPr>
          <w:spacing w:val="-5"/>
        </w:rPr>
        <w:t> </w:t>
      </w:r>
      <w:r>
        <w:rPr/>
        <w:t>concentración</w:t>
      </w:r>
      <w:r>
        <w:rPr>
          <w:spacing w:val="-5"/>
        </w:rPr>
        <w:t> </w:t>
      </w:r>
      <w:r>
        <w:rPr/>
        <w:t>de puntos asociados a las máximas velocidades deformaciones promedio (rango entre los -25 a -69 mm/año) calculadas con PS. Por otro lado, conforme la ubicación de los multipiezómetros (y por ende de sus columnas) se concentran hacia las unidades morfológicas de depósitos de talud y pie de</w:t>
      </w:r>
      <w:r>
        <w:rPr>
          <w:spacing w:val="-9"/>
        </w:rPr>
        <w:t> </w:t>
      </w:r>
      <w:r>
        <w:rPr/>
        <w:t>monte</w:t>
      </w:r>
      <w:r>
        <w:rPr>
          <w:spacing w:val="-9"/>
        </w:rPr>
        <w:t> </w:t>
      </w:r>
      <w:r>
        <w:rPr/>
        <w:t>de</w:t>
      </w:r>
      <w:r>
        <w:rPr>
          <w:spacing w:val="-9"/>
        </w:rPr>
        <w:t> </w:t>
      </w:r>
      <w:r>
        <w:rPr/>
        <w:t>las</w:t>
      </w:r>
      <w:r>
        <w:rPr>
          <w:spacing w:val="-9"/>
        </w:rPr>
        <w:t> </w:t>
      </w:r>
      <w:r>
        <w:rPr/>
        <w:t>elevaciones</w:t>
      </w:r>
      <w:r>
        <w:rPr>
          <w:spacing w:val="-9"/>
        </w:rPr>
        <w:t> </w:t>
      </w:r>
      <w:r>
        <w:rPr/>
        <w:t>cercanas,</w:t>
      </w:r>
      <w:r>
        <w:rPr>
          <w:spacing w:val="-10"/>
        </w:rPr>
        <w:t> </w:t>
      </w:r>
      <w:r>
        <w:rPr/>
        <w:t>las</w:t>
      </w:r>
      <w:r>
        <w:rPr>
          <w:spacing w:val="-9"/>
        </w:rPr>
        <w:t> </w:t>
      </w:r>
      <w:r>
        <w:rPr/>
        <w:t>dimensiones</w:t>
      </w:r>
      <w:r>
        <w:rPr>
          <w:spacing w:val="-9"/>
        </w:rPr>
        <w:t> </w:t>
      </w:r>
      <w:r>
        <w:rPr/>
        <w:t>de</w:t>
      </w:r>
      <w:r>
        <w:rPr>
          <w:spacing w:val="-11"/>
        </w:rPr>
        <w:t> </w:t>
      </w:r>
      <w:r>
        <w:rPr/>
        <w:t>los</w:t>
      </w:r>
      <w:r>
        <w:rPr>
          <w:spacing w:val="-9"/>
        </w:rPr>
        <w:t> </w:t>
      </w:r>
      <w:r>
        <w:rPr/>
        <w:t>clastos</w:t>
      </w:r>
      <w:r>
        <w:rPr>
          <w:spacing w:val="-10"/>
        </w:rPr>
        <w:t> </w:t>
      </w:r>
      <w:r>
        <w:rPr/>
        <w:t>que</w:t>
      </w:r>
      <w:r>
        <w:rPr>
          <w:spacing w:val="-9"/>
        </w:rPr>
        <w:t> </w:t>
      </w:r>
      <w:r>
        <w:rPr/>
        <w:t>conforman</w:t>
      </w:r>
      <w:r>
        <w:rPr>
          <w:spacing w:val="-9"/>
        </w:rPr>
        <w:t> </w:t>
      </w:r>
      <w:r>
        <w:rPr/>
        <w:t>las</w:t>
      </w:r>
      <w:r>
        <w:rPr>
          <w:spacing w:val="-10"/>
        </w:rPr>
        <w:t> </w:t>
      </w:r>
      <w:r>
        <w:rPr/>
        <w:t>secuencias se van tornando de mayores dimensiones, lo que implica por un lado un libre flujo del agua subterránea limitando cualquier tipo de expresión de fluctuación del nivel del agua en superficie; y en segundo término la concentración de puntos de velocidad de deformación siquiera de orden mínimo decrece considerablemente. Por lo tanto, lo anterior es un indicativo que la</w:t>
      </w:r>
      <w:r>
        <w:rPr>
          <w:spacing w:val="-28"/>
        </w:rPr>
        <w:t> </w:t>
      </w:r>
      <w:r>
        <w:rPr/>
        <w:t>concentración de mayores velocidades de deformación del suelo coinciden de manera directa con las áreas que presentan</w:t>
      </w:r>
      <w:r>
        <w:rPr>
          <w:spacing w:val="-12"/>
        </w:rPr>
        <w:t> </w:t>
      </w:r>
      <w:r>
        <w:rPr/>
        <w:t>mayores</w:t>
      </w:r>
      <w:r>
        <w:rPr>
          <w:spacing w:val="-12"/>
        </w:rPr>
        <w:t> </w:t>
      </w:r>
      <w:r>
        <w:rPr/>
        <w:t>horizontes</w:t>
      </w:r>
      <w:r>
        <w:rPr>
          <w:spacing w:val="-12"/>
        </w:rPr>
        <w:t> </w:t>
      </w:r>
      <w:r>
        <w:rPr/>
        <w:t>de</w:t>
      </w:r>
      <w:r>
        <w:rPr>
          <w:spacing w:val="-12"/>
        </w:rPr>
        <w:t> </w:t>
      </w:r>
      <w:r>
        <w:rPr/>
        <w:t>arcillas,</w:t>
      </w:r>
      <w:r>
        <w:rPr>
          <w:spacing w:val="-13"/>
        </w:rPr>
        <w:t> </w:t>
      </w:r>
      <w:r>
        <w:rPr/>
        <w:t>las</w:t>
      </w:r>
      <w:r>
        <w:rPr>
          <w:spacing w:val="-12"/>
        </w:rPr>
        <w:t> </w:t>
      </w:r>
      <w:r>
        <w:rPr/>
        <w:t>cuales</w:t>
      </w:r>
      <w:r>
        <w:rPr>
          <w:spacing w:val="-12"/>
        </w:rPr>
        <w:t> </w:t>
      </w:r>
      <w:r>
        <w:rPr/>
        <w:t>de</w:t>
      </w:r>
      <w:r>
        <w:rPr>
          <w:spacing w:val="-12"/>
        </w:rPr>
        <w:t> </w:t>
      </w:r>
      <w:r>
        <w:rPr/>
        <w:t>acuerdo</w:t>
      </w:r>
      <w:r>
        <w:rPr>
          <w:spacing w:val="-12"/>
        </w:rPr>
        <w:t> </w:t>
      </w:r>
      <w:r>
        <w:rPr/>
        <w:t>con</w:t>
      </w:r>
      <w:r>
        <w:rPr>
          <w:spacing w:val="-12"/>
        </w:rPr>
        <w:t> </w:t>
      </w:r>
      <w:r>
        <w:rPr/>
        <w:t>sus</w:t>
      </w:r>
      <w:r>
        <w:rPr>
          <w:spacing w:val="-12"/>
        </w:rPr>
        <w:t> </w:t>
      </w:r>
      <w:r>
        <w:rPr/>
        <w:t>propiedades</w:t>
      </w:r>
      <w:r>
        <w:rPr>
          <w:spacing w:val="-12"/>
        </w:rPr>
        <w:t> </w:t>
      </w:r>
      <w:r>
        <w:rPr/>
        <w:t>de</w:t>
      </w:r>
      <w:r>
        <w:rPr>
          <w:spacing w:val="-12"/>
        </w:rPr>
        <w:t> </w:t>
      </w:r>
      <w:r>
        <w:rPr/>
        <w:t>compresión y expansión ante la recarga y carencia de agua son un indicativo para obtener una manifestación física en superficie del abatimiento del acuífero por extracción de</w:t>
      </w:r>
      <w:r>
        <w:rPr>
          <w:spacing w:val="-8"/>
        </w:rPr>
        <w:t> </w:t>
      </w:r>
      <w:r>
        <w:rPr/>
        <w:t>agua.</w:t>
      </w:r>
    </w:p>
    <w:p>
      <w:pPr>
        <w:pStyle w:val="BodyText"/>
        <w:spacing w:before="1"/>
        <w:rPr>
          <w:sz w:val="25"/>
        </w:rPr>
      </w:pPr>
    </w:p>
    <w:p>
      <w:pPr>
        <w:pStyle w:val="Heading1"/>
        <w:ind w:right="0"/>
        <w:jc w:val="both"/>
      </w:pPr>
      <w:r>
        <w:rPr/>
        <w:t>CONCLUSIONES</w:t>
      </w:r>
    </w:p>
    <w:p>
      <w:pPr>
        <w:pStyle w:val="BodyText"/>
        <w:rPr>
          <w:b/>
        </w:rPr>
      </w:pPr>
    </w:p>
    <w:p>
      <w:pPr>
        <w:pStyle w:val="BodyText"/>
        <w:spacing w:before="1"/>
        <w:rPr>
          <w:b/>
          <w:sz w:val="32"/>
        </w:rPr>
      </w:pPr>
    </w:p>
    <w:p>
      <w:pPr>
        <w:pStyle w:val="BodyText"/>
        <w:spacing w:line="480" w:lineRule="auto"/>
        <w:ind w:left="64" w:right="116" w:firstLine="714"/>
        <w:jc w:val="right"/>
      </w:pPr>
      <w:r>
        <w:rPr/>
        <w:t>Se emplearon técnicas de interferometría radar INSAR-Persistent Scatterer, que</w:t>
      </w:r>
      <w:r>
        <w:rPr>
          <w:w w:val="99"/>
        </w:rPr>
        <w:t> </w:t>
      </w:r>
      <w:r>
        <w:rPr/>
        <w:t>permitieron obtener datos puntuales de deformaciones superficiales del terreno con valores</w:t>
      </w:r>
      <w:r>
        <w:rPr>
          <w:w w:val="99"/>
        </w:rPr>
        <w:t> </w:t>
      </w:r>
      <w:r>
        <w:rPr/>
        <w:t>máximos de -69.67 mm/año. Los procesos de subsidencia guardan su expresión en la superficie debido a la cantidad de población que depende del recurso agua del Acuífero del Valle de Toluca.</w:t>
      </w:r>
    </w:p>
    <w:p>
      <w:pPr>
        <w:pStyle w:val="BodyText"/>
        <w:spacing w:before="10"/>
      </w:pPr>
    </w:p>
    <w:p>
      <w:pPr>
        <w:pStyle w:val="BodyText"/>
        <w:spacing w:line="480" w:lineRule="auto"/>
        <w:ind w:left="115" w:right="117" w:firstLine="714"/>
        <w:jc w:val="both"/>
      </w:pPr>
      <w:r>
        <w:rPr/>
        <w:t>Para validar los datos obtenidos de la técnica PS, se realizaron correlaciones espaciales a partir del cálculo de curvas de abatimiento y perfiles topográficos asociados a la descripción de las</w:t>
      </w:r>
      <w:r>
        <w:rPr>
          <w:spacing w:val="-9"/>
        </w:rPr>
        <w:t> </w:t>
      </w:r>
      <w:r>
        <w:rPr/>
        <w:t>columnas</w:t>
      </w:r>
      <w:r>
        <w:rPr>
          <w:spacing w:val="-9"/>
        </w:rPr>
        <w:t> </w:t>
      </w:r>
      <w:r>
        <w:rPr/>
        <w:t>estratigráficas</w:t>
      </w:r>
      <w:r>
        <w:rPr>
          <w:spacing w:val="-9"/>
        </w:rPr>
        <w:t> </w:t>
      </w:r>
      <w:r>
        <w:rPr/>
        <w:t>que</w:t>
      </w:r>
      <w:r>
        <w:rPr>
          <w:spacing w:val="-10"/>
        </w:rPr>
        <w:t> </w:t>
      </w:r>
      <w:r>
        <w:rPr/>
        <w:t>acompañan</w:t>
      </w:r>
      <w:r>
        <w:rPr>
          <w:spacing w:val="-9"/>
        </w:rPr>
        <w:t> </w:t>
      </w:r>
      <w:r>
        <w:rPr/>
        <w:t>a</w:t>
      </w:r>
      <w:r>
        <w:rPr>
          <w:spacing w:val="-10"/>
        </w:rPr>
        <w:t> </w:t>
      </w:r>
      <w:r>
        <w:rPr/>
        <w:t>los</w:t>
      </w:r>
      <w:r>
        <w:rPr>
          <w:spacing w:val="-8"/>
        </w:rPr>
        <w:t> </w:t>
      </w:r>
      <w:r>
        <w:rPr/>
        <w:t>multipiezómetros.</w:t>
      </w:r>
      <w:r>
        <w:rPr>
          <w:spacing w:val="-10"/>
        </w:rPr>
        <w:t> </w:t>
      </w:r>
      <w:r>
        <w:rPr/>
        <w:t>De</w:t>
      </w:r>
      <w:r>
        <w:rPr>
          <w:spacing w:val="-10"/>
        </w:rPr>
        <w:t> </w:t>
      </w:r>
      <w:r>
        <w:rPr/>
        <w:t>esta</w:t>
      </w:r>
      <w:r>
        <w:rPr>
          <w:spacing w:val="-9"/>
        </w:rPr>
        <w:t> </w:t>
      </w:r>
      <w:r>
        <w:rPr/>
        <w:t>forma,</w:t>
      </w:r>
      <w:r>
        <w:rPr>
          <w:spacing w:val="-10"/>
        </w:rPr>
        <w:t> </w:t>
      </w:r>
      <w:r>
        <w:rPr/>
        <w:t>se</w:t>
      </w:r>
      <w:r>
        <w:rPr>
          <w:spacing w:val="-8"/>
        </w:rPr>
        <w:t> </w:t>
      </w:r>
      <w:r>
        <w:rPr/>
        <w:t>observó</w:t>
      </w:r>
      <w:r>
        <w:rPr>
          <w:spacing w:val="-9"/>
        </w:rPr>
        <w:t> </w:t>
      </w:r>
      <w:r>
        <w:rPr/>
        <w:t>una</w:t>
      </w:r>
    </w:p>
    <w:p>
      <w:pPr>
        <w:spacing w:after="0" w:line="480" w:lineRule="auto"/>
        <w:jc w:val="both"/>
        <w:sectPr>
          <w:pgSz w:w="12240" w:h="15840"/>
          <w:pgMar w:header="737" w:footer="968" w:top="1620" w:bottom="1160" w:left="1320" w:right="1320"/>
        </w:sectPr>
      </w:pPr>
    </w:p>
    <w:p>
      <w:pPr>
        <w:pStyle w:val="BodyText"/>
        <w:spacing w:before="4"/>
        <w:rPr>
          <w:sz w:val="10"/>
        </w:rPr>
      </w:pPr>
    </w:p>
    <w:p>
      <w:pPr>
        <w:pStyle w:val="BodyText"/>
        <w:spacing w:line="480" w:lineRule="auto" w:before="69"/>
        <w:ind w:left="115" w:right="119"/>
        <w:jc w:val="both"/>
      </w:pPr>
      <w:r>
        <w:rPr/>
        <w:t>relación directa entre las máximas curvas de abatimiento del acuífero de hasta -40 m para profundidades mayores a los 100 m; que a su vez guardan una relación intrínseca con secuencias estratigráficas de 100 m de espesor ricas en arcillas de acuerdo a las columnas estratigráficas seleccionadas.</w:t>
      </w:r>
    </w:p>
    <w:p>
      <w:pPr>
        <w:pStyle w:val="BodyText"/>
        <w:spacing w:before="10"/>
      </w:pPr>
    </w:p>
    <w:p>
      <w:pPr>
        <w:pStyle w:val="BodyText"/>
        <w:spacing w:line="480" w:lineRule="auto"/>
        <w:ind w:left="115" w:right="119" w:firstLine="714"/>
        <w:jc w:val="both"/>
      </w:pPr>
      <w:r>
        <w:rPr/>
        <w:t>La aplicación de métodos como Persistent Scatterer para la estimación diferencial de la fase asociada a deformaciones en el terreno es ideal en ambientes urbanos,</w:t>
      </w:r>
      <w:r>
        <w:rPr>
          <w:spacing w:val="-43"/>
        </w:rPr>
        <w:t> </w:t>
      </w:r>
      <w:r>
        <w:rPr/>
        <w:t>esto debido una mayor intensidad</w:t>
      </w:r>
      <w:r>
        <w:rPr>
          <w:spacing w:val="-6"/>
        </w:rPr>
        <w:t> </w:t>
      </w:r>
      <w:r>
        <w:rPr/>
        <w:t>de</w:t>
      </w:r>
      <w:r>
        <w:rPr>
          <w:spacing w:val="-6"/>
        </w:rPr>
        <w:t> </w:t>
      </w:r>
      <w:r>
        <w:rPr/>
        <w:t>retrodispersión</w:t>
      </w:r>
      <w:r>
        <w:rPr>
          <w:spacing w:val="-6"/>
        </w:rPr>
        <w:t> </w:t>
      </w:r>
      <w:r>
        <w:rPr/>
        <w:t>de</w:t>
      </w:r>
      <w:r>
        <w:rPr>
          <w:spacing w:val="-6"/>
        </w:rPr>
        <w:t> </w:t>
      </w:r>
      <w:r>
        <w:rPr/>
        <w:t>la</w:t>
      </w:r>
      <w:r>
        <w:rPr>
          <w:spacing w:val="-6"/>
        </w:rPr>
        <w:t> </w:t>
      </w:r>
      <w:r>
        <w:rPr/>
        <w:t>señal</w:t>
      </w:r>
      <w:r>
        <w:rPr>
          <w:spacing w:val="-5"/>
        </w:rPr>
        <w:t> </w:t>
      </w:r>
      <w:r>
        <w:rPr/>
        <w:t>al</w:t>
      </w:r>
      <w:r>
        <w:rPr>
          <w:spacing w:val="-6"/>
        </w:rPr>
        <w:t> </w:t>
      </w:r>
      <w:r>
        <w:rPr/>
        <w:t>radar;</w:t>
      </w:r>
      <w:r>
        <w:rPr>
          <w:spacing w:val="-7"/>
        </w:rPr>
        <w:t> </w:t>
      </w:r>
      <w:r>
        <w:rPr/>
        <w:t>lo</w:t>
      </w:r>
      <w:r>
        <w:rPr>
          <w:spacing w:val="-6"/>
        </w:rPr>
        <w:t> </w:t>
      </w:r>
      <w:r>
        <w:rPr/>
        <w:t>cual</w:t>
      </w:r>
      <w:r>
        <w:rPr>
          <w:spacing w:val="-6"/>
        </w:rPr>
        <w:t> </w:t>
      </w:r>
      <w:r>
        <w:rPr/>
        <w:t>facilita</w:t>
      </w:r>
      <w:r>
        <w:rPr>
          <w:spacing w:val="-6"/>
        </w:rPr>
        <w:t> </w:t>
      </w:r>
      <w:r>
        <w:rPr/>
        <w:t>la</w:t>
      </w:r>
      <w:r>
        <w:rPr>
          <w:spacing w:val="-6"/>
        </w:rPr>
        <w:t> </w:t>
      </w:r>
      <w:r>
        <w:rPr/>
        <w:t>selección</w:t>
      </w:r>
      <w:r>
        <w:rPr>
          <w:spacing w:val="-6"/>
        </w:rPr>
        <w:t> </w:t>
      </w:r>
      <w:r>
        <w:rPr/>
        <w:t>de</w:t>
      </w:r>
      <w:r>
        <w:rPr>
          <w:spacing w:val="-6"/>
        </w:rPr>
        <w:t> </w:t>
      </w:r>
      <w:r>
        <w:rPr/>
        <w:t>pixeles</w:t>
      </w:r>
      <w:r>
        <w:rPr>
          <w:spacing w:val="-6"/>
        </w:rPr>
        <w:t> </w:t>
      </w:r>
      <w:r>
        <w:rPr/>
        <w:t>candidatos que conservan la fase a lo largo del</w:t>
      </w:r>
      <w:r>
        <w:rPr>
          <w:spacing w:val="-8"/>
        </w:rPr>
        <w:t> </w:t>
      </w:r>
      <w:r>
        <w:rPr/>
        <w:t>tiempo.</w:t>
      </w:r>
    </w:p>
    <w:p>
      <w:pPr>
        <w:pStyle w:val="BodyText"/>
        <w:spacing w:before="10"/>
      </w:pPr>
    </w:p>
    <w:p>
      <w:pPr>
        <w:pStyle w:val="BodyText"/>
        <w:spacing w:line="480" w:lineRule="auto"/>
        <w:ind w:left="115" w:right="116" w:firstLine="714"/>
        <w:jc w:val="both"/>
      </w:pPr>
      <w:r>
        <w:rPr/>
        <w:t>La</w:t>
      </w:r>
      <w:r>
        <w:rPr>
          <w:spacing w:val="-16"/>
        </w:rPr>
        <w:t> </w:t>
      </w:r>
      <w:r>
        <w:rPr/>
        <w:t>integración</w:t>
      </w:r>
      <w:r>
        <w:rPr>
          <w:spacing w:val="-16"/>
        </w:rPr>
        <w:t> </w:t>
      </w:r>
      <w:r>
        <w:rPr/>
        <w:t>de</w:t>
      </w:r>
      <w:r>
        <w:rPr>
          <w:spacing w:val="-16"/>
        </w:rPr>
        <w:t> </w:t>
      </w:r>
      <w:r>
        <w:rPr/>
        <w:t>geotecnologías</w:t>
      </w:r>
      <w:r>
        <w:rPr>
          <w:spacing w:val="-17"/>
        </w:rPr>
        <w:t> </w:t>
      </w:r>
      <w:r>
        <w:rPr/>
        <w:t>y</w:t>
      </w:r>
      <w:r>
        <w:rPr>
          <w:spacing w:val="-16"/>
        </w:rPr>
        <w:t> </w:t>
      </w:r>
      <w:r>
        <w:rPr/>
        <w:t>monitoreo</w:t>
      </w:r>
      <w:r>
        <w:rPr>
          <w:spacing w:val="-15"/>
        </w:rPr>
        <w:t> </w:t>
      </w:r>
      <w:r>
        <w:rPr>
          <w:i/>
        </w:rPr>
        <w:t>in</w:t>
      </w:r>
      <w:r>
        <w:rPr>
          <w:i/>
          <w:spacing w:val="-17"/>
        </w:rPr>
        <w:t> </w:t>
      </w:r>
      <w:r>
        <w:rPr>
          <w:i/>
        </w:rPr>
        <w:t>situ</w:t>
      </w:r>
      <w:r>
        <w:rPr/>
        <w:t>,</w:t>
      </w:r>
      <w:r>
        <w:rPr>
          <w:spacing w:val="-17"/>
        </w:rPr>
        <w:t> </w:t>
      </w:r>
      <w:r>
        <w:rPr/>
        <w:t>conforman</w:t>
      </w:r>
      <w:r>
        <w:rPr>
          <w:spacing w:val="-16"/>
        </w:rPr>
        <w:t> </w:t>
      </w:r>
      <w:r>
        <w:rPr/>
        <w:t>una</w:t>
      </w:r>
      <w:r>
        <w:rPr>
          <w:spacing w:val="28"/>
        </w:rPr>
        <w:t> </w:t>
      </w:r>
      <w:r>
        <w:rPr/>
        <w:t>herramienta</w:t>
      </w:r>
      <w:r>
        <w:rPr>
          <w:spacing w:val="-16"/>
        </w:rPr>
        <w:t> </w:t>
      </w:r>
      <w:r>
        <w:rPr/>
        <w:t>potencial para</w:t>
      </w:r>
      <w:r>
        <w:rPr>
          <w:spacing w:val="-17"/>
        </w:rPr>
        <w:t> </w:t>
      </w:r>
      <w:r>
        <w:rPr/>
        <w:t>la</w:t>
      </w:r>
      <w:r>
        <w:rPr>
          <w:spacing w:val="-16"/>
        </w:rPr>
        <w:t> </w:t>
      </w:r>
      <w:r>
        <w:rPr/>
        <w:t>toma</w:t>
      </w:r>
      <w:r>
        <w:rPr>
          <w:spacing w:val="-16"/>
        </w:rPr>
        <w:t> </w:t>
      </w:r>
      <w:r>
        <w:rPr/>
        <w:t>de</w:t>
      </w:r>
      <w:r>
        <w:rPr>
          <w:spacing w:val="-16"/>
        </w:rPr>
        <w:t> </w:t>
      </w:r>
      <w:r>
        <w:rPr/>
        <w:t>decisiones</w:t>
      </w:r>
      <w:r>
        <w:rPr>
          <w:spacing w:val="-15"/>
        </w:rPr>
        <w:t> </w:t>
      </w:r>
      <w:r>
        <w:rPr/>
        <w:t>tanto</w:t>
      </w:r>
      <w:r>
        <w:rPr>
          <w:spacing w:val="-17"/>
        </w:rPr>
        <w:t> </w:t>
      </w:r>
      <w:r>
        <w:rPr/>
        <w:t>inmediatas</w:t>
      </w:r>
      <w:r>
        <w:rPr>
          <w:spacing w:val="-16"/>
        </w:rPr>
        <w:t> </w:t>
      </w:r>
      <w:r>
        <w:rPr/>
        <w:t>durante</w:t>
      </w:r>
      <w:r>
        <w:rPr>
          <w:spacing w:val="-16"/>
        </w:rPr>
        <w:t> </w:t>
      </w:r>
      <w:r>
        <w:rPr/>
        <w:t>algún</w:t>
      </w:r>
      <w:r>
        <w:rPr>
          <w:spacing w:val="-16"/>
        </w:rPr>
        <w:t> </w:t>
      </w:r>
      <w:r>
        <w:rPr/>
        <w:t>evento</w:t>
      </w:r>
      <w:r>
        <w:rPr>
          <w:spacing w:val="-15"/>
        </w:rPr>
        <w:t> </w:t>
      </w:r>
      <w:r>
        <w:rPr/>
        <w:t>de</w:t>
      </w:r>
      <w:r>
        <w:rPr>
          <w:spacing w:val="-17"/>
        </w:rPr>
        <w:t> </w:t>
      </w:r>
      <w:r>
        <w:rPr/>
        <w:t>emergencia</w:t>
      </w:r>
      <w:r>
        <w:rPr>
          <w:spacing w:val="-17"/>
        </w:rPr>
        <w:t> </w:t>
      </w:r>
      <w:r>
        <w:rPr/>
        <w:t>como</w:t>
      </w:r>
      <w:r>
        <w:rPr>
          <w:spacing w:val="-15"/>
        </w:rPr>
        <w:t> </w:t>
      </w:r>
      <w:r>
        <w:rPr/>
        <w:t>en</w:t>
      </w:r>
      <w:r>
        <w:rPr>
          <w:spacing w:val="-16"/>
        </w:rPr>
        <w:t> </w:t>
      </w:r>
      <w:r>
        <w:rPr/>
        <w:t>los</w:t>
      </w:r>
      <w:r>
        <w:rPr>
          <w:spacing w:val="-16"/>
        </w:rPr>
        <w:t> </w:t>
      </w:r>
      <w:r>
        <w:rPr/>
        <w:t>planes de</w:t>
      </w:r>
      <w:r>
        <w:rPr>
          <w:spacing w:val="-13"/>
        </w:rPr>
        <w:t> </w:t>
      </w:r>
      <w:r>
        <w:rPr/>
        <w:t>desarrollo</w:t>
      </w:r>
      <w:r>
        <w:rPr>
          <w:spacing w:val="-13"/>
        </w:rPr>
        <w:t> </w:t>
      </w:r>
      <w:r>
        <w:rPr/>
        <w:t>urbano;</w:t>
      </w:r>
      <w:r>
        <w:rPr>
          <w:spacing w:val="-13"/>
        </w:rPr>
        <w:t> </w:t>
      </w:r>
      <w:r>
        <w:rPr/>
        <w:t>lo</w:t>
      </w:r>
      <w:r>
        <w:rPr>
          <w:spacing w:val="-13"/>
        </w:rPr>
        <w:t> </w:t>
      </w:r>
      <w:r>
        <w:rPr/>
        <w:t>anterior</w:t>
      </w:r>
      <w:r>
        <w:rPr>
          <w:spacing w:val="-13"/>
        </w:rPr>
        <w:t> </w:t>
      </w:r>
      <w:r>
        <w:rPr/>
        <w:t>con</w:t>
      </w:r>
      <w:r>
        <w:rPr>
          <w:spacing w:val="-13"/>
        </w:rPr>
        <w:t> </w:t>
      </w:r>
      <w:r>
        <w:rPr/>
        <w:t>la</w:t>
      </w:r>
      <w:r>
        <w:rPr>
          <w:spacing w:val="-13"/>
        </w:rPr>
        <w:t> </w:t>
      </w:r>
      <w:r>
        <w:rPr/>
        <w:t>finalidad</w:t>
      </w:r>
      <w:r>
        <w:rPr>
          <w:spacing w:val="-14"/>
        </w:rPr>
        <w:t> </w:t>
      </w:r>
      <w:r>
        <w:rPr/>
        <w:t>de</w:t>
      </w:r>
      <w:r>
        <w:rPr>
          <w:spacing w:val="-13"/>
        </w:rPr>
        <w:t> </w:t>
      </w:r>
      <w:r>
        <w:rPr/>
        <w:t>gestionar</w:t>
      </w:r>
      <w:r>
        <w:rPr>
          <w:spacing w:val="-14"/>
        </w:rPr>
        <w:t> </w:t>
      </w:r>
      <w:r>
        <w:rPr/>
        <w:t>y</w:t>
      </w:r>
      <w:r>
        <w:rPr>
          <w:spacing w:val="36"/>
        </w:rPr>
        <w:t> </w:t>
      </w:r>
      <w:r>
        <w:rPr/>
        <w:t>atenuar</w:t>
      </w:r>
      <w:r>
        <w:rPr>
          <w:spacing w:val="-13"/>
        </w:rPr>
        <w:t> </w:t>
      </w:r>
      <w:r>
        <w:rPr/>
        <w:t>el</w:t>
      </w:r>
      <w:r>
        <w:rPr>
          <w:spacing w:val="-12"/>
        </w:rPr>
        <w:t> </w:t>
      </w:r>
      <w:r>
        <w:rPr/>
        <w:t>impacto</w:t>
      </w:r>
      <w:r>
        <w:rPr>
          <w:spacing w:val="-13"/>
        </w:rPr>
        <w:t> </w:t>
      </w:r>
      <w:r>
        <w:rPr/>
        <w:t>socio-ambiental por la explotación intensiva del</w:t>
      </w:r>
      <w:r>
        <w:rPr>
          <w:spacing w:val="-4"/>
        </w:rPr>
        <w:t> </w:t>
      </w:r>
      <w:r>
        <w:rPr/>
        <w:t>acuífero.</w:t>
      </w:r>
    </w:p>
    <w:p>
      <w:pPr>
        <w:pStyle w:val="BodyText"/>
        <w:spacing w:before="10"/>
      </w:pPr>
    </w:p>
    <w:p>
      <w:pPr>
        <w:pStyle w:val="BodyText"/>
        <w:ind w:left="829" w:right="110"/>
      </w:pPr>
      <w:r>
        <w:rPr/>
        <w:t>REFERENCIAS</w:t>
      </w:r>
    </w:p>
    <w:p>
      <w:pPr>
        <w:spacing w:after="0"/>
        <w:sectPr>
          <w:pgSz w:w="12240" w:h="15840"/>
          <w:pgMar w:header="737" w:footer="968" w:top="1620" w:bottom="1160" w:left="1320" w:right="1320"/>
        </w:sectPr>
      </w:pPr>
    </w:p>
    <w:p>
      <w:pPr>
        <w:pStyle w:val="BodyText"/>
        <w:rPr>
          <w:sz w:val="20"/>
        </w:rPr>
      </w:pPr>
    </w:p>
    <w:p>
      <w:pPr>
        <w:pStyle w:val="BodyText"/>
        <w:spacing w:before="2"/>
        <w:rPr>
          <w:sz w:val="19"/>
        </w:rPr>
      </w:pPr>
    </w:p>
    <w:p>
      <w:pPr>
        <w:pStyle w:val="ListParagraph"/>
        <w:numPr>
          <w:ilvl w:val="0"/>
          <w:numId w:val="1"/>
        </w:numPr>
        <w:tabs>
          <w:tab w:pos="741" w:val="left" w:leader="none"/>
          <w:tab w:pos="742" w:val="left" w:leader="none"/>
        </w:tabs>
        <w:spacing w:line="350" w:lineRule="auto" w:before="0" w:after="0"/>
        <w:ind w:left="741" w:right="117" w:hanging="567"/>
        <w:jc w:val="left"/>
        <w:rPr>
          <w:sz w:val="24"/>
        </w:rPr>
      </w:pPr>
      <w:r>
        <w:rPr>
          <w:sz w:val="24"/>
        </w:rPr>
        <w:t>Abdelfattah. R; Nicolas. J. (2009). </w:t>
      </w:r>
      <w:r>
        <w:rPr>
          <w:i/>
          <w:sz w:val="24"/>
        </w:rPr>
        <w:t>Mixture model fr the segmentation of the InSAR coherence </w:t>
      </w:r>
      <w:r>
        <w:rPr>
          <w:i/>
          <w:sz w:val="24"/>
        </w:rPr>
        <w:t>map</w:t>
      </w:r>
      <w:r>
        <w:rPr>
          <w:sz w:val="24"/>
        </w:rPr>
        <w:t>. International Journal of Applied Earth Observation ad Geoinformation</w:t>
      </w:r>
      <w:r>
        <w:rPr>
          <w:spacing w:val="-8"/>
          <w:sz w:val="24"/>
        </w:rPr>
        <w:t> </w:t>
      </w:r>
      <w:r>
        <w:rPr>
          <w:sz w:val="24"/>
        </w:rPr>
        <w:t>.</w:t>
      </w:r>
    </w:p>
    <w:p>
      <w:pPr>
        <w:pStyle w:val="ListParagraph"/>
        <w:numPr>
          <w:ilvl w:val="0"/>
          <w:numId w:val="2"/>
        </w:numPr>
        <w:tabs>
          <w:tab w:pos="600" w:val="left" w:leader="none"/>
        </w:tabs>
        <w:spacing w:line="362" w:lineRule="auto" w:before="151" w:after="0"/>
        <w:ind w:left="600" w:right="115" w:hanging="488"/>
        <w:jc w:val="both"/>
        <w:rPr>
          <w:sz w:val="24"/>
        </w:rPr>
      </w:pPr>
      <w:r>
        <w:rPr>
          <w:sz w:val="24"/>
        </w:rPr>
        <w:t>Agencia Espacial Europea, ESA. (2010). https://earth.esa.int/web/guest/missions/esa- operationaleomissions/envisat/operations</w:t>
      </w:r>
    </w:p>
    <w:p>
      <w:pPr>
        <w:pStyle w:val="ListParagraph"/>
        <w:numPr>
          <w:ilvl w:val="0"/>
          <w:numId w:val="2"/>
        </w:numPr>
        <w:tabs>
          <w:tab w:pos="600" w:val="left" w:leader="none"/>
        </w:tabs>
        <w:spacing w:line="360" w:lineRule="auto" w:before="131" w:after="0"/>
        <w:ind w:left="600" w:right="114" w:hanging="488"/>
        <w:jc w:val="both"/>
        <w:rPr>
          <w:sz w:val="24"/>
        </w:rPr>
      </w:pPr>
      <w:r>
        <w:rPr>
          <w:sz w:val="24"/>
        </w:rPr>
        <w:t>Barrero-Vélez. J; Bustamante. A. (2012). </w:t>
      </w:r>
      <w:r>
        <w:rPr>
          <w:i/>
          <w:sz w:val="24"/>
        </w:rPr>
        <w:t>Implementación de una Red Neuronal para la </w:t>
      </w:r>
      <w:r>
        <w:rPr>
          <w:i/>
          <w:sz w:val="24"/>
        </w:rPr>
        <w:t>Clasificación de Coberturas Terrestres en Imágenes Modis</w:t>
      </w:r>
      <w:r>
        <w:rPr>
          <w:sz w:val="24"/>
        </w:rPr>
        <w:t>. Universidad de San Buenaventura Seccional Medellín – Facultad de Ingeniería, p. 29,</w:t>
      </w:r>
      <w:r>
        <w:rPr>
          <w:spacing w:val="-6"/>
          <w:sz w:val="24"/>
        </w:rPr>
        <w:t> </w:t>
      </w:r>
      <w:r>
        <w:rPr>
          <w:sz w:val="24"/>
        </w:rPr>
        <w:t>54-61.</w:t>
      </w:r>
    </w:p>
    <w:p>
      <w:pPr>
        <w:pStyle w:val="ListParagraph"/>
        <w:numPr>
          <w:ilvl w:val="0"/>
          <w:numId w:val="2"/>
        </w:numPr>
        <w:tabs>
          <w:tab w:pos="600" w:val="left" w:leader="none"/>
        </w:tabs>
        <w:spacing w:line="360" w:lineRule="auto" w:before="133" w:after="0"/>
        <w:ind w:left="600" w:right="114" w:hanging="488"/>
        <w:jc w:val="both"/>
        <w:rPr>
          <w:sz w:val="24"/>
        </w:rPr>
      </w:pPr>
      <w:r>
        <w:rPr>
          <w:sz w:val="24"/>
        </w:rPr>
        <w:t>Calderhead, A. I; Martel. R; Alasset, P. J; Garfias. J. (2010). </w:t>
      </w:r>
      <w:r>
        <w:rPr>
          <w:i/>
          <w:sz w:val="24"/>
        </w:rPr>
        <w:t>Land subsidence induced by </w:t>
      </w:r>
      <w:r>
        <w:rPr>
          <w:i/>
          <w:sz w:val="24"/>
        </w:rPr>
        <w:t>groundwater pumpimg, monitored by D-InSAR and field data in the Toluca Valley, México. </w:t>
      </w:r>
      <w:r>
        <w:rPr>
          <w:sz w:val="24"/>
        </w:rPr>
        <w:t>Remote Sensing, Vol. 36, No. 1, p.</w:t>
      </w:r>
      <w:r>
        <w:rPr>
          <w:spacing w:val="-5"/>
          <w:sz w:val="24"/>
        </w:rPr>
        <w:t> </w:t>
      </w:r>
      <w:r>
        <w:rPr>
          <w:sz w:val="24"/>
        </w:rPr>
        <w:t>9-23.</w:t>
      </w:r>
    </w:p>
    <w:p>
      <w:pPr>
        <w:pStyle w:val="ListParagraph"/>
        <w:numPr>
          <w:ilvl w:val="0"/>
          <w:numId w:val="2"/>
        </w:numPr>
        <w:tabs>
          <w:tab w:pos="660" w:val="left" w:leader="none"/>
        </w:tabs>
        <w:spacing w:line="360" w:lineRule="auto" w:before="146" w:after="0"/>
        <w:ind w:left="600" w:right="113" w:hanging="488"/>
        <w:jc w:val="both"/>
        <w:rPr>
          <w:sz w:val="24"/>
        </w:rPr>
      </w:pPr>
      <w:r>
        <w:rPr>
          <w:sz w:val="24"/>
        </w:rPr>
        <w:t>Calderhead, A. I; Therrien. R; Rivera. A; Martel. R; Garfias. J. (2011). </w:t>
      </w:r>
      <w:r>
        <w:rPr>
          <w:i/>
          <w:sz w:val="24"/>
        </w:rPr>
        <w:t>Simulating </w:t>
      </w:r>
      <w:r>
        <w:rPr>
          <w:i/>
          <w:sz w:val="24"/>
        </w:rPr>
        <w:t>PumpingInduced regional land subsidence with the use of InSAR and field data in the Toluca Valley, México. </w:t>
      </w:r>
      <w:r>
        <w:rPr>
          <w:sz w:val="24"/>
        </w:rPr>
        <w:t>Advance in Water Resources 34, p.</w:t>
      </w:r>
      <w:r>
        <w:rPr>
          <w:spacing w:val="-5"/>
          <w:sz w:val="24"/>
        </w:rPr>
        <w:t> </w:t>
      </w:r>
      <w:r>
        <w:rPr>
          <w:sz w:val="24"/>
        </w:rPr>
        <w:t>83-97.</w:t>
      </w:r>
    </w:p>
    <w:p>
      <w:pPr>
        <w:pStyle w:val="ListParagraph"/>
        <w:numPr>
          <w:ilvl w:val="0"/>
          <w:numId w:val="2"/>
        </w:numPr>
        <w:tabs>
          <w:tab w:pos="600" w:val="left" w:leader="none"/>
        </w:tabs>
        <w:spacing w:line="360" w:lineRule="auto" w:before="145" w:after="0"/>
        <w:ind w:left="600" w:right="114" w:hanging="488"/>
        <w:jc w:val="both"/>
        <w:rPr>
          <w:sz w:val="24"/>
        </w:rPr>
      </w:pPr>
      <w:r>
        <w:rPr>
          <w:sz w:val="24"/>
        </w:rPr>
        <w:t>Chávez. N; Cabrera. M. (2012). </w:t>
      </w:r>
      <w:r>
        <w:rPr>
          <w:i/>
          <w:sz w:val="24"/>
        </w:rPr>
        <w:t>Fundamentos de Radar. Parte I: Fundamentos Físicos. </w:t>
      </w:r>
      <w:r>
        <w:rPr>
          <w:i/>
          <w:sz w:val="24"/>
        </w:rPr>
        <w:t>Determinación de las Coordenadas Espaciales y la Velocidad Radial del Blanco. Tipos de radares</w:t>
      </w:r>
      <w:r>
        <w:rPr>
          <w:sz w:val="24"/>
        </w:rPr>
        <w:t>. Instituto Superior Politécnico “José Antonio Echevarría” (ISPJAE), la Habana, Cuba y Universidad Nacional de Tucumán,</w:t>
      </w:r>
      <w:r>
        <w:rPr>
          <w:spacing w:val="-3"/>
          <w:sz w:val="24"/>
        </w:rPr>
        <w:t> </w:t>
      </w:r>
      <w:r>
        <w:rPr>
          <w:sz w:val="24"/>
        </w:rPr>
        <w:t>Argentina.</w:t>
      </w:r>
    </w:p>
    <w:p>
      <w:pPr>
        <w:pStyle w:val="ListParagraph"/>
        <w:numPr>
          <w:ilvl w:val="0"/>
          <w:numId w:val="2"/>
        </w:numPr>
        <w:tabs>
          <w:tab w:pos="600" w:val="left" w:leader="none"/>
        </w:tabs>
        <w:spacing w:line="360" w:lineRule="auto" w:before="145" w:after="0"/>
        <w:ind w:left="600" w:right="116" w:hanging="488"/>
        <w:jc w:val="both"/>
        <w:rPr>
          <w:sz w:val="24"/>
        </w:rPr>
      </w:pPr>
      <w:r>
        <w:rPr>
          <w:sz w:val="24"/>
        </w:rPr>
        <w:t>Chávez. R. (2009). </w:t>
      </w:r>
      <w:r>
        <w:rPr>
          <w:i/>
          <w:sz w:val="24"/>
        </w:rPr>
        <w:t>Los Acuíferos el valor de su presencia: Estrategias para la conservación de </w:t>
      </w:r>
      <w:r>
        <w:rPr>
          <w:i/>
          <w:sz w:val="24"/>
        </w:rPr>
        <w:t>los acuíferos en México</w:t>
      </w:r>
      <w:r>
        <w:rPr>
          <w:sz w:val="24"/>
        </w:rPr>
        <w:t>. Primera Edición, Consejo editorial de la administración pública del Gobierno del Estado de México, p.</w:t>
      </w:r>
      <w:r>
        <w:rPr>
          <w:spacing w:val="-5"/>
          <w:sz w:val="24"/>
        </w:rPr>
        <w:t> </w:t>
      </w:r>
      <w:r>
        <w:rPr>
          <w:sz w:val="24"/>
        </w:rPr>
        <w:t>292-305.</w:t>
      </w:r>
    </w:p>
    <w:p>
      <w:pPr>
        <w:pStyle w:val="ListParagraph"/>
        <w:numPr>
          <w:ilvl w:val="0"/>
          <w:numId w:val="2"/>
        </w:numPr>
        <w:tabs>
          <w:tab w:pos="600" w:val="left" w:leader="none"/>
        </w:tabs>
        <w:spacing w:line="360" w:lineRule="auto" w:before="139" w:after="0"/>
        <w:ind w:left="600" w:right="115" w:hanging="488"/>
        <w:jc w:val="both"/>
        <w:rPr>
          <w:sz w:val="24"/>
        </w:rPr>
      </w:pPr>
      <w:r>
        <w:rPr>
          <w:sz w:val="24"/>
        </w:rPr>
        <w:t>Dávila. N. (2011). </w:t>
      </w:r>
      <w:r>
        <w:rPr>
          <w:i/>
          <w:sz w:val="24"/>
        </w:rPr>
        <w:t>Modelo de segmentación de depósitos volcánicos superficiales en el volcán de </w:t>
      </w:r>
      <w:r>
        <w:rPr>
          <w:i/>
          <w:sz w:val="24"/>
        </w:rPr>
        <w:t>Colima, México utilizando imágenes ópticas (Terra/Aster y Spot 5) y de radar de alta resolución (TerraSAR-X). </w:t>
      </w:r>
      <w:r>
        <w:rPr>
          <w:sz w:val="24"/>
        </w:rPr>
        <w:t>Tesis Doctoral en Ciencias de la Tierra, Universidad Autónoma de México, pp. 115.</w:t>
      </w:r>
    </w:p>
    <w:p>
      <w:pPr>
        <w:pStyle w:val="ListParagraph"/>
        <w:numPr>
          <w:ilvl w:val="0"/>
          <w:numId w:val="2"/>
        </w:numPr>
        <w:tabs>
          <w:tab w:pos="660" w:val="left" w:leader="none"/>
        </w:tabs>
        <w:spacing w:line="360" w:lineRule="auto" w:before="5" w:after="0"/>
        <w:ind w:left="600" w:right="115" w:hanging="488"/>
        <w:jc w:val="both"/>
        <w:rPr>
          <w:sz w:val="24"/>
        </w:rPr>
      </w:pPr>
      <w:r>
        <w:rPr>
          <w:sz w:val="24"/>
        </w:rPr>
        <w:t>Dávila. R; León. H. (2011). </w:t>
      </w:r>
      <w:r>
        <w:rPr>
          <w:i/>
          <w:sz w:val="24"/>
        </w:rPr>
        <w:t>Importancia de la Hidrogeología Urbana; ciencia clave para el </w:t>
      </w:r>
      <w:r>
        <w:rPr>
          <w:i/>
          <w:sz w:val="24"/>
        </w:rPr>
        <w:t>desarrollo</w:t>
      </w:r>
      <w:r>
        <w:rPr>
          <w:i/>
          <w:spacing w:val="-6"/>
          <w:sz w:val="24"/>
        </w:rPr>
        <w:t> </w:t>
      </w:r>
      <w:r>
        <w:rPr>
          <w:i/>
          <w:sz w:val="24"/>
        </w:rPr>
        <w:t>urbano</w:t>
      </w:r>
      <w:r>
        <w:rPr>
          <w:i/>
          <w:spacing w:val="-6"/>
          <w:sz w:val="24"/>
        </w:rPr>
        <w:t> </w:t>
      </w:r>
      <w:r>
        <w:rPr>
          <w:i/>
          <w:sz w:val="24"/>
        </w:rPr>
        <w:t>sostenible.</w:t>
      </w:r>
      <w:r>
        <w:rPr>
          <w:i/>
          <w:spacing w:val="-5"/>
          <w:sz w:val="24"/>
        </w:rPr>
        <w:t> </w:t>
      </w:r>
      <w:r>
        <w:rPr>
          <w:sz w:val="24"/>
        </w:rPr>
        <w:t>Facultad</w:t>
      </w:r>
      <w:r>
        <w:rPr>
          <w:spacing w:val="-6"/>
          <w:sz w:val="24"/>
        </w:rPr>
        <w:t> </w:t>
      </w:r>
      <w:r>
        <w:rPr>
          <w:sz w:val="24"/>
        </w:rPr>
        <w:t>de</w:t>
      </w:r>
      <w:r>
        <w:rPr>
          <w:spacing w:val="-6"/>
          <w:sz w:val="24"/>
        </w:rPr>
        <w:t> </w:t>
      </w:r>
      <w:r>
        <w:rPr>
          <w:sz w:val="24"/>
        </w:rPr>
        <w:t>Ciencias</w:t>
      </w:r>
      <w:r>
        <w:rPr>
          <w:spacing w:val="-6"/>
          <w:sz w:val="24"/>
        </w:rPr>
        <w:t> </w:t>
      </w:r>
      <w:r>
        <w:rPr>
          <w:sz w:val="24"/>
        </w:rPr>
        <w:t>de</w:t>
      </w:r>
      <w:r>
        <w:rPr>
          <w:spacing w:val="-7"/>
          <w:sz w:val="24"/>
        </w:rPr>
        <w:t> </w:t>
      </w:r>
      <w:r>
        <w:rPr>
          <w:sz w:val="24"/>
        </w:rPr>
        <w:t>la</w:t>
      </w:r>
      <w:r>
        <w:rPr>
          <w:spacing w:val="-5"/>
          <w:sz w:val="24"/>
        </w:rPr>
        <w:t> </w:t>
      </w:r>
      <w:r>
        <w:rPr>
          <w:sz w:val="24"/>
        </w:rPr>
        <w:t>Tierra,</w:t>
      </w:r>
      <w:r>
        <w:rPr>
          <w:spacing w:val="-6"/>
          <w:sz w:val="24"/>
        </w:rPr>
        <w:t> </w:t>
      </w:r>
      <w:r>
        <w:rPr>
          <w:sz w:val="24"/>
        </w:rPr>
        <w:t>Universidad</w:t>
      </w:r>
      <w:r>
        <w:rPr>
          <w:spacing w:val="-6"/>
          <w:sz w:val="24"/>
        </w:rPr>
        <w:t> </w:t>
      </w:r>
      <w:r>
        <w:rPr>
          <w:sz w:val="24"/>
        </w:rPr>
        <w:t>Autónoma</w:t>
      </w:r>
      <w:r>
        <w:rPr>
          <w:spacing w:val="-6"/>
          <w:sz w:val="24"/>
        </w:rPr>
        <w:t> </w:t>
      </w:r>
      <w:r>
        <w:rPr>
          <w:sz w:val="24"/>
        </w:rPr>
        <w:t>de</w:t>
      </w:r>
      <w:r>
        <w:rPr>
          <w:spacing w:val="-6"/>
          <w:sz w:val="24"/>
        </w:rPr>
        <w:t> </w:t>
      </w:r>
      <w:r>
        <w:rPr>
          <w:sz w:val="24"/>
        </w:rPr>
        <w:t>Nuevo León. Boletín de la Sociedad Geológica Mexicana, Vol. 63, No. 3, p.</w:t>
      </w:r>
      <w:r>
        <w:rPr>
          <w:spacing w:val="-5"/>
          <w:sz w:val="24"/>
        </w:rPr>
        <w:t> </w:t>
      </w:r>
      <w:r>
        <w:rPr>
          <w:sz w:val="24"/>
        </w:rPr>
        <w:t>463-477.</w:t>
      </w:r>
    </w:p>
    <w:p>
      <w:pPr>
        <w:spacing w:after="0" w:line="360" w:lineRule="auto"/>
        <w:jc w:val="both"/>
        <w:rPr>
          <w:sz w:val="24"/>
        </w:rPr>
        <w:sectPr>
          <w:headerReference w:type="default" r:id="rId66"/>
          <w:pgSz w:w="12240" w:h="15840"/>
          <w:pgMar w:header="746" w:footer="968" w:top="980" w:bottom="1160" w:left="840" w:right="1320"/>
        </w:sectPr>
      </w:pPr>
    </w:p>
    <w:p>
      <w:pPr>
        <w:pStyle w:val="BodyText"/>
        <w:rPr>
          <w:sz w:val="20"/>
        </w:rPr>
      </w:pPr>
    </w:p>
    <w:p>
      <w:pPr>
        <w:pStyle w:val="BodyText"/>
        <w:spacing w:before="1"/>
        <w:rPr>
          <w:sz w:val="19"/>
        </w:rPr>
      </w:pPr>
    </w:p>
    <w:p>
      <w:pPr>
        <w:spacing w:line="360" w:lineRule="auto" w:before="0"/>
        <w:ind w:left="677" w:right="120" w:hanging="488"/>
        <w:jc w:val="both"/>
        <w:rPr>
          <w:sz w:val="24"/>
        </w:rPr>
      </w:pPr>
      <w:r>
        <w:rPr>
          <w:rFonts w:ascii="Wingdings" w:hAnsi="Wingdings"/>
          <w:sz w:val="24"/>
        </w:rPr>
        <w:t></w:t>
      </w:r>
      <w:r>
        <w:rPr>
          <w:sz w:val="24"/>
        </w:rPr>
        <w:t> Díez. P. (2009); </w:t>
      </w:r>
      <w:r>
        <w:rPr>
          <w:i/>
          <w:sz w:val="24"/>
        </w:rPr>
        <w:t>Alternativas de administración racional de recursos hídricos en un acuífero </w:t>
      </w:r>
      <w:r>
        <w:rPr>
          <w:i/>
          <w:sz w:val="24"/>
        </w:rPr>
        <w:t>sometido a sobreexplotación: Valle de Toluca, Estado de México</w:t>
      </w:r>
      <w:r>
        <w:rPr>
          <w:sz w:val="24"/>
        </w:rPr>
        <w:t>. UAEM, pp. 244.</w:t>
      </w:r>
    </w:p>
    <w:p>
      <w:pPr>
        <w:spacing w:line="360" w:lineRule="auto" w:before="5"/>
        <w:ind w:left="677" w:right="116" w:hanging="488"/>
        <w:jc w:val="both"/>
        <w:rPr>
          <w:sz w:val="24"/>
        </w:rPr>
      </w:pPr>
      <w:r>
        <w:rPr>
          <w:rFonts w:ascii="Wingdings" w:hAnsi="Wingdings"/>
          <w:sz w:val="24"/>
        </w:rPr>
        <w:t></w:t>
      </w:r>
      <w:r>
        <w:rPr>
          <w:spacing w:val="23"/>
          <w:sz w:val="24"/>
        </w:rPr>
        <w:t> </w:t>
      </w:r>
      <w:r>
        <w:rPr>
          <w:sz w:val="24"/>
        </w:rPr>
        <w:t>Expósito. J. L. (2012). </w:t>
      </w:r>
      <w:r>
        <w:rPr>
          <w:i/>
          <w:sz w:val="24"/>
        </w:rPr>
        <w:t>Características hidrodinámicas e hidroquímicas del acuífero multicapa del </w:t>
      </w:r>
      <w:r>
        <w:rPr>
          <w:i/>
          <w:sz w:val="24"/>
        </w:rPr>
        <w:t>Valle de Toluca y sus implicaciones en la optimización de estrategias para la protección de la calidad</w:t>
      </w:r>
      <w:r>
        <w:rPr>
          <w:i/>
          <w:spacing w:val="-5"/>
          <w:sz w:val="24"/>
        </w:rPr>
        <w:t> </w:t>
      </w:r>
      <w:r>
        <w:rPr>
          <w:i/>
          <w:sz w:val="24"/>
        </w:rPr>
        <w:t>del</w:t>
      </w:r>
      <w:r>
        <w:rPr>
          <w:i/>
          <w:spacing w:val="-5"/>
          <w:sz w:val="24"/>
        </w:rPr>
        <w:t> </w:t>
      </w:r>
      <w:r>
        <w:rPr>
          <w:i/>
          <w:sz w:val="24"/>
        </w:rPr>
        <w:t>agua</w:t>
      </w:r>
      <w:r>
        <w:rPr>
          <w:i/>
          <w:spacing w:val="-4"/>
          <w:sz w:val="24"/>
        </w:rPr>
        <w:t> </w:t>
      </w:r>
      <w:r>
        <w:rPr>
          <w:i/>
          <w:sz w:val="24"/>
        </w:rPr>
        <w:t>subterránea.</w:t>
      </w:r>
      <w:r>
        <w:rPr>
          <w:i/>
          <w:spacing w:val="-2"/>
          <w:sz w:val="24"/>
        </w:rPr>
        <w:t> </w:t>
      </w:r>
      <w:r>
        <w:rPr>
          <w:sz w:val="24"/>
        </w:rPr>
        <w:t>Tesis</w:t>
      </w:r>
      <w:r>
        <w:rPr>
          <w:spacing w:val="-4"/>
          <w:sz w:val="24"/>
        </w:rPr>
        <w:t> </w:t>
      </w:r>
      <w:r>
        <w:rPr>
          <w:sz w:val="24"/>
        </w:rPr>
        <w:t>Doctoral</w:t>
      </w:r>
      <w:r>
        <w:rPr>
          <w:spacing w:val="-3"/>
          <w:sz w:val="24"/>
        </w:rPr>
        <w:t> </w:t>
      </w:r>
      <w:r>
        <w:rPr>
          <w:sz w:val="24"/>
        </w:rPr>
        <w:t>en</w:t>
      </w:r>
      <w:r>
        <w:rPr>
          <w:spacing w:val="-5"/>
          <w:sz w:val="24"/>
        </w:rPr>
        <w:t> </w:t>
      </w:r>
      <w:r>
        <w:rPr>
          <w:sz w:val="24"/>
        </w:rPr>
        <w:t>Ingeniería,</w:t>
      </w:r>
      <w:r>
        <w:rPr>
          <w:spacing w:val="-5"/>
          <w:sz w:val="24"/>
        </w:rPr>
        <w:t> </w:t>
      </w:r>
      <w:r>
        <w:rPr>
          <w:sz w:val="24"/>
        </w:rPr>
        <w:t>Universidad</w:t>
      </w:r>
      <w:r>
        <w:rPr>
          <w:spacing w:val="-5"/>
          <w:sz w:val="24"/>
        </w:rPr>
        <w:t> </w:t>
      </w:r>
      <w:r>
        <w:rPr>
          <w:sz w:val="24"/>
        </w:rPr>
        <w:t>Autónoma</w:t>
      </w:r>
      <w:r>
        <w:rPr>
          <w:spacing w:val="-4"/>
          <w:sz w:val="24"/>
        </w:rPr>
        <w:t> </w:t>
      </w:r>
      <w:r>
        <w:rPr>
          <w:sz w:val="24"/>
        </w:rPr>
        <w:t>del</w:t>
      </w:r>
      <w:r>
        <w:rPr>
          <w:spacing w:val="-3"/>
          <w:sz w:val="24"/>
        </w:rPr>
        <w:t> </w:t>
      </w:r>
      <w:r>
        <w:rPr>
          <w:sz w:val="24"/>
        </w:rPr>
        <w:t>Estado</w:t>
      </w:r>
      <w:r>
        <w:rPr>
          <w:spacing w:val="-3"/>
          <w:sz w:val="24"/>
        </w:rPr>
        <w:t> </w:t>
      </w:r>
      <w:r>
        <w:rPr>
          <w:sz w:val="24"/>
        </w:rPr>
        <w:t>de México, pp</w:t>
      </w:r>
      <w:r>
        <w:rPr>
          <w:spacing w:val="-2"/>
          <w:sz w:val="24"/>
        </w:rPr>
        <w:t> </w:t>
      </w:r>
      <w:r>
        <w:rPr>
          <w:sz w:val="24"/>
        </w:rPr>
        <w:t>210.</w:t>
      </w:r>
    </w:p>
    <w:p>
      <w:pPr>
        <w:spacing w:line="360" w:lineRule="auto" w:before="5"/>
        <w:ind w:left="677" w:right="118" w:hanging="488"/>
        <w:jc w:val="both"/>
        <w:rPr>
          <w:sz w:val="24"/>
        </w:rPr>
      </w:pPr>
      <w:r>
        <w:rPr>
          <w:rFonts w:ascii="Wingdings" w:hAnsi="Wingdings"/>
          <w:sz w:val="24"/>
        </w:rPr>
        <w:t></w:t>
      </w:r>
      <w:r>
        <w:rPr>
          <w:sz w:val="24"/>
        </w:rPr>
        <w:t> Ferretti. A; Prati. C; Rocca. F. (2000). </w:t>
      </w:r>
      <w:r>
        <w:rPr>
          <w:i/>
          <w:sz w:val="24"/>
        </w:rPr>
        <w:t>Nonlinear Subsidence rate Estimation Using Permanent </w:t>
      </w:r>
      <w:r>
        <w:rPr>
          <w:i/>
          <w:sz w:val="24"/>
        </w:rPr>
        <w:t>Scatterers in Differential SAR Interferometry. </w:t>
      </w:r>
      <w:r>
        <w:rPr>
          <w:sz w:val="24"/>
        </w:rPr>
        <w:t>IEEE Transactions on Geoscience and Remote Sensing, Vol. 38, No. 5.</w:t>
      </w:r>
    </w:p>
    <w:p>
      <w:pPr>
        <w:spacing w:line="360" w:lineRule="auto" w:before="133"/>
        <w:ind w:left="677" w:right="117" w:hanging="488"/>
        <w:jc w:val="both"/>
        <w:rPr>
          <w:sz w:val="24"/>
        </w:rPr>
      </w:pPr>
      <w:r>
        <w:rPr>
          <w:rFonts w:ascii="Wingdings" w:hAnsi="Wingdings"/>
          <w:sz w:val="24"/>
        </w:rPr>
        <w:t></w:t>
      </w:r>
      <w:r>
        <w:rPr>
          <w:sz w:val="24"/>
        </w:rPr>
        <w:t> Ferretti. A; Prati. C; Rocca. F. (2001). </w:t>
      </w:r>
      <w:r>
        <w:rPr>
          <w:i/>
          <w:sz w:val="24"/>
        </w:rPr>
        <w:t>Permanent Scatterers in SAR Interferometry. </w:t>
      </w:r>
      <w:r>
        <w:rPr>
          <w:sz w:val="24"/>
        </w:rPr>
        <w:t>IEEE Transactions on Geoscience and Remote Sensing, Vol.</w:t>
      </w:r>
    </w:p>
    <w:p>
      <w:pPr>
        <w:spacing w:line="360" w:lineRule="auto" w:before="5"/>
        <w:ind w:left="677" w:right="117" w:hanging="488"/>
        <w:jc w:val="both"/>
        <w:rPr>
          <w:sz w:val="24"/>
        </w:rPr>
      </w:pPr>
      <w:r>
        <w:rPr>
          <w:rFonts w:ascii="Wingdings" w:hAnsi="Wingdings"/>
          <w:sz w:val="24"/>
        </w:rPr>
        <w:t></w:t>
      </w:r>
      <w:r>
        <w:rPr>
          <w:sz w:val="24"/>
        </w:rPr>
        <w:t> Garduño-Monroy. V; Arreygue-Rocha. E; Israde-Alcántara. I;  Rodríguez-Torres.  E.  (2001). </w:t>
      </w:r>
      <w:r>
        <w:rPr>
          <w:i/>
          <w:sz w:val="24"/>
        </w:rPr>
        <w:t>Efectos de la falla asociadas a sobreexplotación de acuíferos y la presencia de fallas </w:t>
      </w:r>
      <w:r>
        <w:rPr>
          <w:i/>
          <w:sz w:val="24"/>
        </w:rPr>
        <w:t>potencialmente sísmicas en Morelia, Michoacán, México</w:t>
      </w:r>
      <w:r>
        <w:rPr>
          <w:sz w:val="24"/>
        </w:rPr>
        <w:t>. Revista Mexicana de Ciencias Geológicas, Vol. 18, No. 1, p. 37-54.</w:t>
      </w:r>
    </w:p>
    <w:p>
      <w:pPr>
        <w:pStyle w:val="BodyText"/>
        <w:spacing w:line="362" w:lineRule="auto" w:before="133"/>
        <w:ind w:left="677" w:right="119" w:hanging="488"/>
        <w:jc w:val="both"/>
      </w:pPr>
      <w:r>
        <w:rPr>
          <w:rFonts w:ascii="Wingdings" w:hAnsi="Wingdings"/>
        </w:rPr>
        <w:t></w:t>
      </w:r>
      <w:r>
        <w:rPr/>
        <w:t> Hanssen. R. (2002). </w:t>
      </w:r>
      <w:r>
        <w:rPr>
          <w:i/>
        </w:rPr>
        <w:t>Radar Interferometry</w:t>
      </w:r>
      <w:r>
        <w:rPr/>
        <w:t>. Volume 2, Delft University of Technology, The Netherlands. ISBN: 0-306-47633-9.</w:t>
      </w:r>
    </w:p>
    <w:p>
      <w:pPr>
        <w:spacing w:line="360" w:lineRule="auto" w:before="132"/>
        <w:ind w:left="677" w:right="117" w:hanging="488"/>
        <w:jc w:val="both"/>
        <w:rPr>
          <w:sz w:val="24"/>
        </w:rPr>
      </w:pPr>
      <w:r>
        <w:rPr>
          <w:rFonts w:ascii="Wingdings" w:hAnsi="Wingdings"/>
          <w:sz w:val="24"/>
        </w:rPr>
        <w:t></w:t>
      </w:r>
      <w:r>
        <w:rPr>
          <w:sz w:val="24"/>
        </w:rPr>
        <w:t> Hanssen. R. (2003). </w:t>
      </w:r>
      <w:r>
        <w:rPr>
          <w:i/>
          <w:sz w:val="24"/>
        </w:rPr>
        <w:t>Subsidence Monitoring Using  Contiguous  and  PS-INSAR:  Quality  </w:t>
      </w:r>
      <w:r>
        <w:rPr>
          <w:i/>
          <w:sz w:val="24"/>
        </w:rPr>
        <w:t>Assessment based on precision and reliability</w:t>
      </w:r>
      <w:r>
        <w:rPr>
          <w:sz w:val="24"/>
        </w:rPr>
        <w:t>. Symposium on Deformation Measurements, Santorini,</w:t>
      </w:r>
      <w:r>
        <w:rPr>
          <w:spacing w:val="-2"/>
          <w:sz w:val="24"/>
        </w:rPr>
        <w:t> </w:t>
      </w:r>
      <w:r>
        <w:rPr>
          <w:sz w:val="24"/>
        </w:rPr>
        <w:t>Greece.</w:t>
      </w:r>
    </w:p>
    <w:p>
      <w:pPr>
        <w:spacing w:line="360" w:lineRule="auto" w:before="134"/>
        <w:ind w:left="677" w:right="117" w:hanging="488"/>
        <w:jc w:val="both"/>
        <w:rPr>
          <w:sz w:val="24"/>
        </w:rPr>
      </w:pPr>
      <w:r>
        <w:rPr>
          <w:rFonts w:ascii="Wingdings" w:hAnsi="Wingdings"/>
          <w:sz w:val="24"/>
        </w:rPr>
        <w:t></w:t>
      </w:r>
      <w:r>
        <w:rPr>
          <w:sz w:val="24"/>
        </w:rPr>
        <w:t>  Lillesand, R;  Kiefer. R; Chipman. J. (2004). </w:t>
      </w:r>
      <w:r>
        <w:rPr>
          <w:i/>
          <w:sz w:val="24"/>
        </w:rPr>
        <w:t>Remote Sensing and Image Interpretation. </w:t>
      </w:r>
      <w:r>
        <w:rPr>
          <w:sz w:val="24"/>
        </w:rPr>
        <w:t>Unites  State of America: University of Wisconsin – Madison. ISBN:</w:t>
      </w:r>
      <w:r>
        <w:rPr>
          <w:spacing w:val="-7"/>
          <w:sz w:val="24"/>
        </w:rPr>
        <w:t> </w:t>
      </w:r>
      <w:r>
        <w:rPr>
          <w:sz w:val="24"/>
        </w:rPr>
        <w:t>0471-15227.</w:t>
      </w:r>
    </w:p>
    <w:p>
      <w:pPr>
        <w:spacing w:line="360" w:lineRule="auto" w:before="139"/>
        <w:ind w:left="677" w:right="119" w:hanging="488"/>
        <w:jc w:val="both"/>
        <w:rPr>
          <w:sz w:val="24"/>
        </w:rPr>
      </w:pPr>
      <w:r>
        <w:rPr>
          <w:rFonts w:ascii="Wingdings" w:hAnsi="Wingdings"/>
          <w:sz w:val="24"/>
        </w:rPr>
        <w:t></w:t>
      </w:r>
      <w:r>
        <w:rPr>
          <w:sz w:val="24"/>
        </w:rPr>
        <w:t> Lira. J; Dávila. N (2011). </w:t>
      </w:r>
      <w:r>
        <w:rPr>
          <w:i/>
          <w:sz w:val="24"/>
        </w:rPr>
        <w:t>Tratamiento de Imágenes Ópticas y de Radar para el estudio de los </w:t>
      </w:r>
      <w:r>
        <w:rPr>
          <w:i/>
          <w:sz w:val="24"/>
        </w:rPr>
        <w:t>bosques. </w:t>
      </w:r>
      <w:r>
        <w:rPr>
          <w:sz w:val="24"/>
        </w:rPr>
        <w:t>FORCLIM Bosques y cambio climático – Vol. 4, PP.77.</w:t>
      </w:r>
    </w:p>
    <w:p>
      <w:pPr>
        <w:spacing w:line="360" w:lineRule="auto" w:before="5"/>
        <w:ind w:left="677" w:right="116" w:hanging="488"/>
        <w:jc w:val="both"/>
        <w:rPr>
          <w:sz w:val="24"/>
        </w:rPr>
      </w:pPr>
      <w:r>
        <w:rPr>
          <w:rFonts w:ascii="Wingdings" w:hAnsi="Wingdings"/>
          <w:sz w:val="24"/>
        </w:rPr>
        <w:t></w:t>
      </w:r>
      <w:r>
        <w:rPr>
          <w:sz w:val="24"/>
        </w:rPr>
        <w:t> Martínez. P; Martínez-Santos. P; Castaño. S. (2005). </w:t>
      </w:r>
      <w:r>
        <w:rPr>
          <w:i/>
          <w:sz w:val="24"/>
        </w:rPr>
        <w:t>Fundamentos de la Hidrogeología</w:t>
      </w:r>
      <w:r>
        <w:rPr>
          <w:sz w:val="24"/>
        </w:rPr>
        <w:t>. Ediciones Mundi-Prensa. ISBN: 84-8476-239-4.</w:t>
      </w:r>
    </w:p>
    <w:p>
      <w:pPr>
        <w:pStyle w:val="ListParagraph"/>
        <w:numPr>
          <w:ilvl w:val="0"/>
          <w:numId w:val="2"/>
        </w:numPr>
        <w:tabs>
          <w:tab w:pos="678" w:val="left" w:leader="none"/>
        </w:tabs>
        <w:spacing w:line="360" w:lineRule="auto" w:before="143" w:after="0"/>
        <w:ind w:left="677" w:right="117" w:hanging="567"/>
        <w:jc w:val="both"/>
        <w:rPr>
          <w:sz w:val="24"/>
        </w:rPr>
      </w:pPr>
      <w:r>
        <w:rPr>
          <w:sz w:val="24"/>
        </w:rPr>
        <w:t>Millán,</w:t>
      </w:r>
      <w:r>
        <w:rPr>
          <w:spacing w:val="40"/>
          <w:sz w:val="24"/>
        </w:rPr>
        <w:t> </w:t>
      </w:r>
      <w:r>
        <w:rPr>
          <w:sz w:val="24"/>
        </w:rPr>
        <w:t>L.</w:t>
      </w:r>
      <w:r>
        <w:rPr>
          <w:spacing w:val="-11"/>
          <w:sz w:val="24"/>
        </w:rPr>
        <w:t> </w:t>
      </w:r>
      <w:r>
        <w:rPr>
          <w:sz w:val="24"/>
        </w:rPr>
        <w:t>J.</w:t>
      </w:r>
      <w:r>
        <w:rPr>
          <w:spacing w:val="-10"/>
          <w:sz w:val="24"/>
        </w:rPr>
        <w:t> </w:t>
      </w:r>
      <w:r>
        <w:rPr>
          <w:sz w:val="24"/>
        </w:rPr>
        <w:t>(2009).</w:t>
      </w:r>
      <w:r>
        <w:rPr>
          <w:spacing w:val="-11"/>
          <w:sz w:val="24"/>
        </w:rPr>
        <w:t> </w:t>
      </w:r>
      <w:r>
        <w:rPr>
          <w:i/>
          <w:sz w:val="24"/>
        </w:rPr>
        <w:t>La</w:t>
      </w:r>
      <w:r>
        <w:rPr>
          <w:i/>
          <w:spacing w:val="-11"/>
          <w:sz w:val="24"/>
        </w:rPr>
        <w:t> </w:t>
      </w:r>
      <w:r>
        <w:rPr>
          <w:i/>
          <w:sz w:val="24"/>
        </w:rPr>
        <w:t>importancia</w:t>
      </w:r>
      <w:r>
        <w:rPr>
          <w:i/>
          <w:spacing w:val="-10"/>
          <w:sz w:val="24"/>
        </w:rPr>
        <w:t> </w:t>
      </w:r>
      <w:r>
        <w:rPr>
          <w:i/>
          <w:sz w:val="24"/>
        </w:rPr>
        <w:t>de</w:t>
      </w:r>
      <w:r>
        <w:rPr>
          <w:i/>
          <w:spacing w:val="-11"/>
          <w:sz w:val="24"/>
        </w:rPr>
        <w:t> </w:t>
      </w:r>
      <w:r>
        <w:rPr>
          <w:i/>
          <w:sz w:val="24"/>
        </w:rPr>
        <w:t>la</w:t>
      </w:r>
      <w:r>
        <w:rPr>
          <w:i/>
          <w:spacing w:val="-11"/>
          <w:sz w:val="24"/>
        </w:rPr>
        <w:t> </w:t>
      </w:r>
      <w:r>
        <w:rPr>
          <w:i/>
          <w:sz w:val="24"/>
        </w:rPr>
        <w:t>Sustentabilidad</w:t>
      </w:r>
      <w:r>
        <w:rPr>
          <w:i/>
          <w:spacing w:val="-11"/>
          <w:sz w:val="24"/>
        </w:rPr>
        <w:t> </w:t>
      </w:r>
      <w:r>
        <w:rPr>
          <w:i/>
          <w:sz w:val="24"/>
        </w:rPr>
        <w:t>de</w:t>
      </w:r>
      <w:r>
        <w:rPr>
          <w:i/>
          <w:spacing w:val="-11"/>
          <w:sz w:val="24"/>
        </w:rPr>
        <w:t> </w:t>
      </w:r>
      <w:r>
        <w:rPr>
          <w:i/>
          <w:sz w:val="24"/>
        </w:rPr>
        <w:t>los</w:t>
      </w:r>
      <w:r>
        <w:rPr>
          <w:i/>
          <w:spacing w:val="-11"/>
          <w:sz w:val="24"/>
        </w:rPr>
        <w:t> </w:t>
      </w:r>
      <w:r>
        <w:rPr>
          <w:i/>
          <w:sz w:val="24"/>
        </w:rPr>
        <w:t>Acuíferos</w:t>
      </w:r>
      <w:r>
        <w:rPr>
          <w:i/>
          <w:spacing w:val="-12"/>
          <w:sz w:val="24"/>
        </w:rPr>
        <w:t> </w:t>
      </w:r>
      <w:r>
        <w:rPr>
          <w:i/>
          <w:sz w:val="24"/>
        </w:rPr>
        <w:t>para</w:t>
      </w:r>
      <w:r>
        <w:rPr>
          <w:i/>
          <w:spacing w:val="-11"/>
          <w:sz w:val="24"/>
        </w:rPr>
        <w:t> </w:t>
      </w:r>
      <w:r>
        <w:rPr>
          <w:i/>
          <w:sz w:val="24"/>
        </w:rPr>
        <w:t>el</w:t>
      </w:r>
      <w:r>
        <w:rPr>
          <w:i/>
          <w:spacing w:val="-10"/>
          <w:sz w:val="24"/>
        </w:rPr>
        <w:t> </w:t>
      </w:r>
      <w:r>
        <w:rPr>
          <w:i/>
          <w:sz w:val="24"/>
        </w:rPr>
        <w:t>abastecimiento </w:t>
      </w:r>
      <w:r>
        <w:rPr>
          <w:i/>
          <w:sz w:val="24"/>
        </w:rPr>
        <w:t>del agua potable a la población</w:t>
      </w:r>
      <w:r>
        <w:rPr>
          <w:sz w:val="24"/>
        </w:rPr>
        <w:t>. Primera Edición, Consejo editorial de la administración pública del Gobierno del Estado de México, p.</w:t>
      </w:r>
      <w:r>
        <w:rPr>
          <w:spacing w:val="-4"/>
          <w:sz w:val="24"/>
        </w:rPr>
        <w:t> </w:t>
      </w:r>
      <w:r>
        <w:rPr>
          <w:sz w:val="24"/>
        </w:rPr>
        <w:t>306-311.</w:t>
      </w:r>
    </w:p>
    <w:p>
      <w:pPr>
        <w:spacing w:after="0" w:line="360" w:lineRule="auto"/>
        <w:jc w:val="both"/>
        <w:rPr>
          <w:sz w:val="24"/>
        </w:rPr>
        <w:sectPr>
          <w:pgSz w:w="12240" w:h="15840"/>
          <w:pgMar w:header="746" w:footer="968" w:top="980" w:bottom="1160" w:left="760" w:right="1320"/>
        </w:sectPr>
      </w:pPr>
    </w:p>
    <w:p>
      <w:pPr>
        <w:pStyle w:val="BodyText"/>
        <w:rPr>
          <w:sz w:val="20"/>
        </w:rPr>
      </w:pPr>
    </w:p>
    <w:p>
      <w:pPr>
        <w:pStyle w:val="BodyText"/>
        <w:spacing w:before="1"/>
        <w:rPr>
          <w:sz w:val="19"/>
        </w:rPr>
      </w:pPr>
    </w:p>
    <w:p>
      <w:pPr>
        <w:pStyle w:val="ListParagraph"/>
        <w:numPr>
          <w:ilvl w:val="0"/>
          <w:numId w:val="2"/>
        </w:numPr>
        <w:tabs>
          <w:tab w:pos="680" w:val="left" w:leader="none"/>
        </w:tabs>
        <w:spacing w:line="360" w:lineRule="auto" w:before="0" w:after="0"/>
        <w:ind w:left="680" w:right="114" w:hanging="568"/>
        <w:jc w:val="both"/>
        <w:rPr>
          <w:sz w:val="24"/>
        </w:rPr>
      </w:pPr>
      <w:r>
        <w:rPr>
          <w:sz w:val="24"/>
        </w:rPr>
        <w:t>Osmanoglu. B; Dixon. H; Wdowinski. S; Cabral-Cano.E;y Jiang. Y. (2011). </w:t>
      </w:r>
      <w:r>
        <w:rPr>
          <w:i/>
          <w:sz w:val="24"/>
        </w:rPr>
        <w:t>México City </w:t>
      </w:r>
      <w:r>
        <w:rPr>
          <w:i/>
          <w:sz w:val="24"/>
        </w:rPr>
        <w:t>Subsidence Observed with Persistent Scatterer InSAR</w:t>
      </w:r>
      <w:r>
        <w:rPr>
          <w:sz w:val="24"/>
        </w:rPr>
        <w:t>. International Journal of Applied Earth Observation and Geoinformation, Vol.13,</w:t>
      </w:r>
      <w:r>
        <w:rPr>
          <w:spacing w:val="-3"/>
          <w:sz w:val="24"/>
        </w:rPr>
        <w:t> </w:t>
      </w:r>
      <w:r>
        <w:rPr>
          <w:sz w:val="24"/>
        </w:rPr>
        <w:t>1-12.</w:t>
      </w:r>
    </w:p>
    <w:p>
      <w:pPr>
        <w:pStyle w:val="ListParagraph"/>
        <w:numPr>
          <w:ilvl w:val="1"/>
          <w:numId w:val="2"/>
        </w:numPr>
        <w:tabs>
          <w:tab w:pos="680" w:val="left" w:leader="none"/>
        </w:tabs>
        <w:spacing w:line="360" w:lineRule="auto" w:before="137" w:after="0"/>
        <w:ind w:left="680" w:right="116" w:hanging="488"/>
        <w:jc w:val="both"/>
        <w:rPr>
          <w:sz w:val="24"/>
        </w:rPr>
      </w:pPr>
      <w:r>
        <w:rPr>
          <w:sz w:val="24"/>
        </w:rPr>
        <w:t>Pacheco-Martínez.</w:t>
      </w:r>
      <w:r>
        <w:rPr>
          <w:spacing w:val="-4"/>
          <w:sz w:val="24"/>
        </w:rPr>
        <w:t> </w:t>
      </w:r>
      <w:r>
        <w:rPr>
          <w:sz w:val="24"/>
        </w:rPr>
        <w:t>J</w:t>
      </w:r>
      <w:r>
        <w:rPr>
          <w:spacing w:val="-4"/>
          <w:sz w:val="24"/>
        </w:rPr>
        <w:t> </w:t>
      </w:r>
      <w:r>
        <w:rPr>
          <w:sz w:val="24"/>
        </w:rPr>
        <w:t>;Arzate-Flores.</w:t>
      </w:r>
      <w:r>
        <w:rPr>
          <w:spacing w:val="-4"/>
          <w:sz w:val="24"/>
        </w:rPr>
        <w:t> </w:t>
      </w:r>
      <w:r>
        <w:rPr>
          <w:sz w:val="24"/>
        </w:rPr>
        <w:t>J.</w:t>
      </w:r>
      <w:r>
        <w:rPr>
          <w:spacing w:val="-4"/>
          <w:sz w:val="24"/>
        </w:rPr>
        <w:t> </w:t>
      </w:r>
      <w:r>
        <w:rPr>
          <w:sz w:val="24"/>
        </w:rPr>
        <w:t>(2007).</w:t>
      </w:r>
      <w:r>
        <w:rPr>
          <w:spacing w:val="-4"/>
          <w:sz w:val="24"/>
        </w:rPr>
        <w:t> </w:t>
      </w:r>
      <w:r>
        <w:rPr>
          <w:i/>
          <w:sz w:val="24"/>
        </w:rPr>
        <w:t>Análisis</w:t>
      </w:r>
      <w:r>
        <w:rPr>
          <w:i/>
          <w:spacing w:val="-4"/>
          <w:sz w:val="24"/>
        </w:rPr>
        <w:t> </w:t>
      </w:r>
      <w:r>
        <w:rPr>
          <w:i/>
          <w:sz w:val="24"/>
        </w:rPr>
        <w:t>multicapa</w:t>
      </w:r>
      <w:r>
        <w:rPr>
          <w:i/>
          <w:spacing w:val="-4"/>
          <w:sz w:val="24"/>
        </w:rPr>
        <w:t> </w:t>
      </w:r>
      <w:r>
        <w:rPr>
          <w:i/>
          <w:sz w:val="24"/>
        </w:rPr>
        <w:t>de</w:t>
      </w:r>
      <w:r>
        <w:rPr>
          <w:i/>
          <w:spacing w:val="-4"/>
          <w:sz w:val="24"/>
        </w:rPr>
        <w:t> </w:t>
      </w:r>
      <w:r>
        <w:rPr>
          <w:i/>
          <w:sz w:val="24"/>
        </w:rPr>
        <w:t>la</w:t>
      </w:r>
      <w:r>
        <w:rPr>
          <w:i/>
          <w:spacing w:val="-3"/>
          <w:sz w:val="24"/>
        </w:rPr>
        <w:t> </w:t>
      </w:r>
      <w:r>
        <w:rPr>
          <w:i/>
          <w:sz w:val="24"/>
        </w:rPr>
        <w:t>subsidencia</w:t>
      </w:r>
      <w:r>
        <w:rPr>
          <w:i/>
          <w:spacing w:val="-3"/>
          <w:sz w:val="24"/>
        </w:rPr>
        <w:t> </w:t>
      </w:r>
      <w:r>
        <w:rPr>
          <w:i/>
          <w:sz w:val="24"/>
        </w:rPr>
        <w:t>en</w:t>
      </w:r>
      <w:r>
        <w:rPr>
          <w:i/>
          <w:spacing w:val="-4"/>
          <w:sz w:val="24"/>
        </w:rPr>
        <w:t> </w:t>
      </w:r>
      <w:r>
        <w:rPr>
          <w:i/>
          <w:sz w:val="24"/>
        </w:rPr>
        <w:t>el</w:t>
      </w:r>
      <w:r>
        <w:rPr>
          <w:i/>
          <w:spacing w:val="-3"/>
          <w:sz w:val="24"/>
        </w:rPr>
        <w:t> </w:t>
      </w:r>
      <w:r>
        <w:rPr>
          <w:i/>
          <w:sz w:val="24"/>
        </w:rPr>
        <w:t>Valle</w:t>
      </w:r>
      <w:r>
        <w:rPr>
          <w:i/>
          <w:spacing w:val="-3"/>
          <w:sz w:val="24"/>
        </w:rPr>
        <w:t> </w:t>
      </w:r>
      <w:r>
        <w:rPr>
          <w:i/>
          <w:sz w:val="24"/>
        </w:rPr>
        <w:t>de </w:t>
      </w:r>
      <w:r>
        <w:rPr>
          <w:i/>
          <w:sz w:val="24"/>
        </w:rPr>
        <w:t>Querétaro, México. </w:t>
      </w:r>
      <w:r>
        <w:rPr>
          <w:sz w:val="24"/>
        </w:rPr>
        <w:t>Revista Mexicana de Ciencias Geológicas, Vol. 24, No. 3, p.</w:t>
      </w:r>
      <w:r>
        <w:rPr>
          <w:spacing w:val="-7"/>
          <w:sz w:val="24"/>
        </w:rPr>
        <w:t> </w:t>
      </w:r>
      <w:r>
        <w:rPr>
          <w:sz w:val="24"/>
        </w:rPr>
        <w:t>389-402.</w:t>
      </w:r>
    </w:p>
    <w:p>
      <w:pPr>
        <w:pStyle w:val="ListParagraph"/>
        <w:numPr>
          <w:ilvl w:val="1"/>
          <w:numId w:val="2"/>
        </w:numPr>
        <w:tabs>
          <w:tab w:pos="680" w:val="left" w:leader="none"/>
        </w:tabs>
        <w:spacing w:line="360" w:lineRule="auto" w:before="133" w:after="0"/>
        <w:ind w:left="680" w:right="117" w:hanging="488"/>
        <w:jc w:val="both"/>
        <w:rPr>
          <w:sz w:val="24"/>
        </w:rPr>
      </w:pPr>
      <w:r>
        <w:rPr>
          <w:sz w:val="24"/>
        </w:rPr>
        <w:t>Pacheco-Martínez. J. (2007). </w:t>
      </w:r>
      <w:r>
        <w:rPr>
          <w:i/>
          <w:sz w:val="24"/>
        </w:rPr>
        <w:t>Modelo de subsidencia del Valle de Querétaro y predicción de </w:t>
      </w:r>
      <w:r>
        <w:rPr>
          <w:i/>
          <w:sz w:val="24"/>
        </w:rPr>
        <w:t>agrietamientos superficiales. </w:t>
      </w:r>
      <w:r>
        <w:rPr>
          <w:sz w:val="24"/>
        </w:rPr>
        <w:t>Tesis Doctoral en Ciencias de la Tierra, Universidad Nacional Autónoma de</w:t>
      </w:r>
      <w:r>
        <w:rPr>
          <w:spacing w:val="-2"/>
          <w:sz w:val="24"/>
        </w:rPr>
        <w:t> </w:t>
      </w:r>
      <w:r>
        <w:rPr>
          <w:sz w:val="24"/>
        </w:rPr>
        <w:t>México.</w:t>
      </w:r>
    </w:p>
    <w:p>
      <w:pPr>
        <w:pStyle w:val="ListParagraph"/>
        <w:numPr>
          <w:ilvl w:val="1"/>
          <w:numId w:val="2"/>
        </w:numPr>
        <w:tabs>
          <w:tab w:pos="680" w:val="left" w:leader="none"/>
        </w:tabs>
        <w:spacing w:line="360" w:lineRule="auto" w:before="133" w:after="0"/>
        <w:ind w:left="680" w:right="113" w:hanging="488"/>
        <w:jc w:val="both"/>
        <w:rPr>
          <w:sz w:val="24"/>
        </w:rPr>
      </w:pPr>
      <w:r>
        <w:rPr>
          <w:sz w:val="24"/>
        </w:rPr>
        <w:t>Pacheco-Martínez. J; Ortíz-Lozano. J; Zermeño de León.M; Mendoza-Otero; E. (2011). </w:t>
      </w:r>
      <w:r>
        <w:rPr>
          <w:i/>
          <w:sz w:val="24"/>
        </w:rPr>
        <w:t>Líneas </w:t>
      </w:r>
      <w:r>
        <w:rPr>
          <w:i/>
          <w:sz w:val="24"/>
        </w:rPr>
        <w:t>de Investigación vigentes y pertinentes en subsidencia y generación de agrietamientos</w:t>
      </w:r>
      <w:r>
        <w:rPr>
          <w:sz w:val="24"/>
        </w:rPr>
        <w:t>. Arquitectura,</w:t>
      </w:r>
      <w:r>
        <w:rPr>
          <w:spacing w:val="-9"/>
          <w:sz w:val="24"/>
        </w:rPr>
        <w:t> </w:t>
      </w:r>
      <w:r>
        <w:rPr>
          <w:sz w:val="24"/>
        </w:rPr>
        <w:t>Ingeniería</w:t>
      </w:r>
      <w:r>
        <w:rPr>
          <w:spacing w:val="-9"/>
          <w:sz w:val="24"/>
        </w:rPr>
        <w:t> </w:t>
      </w:r>
      <w:r>
        <w:rPr>
          <w:sz w:val="24"/>
        </w:rPr>
        <w:t>Civil</w:t>
      </w:r>
      <w:r>
        <w:rPr>
          <w:spacing w:val="-8"/>
          <w:sz w:val="24"/>
        </w:rPr>
        <w:t> </w:t>
      </w:r>
      <w:r>
        <w:rPr>
          <w:sz w:val="24"/>
        </w:rPr>
        <w:t>y</w:t>
      </w:r>
      <w:r>
        <w:rPr>
          <w:spacing w:val="-9"/>
          <w:sz w:val="24"/>
        </w:rPr>
        <w:t> </w:t>
      </w:r>
      <w:r>
        <w:rPr>
          <w:sz w:val="24"/>
        </w:rPr>
        <w:t>Urbanismo,</w:t>
      </w:r>
      <w:r>
        <w:rPr>
          <w:spacing w:val="-7"/>
          <w:sz w:val="24"/>
        </w:rPr>
        <w:t> </w:t>
      </w:r>
      <w:r>
        <w:rPr>
          <w:sz w:val="24"/>
        </w:rPr>
        <w:t>Aguascalientes</w:t>
      </w:r>
      <w:r>
        <w:rPr>
          <w:spacing w:val="-8"/>
          <w:sz w:val="24"/>
        </w:rPr>
        <w:t> </w:t>
      </w:r>
      <w:r>
        <w:rPr>
          <w:sz w:val="24"/>
        </w:rPr>
        <w:t>México,</w:t>
      </w:r>
      <w:r>
        <w:rPr>
          <w:spacing w:val="-8"/>
          <w:sz w:val="24"/>
        </w:rPr>
        <w:t> </w:t>
      </w:r>
      <w:r>
        <w:rPr>
          <w:sz w:val="24"/>
        </w:rPr>
        <w:t>ISBN</w:t>
      </w:r>
      <w:r>
        <w:rPr>
          <w:spacing w:val="-7"/>
          <w:sz w:val="24"/>
        </w:rPr>
        <w:t> </w:t>
      </w:r>
      <w:r>
        <w:rPr>
          <w:sz w:val="24"/>
        </w:rPr>
        <w:t>978-607-8227-01-3,</w:t>
      </w:r>
      <w:r>
        <w:rPr>
          <w:spacing w:val="-9"/>
          <w:sz w:val="24"/>
        </w:rPr>
        <w:t> </w:t>
      </w:r>
      <w:r>
        <w:rPr>
          <w:sz w:val="24"/>
        </w:rPr>
        <w:t>p. 0-14.</w:t>
      </w:r>
    </w:p>
    <w:p>
      <w:pPr>
        <w:pStyle w:val="ListParagraph"/>
        <w:numPr>
          <w:ilvl w:val="1"/>
          <w:numId w:val="2"/>
        </w:numPr>
        <w:tabs>
          <w:tab w:pos="740" w:val="left" w:leader="none"/>
        </w:tabs>
        <w:spacing w:line="360" w:lineRule="auto" w:before="137" w:after="0"/>
        <w:ind w:left="680" w:right="115" w:hanging="488"/>
        <w:jc w:val="both"/>
        <w:rPr>
          <w:sz w:val="24"/>
        </w:rPr>
      </w:pPr>
      <w:r>
        <w:rPr>
          <w:sz w:val="24"/>
        </w:rPr>
        <w:t>Richards. J. (2009). </w:t>
      </w:r>
      <w:r>
        <w:rPr>
          <w:i/>
          <w:sz w:val="24"/>
        </w:rPr>
        <w:t>Remote Sensing with Imaging Radar</w:t>
      </w:r>
      <w:r>
        <w:rPr>
          <w:sz w:val="24"/>
        </w:rPr>
        <w:t>. ANU College of Engineering and Computer Science. ISBN:</w:t>
      </w:r>
      <w:r>
        <w:rPr>
          <w:spacing w:val="-5"/>
          <w:sz w:val="24"/>
        </w:rPr>
        <w:t> </w:t>
      </w:r>
      <w:r>
        <w:rPr>
          <w:sz w:val="24"/>
        </w:rPr>
        <w:t>978-3-642-02019-3</w:t>
      </w:r>
    </w:p>
    <w:p>
      <w:pPr>
        <w:pStyle w:val="ListParagraph"/>
        <w:numPr>
          <w:ilvl w:val="1"/>
          <w:numId w:val="2"/>
        </w:numPr>
        <w:tabs>
          <w:tab w:pos="740" w:val="left" w:leader="none"/>
        </w:tabs>
        <w:spacing w:line="360" w:lineRule="auto" w:before="134" w:after="0"/>
        <w:ind w:left="680" w:right="113" w:hanging="488"/>
        <w:jc w:val="both"/>
        <w:rPr>
          <w:sz w:val="24"/>
        </w:rPr>
      </w:pPr>
      <w:r>
        <w:rPr>
          <w:sz w:val="24"/>
        </w:rPr>
        <w:t>Rodríguez-Castillo. R; Rodríguez-Velásquez. I. (2006). </w:t>
      </w:r>
      <w:r>
        <w:rPr>
          <w:i/>
          <w:sz w:val="24"/>
        </w:rPr>
        <w:t>Consecuencias sociales de un desastre </w:t>
      </w:r>
      <w:r>
        <w:rPr>
          <w:i/>
          <w:sz w:val="24"/>
        </w:rPr>
        <w:t>inducido:</w:t>
      </w:r>
      <w:r>
        <w:rPr>
          <w:i/>
          <w:spacing w:val="-9"/>
          <w:sz w:val="24"/>
        </w:rPr>
        <w:t> </w:t>
      </w:r>
      <w:r>
        <w:rPr>
          <w:i/>
          <w:sz w:val="24"/>
        </w:rPr>
        <w:t>subsidencia.</w:t>
      </w:r>
      <w:r>
        <w:rPr>
          <w:i/>
          <w:spacing w:val="-9"/>
          <w:sz w:val="24"/>
        </w:rPr>
        <w:t> </w:t>
      </w:r>
      <w:r>
        <w:rPr>
          <w:sz w:val="24"/>
        </w:rPr>
        <w:t>Boletín</w:t>
      </w:r>
      <w:r>
        <w:rPr>
          <w:spacing w:val="-10"/>
          <w:sz w:val="24"/>
        </w:rPr>
        <w:t> </w:t>
      </w:r>
      <w:r>
        <w:rPr>
          <w:sz w:val="24"/>
        </w:rPr>
        <w:t>de</w:t>
      </w:r>
      <w:r>
        <w:rPr>
          <w:spacing w:val="-11"/>
          <w:sz w:val="24"/>
        </w:rPr>
        <w:t> </w:t>
      </w:r>
      <w:r>
        <w:rPr>
          <w:sz w:val="24"/>
        </w:rPr>
        <w:t>la</w:t>
      </w:r>
      <w:r>
        <w:rPr>
          <w:spacing w:val="-10"/>
          <w:sz w:val="24"/>
        </w:rPr>
        <w:t> </w:t>
      </w:r>
      <w:r>
        <w:rPr>
          <w:sz w:val="24"/>
        </w:rPr>
        <w:t>Sociedad</w:t>
      </w:r>
      <w:r>
        <w:rPr>
          <w:spacing w:val="-10"/>
          <w:sz w:val="24"/>
        </w:rPr>
        <w:t> </w:t>
      </w:r>
      <w:r>
        <w:rPr>
          <w:sz w:val="24"/>
        </w:rPr>
        <w:t>Geológica</w:t>
      </w:r>
      <w:r>
        <w:rPr>
          <w:spacing w:val="-11"/>
          <w:sz w:val="24"/>
        </w:rPr>
        <w:t> </w:t>
      </w:r>
      <w:r>
        <w:rPr>
          <w:sz w:val="24"/>
        </w:rPr>
        <w:t>Mexicana,</w:t>
      </w:r>
      <w:r>
        <w:rPr>
          <w:spacing w:val="-10"/>
          <w:sz w:val="24"/>
        </w:rPr>
        <w:t> </w:t>
      </w:r>
      <w:r>
        <w:rPr>
          <w:sz w:val="24"/>
        </w:rPr>
        <w:t>Vol.</w:t>
      </w:r>
      <w:r>
        <w:rPr>
          <w:spacing w:val="-11"/>
          <w:sz w:val="24"/>
        </w:rPr>
        <w:t> </w:t>
      </w:r>
      <w:r>
        <w:rPr>
          <w:sz w:val="24"/>
        </w:rPr>
        <w:t>LVIII,</w:t>
      </w:r>
      <w:r>
        <w:rPr>
          <w:spacing w:val="-9"/>
          <w:sz w:val="24"/>
        </w:rPr>
        <w:t> </w:t>
      </w:r>
      <w:r>
        <w:rPr>
          <w:sz w:val="24"/>
        </w:rPr>
        <w:t>No</w:t>
      </w:r>
      <w:r>
        <w:rPr>
          <w:spacing w:val="-10"/>
          <w:sz w:val="24"/>
        </w:rPr>
        <w:t> </w:t>
      </w:r>
      <w:r>
        <w:rPr>
          <w:sz w:val="24"/>
        </w:rPr>
        <w:t>2,</w:t>
      </w:r>
      <w:r>
        <w:rPr>
          <w:spacing w:val="40"/>
          <w:sz w:val="24"/>
        </w:rPr>
        <w:t> </w:t>
      </w:r>
      <w:r>
        <w:rPr>
          <w:sz w:val="24"/>
        </w:rPr>
        <w:t>p.</w:t>
      </w:r>
      <w:r>
        <w:rPr>
          <w:spacing w:val="-10"/>
          <w:sz w:val="24"/>
        </w:rPr>
        <w:t> </w:t>
      </w:r>
      <w:r>
        <w:rPr>
          <w:sz w:val="24"/>
        </w:rPr>
        <w:t>265-269. Distrito Federal,</w:t>
      </w:r>
      <w:r>
        <w:rPr>
          <w:spacing w:val="-3"/>
          <w:sz w:val="24"/>
        </w:rPr>
        <w:t> </w:t>
      </w:r>
      <w:r>
        <w:rPr>
          <w:sz w:val="24"/>
        </w:rPr>
        <w:t>México.</w:t>
      </w:r>
    </w:p>
    <w:p>
      <w:pPr>
        <w:pStyle w:val="ListParagraph"/>
        <w:numPr>
          <w:ilvl w:val="1"/>
          <w:numId w:val="2"/>
        </w:numPr>
        <w:tabs>
          <w:tab w:pos="740" w:val="left" w:leader="none"/>
        </w:tabs>
        <w:spacing w:line="360" w:lineRule="auto" w:before="133" w:after="0"/>
        <w:ind w:left="680" w:right="113" w:hanging="488"/>
        <w:jc w:val="both"/>
        <w:rPr>
          <w:sz w:val="24"/>
        </w:rPr>
      </w:pPr>
      <w:r>
        <w:rPr>
          <w:sz w:val="24"/>
        </w:rPr>
        <w:t>Sarychikhina. O; Glowacka. E, Suárez. E; Mellors. E; Ramírez. J. (2011). </w:t>
      </w:r>
      <w:r>
        <w:rPr>
          <w:i/>
          <w:sz w:val="24"/>
        </w:rPr>
        <w:t>Aplicación de</w:t>
      </w:r>
      <w:r>
        <w:rPr>
          <w:i/>
          <w:spacing w:val="-23"/>
          <w:sz w:val="24"/>
        </w:rPr>
        <w:t> </w:t>
      </w:r>
      <w:r>
        <w:rPr>
          <w:i/>
          <w:sz w:val="24"/>
        </w:rPr>
        <w:t>DInSAR </w:t>
      </w:r>
      <w:r>
        <w:rPr>
          <w:i/>
          <w:sz w:val="24"/>
        </w:rPr>
        <w:t>a</w:t>
      </w:r>
      <w:r>
        <w:rPr>
          <w:i/>
          <w:spacing w:val="-7"/>
          <w:sz w:val="24"/>
        </w:rPr>
        <w:t> </w:t>
      </w:r>
      <w:r>
        <w:rPr>
          <w:i/>
          <w:sz w:val="24"/>
        </w:rPr>
        <w:t>los</w:t>
      </w:r>
      <w:r>
        <w:rPr>
          <w:i/>
          <w:spacing w:val="-7"/>
          <w:sz w:val="24"/>
        </w:rPr>
        <w:t> </w:t>
      </w:r>
      <w:r>
        <w:rPr>
          <w:i/>
          <w:sz w:val="24"/>
        </w:rPr>
        <w:t>estudios</w:t>
      </w:r>
      <w:r>
        <w:rPr>
          <w:i/>
          <w:spacing w:val="-7"/>
          <w:sz w:val="24"/>
        </w:rPr>
        <w:t> </w:t>
      </w:r>
      <w:r>
        <w:rPr>
          <w:i/>
          <w:sz w:val="24"/>
        </w:rPr>
        <w:t>de</w:t>
      </w:r>
      <w:r>
        <w:rPr>
          <w:i/>
          <w:spacing w:val="-7"/>
          <w:sz w:val="24"/>
        </w:rPr>
        <w:t> </w:t>
      </w:r>
      <w:r>
        <w:rPr>
          <w:i/>
          <w:sz w:val="24"/>
        </w:rPr>
        <w:t>subsidencia</w:t>
      </w:r>
      <w:r>
        <w:rPr>
          <w:i/>
          <w:spacing w:val="-7"/>
          <w:sz w:val="24"/>
        </w:rPr>
        <w:t> </w:t>
      </w:r>
      <w:r>
        <w:rPr>
          <w:i/>
          <w:sz w:val="24"/>
        </w:rPr>
        <w:t>en</w:t>
      </w:r>
      <w:r>
        <w:rPr>
          <w:i/>
          <w:spacing w:val="-8"/>
          <w:sz w:val="24"/>
        </w:rPr>
        <w:t> </w:t>
      </w:r>
      <w:r>
        <w:rPr>
          <w:i/>
          <w:sz w:val="24"/>
        </w:rPr>
        <w:t>el</w:t>
      </w:r>
      <w:r>
        <w:rPr>
          <w:i/>
          <w:spacing w:val="-7"/>
          <w:sz w:val="24"/>
        </w:rPr>
        <w:t> </w:t>
      </w:r>
      <w:r>
        <w:rPr>
          <w:i/>
          <w:sz w:val="24"/>
        </w:rPr>
        <w:t>Valle</w:t>
      </w:r>
      <w:r>
        <w:rPr>
          <w:i/>
          <w:spacing w:val="-7"/>
          <w:sz w:val="24"/>
        </w:rPr>
        <w:t> </w:t>
      </w:r>
      <w:r>
        <w:rPr>
          <w:i/>
          <w:sz w:val="24"/>
        </w:rPr>
        <w:t>de</w:t>
      </w:r>
      <w:r>
        <w:rPr>
          <w:i/>
          <w:spacing w:val="-7"/>
          <w:sz w:val="24"/>
        </w:rPr>
        <w:t> </w:t>
      </w:r>
      <w:r>
        <w:rPr>
          <w:i/>
          <w:sz w:val="24"/>
        </w:rPr>
        <w:t>Mexicali</w:t>
      </w:r>
      <w:r>
        <w:rPr>
          <w:sz w:val="24"/>
        </w:rPr>
        <w:t>.</w:t>
      </w:r>
      <w:r>
        <w:rPr>
          <w:spacing w:val="-7"/>
          <w:sz w:val="24"/>
        </w:rPr>
        <w:t> </w:t>
      </w:r>
      <w:r>
        <w:rPr>
          <w:sz w:val="24"/>
        </w:rPr>
        <w:t>Boletín</w:t>
      </w:r>
      <w:r>
        <w:rPr>
          <w:spacing w:val="-9"/>
          <w:sz w:val="24"/>
        </w:rPr>
        <w:t> </w:t>
      </w:r>
      <w:r>
        <w:rPr>
          <w:sz w:val="24"/>
        </w:rPr>
        <w:t>de</w:t>
      </w:r>
      <w:r>
        <w:rPr>
          <w:spacing w:val="-7"/>
          <w:sz w:val="24"/>
        </w:rPr>
        <w:t> </w:t>
      </w:r>
      <w:r>
        <w:rPr>
          <w:sz w:val="24"/>
        </w:rPr>
        <w:t>la</w:t>
      </w:r>
      <w:r>
        <w:rPr>
          <w:spacing w:val="-8"/>
          <w:sz w:val="24"/>
        </w:rPr>
        <w:t> </w:t>
      </w:r>
      <w:r>
        <w:rPr>
          <w:sz w:val="24"/>
        </w:rPr>
        <w:t>Sociedad</w:t>
      </w:r>
      <w:r>
        <w:rPr>
          <w:spacing w:val="-8"/>
          <w:sz w:val="24"/>
        </w:rPr>
        <w:t> </w:t>
      </w:r>
      <w:r>
        <w:rPr>
          <w:sz w:val="24"/>
        </w:rPr>
        <w:t>Geológica</w:t>
      </w:r>
      <w:r>
        <w:rPr>
          <w:spacing w:val="-8"/>
          <w:sz w:val="24"/>
        </w:rPr>
        <w:t> </w:t>
      </w:r>
      <w:r>
        <w:rPr>
          <w:sz w:val="24"/>
        </w:rPr>
        <w:t>Mexicana, Vol. 63, No. 1, p</w:t>
      </w:r>
      <w:r>
        <w:rPr>
          <w:spacing w:val="-2"/>
          <w:sz w:val="24"/>
        </w:rPr>
        <w:t> </w:t>
      </w:r>
      <w:r>
        <w:rPr>
          <w:sz w:val="24"/>
        </w:rPr>
        <w:t>1-13.</w:t>
      </w:r>
    </w:p>
    <w:p>
      <w:pPr>
        <w:pStyle w:val="ListParagraph"/>
        <w:numPr>
          <w:ilvl w:val="1"/>
          <w:numId w:val="2"/>
        </w:numPr>
        <w:tabs>
          <w:tab w:pos="740" w:val="left" w:leader="none"/>
        </w:tabs>
        <w:spacing w:line="360" w:lineRule="auto" w:before="5" w:after="0"/>
        <w:ind w:left="680" w:right="115" w:hanging="488"/>
        <w:jc w:val="both"/>
        <w:rPr>
          <w:sz w:val="24"/>
        </w:rPr>
      </w:pPr>
      <w:r>
        <w:rPr>
          <w:sz w:val="24"/>
        </w:rPr>
        <w:t>Vázquez. N. (2001). </w:t>
      </w:r>
      <w:r>
        <w:rPr>
          <w:i/>
          <w:sz w:val="24"/>
        </w:rPr>
        <w:t>Cálculo de subsidencia dimensional debida a los descensos del nivel </w:t>
      </w:r>
      <w:r>
        <w:rPr>
          <w:i/>
          <w:sz w:val="24"/>
        </w:rPr>
        <w:t>piezométrico. Aplicación al caso urbano de Murcia y a los efectos sobre sus edificios. </w:t>
      </w:r>
      <w:r>
        <w:rPr>
          <w:sz w:val="24"/>
        </w:rPr>
        <w:t>Tesis Doctoral, Universidad de Sevilla, pp.</w:t>
      </w:r>
      <w:r>
        <w:rPr>
          <w:spacing w:val="-4"/>
          <w:sz w:val="24"/>
        </w:rPr>
        <w:t> </w:t>
      </w:r>
      <w:r>
        <w:rPr>
          <w:sz w:val="24"/>
        </w:rPr>
        <w:t>310</w:t>
      </w:r>
    </w:p>
    <w:sectPr>
      <w:pgSz w:w="12240" w:h="15840"/>
      <w:pgMar w:header="746" w:footer="968" w:top="980" w:bottom="1160" w:left="76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0pt;margin-top:732.618713pt;width:12.2pt;height:10pt;mso-position-horizontal-relative:page;mso-position-vertical-relative:page;z-index:-16744" type="#_x0000_t202" filled="false" stroked="false">
          <v:textbox inset="0,0,0,0">
            <w:txbxContent>
              <w:p>
                <w:pPr>
                  <w:spacing w:line="183" w:lineRule="exact" w:before="0"/>
                  <w:ind w:left="40" w:right="0" w:firstLine="0"/>
                  <w:jc w:val="left"/>
                  <w:rPr>
                    <w:sz w:val="16"/>
                  </w:rPr>
                </w:pPr>
                <w:r>
                  <w:rPr/>
                  <w:fldChar w:fldCharType="begin"/>
                </w:r>
                <w:r>
                  <w:rPr>
                    <w:sz w:val="16"/>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7.32pt;margin-top:35.838703pt;width:427.05pt;height:10pt;mso-position-horizontal-relative:page;mso-position-vertical-relative:page;z-index:-16720" type="#_x0000_t202" filled="false" stroked="false">
          <v:textbox inset="0,0,0,0">
            <w:txbxContent>
              <w:p>
                <w:pPr>
                  <w:spacing w:line="183" w:lineRule="exact" w:before="0"/>
                  <w:ind w:left="20" w:right="-2" w:firstLine="0"/>
                  <w:jc w:val="left"/>
                  <w:rPr>
                    <w:b/>
                    <w:sz w:val="16"/>
                  </w:rPr>
                </w:pPr>
                <w:r>
                  <w:rPr>
                    <w:i/>
                    <w:sz w:val="16"/>
                  </w:rPr>
                  <w:t>Análisis geoespacial en los estudios urbanos </w:t>
                </w:r>
                <w:r>
                  <w:rPr>
                    <w:sz w:val="16"/>
                  </w:rPr>
                  <w:t>(página par) / </w:t>
                </w:r>
                <w:r>
                  <w:rPr>
                    <w:b/>
                    <w:sz w:val="16"/>
                  </w:rPr>
                  <w:t>PROCESOS DE SUBSIDENCIAS EN LA CIUDAD DE TOLUCA Y</w:t>
                </w:r>
              </w:p>
            </w:txbxContent>
          </v:textbox>
          <w10:wrap type="none"/>
        </v:shape>
      </w:pict>
    </w:r>
    <w:r>
      <w:rPr/>
      <w:pict>
        <v:shape style="position:absolute;margin-left:102.919998pt;margin-top:54.438705pt;width:435.8pt;height:10pt;mso-position-horizontal-relative:page;mso-position-vertical-relative:page;z-index:-16696" type="#_x0000_t202" filled="false" stroked="false">
          <v:textbox inset="0,0,0,0">
            <w:txbxContent>
              <w:p>
                <w:pPr>
                  <w:spacing w:line="183" w:lineRule="exact" w:before="0"/>
                  <w:ind w:left="20" w:right="-1" w:firstLine="0"/>
                  <w:jc w:val="left"/>
                  <w:rPr>
                    <w:b/>
                    <w:sz w:val="16"/>
                  </w:rPr>
                </w:pPr>
                <w:r>
                  <w:rPr>
                    <w:b/>
                    <w:sz w:val="16"/>
                  </w:rPr>
                  <w:t>ALREDEDORES ASOCIADAS A LA SOBREEXPLOTACIÓN DE LOS MANTOS ACUÍFEROS. UNA APROXIMACIÓN A</w:t>
                </w:r>
              </w:p>
            </w:txbxContent>
          </v:textbox>
          <w10:wrap type="none"/>
        </v:shape>
      </w:pict>
    </w:r>
    <w:r>
      <w:rPr/>
      <w:pict>
        <v:shape style="position:absolute;margin-left:116.980003pt;margin-top:72.618706pt;width:407.75pt;height:10pt;mso-position-horizontal-relative:page;mso-position-vertical-relative:page;z-index:-16672" type="#_x0000_t202" filled="false" stroked="false">
          <v:textbox inset="0,0,0,0">
            <w:txbxContent>
              <w:p>
                <w:pPr>
                  <w:spacing w:line="183" w:lineRule="exact" w:before="0"/>
                  <w:ind w:left="20" w:right="-2" w:firstLine="0"/>
                  <w:jc w:val="left"/>
                  <w:rPr>
                    <w:sz w:val="16"/>
                  </w:rPr>
                </w:pPr>
                <w:r>
                  <w:rPr>
                    <w:b/>
                    <w:sz w:val="16"/>
                  </w:rPr>
                  <w:t>PARTIR DE CORRELACIÓN DE TÉCNICAS RADAR Y  DATOS GEOLÓGICOS SUPERFICIALES </w:t>
                </w:r>
                <w:r>
                  <w:rPr>
                    <w:sz w:val="16"/>
                  </w:rPr>
                  <w:t>(página impar)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639999pt;margin-top:36.323914pt;width:404.6pt;height:14pt;mso-position-horizontal-relative:page;mso-position-vertical-relative:page;z-index:-16648" type="#_x0000_t202" filled="false" stroked="false">
          <v:textbox inset="0,0,0,0">
            <w:txbxContent>
              <w:p>
                <w:pPr>
                  <w:spacing w:line="265" w:lineRule="exact" w:before="0"/>
                  <w:ind w:left="20" w:right="0" w:firstLine="0"/>
                  <w:jc w:val="left"/>
                  <w:rPr>
                    <w:sz w:val="16"/>
                  </w:rPr>
                </w:pPr>
                <w:r>
                  <w:rPr>
                    <w:i/>
                    <w:sz w:val="24"/>
                  </w:rPr>
                  <w:t>Análisis geoespacial en los estudios urbanos</w:t>
                </w:r>
                <w:r>
                  <w:rPr>
                    <w:i/>
                    <w:spacing w:val="-42"/>
                    <w:sz w:val="24"/>
                  </w:rPr>
                  <w:t> </w:t>
                </w:r>
                <w:r>
                  <w:rPr>
                    <w:sz w:val="16"/>
                  </w:rPr>
                  <w:t>(página par) /NOMBRE DEL CAPÍTULO (página impar)</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600" w:hanging="488"/>
      </w:pPr>
      <w:rPr>
        <w:rFonts w:hint="default" w:ascii="Wingdings" w:hAnsi="Wingdings" w:eastAsia="Wingdings" w:cs="Wingdings"/>
        <w:w w:val="100"/>
        <w:sz w:val="24"/>
        <w:szCs w:val="24"/>
      </w:rPr>
    </w:lvl>
    <w:lvl w:ilvl="1">
      <w:start w:val="1"/>
      <w:numFmt w:val="bullet"/>
      <w:lvlText w:val=""/>
      <w:lvlJc w:val="left"/>
      <w:pPr>
        <w:ind w:left="680" w:hanging="488"/>
      </w:pPr>
      <w:rPr>
        <w:rFonts w:hint="default" w:ascii="Wingdings" w:hAnsi="Wingdings" w:eastAsia="Wingdings" w:cs="Wingdings"/>
        <w:w w:val="100"/>
        <w:sz w:val="24"/>
        <w:szCs w:val="24"/>
      </w:rPr>
    </w:lvl>
    <w:lvl w:ilvl="2">
      <w:start w:val="1"/>
      <w:numFmt w:val="bullet"/>
      <w:lvlText w:val="•"/>
      <w:lvlJc w:val="left"/>
      <w:pPr>
        <w:ind w:left="1724" w:hanging="488"/>
      </w:pPr>
      <w:rPr>
        <w:rFonts w:hint="default"/>
      </w:rPr>
    </w:lvl>
    <w:lvl w:ilvl="3">
      <w:start w:val="1"/>
      <w:numFmt w:val="bullet"/>
      <w:lvlText w:val="•"/>
      <w:lvlJc w:val="left"/>
      <w:pPr>
        <w:ind w:left="2768" w:hanging="488"/>
      </w:pPr>
      <w:rPr>
        <w:rFonts w:hint="default"/>
      </w:rPr>
    </w:lvl>
    <w:lvl w:ilvl="4">
      <w:start w:val="1"/>
      <w:numFmt w:val="bullet"/>
      <w:lvlText w:val="•"/>
      <w:lvlJc w:val="left"/>
      <w:pPr>
        <w:ind w:left="3813" w:hanging="488"/>
      </w:pPr>
      <w:rPr>
        <w:rFonts w:hint="default"/>
      </w:rPr>
    </w:lvl>
    <w:lvl w:ilvl="5">
      <w:start w:val="1"/>
      <w:numFmt w:val="bullet"/>
      <w:lvlText w:val="•"/>
      <w:lvlJc w:val="left"/>
      <w:pPr>
        <w:ind w:left="4857" w:hanging="488"/>
      </w:pPr>
      <w:rPr>
        <w:rFonts w:hint="default"/>
      </w:rPr>
    </w:lvl>
    <w:lvl w:ilvl="6">
      <w:start w:val="1"/>
      <w:numFmt w:val="bullet"/>
      <w:lvlText w:val="•"/>
      <w:lvlJc w:val="left"/>
      <w:pPr>
        <w:ind w:left="5902" w:hanging="488"/>
      </w:pPr>
      <w:rPr>
        <w:rFonts w:hint="default"/>
      </w:rPr>
    </w:lvl>
    <w:lvl w:ilvl="7">
      <w:start w:val="1"/>
      <w:numFmt w:val="bullet"/>
      <w:lvlText w:val="•"/>
      <w:lvlJc w:val="left"/>
      <w:pPr>
        <w:ind w:left="6946" w:hanging="488"/>
      </w:pPr>
      <w:rPr>
        <w:rFonts w:hint="default"/>
      </w:rPr>
    </w:lvl>
    <w:lvl w:ilvl="8">
      <w:start w:val="1"/>
      <w:numFmt w:val="bullet"/>
      <w:lvlText w:val="•"/>
      <w:lvlJc w:val="left"/>
      <w:pPr>
        <w:ind w:left="7991" w:hanging="488"/>
      </w:pPr>
      <w:rPr>
        <w:rFonts w:hint="default"/>
      </w:rPr>
    </w:lvl>
  </w:abstractNum>
  <w:abstractNum w:abstractNumId="0">
    <w:multiLevelType w:val="hybridMultilevel"/>
    <w:lvl w:ilvl="0">
      <w:start w:val="1"/>
      <w:numFmt w:val="bullet"/>
      <w:lvlText w:val=""/>
      <w:lvlJc w:val="left"/>
      <w:pPr>
        <w:ind w:left="741" w:hanging="568"/>
      </w:pPr>
      <w:rPr>
        <w:rFonts w:hint="default" w:ascii="Symbol" w:hAnsi="Symbol" w:eastAsia="Symbol" w:cs="Symbol"/>
        <w:w w:val="100"/>
        <w:sz w:val="24"/>
        <w:szCs w:val="24"/>
      </w:rPr>
    </w:lvl>
    <w:lvl w:ilvl="1">
      <w:start w:val="1"/>
      <w:numFmt w:val="bullet"/>
      <w:lvlText w:val="•"/>
      <w:lvlJc w:val="left"/>
      <w:pPr>
        <w:ind w:left="1674" w:hanging="568"/>
      </w:pPr>
      <w:rPr>
        <w:rFonts w:hint="default"/>
      </w:rPr>
    </w:lvl>
    <w:lvl w:ilvl="2">
      <w:start w:val="1"/>
      <w:numFmt w:val="bullet"/>
      <w:lvlText w:val="•"/>
      <w:lvlJc w:val="left"/>
      <w:pPr>
        <w:ind w:left="2608" w:hanging="568"/>
      </w:pPr>
      <w:rPr>
        <w:rFonts w:hint="default"/>
      </w:rPr>
    </w:lvl>
    <w:lvl w:ilvl="3">
      <w:start w:val="1"/>
      <w:numFmt w:val="bullet"/>
      <w:lvlText w:val="•"/>
      <w:lvlJc w:val="left"/>
      <w:pPr>
        <w:ind w:left="3542" w:hanging="568"/>
      </w:pPr>
      <w:rPr>
        <w:rFonts w:hint="default"/>
      </w:rPr>
    </w:lvl>
    <w:lvl w:ilvl="4">
      <w:start w:val="1"/>
      <w:numFmt w:val="bullet"/>
      <w:lvlText w:val="•"/>
      <w:lvlJc w:val="left"/>
      <w:pPr>
        <w:ind w:left="4476" w:hanging="568"/>
      </w:pPr>
      <w:rPr>
        <w:rFonts w:hint="default"/>
      </w:rPr>
    </w:lvl>
    <w:lvl w:ilvl="5">
      <w:start w:val="1"/>
      <w:numFmt w:val="bullet"/>
      <w:lvlText w:val="•"/>
      <w:lvlJc w:val="left"/>
      <w:pPr>
        <w:ind w:left="5410" w:hanging="568"/>
      </w:pPr>
      <w:rPr>
        <w:rFonts w:hint="default"/>
      </w:rPr>
    </w:lvl>
    <w:lvl w:ilvl="6">
      <w:start w:val="1"/>
      <w:numFmt w:val="bullet"/>
      <w:lvlText w:val="•"/>
      <w:lvlJc w:val="left"/>
      <w:pPr>
        <w:ind w:left="6344" w:hanging="568"/>
      </w:pPr>
      <w:rPr>
        <w:rFonts w:hint="default"/>
      </w:rPr>
    </w:lvl>
    <w:lvl w:ilvl="7">
      <w:start w:val="1"/>
      <w:numFmt w:val="bullet"/>
      <w:lvlText w:val="•"/>
      <w:lvlJc w:val="left"/>
      <w:pPr>
        <w:ind w:left="7278" w:hanging="568"/>
      </w:pPr>
      <w:rPr>
        <w:rFonts w:hint="default"/>
      </w:rPr>
    </w:lvl>
    <w:lvl w:ilvl="8">
      <w:start w:val="1"/>
      <w:numFmt w:val="bullet"/>
      <w:lvlText w:val="•"/>
      <w:lvlJc w:val="left"/>
      <w:pPr>
        <w:ind w:left="8212" w:hanging="568"/>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0" w:right="110"/>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10"/>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spacing w:before="133"/>
      <w:ind w:left="600" w:right="115" w:hanging="488"/>
      <w:jc w:val="both"/>
    </w:pPr>
    <w:rPr>
      <w:rFonts w:ascii="Times New Roman" w:hAnsi="Times New Roman" w:eastAsia="Times New Roman" w:cs="Times New Roman"/>
    </w:rPr>
  </w:style>
  <w:style w:styleId="TableParagraph" w:type="paragraph">
    <w:name w:val="Table Paragraph"/>
    <w:basedOn w:val="Normal"/>
    <w:uiPriority w:val="1"/>
    <w:qFormat/>
    <w:pPr>
      <w:ind w:left="98" w:right="574"/>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footer" Target="footer1.xml"/><Relationship Id="rId9" Type="http://schemas.openxmlformats.org/officeDocument/2006/relationships/hyperlink" Target="mailto:deroxi3@hotmail.com" TargetMode="External"/><Relationship Id="rId10" Type="http://schemas.openxmlformats.org/officeDocument/2006/relationships/header" Target="header1.xml"/><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png"/><Relationship Id="rId58" Type="http://schemas.openxmlformats.org/officeDocument/2006/relationships/image" Target="media/image51.png"/><Relationship Id="rId59" Type="http://schemas.openxmlformats.org/officeDocument/2006/relationships/image" Target="media/image52.jpeg"/><Relationship Id="rId60" Type="http://schemas.openxmlformats.org/officeDocument/2006/relationships/image" Target="media/image53.jpeg"/><Relationship Id="rId61" Type="http://schemas.openxmlformats.org/officeDocument/2006/relationships/image" Target="media/image54.png"/><Relationship Id="rId62" Type="http://schemas.openxmlformats.org/officeDocument/2006/relationships/image" Target="media/image55.png"/><Relationship Id="rId63" Type="http://schemas.openxmlformats.org/officeDocument/2006/relationships/image" Target="media/image56.png"/><Relationship Id="rId64" Type="http://schemas.openxmlformats.org/officeDocument/2006/relationships/image" Target="media/image57.jpeg"/><Relationship Id="rId65" Type="http://schemas.openxmlformats.org/officeDocument/2006/relationships/image" Target="media/image58.jpeg"/><Relationship Id="rId66" Type="http://schemas.openxmlformats.org/officeDocument/2006/relationships/header" Target="header2.xm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jley</dc:creator>
  <dcterms:created xsi:type="dcterms:W3CDTF">2017-05-31T21:42:56Z</dcterms:created>
  <dcterms:modified xsi:type="dcterms:W3CDTF">2017-05-31T21:42:56Z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2015-01-26T00:00:00Z</vt:filetime>
  </property>
  <property fmtid="{D5CDD505-2E9C-101B-9397-08002B2CF9AE}" pid="3" name="Creator">
    <vt:lpwstr>Microsoft® Word 2013</vt:lpwstr>
  </property>
  <property fmtid="{D5CDD505-2E9C-101B-9397-08002B2CF9AE}" pid="4" name="LastSaved">
    <vt:filetime>2017-05-31T00:00:00Z</vt:filetime>
  </property>
</Properties>
</file>