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7"/>
        <w:rPr>
          <w:rFonts w:ascii="Times New Roman"/>
          <w:sz w:val="20"/>
        </w:rPr>
      </w:pPr>
      <w:r>
        <w:rPr/>
        <w:pict>
          <v:shapetype id="_x0000_t202" o:spt="202" coordsize="21600,21600" path="m,l,21600r21600,l21600,xe">
            <v:stroke joinstyle="miter"/>
            <v:path gradientshapeok="t" o:connecttype="rect"/>
          </v:shapetype>
          <v:shape style="position:absolute;margin-left:12.85pt;margin-top:22.8999pt;width:587pt;height:762.9pt;mso-position-horizontal-relative:page;mso-position-vertical-relative:page;z-index:-12208" type="#_x0000_t202" filled="false" stroked="false">
            <v:textbox inset="0,0,0,0">
              <w:txbxContent>
                <w:p>
                  <w:pPr>
                    <w:spacing w:before="96"/>
                    <w:ind w:left="3646" w:right="3661" w:firstLine="0"/>
                    <w:jc w:val="center"/>
                    <w:rPr>
                      <w:rFonts w:ascii="Times New Roman" w:hAnsi="Times New Roman"/>
                      <w:i/>
                      <w:sz w:val="18"/>
                    </w:rPr>
                  </w:pPr>
                  <w:bookmarkStart w:name="3. Revista Inv" w:id="1"/>
                  <w:bookmarkEnd w:id="1"/>
                  <w:r>
                    <w:rPr/>
                  </w:r>
                  <w:r>
                    <w:rPr>
                      <w:b/>
                      <w:i/>
                      <w:spacing w:val="1"/>
                      <w:w w:val="137"/>
                      <w:sz w:val="20"/>
                    </w:rPr>
                    <w:t>N</w:t>
                  </w:r>
                  <w:r>
                    <w:rPr>
                      <w:b/>
                      <w:i/>
                      <w:spacing w:val="1"/>
                      <w:w w:val="67"/>
                      <w:sz w:val="20"/>
                    </w:rPr>
                    <w:t>o</w:t>
                  </w:r>
                  <w:r>
                    <w:rPr>
                      <w:b/>
                      <w:i/>
                      <w:w w:val="75"/>
                      <w:sz w:val="20"/>
                    </w:rPr>
                    <w:t>us</w:t>
                  </w:r>
                  <w:r>
                    <w:rPr>
                      <w:b/>
                      <w:i/>
                      <w:spacing w:val="-2"/>
                      <w:w w:val="75"/>
                      <w:sz w:val="20"/>
                    </w:rPr>
                    <w:t>i</w:t>
                  </w:r>
                  <w:r>
                    <w:rPr>
                      <w:b/>
                      <w:i/>
                      <w:spacing w:val="2"/>
                      <w:w w:val="89"/>
                      <w:sz w:val="20"/>
                    </w:rPr>
                    <w:t>t</w:t>
                  </w:r>
                  <w:r>
                    <w:rPr>
                      <w:b/>
                      <w:i/>
                      <w:w w:val="77"/>
                      <w:sz w:val="20"/>
                    </w:rPr>
                    <w:t>z</w:t>
                  </w:r>
                  <w:r>
                    <w:rPr>
                      <w:b/>
                      <w:i/>
                      <w:spacing w:val="-8"/>
                      <w:sz w:val="20"/>
                    </w:rPr>
                    <w:t> </w:t>
                  </w:r>
                  <w:r>
                    <w:rPr>
                      <w:rFonts w:ascii="Times New Roman" w:hAnsi="Times New Roman"/>
                      <w:i/>
                      <w:color w:val="231F20"/>
                      <w:sz w:val="18"/>
                    </w:rPr>
                    <w:t>: </w:t>
                  </w:r>
                  <w:r>
                    <w:rPr>
                      <w:rFonts w:ascii="Times New Roman" w:hAnsi="Times New Roman"/>
                      <w:i/>
                      <w:color w:val="231F20"/>
                      <w:spacing w:val="-2"/>
                      <w:sz w:val="18"/>
                    </w:rPr>
                    <w:t> </w:t>
                  </w:r>
                  <w:r>
                    <w:rPr>
                      <w:rFonts w:ascii="Times New Roman" w:hAnsi="Times New Roman"/>
                      <w:i/>
                      <w:color w:val="231F20"/>
                      <w:sz w:val="18"/>
                    </w:rPr>
                    <w:t>Re</w:t>
                  </w:r>
                  <w:r>
                    <w:rPr>
                      <w:rFonts w:ascii="Times New Roman" w:hAnsi="Times New Roman"/>
                      <w:i/>
                      <w:color w:val="231F20"/>
                      <w:spacing w:val="-2"/>
                      <w:sz w:val="18"/>
                    </w:rPr>
                    <w:t>v</w:t>
                  </w:r>
                  <w:r>
                    <w:rPr>
                      <w:rFonts w:ascii="Times New Roman" w:hAnsi="Times New Roman"/>
                      <w:i/>
                      <w:color w:val="231F20"/>
                      <w:sz w:val="18"/>
                    </w:rPr>
                    <w:t>ista</w:t>
                  </w:r>
                  <w:r>
                    <w:rPr>
                      <w:rFonts w:ascii="Times New Roman" w:hAnsi="Times New Roman"/>
                      <w:i/>
                      <w:color w:val="231F20"/>
                      <w:spacing w:val="-1"/>
                      <w:sz w:val="18"/>
                    </w:rPr>
                    <w:t> </w:t>
                  </w:r>
                  <w:r>
                    <w:rPr>
                      <w:rFonts w:ascii="Times New Roman" w:hAnsi="Times New Roman"/>
                      <w:i/>
                      <w:color w:val="231F20"/>
                      <w:spacing w:val="1"/>
                      <w:sz w:val="18"/>
                    </w:rPr>
                    <w:t>d</w:t>
                  </w:r>
                  <w:r>
                    <w:rPr>
                      <w:rFonts w:ascii="Times New Roman" w:hAnsi="Times New Roman"/>
                      <w:i/>
                      <w:color w:val="231F20"/>
                      <w:sz w:val="18"/>
                    </w:rPr>
                    <w:t>e</w:t>
                  </w:r>
                  <w:r>
                    <w:rPr>
                      <w:rFonts w:ascii="Times New Roman" w:hAnsi="Times New Roman"/>
                      <w:i/>
                      <w:color w:val="231F20"/>
                      <w:spacing w:val="-1"/>
                      <w:sz w:val="18"/>
                    </w:rPr>
                    <w:t> </w:t>
                  </w:r>
                  <w:r>
                    <w:rPr>
                      <w:rFonts w:ascii="Times New Roman" w:hAnsi="Times New Roman"/>
                      <w:i/>
                      <w:color w:val="231F20"/>
                      <w:sz w:val="18"/>
                    </w:rPr>
                    <w:t>I</w:t>
                  </w:r>
                  <w:r>
                    <w:rPr>
                      <w:rFonts w:ascii="Times New Roman" w:hAnsi="Times New Roman"/>
                      <w:i/>
                      <w:color w:val="231F20"/>
                      <w:spacing w:val="1"/>
                      <w:sz w:val="18"/>
                    </w:rPr>
                    <w:t>n</w:t>
                  </w:r>
                  <w:r>
                    <w:rPr>
                      <w:rFonts w:ascii="Times New Roman" w:hAnsi="Times New Roman"/>
                      <w:i/>
                      <w:color w:val="231F20"/>
                      <w:spacing w:val="-1"/>
                      <w:sz w:val="18"/>
                    </w:rPr>
                    <w:t>vestig</w:t>
                  </w:r>
                  <w:r>
                    <w:rPr>
                      <w:rFonts w:ascii="Times New Roman" w:hAnsi="Times New Roman"/>
                      <w:i/>
                      <w:color w:val="231F20"/>
                      <w:spacing w:val="1"/>
                      <w:sz w:val="18"/>
                    </w:rPr>
                    <w:t>a</w:t>
                  </w:r>
                  <w:r>
                    <w:rPr>
                      <w:rFonts w:ascii="Times New Roman" w:hAnsi="Times New Roman"/>
                      <w:i/>
                      <w:color w:val="231F20"/>
                      <w:spacing w:val="-1"/>
                      <w:sz w:val="18"/>
                    </w:rPr>
                    <w:t>c</w:t>
                  </w:r>
                  <w:r>
                    <w:rPr>
                      <w:rFonts w:ascii="Times New Roman" w:hAnsi="Times New Roman"/>
                      <w:i/>
                      <w:color w:val="231F20"/>
                      <w:spacing w:val="-2"/>
                      <w:sz w:val="18"/>
                    </w:rPr>
                    <w:t>i</w:t>
                  </w:r>
                  <w:r>
                    <w:rPr>
                      <w:rFonts w:ascii="Times New Roman" w:hAnsi="Times New Roman"/>
                      <w:i/>
                      <w:color w:val="231F20"/>
                      <w:spacing w:val="1"/>
                      <w:sz w:val="18"/>
                    </w:rPr>
                    <w:t>ó</w:t>
                  </w:r>
                  <w:r>
                    <w:rPr>
                      <w:rFonts w:ascii="Times New Roman" w:hAnsi="Times New Roman"/>
                      <w:i/>
                      <w:color w:val="231F20"/>
                      <w:sz w:val="18"/>
                    </w:rPr>
                    <w:t>n</w:t>
                  </w:r>
                  <w:r>
                    <w:rPr>
                      <w:rFonts w:ascii="Times New Roman" w:hAnsi="Times New Roman"/>
                      <w:i/>
                      <w:color w:val="231F20"/>
                      <w:spacing w:val="1"/>
                      <w:sz w:val="18"/>
                    </w:rPr>
                    <w:t> </w:t>
                  </w:r>
                  <w:r>
                    <w:rPr>
                      <w:rFonts w:ascii="Times New Roman" w:hAnsi="Times New Roman"/>
                      <w:i/>
                      <w:color w:val="231F20"/>
                      <w:sz w:val="18"/>
                    </w:rPr>
                    <w:t>Ci</w:t>
                  </w:r>
                  <w:r>
                    <w:rPr>
                      <w:rFonts w:ascii="Times New Roman" w:hAnsi="Times New Roman"/>
                      <w:i/>
                      <w:color w:val="231F20"/>
                      <w:spacing w:val="-3"/>
                      <w:sz w:val="18"/>
                    </w:rPr>
                    <w:t>e</w:t>
                  </w:r>
                  <w:r>
                    <w:rPr>
                      <w:rFonts w:ascii="Times New Roman" w:hAnsi="Times New Roman"/>
                      <w:i/>
                      <w:color w:val="231F20"/>
                      <w:spacing w:val="1"/>
                      <w:sz w:val="18"/>
                    </w:rPr>
                    <w:t>n</w:t>
                  </w:r>
                  <w:r>
                    <w:rPr>
                      <w:rFonts w:ascii="Times New Roman" w:hAnsi="Times New Roman"/>
                      <w:i/>
                      <w:color w:val="231F20"/>
                      <w:sz w:val="18"/>
                    </w:rPr>
                    <w:t>tífi</w:t>
                  </w:r>
                  <w:r>
                    <w:rPr>
                      <w:rFonts w:ascii="Times New Roman" w:hAnsi="Times New Roman"/>
                      <w:i/>
                      <w:color w:val="231F20"/>
                      <w:spacing w:val="-1"/>
                      <w:sz w:val="18"/>
                    </w:rPr>
                    <w:t>c</w:t>
                  </w:r>
                  <w:r>
                    <w:rPr>
                      <w:rFonts w:ascii="Times New Roman" w:hAnsi="Times New Roman"/>
                      <w:i/>
                      <w:color w:val="231F20"/>
                      <w:sz w:val="18"/>
                    </w:rPr>
                    <w:t>a</w:t>
                  </w:r>
                  <w:r>
                    <w:rPr>
                      <w:rFonts w:ascii="Times New Roman" w:hAnsi="Times New Roman"/>
                      <w:i/>
                      <w:color w:val="231F20"/>
                      <w:spacing w:val="-1"/>
                      <w:sz w:val="18"/>
                    </w:rPr>
                    <w:t> </w:t>
                  </w:r>
                  <w:r>
                    <w:rPr>
                      <w:rFonts w:ascii="Times New Roman" w:hAnsi="Times New Roman"/>
                      <w:i/>
                      <w:color w:val="231F20"/>
                      <w:sz w:val="18"/>
                    </w:rPr>
                    <w:t>y</w:t>
                  </w:r>
                  <w:r>
                    <w:rPr>
                      <w:rFonts w:ascii="Times New Roman" w:hAnsi="Times New Roman"/>
                      <w:i/>
                      <w:color w:val="231F20"/>
                      <w:spacing w:val="-1"/>
                      <w:sz w:val="18"/>
                    </w:rPr>
                    <w:t> </w:t>
                  </w:r>
                  <w:r>
                    <w:rPr>
                      <w:rFonts w:ascii="Times New Roman" w:hAnsi="Times New Roman"/>
                      <w:i/>
                      <w:color w:val="231F20"/>
                      <w:sz w:val="18"/>
                    </w:rPr>
                    <w:t>T</w:t>
                  </w:r>
                  <w:r>
                    <w:rPr>
                      <w:rFonts w:ascii="Times New Roman" w:hAnsi="Times New Roman"/>
                      <w:i/>
                      <w:color w:val="231F20"/>
                      <w:spacing w:val="-1"/>
                      <w:sz w:val="18"/>
                    </w:rPr>
                    <w:t>ec</w:t>
                  </w:r>
                  <w:r>
                    <w:rPr>
                      <w:rFonts w:ascii="Times New Roman" w:hAnsi="Times New Roman"/>
                      <w:i/>
                      <w:color w:val="231F20"/>
                      <w:spacing w:val="1"/>
                      <w:sz w:val="18"/>
                    </w:rPr>
                    <w:t>no</w:t>
                  </w:r>
                  <w:r>
                    <w:rPr>
                      <w:rFonts w:ascii="Times New Roman" w:hAnsi="Times New Roman"/>
                      <w:i/>
                      <w:color w:val="231F20"/>
                      <w:spacing w:val="-2"/>
                      <w:sz w:val="18"/>
                    </w:rPr>
                    <w:t>l</w:t>
                  </w:r>
                  <w:r>
                    <w:rPr>
                      <w:rFonts w:ascii="Times New Roman" w:hAnsi="Times New Roman"/>
                      <w:i/>
                      <w:color w:val="231F20"/>
                      <w:spacing w:val="1"/>
                      <w:sz w:val="18"/>
                    </w:rPr>
                    <w:t>ó</w:t>
                  </w:r>
                  <w:r>
                    <w:rPr>
                      <w:rFonts w:ascii="Times New Roman" w:hAnsi="Times New Roman"/>
                      <w:i/>
                      <w:color w:val="231F20"/>
                      <w:spacing w:val="-2"/>
                      <w:sz w:val="18"/>
                    </w:rPr>
                    <w:t>g</w:t>
                  </w:r>
                  <w:r>
                    <w:rPr>
                      <w:rFonts w:ascii="Times New Roman" w:hAnsi="Times New Roman"/>
                      <w:i/>
                      <w:color w:val="231F20"/>
                      <w:sz w:val="18"/>
                    </w:rPr>
                    <w:t>ica</w:t>
                  </w:r>
                </w:p>
                <w:p>
                  <w:pPr>
                    <w:spacing w:line="205" w:lineRule="exact" w:before="32"/>
                    <w:ind w:left="0" w:right="2062" w:firstLine="0"/>
                    <w:jc w:val="right"/>
                    <w:rPr>
                      <w:rFonts w:ascii="Times New Roman"/>
                      <w:i/>
                      <w:sz w:val="18"/>
                    </w:rPr>
                  </w:pPr>
                  <w:r>
                    <w:rPr>
                      <w:rFonts w:ascii="Times New Roman"/>
                      <w:i/>
                      <w:color w:val="231F20"/>
                      <w:sz w:val="18"/>
                    </w:rPr>
                    <w:t>ISSN: 1405-9967</w:t>
                  </w:r>
                </w:p>
                <w:p>
                  <w:pPr>
                    <w:spacing w:line="297" w:lineRule="exact" w:before="0"/>
                    <w:ind w:left="0" w:right="9" w:firstLine="0"/>
                    <w:jc w:val="center"/>
                    <w:rPr>
                      <w:rFonts w:ascii="Times New Roman"/>
                      <w:sz w:val="26"/>
                    </w:rPr>
                  </w:pPr>
                  <w:r>
                    <w:rPr>
                      <w:rFonts w:ascii="Times New Roman"/>
                      <w:w w:val="99"/>
                      <w:sz w:val="26"/>
                    </w:rPr>
                    <w:t>1</w:t>
                  </w:r>
                </w:p>
              </w:txbxContent>
            </v:textbox>
            <w10:wrap type="none"/>
          </v:shape>
        </w:pict>
      </w:r>
      <w:r>
        <w:rPr>
          <w:rFonts w:ascii="Times New Roman"/>
          <w:sz w:val="20"/>
        </w:rPr>
        <w:drawing>
          <wp:inline distT="0" distB="0" distL="0" distR="0">
            <wp:extent cx="7454313" cy="968806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454313" cy="9688068"/>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460" w:bottom="0" w:left="140" w:right="140"/>
        </w:sectPr>
      </w:pPr>
    </w:p>
    <w:p>
      <w:pPr>
        <w:pStyle w:val="BodyText"/>
        <w:spacing w:before="4"/>
        <w:rPr>
          <w:rFonts w:ascii="Times New Roman"/>
          <w:sz w:val="17"/>
        </w:rPr>
      </w:pPr>
      <w:r>
        <w:rPr/>
        <w:pict>
          <v:shape style="position:absolute;margin-left:8.2pt;margin-top:0pt;width:602.6pt;height:776.3pt;mso-position-horizontal-relative:page;mso-position-vertical-relative:page;z-index:-12184" type="#_x0000_t202" filled="false" stroked="false">
            <v:textbox inset="0,0,0,0">
              <w:txbxContent>
                <w:p>
                  <w:pPr>
                    <w:pStyle w:val="BodyText"/>
                    <w:rPr>
                      <w:rFonts w:ascii="Times New Roman"/>
                      <w:sz w:val="20"/>
                    </w:rPr>
                  </w:pPr>
                </w:p>
                <w:p>
                  <w:pPr>
                    <w:pStyle w:val="BodyText"/>
                    <w:spacing w:before="2"/>
                    <w:rPr>
                      <w:rFonts w:ascii="Times New Roman"/>
                      <w:sz w:val="28"/>
                    </w:rPr>
                  </w:pPr>
                </w:p>
                <w:p>
                  <w:pPr>
                    <w:tabs>
                      <w:tab w:pos="7567" w:val="left" w:leader="none"/>
                    </w:tabs>
                    <w:spacing w:before="0"/>
                    <w:ind w:left="1624" w:right="0" w:firstLine="0"/>
                    <w:jc w:val="left"/>
                    <w:rPr>
                      <w:rFonts w:ascii="Times New Roman" w:hAnsi="Times New Roman"/>
                      <w:i/>
                      <w:sz w:val="18"/>
                    </w:rPr>
                  </w:pPr>
                  <w:r>
                    <w:rPr>
                      <w:b/>
                      <w:i/>
                      <w:spacing w:val="1"/>
                      <w:w w:val="137"/>
                      <w:sz w:val="20"/>
                    </w:rPr>
                    <w:t>N</w:t>
                  </w:r>
                  <w:r>
                    <w:rPr>
                      <w:b/>
                      <w:i/>
                      <w:spacing w:val="1"/>
                      <w:w w:val="67"/>
                      <w:sz w:val="20"/>
                    </w:rPr>
                    <w:t>o</w:t>
                  </w:r>
                  <w:r>
                    <w:rPr>
                      <w:b/>
                      <w:i/>
                      <w:w w:val="75"/>
                      <w:sz w:val="20"/>
                    </w:rPr>
                    <w:t>us</w:t>
                  </w:r>
                  <w:r>
                    <w:rPr>
                      <w:b/>
                      <w:i/>
                      <w:spacing w:val="-2"/>
                      <w:w w:val="75"/>
                      <w:sz w:val="20"/>
                    </w:rPr>
                    <w:t>i</w:t>
                  </w:r>
                  <w:r>
                    <w:rPr>
                      <w:b/>
                      <w:i/>
                      <w:spacing w:val="2"/>
                      <w:w w:val="89"/>
                      <w:sz w:val="20"/>
                    </w:rPr>
                    <w:t>t</w:t>
                  </w:r>
                  <w:r>
                    <w:rPr>
                      <w:b/>
                      <w:i/>
                      <w:w w:val="77"/>
                      <w:sz w:val="20"/>
                    </w:rPr>
                    <w:t>z</w:t>
                  </w:r>
                  <w:r>
                    <w:rPr>
                      <w:b/>
                      <w:i/>
                      <w:spacing w:val="-8"/>
                      <w:sz w:val="20"/>
                    </w:rPr>
                    <w:t> </w:t>
                  </w:r>
                  <w:r>
                    <w:rPr>
                      <w:rFonts w:ascii="Times New Roman" w:hAnsi="Times New Roman"/>
                      <w:i/>
                      <w:color w:val="231F20"/>
                      <w:sz w:val="18"/>
                    </w:rPr>
                    <w:t>: </w:t>
                  </w:r>
                  <w:r>
                    <w:rPr>
                      <w:rFonts w:ascii="Times New Roman" w:hAnsi="Times New Roman"/>
                      <w:i/>
                      <w:color w:val="231F20"/>
                      <w:spacing w:val="-2"/>
                      <w:sz w:val="18"/>
                    </w:rPr>
                    <w:t> </w:t>
                  </w:r>
                  <w:r>
                    <w:rPr>
                      <w:rFonts w:ascii="Times New Roman" w:hAnsi="Times New Roman"/>
                      <w:i/>
                      <w:color w:val="231F20"/>
                      <w:sz w:val="18"/>
                    </w:rPr>
                    <w:t>Re</w:t>
                  </w:r>
                  <w:r>
                    <w:rPr>
                      <w:rFonts w:ascii="Times New Roman" w:hAnsi="Times New Roman"/>
                      <w:i/>
                      <w:color w:val="231F20"/>
                      <w:spacing w:val="-2"/>
                      <w:sz w:val="18"/>
                    </w:rPr>
                    <w:t>v</w:t>
                  </w:r>
                  <w:r>
                    <w:rPr>
                      <w:rFonts w:ascii="Times New Roman" w:hAnsi="Times New Roman"/>
                      <w:i/>
                      <w:color w:val="231F20"/>
                      <w:sz w:val="18"/>
                    </w:rPr>
                    <w:t>ista</w:t>
                  </w:r>
                  <w:r>
                    <w:rPr>
                      <w:rFonts w:ascii="Times New Roman" w:hAnsi="Times New Roman"/>
                      <w:i/>
                      <w:color w:val="231F20"/>
                      <w:spacing w:val="-1"/>
                      <w:sz w:val="18"/>
                    </w:rPr>
                    <w:t> </w:t>
                  </w:r>
                  <w:r>
                    <w:rPr>
                      <w:rFonts w:ascii="Times New Roman" w:hAnsi="Times New Roman"/>
                      <w:i/>
                      <w:color w:val="231F20"/>
                      <w:spacing w:val="1"/>
                      <w:sz w:val="18"/>
                    </w:rPr>
                    <w:t>d</w:t>
                  </w:r>
                  <w:r>
                    <w:rPr>
                      <w:rFonts w:ascii="Times New Roman" w:hAnsi="Times New Roman"/>
                      <w:i/>
                      <w:color w:val="231F20"/>
                      <w:sz w:val="18"/>
                    </w:rPr>
                    <w:t>e</w:t>
                  </w:r>
                  <w:r>
                    <w:rPr>
                      <w:rFonts w:ascii="Times New Roman" w:hAnsi="Times New Roman"/>
                      <w:i/>
                      <w:color w:val="231F20"/>
                      <w:spacing w:val="-1"/>
                      <w:sz w:val="18"/>
                    </w:rPr>
                    <w:t> </w:t>
                  </w:r>
                  <w:r>
                    <w:rPr>
                      <w:rFonts w:ascii="Times New Roman" w:hAnsi="Times New Roman"/>
                      <w:i/>
                      <w:color w:val="231F20"/>
                      <w:sz w:val="18"/>
                    </w:rPr>
                    <w:t>I</w:t>
                  </w:r>
                  <w:r>
                    <w:rPr>
                      <w:rFonts w:ascii="Times New Roman" w:hAnsi="Times New Roman"/>
                      <w:i/>
                      <w:color w:val="231F20"/>
                      <w:spacing w:val="1"/>
                      <w:sz w:val="18"/>
                    </w:rPr>
                    <w:t>n</w:t>
                  </w:r>
                  <w:r>
                    <w:rPr>
                      <w:rFonts w:ascii="Times New Roman" w:hAnsi="Times New Roman"/>
                      <w:i/>
                      <w:color w:val="231F20"/>
                      <w:spacing w:val="-1"/>
                      <w:sz w:val="18"/>
                    </w:rPr>
                    <w:t>vestig</w:t>
                  </w:r>
                  <w:r>
                    <w:rPr>
                      <w:rFonts w:ascii="Times New Roman" w:hAnsi="Times New Roman"/>
                      <w:i/>
                      <w:color w:val="231F20"/>
                      <w:spacing w:val="1"/>
                      <w:sz w:val="18"/>
                    </w:rPr>
                    <w:t>a</w:t>
                  </w:r>
                  <w:r>
                    <w:rPr>
                      <w:rFonts w:ascii="Times New Roman" w:hAnsi="Times New Roman"/>
                      <w:i/>
                      <w:color w:val="231F20"/>
                      <w:spacing w:val="-1"/>
                      <w:sz w:val="18"/>
                    </w:rPr>
                    <w:t>c</w:t>
                  </w:r>
                  <w:r>
                    <w:rPr>
                      <w:rFonts w:ascii="Times New Roman" w:hAnsi="Times New Roman"/>
                      <w:i/>
                      <w:color w:val="231F20"/>
                      <w:spacing w:val="-2"/>
                      <w:sz w:val="18"/>
                    </w:rPr>
                    <w:t>i</w:t>
                  </w:r>
                  <w:r>
                    <w:rPr>
                      <w:rFonts w:ascii="Times New Roman" w:hAnsi="Times New Roman"/>
                      <w:i/>
                      <w:color w:val="231F20"/>
                      <w:spacing w:val="1"/>
                      <w:sz w:val="18"/>
                    </w:rPr>
                    <w:t>ó</w:t>
                  </w:r>
                  <w:r>
                    <w:rPr>
                      <w:rFonts w:ascii="Times New Roman" w:hAnsi="Times New Roman"/>
                      <w:i/>
                      <w:color w:val="231F20"/>
                      <w:sz w:val="18"/>
                    </w:rPr>
                    <w:t>n</w:t>
                  </w:r>
                  <w:r>
                    <w:rPr>
                      <w:rFonts w:ascii="Times New Roman" w:hAnsi="Times New Roman"/>
                      <w:i/>
                      <w:color w:val="231F20"/>
                      <w:spacing w:val="1"/>
                      <w:sz w:val="18"/>
                    </w:rPr>
                    <w:t> </w:t>
                  </w:r>
                  <w:r>
                    <w:rPr>
                      <w:rFonts w:ascii="Times New Roman" w:hAnsi="Times New Roman"/>
                      <w:i/>
                      <w:color w:val="231F20"/>
                      <w:spacing w:val="2"/>
                      <w:sz w:val="18"/>
                    </w:rPr>
                    <w:t>C</w:t>
                  </w:r>
                  <w:r>
                    <w:rPr>
                      <w:rFonts w:ascii="Times New Roman" w:hAnsi="Times New Roman"/>
                      <w:i/>
                      <w:color w:val="231F20"/>
                      <w:sz w:val="18"/>
                    </w:rPr>
                    <w:t>i</w:t>
                  </w:r>
                  <w:r>
                    <w:rPr>
                      <w:rFonts w:ascii="Times New Roman" w:hAnsi="Times New Roman"/>
                      <w:i/>
                      <w:color w:val="231F20"/>
                      <w:spacing w:val="-3"/>
                      <w:sz w:val="18"/>
                    </w:rPr>
                    <w:t>e</w:t>
                  </w:r>
                  <w:r>
                    <w:rPr>
                      <w:rFonts w:ascii="Times New Roman" w:hAnsi="Times New Roman"/>
                      <w:i/>
                      <w:color w:val="231F20"/>
                      <w:spacing w:val="1"/>
                      <w:sz w:val="18"/>
                    </w:rPr>
                    <w:t>n</w:t>
                  </w:r>
                  <w:r>
                    <w:rPr>
                      <w:rFonts w:ascii="Times New Roman" w:hAnsi="Times New Roman"/>
                      <w:i/>
                      <w:color w:val="231F20"/>
                      <w:sz w:val="18"/>
                    </w:rPr>
                    <w:t>tífi</w:t>
                  </w:r>
                  <w:r>
                    <w:rPr>
                      <w:rFonts w:ascii="Times New Roman" w:hAnsi="Times New Roman"/>
                      <w:i/>
                      <w:color w:val="231F20"/>
                      <w:spacing w:val="-1"/>
                      <w:sz w:val="18"/>
                    </w:rPr>
                    <w:t>c</w:t>
                  </w:r>
                  <w:r>
                    <w:rPr>
                      <w:rFonts w:ascii="Times New Roman" w:hAnsi="Times New Roman"/>
                      <w:i/>
                      <w:color w:val="231F20"/>
                      <w:sz w:val="18"/>
                    </w:rPr>
                    <w:t>a</w:t>
                  </w:r>
                  <w:r>
                    <w:rPr>
                      <w:rFonts w:ascii="Times New Roman" w:hAnsi="Times New Roman"/>
                      <w:i/>
                      <w:color w:val="231F20"/>
                      <w:spacing w:val="-1"/>
                      <w:sz w:val="18"/>
                    </w:rPr>
                    <w:t> </w:t>
                  </w:r>
                  <w:r>
                    <w:rPr>
                      <w:rFonts w:ascii="Times New Roman" w:hAnsi="Times New Roman"/>
                      <w:i/>
                      <w:color w:val="231F20"/>
                      <w:sz w:val="18"/>
                    </w:rPr>
                    <w:t>y</w:t>
                  </w:r>
                  <w:r>
                    <w:rPr>
                      <w:rFonts w:ascii="Times New Roman" w:hAnsi="Times New Roman"/>
                      <w:i/>
                      <w:color w:val="231F20"/>
                      <w:spacing w:val="-1"/>
                      <w:sz w:val="18"/>
                    </w:rPr>
                    <w:t> </w:t>
                  </w:r>
                  <w:r>
                    <w:rPr>
                      <w:rFonts w:ascii="Times New Roman" w:hAnsi="Times New Roman"/>
                      <w:i/>
                      <w:color w:val="231F20"/>
                      <w:sz w:val="18"/>
                    </w:rPr>
                    <w:t>T</w:t>
                  </w:r>
                  <w:r>
                    <w:rPr>
                      <w:rFonts w:ascii="Times New Roman" w:hAnsi="Times New Roman"/>
                      <w:i/>
                      <w:color w:val="231F20"/>
                      <w:spacing w:val="-1"/>
                      <w:sz w:val="18"/>
                    </w:rPr>
                    <w:t>ec</w:t>
                  </w:r>
                  <w:r>
                    <w:rPr>
                      <w:rFonts w:ascii="Times New Roman" w:hAnsi="Times New Roman"/>
                      <w:i/>
                      <w:color w:val="231F20"/>
                      <w:spacing w:val="1"/>
                      <w:sz w:val="18"/>
                    </w:rPr>
                    <w:t>no</w:t>
                  </w:r>
                  <w:r>
                    <w:rPr>
                      <w:rFonts w:ascii="Times New Roman" w:hAnsi="Times New Roman"/>
                      <w:i/>
                      <w:color w:val="231F20"/>
                      <w:spacing w:val="-2"/>
                      <w:sz w:val="18"/>
                    </w:rPr>
                    <w:t>l</w:t>
                  </w:r>
                  <w:r>
                    <w:rPr>
                      <w:rFonts w:ascii="Times New Roman" w:hAnsi="Times New Roman"/>
                      <w:i/>
                      <w:color w:val="231F20"/>
                      <w:spacing w:val="1"/>
                      <w:sz w:val="18"/>
                    </w:rPr>
                    <w:t>ó</w:t>
                  </w:r>
                  <w:r>
                    <w:rPr>
                      <w:rFonts w:ascii="Times New Roman" w:hAnsi="Times New Roman"/>
                      <w:i/>
                      <w:color w:val="231F20"/>
                      <w:spacing w:val="-2"/>
                      <w:sz w:val="18"/>
                    </w:rPr>
                    <w:t>g</w:t>
                  </w:r>
                  <w:r>
                    <w:rPr>
                      <w:rFonts w:ascii="Times New Roman" w:hAnsi="Times New Roman"/>
                      <w:i/>
                      <w:color w:val="231F20"/>
                      <w:sz w:val="18"/>
                    </w:rPr>
                    <w:t>ica</w:t>
                    <w:tab/>
                  </w:r>
                  <w:r>
                    <w:rPr>
                      <w:rFonts w:ascii="Times New Roman" w:hAnsi="Times New Roman"/>
                      <w:i/>
                      <w:color w:val="231F20"/>
                      <w:spacing w:val="-2"/>
                      <w:sz w:val="18"/>
                    </w:rPr>
                    <w:t>V</w:t>
                  </w:r>
                  <w:r>
                    <w:rPr>
                      <w:rFonts w:ascii="Times New Roman" w:hAnsi="Times New Roman"/>
                      <w:i/>
                      <w:color w:val="231F20"/>
                      <w:spacing w:val="1"/>
                      <w:sz w:val="18"/>
                    </w:rPr>
                    <w:t>o</w:t>
                  </w:r>
                  <w:r>
                    <w:rPr>
                      <w:rFonts w:ascii="Times New Roman" w:hAnsi="Times New Roman"/>
                      <w:i/>
                      <w:color w:val="231F20"/>
                      <w:sz w:val="18"/>
                    </w:rPr>
                    <w:t>l</w:t>
                  </w:r>
                  <w:r>
                    <w:rPr>
                      <w:rFonts w:ascii="Times New Roman" w:hAnsi="Times New Roman"/>
                      <w:i/>
                      <w:color w:val="231F20"/>
                      <w:spacing w:val="1"/>
                      <w:sz w:val="18"/>
                    </w:rPr>
                    <w:t>u</w:t>
                  </w:r>
                  <w:r>
                    <w:rPr>
                      <w:rFonts w:ascii="Times New Roman" w:hAnsi="Times New Roman"/>
                      <w:i/>
                      <w:color w:val="231F20"/>
                      <w:spacing w:val="-1"/>
                      <w:sz w:val="18"/>
                    </w:rPr>
                    <w:t>m</w:t>
                  </w:r>
                  <w:r>
                    <w:rPr>
                      <w:rFonts w:ascii="Times New Roman" w:hAnsi="Times New Roman"/>
                      <w:i/>
                      <w:color w:val="231F20"/>
                      <w:spacing w:val="-2"/>
                      <w:sz w:val="18"/>
                    </w:rPr>
                    <w:t>e</w:t>
                  </w:r>
                  <w:r>
                    <w:rPr>
                      <w:rFonts w:ascii="Times New Roman" w:hAnsi="Times New Roman"/>
                      <w:i/>
                      <w:color w:val="231F20"/>
                      <w:sz w:val="18"/>
                    </w:rPr>
                    <w:t>n</w:t>
                  </w:r>
                  <w:r>
                    <w:rPr>
                      <w:rFonts w:ascii="Times New Roman" w:hAnsi="Times New Roman"/>
                      <w:i/>
                      <w:color w:val="231F20"/>
                      <w:spacing w:val="-1"/>
                      <w:sz w:val="18"/>
                    </w:rPr>
                    <w:t> </w:t>
                  </w:r>
                  <w:r>
                    <w:rPr>
                      <w:rFonts w:ascii="Times New Roman" w:hAnsi="Times New Roman"/>
                      <w:i/>
                      <w:color w:val="231F20"/>
                      <w:spacing w:val="-2"/>
                      <w:sz w:val="18"/>
                    </w:rPr>
                    <w:t>6</w:t>
                  </w:r>
                  <w:r>
                    <w:rPr>
                      <w:rFonts w:ascii="Times New Roman" w:hAnsi="Times New Roman"/>
                      <w:i/>
                      <w:color w:val="231F20"/>
                      <w:sz w:val="18"/>
                    </w:rPr>
                    <w:t>1</w:t>
                  </w:r>
                  <w:r>
                    <w:rPr>
                      <w:rFonts w:ascii="Times New Roman" w:hAnsi="Times New Roman"/>
                      <w:i/>
                      <w:color w:val="231F20"/>
                      <w:spacing w:val="1"/>
                      <w:sz w:val="18"/>
                    </w:rPr>
                    <w:t> </w:t>
                  </w:r>
                  <w:r>
                    <w:rPr>
                      <w:rFonts w:ascii="Times New Roman" w:hAnsi="Times New Roman"/>
                      <w:i/>
                      <w:color w:val="231F20"/>
                      <w:spacing w:val="-3"/>
                      <w:sz w:val="18"/>
                    </w:rPr>
                    <w:t>(</w:t>
                  </w:r>
                  <w:r>
                    <w:rPr>
                      <w:rFonts w:ascii="Times New Roman" w:hAnsi="Times New Roman"/>
                      <w:i/>
                      <w:color w:val="231F20"/>
                      <w:spacing w:val="1"/>
                      <w:sz w:val="18"/>
                    </w:rPr>
                    <w:t>20</w:t>
                  </w:r>
                  <w:r>
                    <w:rPr>
                      <w:rFonts w:ascii="Times New Roman" w:hAnsi="Times New Roman"/>
                      <w:i/>
                      <w:color w:val="231F20"/>
                      <w:spacing w:val="-2"/>
                      <w:sz w:val="18"/>
                    </w:rPr>
                    <w:t>15</w:t>
                  </w:r>
                  <w:r>
                    <w:rPr>
                      <w:rFonts w:ascii="Times New Roman" w:hAnsi="Times New Roman"/>
                      <w:i/>
                      <w:color w:val="231F20"/>
                      <w:sz w:val="18"/>
                    </w:rPr>
                    <w:t>) </w:t>
                  </w:r>
                  <w:r>
                    <w:rPr>
                      <w:rFonts w:ascii="Times New Roman" w:hAnsi="Times New Roman"/>
                      <w:i/>
                      <w:color w:val="231F20"/>
                      <w:spacing w:val="3"/>
                      <w:sz w:val="18"/>
                    </w:rPr>
                    <w:t> </w:t>
                  </w:r>
                  <w:r>
                    <w:rPr>
                      <w:rFonts w:ascii="Times New Roman" w:hAnsi="Times New Roman"/>
                      <w:i/>
                      <w:color w:val="231F20"/>
                      <w:sz w:val="18"/>
                    </w:rPr>
                    <w:t>I</w:t>
                  </w:r>
                  <w:r>
                    <w:rPr>
                      <w:rFonts w:ascii="Times New Roman" w:hAnsi="Times New Roman"/>
                      <w:i/>
                      <w:color w:val="231F20"/>
                      <w:spacing w:val="-2"/>
                      <w:sz w:val="18"/>
                    </w:rPr>
                    <w:t>S</w:t>
                  </w:r>
                  <w:r>
                    <w:rPr>
                      <w:rFonts w:ascii="Times New Roman" w:hAnsi="Times New Roman"/>
                      <w:i/>
                      <w:color w:val="231F20"/>
                      <w:spacing w:val="1"/>
                      <w:sz w:val="18"/>
                    </w:rPr>
                    <w:t>S</w:t>
                  </w:r>
                  <w:r>
                    <w:rPr>
                      <w:rFonts w:ascii="Times New Roman" w:hAnsi="Times New Roman"/>
                      <w:i/>
                      <w:color w:val="231F20"/>
                      <w:sz w:val="18"/>
                    </w:rPr>
                    <w:t>N: </w:t>
                  </w:r>
                  <w:r>
                    <w:rPr>
                      <w:rFonts w:ascii="Times New Roman" w:hAnsi="Times New Roman"/>
                      <w:i/>
                      <w:color w:val="231F20"/>
                      <w:spacing w:val="-2"/>
                      <w:sz w:val="18"/>
                    </w:rPr>
                    <w:t>1</w:t>
                  </w:r>
                  <w:r>
                    <w:rPr>
                      <w:rFonts w:ascii="Times New Roman" w:hAnsi="Times New Roman"/>
                      <w:i/>
                      <w:color w:val="231F20"/>
                      <w:spacing w:val="1"/>
                      <w:sz w:val="18"/>
                    </w:rPr>
                    <w:t>4</w:t>
                  </w:r>
                  <w:r>
                    <w:rPr>
                      <w:rFonts w:ascii="Times New Roman" w:hAnsi="Times New Roman"/>
                      <w:i/>
                      <w:color w:val="231F20"/>
                      <w:spacing w:val="-2"/>
                      <w:sz w:val="18"/>
                    </w:rPr>
                    <w:t>0</w:t>
                  </w:r>
                  <w:r>
                    <w:rPr>
                      <w:rFonts w:ascii="Times New Roman" w:hAnsi="Times New Roman"/>
                      <w:i/>
                      <w:color w:val="231F20"/>
                      <w:spacing w:val="1"/>
                      <w:sz w:val="18"/>
                    </w:rPr>
                    <w:t>5</w:t>
                  </w:r>
                  <w:r>
                    <w:rPr>
                      <w:rFonts w:ascii="Times New Roman" w:hAnsi="Times New Roman"/>
                      <w:i/>
                      <w:color w:val="231F20"/>
                      <w:sz w:val="18"/>
                    </w:rPr>
                    <w:t>-</w:t>
                  </w:r>
                  <w:r>
                    <w:rPr>
                      <w:rFonts w:ascii="Times New Roman" w:hAnsi="Times New Roman"/>
                      <w:i/>
                      <w:color w:val="231F20"/>
                      <w:spacing w:val="-2"/>
                      <w:sz w:val="18"/>
                    </w:rPr>
                    <w:t>9</w:t>
                  </w:r>
                  <w:r>
                    <w:rPr>
                      <w:rFonts w:ascii="Times New Roman" w:hAnsi="Times New Roman"/>
                      <w:i/>
                      <w:color w:val="231F20"/>
                      <w:spacing w:val="1"/>
                      <w:sz w:val="18"/>
                    </w:rPr>
                    <w:t>9</w:t>
                  </w:r>
                  <w:r>
                    <w:rPr>
                      <w:rFonts w:ascii="Times New Roman" w:hAnsi="Times New Roman"/>
                      <w:i/>
                      <w:color w:val="231F20"/>
                      <w:spacing w:val="-2"/>
                      <w:sz w:val="18"/>
                    </w:rPr>
                    <w:t>67</w:t>
                  </w:r>
                </w:p>
              </w:txbxContent>
            </v:textbox>
            <w10:wrap type="none"/>
          </v:shape>
        </w:pict>
      </w:r>
      <w:r>
        <w:rPr/>
        <w:pict>
          <v:group style="position:absolute;margin-left:8.2pt;margin-top:0pt;width:602.6pt;height:776.3pt;mso-position-horizontal-relative:page;mso-position-vertical-relative:page;z-index:1072" coordorigin="164,0" coordsize="12052,15526">
            <v:shape style="position:absolute;left:6042;top:14726;width:312;height:305" type="#_x0000_t75" stroked="false">
              <v:imagedata r:id="rId6" o:title=""/>
            </v:shape>
            <v:shape style="position:absolute;left:164;top:0;width:12052;height:15526" type="#_x0000_t75" stroked="false">
              <v:imagedata r:id="rId7" o:title=""/>
            </v:shape>
            <w10:wrap type="none"/>
          </v:group>
        </w:pict>
      </w:r>
    </w:p>
    <w:p>
      <w:pPr>
        <w:spacing w:after="0"/>
        <w:rPr>
          <w:rFonts w:ascii="Times New Roman"/>
          <w:sz w:val="17"/>
        </w:rPr>
        <w:sectPr>
          <w:pgSz w:w="12240" w:h="15840"/>
          <w:pgMar w:top="1500" w:bottom="28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tabs>
          <w:tab w:pos="1047" w:val="left" w:leader="none"/>
          <w:tab w:pos="9154" w:val="left" w:leader="none"/>
        </w:tabs>
        <w:spacing w:before="69" w:after="30"/>
        <w:ind w:left="114" w:right="0" w:firstLine="0"/>
        <w:jc w:val="left"/>
        <w:rPr>
          <w:b/>
          <w:sz w:val="20"/>
        </w:rPr>
      </w:pPr>
      <w:r>
        <w:rPr>
          <w:b/>
          <w:position w:val="2"/>
          <w:sz w:val="18"/>
          <w:shd w:fill="ACB9CA" w:color="auto" w:val="clear"/>
        </w:rPr>
        <w:t> </w:t>
      </w:r>
      <w:r>
        <w:rPr>
          <w:b/>
          <w:spacing w:val="8"/>
          <w:position w:val="2"/>
          <w:sz w:val="18"/>
          <w:shd w:fill="ACB9CA" w:color="auto" w:val="clear"/>
        </w:rPr>
        <w:t> </w:t>
      </w:r>
      <w:r>
        <w:rPr>
          <w:b/>
          <w:position w:val="2"/>
          <w:sz w:val="18"/>
          <w:shd w:fill="ACB9CA" w:color="auto" w:val="clear"/>
        </w:rPr>
        <w:t>ISC-00</w:t>
        <w:tab/>
      </w:r>
      <w:r>
        <w:rPr>
          <w:b/>
          <w:sz w:val="20"/>
          <w:shd w:fill="ACB9CA" w:color="auto" w:val="clear"/>
        </w:rPr>
        <w:t>CIENCIAS DE </w:t>
      </w:r>
      <w:r>
        <w:rPr>
          <w:b/>
          <w:spacing w:val="2"/>
          <w:sz w:val="20"/>
          <w:shd w:fill="ACB9CA" w:color="auto" w:val="clear"/>
        </w:rPr>
        <w:t>LA</w:t>
      </w:r>
      <w:r>
        <w:rPr>
          <w:b/>
          <w:spacing w:val="-22"/>
          <w:sz w:val="20"/>
          <w:shd w:fill="ACB9CA" w:color="auto" w:val="clear"/>
        </w:rPr>
        <w:t> </w:t>
      </w:r>
      <w:r>
        <w:rPr>
          <w:b/>
          <w:sz w:val="20"/>
          <w:shd w:fill="ACB9CA" w:color="auto" w:val="clear"/>
        </w:rPr>
        <w:t>COMPUTACION</w:t>
        <w:tab/>
      </w:r>
    </w:p>
    <w:tbl>
      <w:tblPr>
        <w:tblW w:w="0" w:type="auto"/>
        <w:jc w:val="left"/>
        <w:tblInd w:w="18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9"/>
        <w:gridCol w:w="7495"/>
        <w:gridCol w:w="480"/>
      </w:tblGrid>
      <w:tr>
        <w:trPr>
          <w:trHeight w:val="400" w:hRule="exact"/>
        </w:trPr>
        <w:tc>
          <w:tcPr>
            <w:tcW w:w="729" w:type="dxa"/>
          </w:tcPr>
          <w:p>
            <w:pPr/>
          </w:p>
        </w:tc>
        <w:tc>
          <w:tcPr>
            <w:tcW w:w="7495" w:type="dxa"/>
          </w:tcPr>
          <w:p>
            <w:pPr>
              <w:pStyle w:val="TableParagraph"/>
              <w:spacing w:line="177" w:lineRule="exact"/>
              <w:rPr>
                <w:b/>
                <w:i/>
                <w:sz w:val="18"/>
              </w:rPr>
            </w:pPr>
            <w:r>
              <w:rPr>
                <w:b/>
                <w:i/>
                <w:sz w:val="18"/>
              </w:rPr>
              <w:t>ANÁLISIS DE RENDIMIENTO DE UN SISTEMA BIOMÉTRICO UTILIZANDO EL</w:t>
            </w:r>
          </w:p>
          <w:p>
            <w:pPr>
              <w:pStyle w:val="TableParagraph"/>
              <w:spacing w:before="2"/>
              <w:rPr>
                <w:b/>
                <w:i/>
                <w:sz w:val="18"/>
              </w:rPr>
            </w:pPr>
            <w:r>
              <w:rPr>
                <w:b/>
                <w:i/>
                <w:sz w:val="18"/>
              </w:rPr>
              <w:t>LENGUAJE ORIENTADO A OBJETOS Y UNA PLATAFORMA WEB</w:t>
            </w:r>
          </w:p>
        </w:tc>
        <w:tc>
          <w:tcPr>
            <w:tcW w:w="480" w:type="dxa"/>
          </w:tcPr>
          <w:p>
            <w:pPr>
              <w:pStyle w:val="TableParagraph"/>
              <w:spacing w:line="177" w:lineRule="exact"/>
              <w:ind w:left="124" w:right="16"/>
              <w:jc w:val="center"/>
              <w:rPr>
                <w:b/>
                <w:i/>
                <w:sz w:val="18"/>
              </w:rPr>
            </w:pPr>
            <w:r>
              <w:rPr>
                <w:b/>
                <w:i/>
                <w:sz w:val="18"/>
              </w:rPr>
              <w:t>103</w:t>
            </w:r>
          </w:p>
        </w:tc>
      </w:tr>
      <w:tr>
        <w:trPr>
          <w:trHeight w:val="517" w:hRule="exact"/>
        </w:trPr>
        <w:tc>
          <w:tcPr>
            <w:tcW w:w="729" w:type="dxa"/>
          </w:tcPr>
          <w:p>
            <w:pPr>
              <w:pStyle w:val="TableParagraph"/>
              <w:spacing w:line="190" w:lineRule="exact"/>
              <w:ind w:left="35"/>
              <w:rPr>
                <w:b/>
                <w:sz w:val="18"/>
              </w:rPr>
            </w:pPr>
            <w:r>
              <w:rPr>
                <w:b/>
                <w:sz w:val="18"/>
              </w:rPr>
              <w:t>ISC-01</w:t>
            </w:r>
          </w:p>
        </w:tc>
        <w:tc>
          <w:tcPr>
            <w:tcW w:w="7495" w:type="dxa"/>
          </w:tcPr>
          <w:p>
            <w:pPr>
              <w:pStyle w:val="TableParagraph"/>
              <w:spacing w:line="194" w:lineRule="exact"/>
              <w:rPr>
                <w:sz w:val="18"/>
              </w:rPr>
            </w:pPr>
            <w:r>
              <w:rPr>
                <w:sz w:val="18"/>
              </w:rPr>
              <w:t>E. Anguiano- Bello,   </w:t>
            </w:r>
            <w:r>
              <w:rPr>
                <w:sz w:val="18"/>
                <w:u w:val="single"/>
              </w:rPr>
              <w:t>A. Carrillo-Quiroz</w:t>
            </w:r>
            <w:r>
              <w:rPr>
                <w:sz w:val="18"/>
              </w:rPr>
              <w:t>,  J. Taboada-Vázquez, B.R. Quiñones-Mazón y E.</w:t>
            </w:r>
          </w:p>
          <w:p>
            <w:pPr>
              <w:pStyle w:val="TableParagraph"/>
              <w:spacing w:line="207" w:lineRule="exact"/>
              <w:rPr>
                <w:sz w:val="18"/>
              </w:rPr>
            </w:pPr>
            <w:r>
              <w:rPr>
                <w:sz w:val="18"/>
              </w:rPr>
              <w:t>Pacheco-Salgado</w:t>
            </w:r>
          </w:p>
        </w:tc>
        <w:tc>
          <w:tcPr>
            <w:tcW w:w="480" w:type="dxa"/>
          </w:tcPr>
          <w:p>
            <w:pPr/>
          </w:p>
        </w:tc>
      </w:tr>
      <w:tr>
        <w:trPr>
          <w:trHeight w:val="313" w:hRule="exact"/>
        </w:trPr>
        <w:tc>
          <w:tcPr>
            <w:tcW w:w="729" w:type="dxa"/>
          </w:tcPr>
          <w:p>
            <w:pPr/>
          </w:p>
        </w:tc>
        <w:tc>
          <w:tcPr>
            <w:tcW w:w="7495" w:type="dxa"/>
          </w:tcPr>
          <w:p>
            <w:pPr>
              <w:pStyle w:val="TableParagraph"/>
              <w:spacing w:before="89"/>
              <w:ind w:left="2" w:right="122"/>
              <w:jc w:val="center"/>
              <w:rPr>
                <w:b/>
                <w:i/>
                <w:sz w:val="18"/>
              </w:rPr>
            </w:pPr>
            <w:r>
              <w:rPr>
                <w:b/>
                <w:i/>
                <w:sz w:val="18"/>
              </w:rPr>
              <w:t>API PARA CONTROL DE ACCESO DE USUARIOS A APLICACIONES WEB BASADO</w:t>
            </w:r>
          </w:p>
        </w:tc>
        <w:tc>
          <w:tcPr>
            <w:tcW w:w="480" w:type="dxa"/>
          </w:tcPr>
          <w:p>
            <w:pPr>
              <w:pStyle w:val="TableParagraph"/>
              <w:spacing w:before="89"/>
              <w:ind w:left="124" w:right="16"/>
              <w:jc w:val="center"/>
              <w:rPr>
                <w:b/>
                <w:i/>
                <w:sz w:val="18"/>
              </w:rPr>
            </w:pPr>
            <w:r>
              <w:rPr>
                <w:b/>
                <w:i/>
                <w:sz w:val="18"/>
              </w:rPr>
              <w:t>113</w:t>
            </w:r>
          </w:p>
        </w:tc>
      </w:tr>
      <w:tr>
        <w:trPr>
          <w:trHeight w:val="721" w:hRule="exact"/>
        </w:trPr>
        <w:tc>
          <w:tcPr>
            <w:tcW w:w="729" w:type="dxa"/>
          </w:tcPr>
          <w:p>
            <w:pPr>
              <w:pStyle w:val="TableParagraph"/>
              <w:spacing w:before="3"/>
              <w:ind w:left="0"/>
              <w:rPr>
                <w:b/>
                <w:sz w:val="16"/>
              </w:rPr>
            </w:pPr>
          </w:p>
          <w:p>
            <w:pPr>
              <w:pStyle w:val="TableParagraph"/>
              <w:ind w:left="35"/>
              <w:rPr>
                <w:b/>
                <w:sz w:val="18"/>
              </w:rPr>
            </w:pPr>
            <w:r>
              <w:rPr>
                <w:b/>
                <w:sz w:val="18"/>
              </w:rPr>
              <w:t>ISC-02</w:t>
            </w:r>
          </w:p>
        </w:tc>
        <w:tc>
          <w:tcPr>
            <w:tcW w:w="7495" w:type="dxa"/>
          </w:tcPr>
          <w:p>
            <w:pPr>
              <w:pStyle w:val="TableParagraph"/>
              <w:spacing w:line="190" w:lineRule="exact"/>
              <w:rPr>
                <w:b/>
                <w:i/>
                <w:sz w:val="18"/>
              </w:rPr>
            </w:pPr>
            <w:r>
              <w:rPr>
                <w:b/>
                <w:i/>
                <w:sz w:val="18"/>
              </w:rPr>
              <w:t>EN PERFILES</w:t>
            </w:r>
          </w:p>
          <w:p>
            <w:pPr>
              <w:pStyle w:val="TableParagraph"/>
              <w:spacing w:before="2"/>
              <w:ind w:right="441"/>
              <w:rPr>
                <w:sz w:val="18"/>
              </w:rPr>
            </w:pPr>
            <w:r>
              <w:rPr>
                <w:sz w:val="18"/>
                <w:u w:val="single"/>
              </w:rPr>
              <w:t>V. Bárcenas-Martínez</w:t>
            </w:r>
            <w:r>
              <w:rPr>
                <w:sz w:val="18"/>
              </w:rPr>
              <w:t>, Y. Castrejón-Hernández, M. H. Tiburcio-Zúñiga, N.J. Ontiveros- Hernández, S. Espinoza-Salgado, R. Real-Palencia y J. A. Peña-Ramírez</w:t>
            </w:r>
          </w:p>
        </w:tc>
        <w:tc>
          <w:tcPr>
            <w:tcW w:w="480" w:type="dxa"/>
          </w:tcPr>
          <w:p>
            <w:pPr/>
          </w:p>
        </w:tc>
      </w:tr>
      <w:tr>
        <w:trPr>
          <w:trHeight w:val="300" w:hRule="exact"/>
        </w:trPr>
        <w:tc>
          <w:tcPr>
            <w:tcW w:w="729" w:type="dxa"/>
          </w:tcPr>
          <w:p>
            <w:pPr/>
          </w:p>
        </w:tc>
        <w:tc>
          <w:tcPr>
            <w:tcW w:w="7495" w:type="dxa"/>
          </w:tcPr>
          <w:p>
            <w:pPr>
              <w:pStyle w:val="TableParagraph"/>
              <w:spacing w:before="89"/>
              <w:ind w:left="112" w:right="121"/>
              <w:jc w:val="center"/>
              <w:rPr>
                <w:b/>
                <w:i/>
                <w:sz w:val="18"/>
              </w:rPr>
            </w:pPr>
            <w:r>
              <w:rPr>
                <w:b/>
                <w:i/>
                <w:sz w:val="18"/>
              </w:rPr>
              <w:t>DESARROLLO DEL MÓDULO DE CONSULTAS DISTRIBUIDAS DE UN MIDDLEWARE</w:t>
            </w:r>
          </w:p>
        </w:tc>
        <w:tc>
          <w:tcPr>
            <w:tcW w:w="480" w:type="dxa"/>
          </w:tcPr>
          <w:p>
            <w:pPr>
              <w:pStyle w:val="TableParagraph"/>
              <w:spacing w:before="89"/>
              <w:ind w:left="124" w:right="16"/>
              <w:jc w:val="center"/>
              <w:rPr>
                <w:b/>
                <w:i/>
                <w:sz w:val="18"/>
              </w:rPr>
            </w:pPr>
            <w:r>
              <w:rPr>
                <w:b/>
                <w:i/>
                <w:sz w:val="18"/>
              </w:rPr>
              <w:t>120</w:t>
            </w:r>
          </w:p>
        </w:tc>
      </w:tr>
    </w:tbl>
    <w:p>
      <w:pPr>
        <w:spacing w:after="0"/>
        <w:jc w:val="center"/>
        <w:rPr>
          <w:sz w:val="18"/>
        </w:rPr>
        <w:sectPr>
          <w:headerReference w:type="default" r:id="rId8"/>
          <w:pgSz w:w="12240" w:h="15840"/>
          <w:pgMar w:header="603" w:footer="0" w:top="800" w:bottom="280" w:left="1480" w:right="1500"/>
        </w:sectPr>
      </w:pPr>
    </w:p>
    <w:p>
      <w:pPr>
        <w:spacing w:before="97"/>
        <w:ind w:left="222" w:right="-19" w:firstLine="0"/>
        <w:jc w:val="left"/>
        <w:rPr>
          <w:b/>
          <w:sz w:val="18"/>
        </w:rPr>
      </w:pPr>
      <w:r>
        <w:rPr>
          <w:b/>
          <w:sz w:val="18"/>
        </w:rPr>
        <w:t>ISC-03</w:t>
      </w:r>
    </w:p>
    <w:p>
      <w:pPr>
        <w:pStyle w:val="BodyText"/>
        <w:rPr>
          <w:b/>
          <w:sz w:val="18"/>
        </w:rPr>
      </w:pPr>
    </w:p>
    <w:p>
      <w:pPr>
        <w:pStyle w:val="BodyText"/>
        <w:rPr>
          <w:b/>
          <w:sz w:val="18"/>
        </w:rPr>
      </w:pPr>
    </w:p>
    <w:p>
      <w:pPr>
        <w:pStyle w:val="BodyText"/>
        <w:rPr>
          <w:b/>
          <w:sz w:val="18"/>
        </w:rPr>
      </w:pPr>
    </w:p>
    <w:p>
      <w:pPr>
        <w:spacing w:before="104"/>
        <w:ind w:left="222" w:right="-19" w:firstLine="0"/>
        <w:jc w:val="left"/>
        <w:rPr>
          <w:b/>
          <w:sz w:val="18"/>
        </w:rPr>
      </w:pPr>
      <w:r>
        <w:rPr>
          <w:b/>
          <w:sz w:val="18"/>
        </w:rPr>
        <w:t>ISC-04</w:t>
      </w:r>
    </w:p>
    <w:p>
      <w:pPr>
        <w:spacing w:line="203" w:lineRule="exact" w:before="0"/>
        <w:ind w:left="222" w:right="0" w:firstLine="0"/>
        <w:jc w:val="left"/>
        <w:rPr>
          <w:b/>
          <w:i/>
          <w:sz w:val="18"/>
        </w:rPr>
      </w:pPr>
      <w:r>
        <w:rPr/>
        <w:br w:type="column"/>
      </w:r>
      <w:r>
        <w:rPr>
          <w:b/>
          <w:i/>
          <w:sz w:val="18"/>
        </w:rPr>
        <w:t>PARA DATA GRIDS</w:t>
      </w:r>
    </w:p>
    <w:p>
      <w:pPr>
        <w:spacing w:before="2"/>
        <w:ind w:left="222" w:right="0" w:firstLine="0"/>
        <w:jc w:val="left"/>
        <w:rPr>
          <w:sz w:val="18"/>
        </w:rPr>
      </w:pPr>
      <w:r>
        <w:rPr>
          <w:sz w:val="18"/>
          <w:u w:val="single"/>
        </w:rPr>
        <w:t>F.</w:t>
      </w:r>
      <w:r>
        <w:rPr>
          <w:spacing w:val="-4"/>
          <w:sz w:val="18"/>
          <w:u w:val="single"/>
        </w:rPr>
        <w:t> </w:t>
      </w:r>
      <w:r>
        <w:rPr>
          <w:sz w:val="18"/>
          <w:u w:val="single"/>
        </w:rPr>
        <w:t>J.</w:t>
      </w:r>
      <w:r>
        <w:rPr>
          <w:spacing w:val="-4"/>
          <w:sz w:val="18"/>
          <w:u w:val="single"/>
        </w:rPr>
        <w:t> </w:t>
      </w:r>
      <w:r>
        <w:rPr>
          <w:sz w:val="18"/>
          <w:u w:val="single"/>
        </w:rPr>
        <w:t>Cartujano</w:t>
      </w:r>
      <w:r>
        <w:rPr>
          <w:spacing w:val="-4"/>
          <w:sz w:val="18"/>
          <w:u w:val="single"/>
        </w:rPr>
        <w:t> </w:t>
      </w:r>
      <w:r>
        <w:rPr>
          <w:sz w:val="18"/>
          <w:u w:val="single"/>
        </w:rPr>
        <w:t>Escobar</w:t>
      </w:r>
      <w:r>
        <w:rPr>
          <w:sz w:val="18"/>
        </w:rPr>
        <w:t>,</w:t>
      </w:r>
      <w:r>
        <w:rPr>
          <w:spacing w:val="-4"/>
          <w:sz w:val="18"/>
        </w:rPr>
        <w:t> </w:t>
      </w:r>
      <w:r>
        <w:rPr>
          <w:sz w:val="18"/>
        </w:rPr>
        <w:t>M.</w:t>
      </w:r>
      <w:r>
        <w:rPr>
          <w:spacing w:val="-4"/>
          <w:sz w:val="18"/>
        </w:rPr>
        <w:t> </w:t>
      </w:r>
      <w:r>
        <w:rPr>
          <w:sz w:val="18"/>
        </w:rPr>
        <w:t>Ménez</w:t>
      </w:r>
      <w:r>
        <w:rPr>
          <w:spacing w:val="-6"/>
          <w:sz w:val="18"/>
        </w:rPr>
        <w:t> </w:t>
      </w:r>
      <w:r>
        <w:rPr>
          <w:sz w:val="18"/>
        </w:rPr>
        <w:t>Esquivel,</w:t>
      </w:r>
      <w:r>
        <w:rPr>
          <w:spacing w:val="-4"/>
          <w:sz w:val="18"/>
        </w:rPr>
        <w:t> </w:t>
      </w:r>
      <w:r>
        <w:rPr>
          <w:sz w:val="18"/>
        </w:rPr>
        <w:t>C.</w:t>
      </w:r>
      <w:r>
        <w:rPr>
          <w:spacing w:val="-4"/>
          <w:sz w:val="18"/>
        </w:rPr>
        <w:t> </w:t>
      </w:r>
      <w:r>
        <w:rPr>
          <w:sz w:val="18"/>
        </w:rPr>
        <w:t>Noguerón</w:t>
      </w:r>
      <w:r>
        <w:rPr>
          <w:spacing w:val="-4"/>
          <w:sz w:val="18"/>
        </w:rPr>
        <w:t> </w:t>
      </w:r>
      <w:r>
        <w:rPr>
          <w:sz w:val="18"/>
        </w:rPr>
        <w:t>González,</w:t>
      </w:r>
      <w:r>
        <w:rPr>
          <w:spacing w:val="-4"/>
          <w:sz w:val="18"/>
        </w:rPr>
        <w:t> </w:t>
      </w:r>
      <w:r>
        <w:rPr>
          <w:sz w:val="18"/>
        </w:rPr>
        <w:t>O.</w:t>
      </w:r>
      <w:r>
        <w:rPr>
          <w:spacing w:val="-4"/>
          <w:sz w:val="18"/>
        </w:rPr>
        <w:t> </w:t>
      </w:r>
      <w:r>
        <w:rPr>
          <w:sz w:val="18"/>
        </w:rPr>
        <w:t>Ponciano</w:t>
      </w:r>
      <w:r>
        <w:rPr>
          <w:spacing w:val="-4"/>
          <w:sz w:val="18"/>
        </w:rPr>
        <w:t> </w:t>
      </w:r>
      <w:r>
        <w:rPr>
          <w:sz w:val="18"/>
        </w:rPr>
        <w:t>Galicia,</w:t>
      </w:r>
    </w:p>
    <w:p>
      <w:pPr>
        <w:spacing w:line="205" w:lineRule="exact" w:before="2"/>
        <w:ind w:left="222" w:right="0" w:firstLine="0"/>
        <w:jc w:val="left"/>
        <w:rPr>
          <w:sz w:val="18"/>
        </w:rPr>
      </w:pPr>
      <w:r>
        <w:rPr>
          <w:sz w:val="18"/>
        </w:rPr>
        <w:t>L. A. Gama Moreno</w:t>
      </w:r>
    </w:p>
    <w:p>
      <w:pPr>
        <w:spacing w:before="0"/>
        <w:ind w:left="222" w:right="2990" w:firstLine="0"/>
        <w:jc w:val="left"/>
        <w:rPr>
          <w:b/>
          <w:i/>
          <w:sz w:val="18"/>
        </w:rPr>
      </w:pPr>
      <w:r>
        <w:rPr>
          <w:b/>
          <w:i/>
          <w:sz w:val="18"/>
        </w:rPr>
        <w:t>D.P.M. DETECTOR DE PATOLOGÍAS MENTALES </w:t>
      </w:r>
      <w:r>
        <w:rPr>
          <w:b/>
          <w:i/>
          <w:sz w:val="18"/>
        </w:rPr>
        <w:t>(TRANSTORNOS DEL ESTADO DE ÁNIMO)</w:t>
      </w:r>
    </w:p>
    <w:p>
      <w:pPr>
        <w:spacing w:before="2"/>
        <w:ind w:left="222" w:right="127" w:firstLine="0"/>
        <w:jc w:val="left"/>
        <w:rPr>
          <w:sz w:val="18"/>
        </w:rPr>
      </w:pPr>
      <w:r>
        <w:rPr>
          <w:sz w:val="18"/>
          <w:u w:val="single"/>
        </w:rPr>
        <w:t>A. Dionicio Abrajan</w:t>
      </w:r>
      <w:r>
        <w:rPr>
          <w:sz w:val="18"/>
        </w:rPr>
        <w:t>, S. Arizmendi León, E. Mena Salgado, Á. González Cervantes, P. D. Delgado Alonso</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7"/>
        <w:rPr>
          <w:sz w:val="17"/>
        </w:rPr>
      </w:pPr>
    </w:p>
    <w:p>
      <w:pPr>
        <w:spacing w:before="0"/>
        <w:ind w:left="222" w:right="0" w:firstLine="0"/>
        <w:jc w:val="left"/>
        <w:rPr>
          <w:b/>
          <w:i/>
          <w:sz w:val="18"/>
        </w:rPr>
      </w:pPr>
      <w:r>
        <w:rPr>
          <w:b/>
          <w:i/>
          <w:sz w:val="18"/>
        </w:rPr>
        <w:t>132</w:t>
      </w:r>
    </w:p>
    <w:p>
      <w:pPr>
        <w:spacing w:after="0"/>
        <w:jc w:val="left"/>
        <w:rPr>
          <w:sz w:val="18"/>
        </w:rPr>
        <w:sectPr>
          <w:type w:val="continuous"/>
          <w:pgSz w:w="12240" w:h="15840"/>
          <w:pgMar w:top="460" w:bottom="0" w:left="1480" w:right="1500"/>
          <w:cols w:num="3" w:equalWidth="0">
            <w:col w:w="784" w:space="41"/>
            <w:col w:w="7403" w:space="103"/>
            <w:col w:w="929"/>
          </w:cols>
        </w:sectPr>
      </w:pPr>
    </w:p>
    <w:p>
      <w:pPr>
        <w:pStyle w:val="BodyText"/>
        <w:spacing w:before="7"/>
        <w:rPr>
          <w:b/>
          <w:i/>
          <w:sz w:val="11"/>
        </w:rPr>
      </w:pPr>
    </w:p>
    <w:p>
      <w:pPr>
        <w:spacing w:after="0"/>
        <w:rPr>
          <w:sz w:val="11"/>
        </w:rPr>
        <w:sectPr>
          <w:type w:val="continuous"/>
          <w:pgSz w:w="12240" w:h="15840"/>
          <w:pgMar w:top="460" w:bottom="0" w:left="1480" w:right="1500"/>
        </w:sectPr>
      </w:pPr>
    </w:p>
    <w:p>
      <w:pPr>
        <w:pStyle w:val="BodyText"/>
        <w:rPr>
          <w:b/>
          <w:i/>
          <w:sz w:val="18"/>
        </w:rPr>
      </w:pPr>
    </w:p>
    <w:p>
      <w:pPr>
        <w:pStyle w:val="BodyText"/>
        <w:spacing w:before="9"/>
        <w:rPr>
          <w:b/>
          <w:i/>
          <w:sz w:val="14"/>
        </w:rPr>
      </w:pPr>
    </w:p>
    <w:p>
      <w:pPr>
        <w:spacing w:before="0"/>
        <w:ind w:left="222" w:right="-19" w:firstLine="0"/>
        <w:jc w:val="left"/>
        <w:rPr>
          <w:b/>
          <w:sz w:val="18"/>
        </w:rPr>
      </w:pPr>
      <w:r>
        <w:rPr>
          <w:b/>
          <w:sz w:val="18"/>
        </w:rPr>
        <w:t>ISC-05</w:t>
      </w:r>
    </w:p>
    <w:p>
      <w:pPr>
        <w:spacing w:before="70"/>
        <w:ind w:left="222" w:right="-2" w:firstLine="0"/>
        <w:jc w:val="left"/>
        <w:rPr>
          <w:b/>
          <w:i/>
          <w:sz w:val="18"/>
        </w:rPr>
      </w:pPr>
      <w:r>
        <w:rPr/>
        <w:br w:type="column"/>
      </w:r>
      <w:r>
        <w:rPr>
          <w:b/>
          <w:i/>
          <w:sz w:val="18"/>
        </w:rPr>
        <w:t>INTEGRACIÓN DE FRAMEWORKS PARA EL DESARROLLO ÁGIL DE</w:t>
      </w:r>
      <w:r>
        <w:rPr>
          <w:b/>
          <w:i/>
          <w:spacing w:val="-25"/>
          <w:sz w:val="18"/>
        </w:rPr>
        <w:t> </w:t>
      </w:r>
      <w:r>
        <w:rPr>
          <w:b/>
          <w:i/>
          <w:sz w:val="18"/>
        </w:rPr>
        <w:t>SISTEMAS </w:t>
      </w:r>
      <w:r>
        <w:rPr>
          <w:b/>
          <w:i/>
          <w:sz w:val="18"/>
        </w:rPr>
        <w:t>COMPUTACIONALES</w:t>
      </w:r>
    </w:p>
    <w:p>
      <w:pPr>
        <w:spacing w:before="2"/>
        <w:ind w:left="222" w:right="-2" w:firstLine="0"/>
        <w:jc w:val="left"/>
        <w:rPr>
          <w:sz w:val="18"/>
        </w:rPr>
      </w:pPr>
      <w:r>
        <w:rPr>
          <w:sz w:val="18"/>
          <w:u w:val="single"/>
        </w:rPr>
        <w:t>F. Patiño-Reyes</w:t>
      </w:r>
      <w:r>
        <w:rPr>
          <w:sz w:val="18"/>
        </w:rPr>
        <w:t>, N. Lara-Acono</w:t>
      </w:r>
    </w:p>
    <w:p>
      <w:pPr>
        <w:spacing w:before="70"/>
        <w:ind w:left="222" w:right="0" w:firstLine="0"/>
        <w:jc w:val="left"/>
        <w:rPr>
          <w:b/>
          <w:i/>
          <w:sz w:val="18"/>
        </w:rPr>
      </w:pPr>
      <w:r>
        <w:rPr/>
        <w:br w:type="column"/>
      </w:r>
      <w:r>
        <w:rPr>
          <w:b/>
          <w:i/>
          <w:sz w:val="18"/>
        </w:rPr>
        <w:t>140</w:t>
      </w:r>
    </w:p>
    <w:p>
      <w:pPr>
        <w:spacing w:after="0"/>
        <w:jc w:val="left"/>
        <w:rPr>
          <w:sz w:val="18"/>
        </w:rPr>
        <w:sectPr>
          <w:type w:val="continuous"/>
          <w:pgSz w:w="12240" w:h="15840"/>
          <w:pgMar w:top="460" w:bottom="0" w:left="1480" w:right="1500"/>
          <w:cols w:num="3" w:equalWidth="0">
            <w:col w:w="784" w:space="41"/>
            <w:col w:w="7056" w:space="450"/>
            <w:col w:w="929"/>
          </w:cols>
        </w:sectPr>
      </w:pPr>
    </w:p>
    <w:p>
      <w:pPr>
        <w:pStyle w:val="BodyText"/>
        <w:spacing w:before="9"/>
        <w:rPr>
          <w:b/>
          <w:i/>
          <w:sz w:val="11"/>
        </w:rPr>
      </w:pPr>
    </w:p>
    <w:p>
      <w:pPr>
        <w:spacing w:after="0"/>
        <w:rPr>
          <w:sz w:val="11"/>
        </w:rPr>
        <w:sectPr>
          <w:type w:val="continuous"/>
          <w:pgSz w:w="12240" w:h="15840"/>
          <w:pgMar w:top="460" w:bottom="0" w:left="1480" w:right="1500"/>
        </w:sectPr>
      </w:pPr>
    </w:p>
    <w:p>
      <w:pPr>
        <w:pStyle w:val="BodyText"/>
        <w:rPr>
          <w:b/>
          <w:i/>
          <w:sz w:val="18"/>
        </w:rPr>
      </w:pPr>
    </w:p>
    <w:p>
      <w:pPr>
        <w:pStyle w:val="BodyText"/>
        <w:spacing w:before="9"/>
        <w:rPr>
          <w:b/>
          <w:i/>
          <w:sz w:val="14"/>
        </w:rPr>
      </w:pPr>
    </w:p>
    <w:p>
      <w:pPr>
        <w:spacing w:before="0"/>
        <w:ind w:left="222" w:right="-19" w:firstLine="0"/>
        <w:jc w:val="left"/>
        <w:rPr>
          <w:b/>
          <w:sz w:val="18"/>
        </w:rPr>
      </w:pPr>
      <w:r>
        <w:rPr>
          <w:b/>
          <w:sz w:val="18"/>
        </w:rPr>
        <w:t>ISC-06</w:t>
      </w:r>
    </w:p>
    <w:p>
      <w:pPr>
        <w:spacing w:before="70"/>
        <w:ind w:left="222" w:right="0" w:firstLine="0"/>
        <w:jc w:val="left"/>
        <w:rPr>
          <w:b/>
          <w:i/>
          <w:sz w:val="18"/>
        </w:rPr>
      </w:pPr>
      <w:r>
        <w:rPr/>
        <w:br w:type="column"/>
      </w:r>
      <w:r>
        <w:rPr>
          <w:b/>
          <w:i/>
          <w:sz w:val="18"/>
        </w:rPr>
        <w:t>MIDDLEWARE PARA DATA GRIDS: MÓDULO DE ACTUALIZACIÓN</w:t>
      </w:r>
    </w:p>
    <w:p>
      <w:pPr>
        <w:spacing w:before="2"/>
        <w:ind w:left="222" w:right="0" w:firstLine="0"/>
        <w:jc w:val="left"/>
        <w:rPr>
          <w:sz w:val="18"/>
        </w:rPr>
      </w:pPr>
      <w:r>
        <w:rPr>
          <w:sz w:val="18"/>
          <w:u w:val="single"/>
        </w:rPr>
        <w:t>F.</w:t>
      </w:r>
      <w:r>
        <w:rPr>
          <w:spacing w:val="-4"/>
          <w:sz w:val="18"/>
          <w:u w:val="single"/>
        </w:rPr>
        <w:t> </w:t>
      </w:r>
      <w:r>
        <w:rPr>
          <w:sz w:val="18"/>
          <w:u w:val="single"/>
        </w:rPr>
        <w:t>J.</w:t>
      </w:r>
      <w:r>
        <w:rPr>
          <w:spacing w:val="-4"/>
          <w:sz w:val="18"/>
          <w:u w:val="single"/>
        </w:rPr>
        <w:t> </w:t>
      </w:r>
      <w:r>
        <w:rPr>
          <w:sz w:val="18"/>
          <w:u w:val="single"/>
        </w:rPr>
        <w:t>Cartujano</w:t>
      </w:r>
      <w:r>
        <w:rPr>
          <w:spacing w:val="-4"/>
          <w:sz w:val="18"/>
          <w:u w:val="single"/>
        </w:rPr>
        <w:t> </w:t>
      </w:r>
      <w:r>
        <w:rPr>
          <w:sz w:val="18"/>
          <w:u w:val="single"/>
        </w:rPr>
        <w:t>Escobar</w:t>
      </w:r>
      <w:r>
        <w:rPr>
          <w:sz w:val="18"/>
        </w:rPr>
        <w:t>,</w:t>
      </w:r>
      <w:r>
        <w:rPr>
          <w:spacing w:val="-4"/>
          <w:sz w:val="18"/>
        </w:rPr>
        <w:t> </w:t>
      </w:r>
      <w:r>
        <w:rPr>
          <w:sz w:val="18"/>
        </w:rPr>
        <w:t>M.</w:t>
      </w:r>
      <w:r>
        <w:rPr>
          <w:spacing w:val="-4"/>
          <w:sz w:val="18"/>
        </w:rPr>
        <w:t> </w:t>
      </w:r>
      <w:r>
        <w:rPr>
          <w:sz w:val="18"/>
        </w:rPr>
        <w:t>Ménez</w:t>
      </w:r>
      <w:r>
        <w:rPr>
          <w:spacing w:val="-6"/>
          <w:sz w:val="18"/>
        </w:rPr>
        <w:t> </w:t>
      </w:r>
      <w:r>
        <w:rPr>
          <w:sz w:val="18"/>
        </w:rPr>
        <w:t>Esquivel,</w:t>
      </w:r>
      <w:r>
        <w:rPr>
          <w:spacing w:val="-4"/>
          <w:sz w:val="18"/>
        </w:rPr>
        <w:t> </w:t>
      </w:r>
      <w:r>
        <w:rPr>
          <w:sz w:val="18"/>
        </w:rPr>
        <w:t>C.</w:t>
      </w:r>
      <w:r>
        <w:rPr>
          <w:spacing w:val="-4"/>
          <w:sz w:val="18"/>
        </w:rPr>
        <w:t> </w:t>
      </w:r>
      <w:r>
        <w:rPr>
          <w:sz w:val="18"/>
        </w:rPr>
        <w:t>Noguerón</w:t>
      </w:r>
      <w:r>
        <w:rPr>
          <w:spacing w:val="-4"/>
          <w:sz w:val="18"/>
        </w:rPr>
        <w:t> </w:t>
      </w:r>
      <w:r>
        <w:rPr>
          <w:sz w:val="18"/>
        </w:rPr>
        <w:t>González,</w:t>
      </w:r>
      <w:r>
        <w:rPr>
          <w:spacing w:val="-4"/>
          <w:sz w:val="18"/>
        </w:rPr>
        <w:t> </w:t>
      </w:r>
      <w:r>
        <w:rPr>
          <w:sz w:val="18"/>
        </w:rPr>
        <w:t>Isaac</w:t>
      </w:r>
      <w:r>
        <w:rPr>
          <w:spacing w:val="-3"/>
          <w:sz w:val="18"/>
        </w:rPr>
        <w:t> </w:t>
      </w:r>
      <w:r>
        <w:rPr>
          <w:sz w:val="18"/>
        </w:rPr>
        <w:t>Castrejón Gama y C. Bustillos</w:t>
      </w:r>
      <w:r>
        <w:rPr>
          <w:spacing w:val="-8"/>
          <w:sz w:val="18"/>
        </w:rPr>
        <w:t> </w:t>
      </w:r>
      <w:r>
        <w:rPr>
          <w:sz w:val="18"/>
        </w:rPr>
        <w:t>Gaytán</w:t>
      </w:r>
    </w:p>
    <w:p>
      <w:pPr>
        <w:spacing w:before="70"/>
        <w:ind w:left="222" w:right="0" w:firstLine="0"/>
        <w:jc w:val="left"/>
        <w:rPr>
          <w:b/>
          <w:i/>
          <w:sz w:val="18"/>
        </w:rPr>
      </w:pPr>
      <w:r>
        <w:rPr/>
        <w:br w:type="column"/>
      </w:r>
      <w:r>
        <w:rPr>
          <w:b/>
          <w:i/>
          <w:sz w:val="18"/>
        </w:rPr>
        <w:t>151</w:t>
      </w:r>
    </w:p>
    <w:p>
      <w:pPr>
        <w:spacing w:after="0"/>
        <w:jc w:val="left"/>
        <w:rPr>
          <w:sz w:val="18"/>
        </w:rPr>
        <w:sectPr>
          <w:type w:val="continuous"/>
          <w:pgSz w:w="12240" w:h="15840"/>
          <w:pgMar w:top="460" w:bottom="0" w:left="1480" w:right="1500"/>
          <w:cols w:num="3" w:equalWidth="0">
            <w:col w:w="784" w:space="41"/>
            <w:col w:w="7012" w:space="494"/>
            <w:col w:w="929"/>
          </w:cols>
        </w:sectPr>
      </w:pPr>
    </w:p>
    <w:p>
      <w:pPr>
        <w:pStyle w:val="BodyText"/>
        <w:spacing w:before="9"/>
        <w:rPr>
          <w:b/>
          <w:i/>
          <w:sz w:val="11"/>
        </w:rPr>
      </w:pPr>
    </w:p>
    <w:p>
      <w:pPr>
        <w:spacing w:after="0"/>
        <w:rPr>
          <w:sz w:val="11"/>
        </w:rPr>
        <w:sectPr>
          <w:type w:val="continuous"/>
          <w:pgSz w:w="12240" w:h="15840"/>
          <w:pgMar w:top="460" w:bottom="0" w:left="1480" w:right="1500"/>
        </w:sectPr>
      </w:pPr>
    </w:p>
    <w:p>
      <w:pPr>
        <w:pStyle w:val="BodyText"/>
        <w:rPr>
          <w:b/>
          <w:i/>
          <w:sz w:val="18"/>
        </w:rPr>
      </w:pPr>
    </w:p>
    <w:p>
      <w:pPr>
        <w:pStyle w:val="BodyText"/>
        <w:spacing w:before="9"/>
        <w:rPr>
          <w:b/>
          <w:i/>
          <w:sz w:val="14"/>
        </w:rPr>
      </w:pPr>
    </w:p>
    <w:p>
      <w:pPr>
        <w:spacing w:before="0"/>
        <w:ind w:left="222" w:right="-19" w:firstLine="0"/>
        <w:jc w:val="left"/>
        <w:rPr>
          <w:b/>
          <w:sz w:val="18"/>
        </w:rPr>
      </w:pPr>
      <w:r>
        <w:rPr/>
        <w:pict>
          <v:shape style="position:absolute;margin-left:83.353996pt;margin-top:6.549062pt;width:435.25pt;height:185.35pt;mso-position-horizontal-relative:page;mso-position-vertical-relative:paragraph;z-index:10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9"/>
                    <w:gridCol w:w="7485"/>
                    <w:gridCol w:w="491"/>
                  </w:tblGrid>
                  <w:tr>
                    <w:trPr>
                      <w:trHeight w:val="613" w:hRule="exact"/>
                    </w:trPr>
                    <w:tc>
                      <w:tcPr>
                        <w:tcW w:w="729" w:type="dxa"/>
                      </w:tcPr>
                      <w:p>
                        <w:pPr/>
                      </w:p>
                    </w:tc>
                    <w:tc>
                      <w:tcPr>
                        <w:tcW w:w="7485" w:type="dxa"/>
                      </w:tcPr>
                      <w:p>
                        <w:pPr>
                          <w:pStyle w:val="TableParagraph"/>
                          <w:spacing w:line="184" w:lineRule="exact"/>
                          <w:rPr>
                            <w:sz w:val="18"/>
                          </w:rPr>
                        </w:pPr>
                        <w:r>
                          <w:rPr>
                            <w:sz w:val="18"/>
                          </w:rPr>
                          <w:t>S. Olmos-Peña, R. G. Cruz- Flores, C. Juárez- Landín, </w:t>
                        </w:r>
                        <w:r>
                          <w:rPr>
                            <w:sz w:val="18"/>
                            <w:u w:val="single"/>
                          </w:rPr>
                          <w:t>H. Delgado-Hernández</w:t>
                        </w:r>
                      </w:p>
                      <w:p>
                        <w:pPr>
                          <w:pStyle w:val="TableParagraph"/>
                          <w:spacing w:before="10"/>
                          <w:ind w:left="0"/>
                          <w:rPr>
                            <w:b/>
                            <w:i/>
                            <w:sz w:val="17"/>
                          </w:rPr>
                        </w:pPr>
                      </w:p>
                      <w:p>
                        <w:pPr>
                          <w:pStyle w:val="TableParagraph"/>
                          <w:rPr>
                            <w:b/>
                            <w:i/>
                            <w:sz w:val="18"/>
                          </w:rPr>
                        </w:pPr>
                        <w:r>
                          <w:rPr>
                            <w:b/>
                            <w:i/>
                            <w:sz w:val="18"/>
                          </w:rPr>
                          <w:t>PROPUESTA PARA LA MEJORA DE PRODUCTOS DE SOFTWARE EN EL PROCESO</w:t>
                        </w:r>
                      </w:p>
                    </w:tc>
                    <w:tc>
                      <w:tcPr>
                        <w:tcW w:w="491" w:type="dxa"/>
                      </w:tcPr>
                      <w:p>
                        <w:pPr>
                          <w:pStyle w:val="TableParagraph"/>
                          <w:ind w:left="0"/>
                          <w:rPr>
                            <w:b/>
                            <w:i/>
                            <w:sz w:val="18"/>
                          </w:rPr>
                        </w:pPr>
                      </w:p>
                      <w:p>
                        <w:pPr>
                          <w:pStyle w:val="TableParagraph"/>
                          <w:spacing w:before="10"/>
                          <w:ind w:left="0"/>
                          <w:rPr>
                            <w:b/>
                            <w:i/>
                            <w:sz w:val="15"/>
                          </w:rPr>
                        </w:pPr>
                      </w:p>
                      <w:p>
                        <w:pPr>
                          <w:pStyle w:val="TableParagraph"/>
                          <w:ind w:left="134" w:right="16"/>
                          <w:jc w:val="center"/>
                          <w:rPr>
                            <w:b/>
                            <w:i/>
                            <w:sz w:val="18"/>
                          </w:rPr>
                        </w:pPr>
                        <w:r>
                          <w:rPr>
                            <w:b/>
                            <w:i/>
                            <w:sz w:val="18"/>
                          </w:rPr>
                          <w:t>169</w:t>
                        </w:r>
                      </w:p>
                    </w:tc>
                  </w:tr>
                  <w:tr>
                    <w:trPr>
                      <w:trHeight w:val="411" w:hRule="exact"/>
                    </w:trPr>
                    <w:tc>
                      <w:tcPr>
                        <w:tcW w:w="729" w:type="dxa"/>
                      </w:tcPr>
                      <w:p>
                        <w:pPr>
                          <w:pStyle w:val="TableParagraph"/>
                          <w:spacing w:before="3"/>
                          <w:ind w:left="0"/>
                          <w:rPr>
                            <w:b/>
                            <w:i/>
                            <w:sz w:val="16"/>
                          </w:rPr>
                        </w:pPr>
                      </w:p>
                      <w:p>
                        <w:pPr>
                          <w:pStyle w:val="TableParagraph"/>
                          <w:ind w:left="35"/>
                          <w:rPr>
                            <w:b/>
                            <w:sz w:val="18"/>
                          </w:rPr>
                        </w:pPr>
                        <w:r>
                          <w:rPr>
                            <w:b/>
                            <w:sz w:val="18"/>
                          </w:rPr>
                          <w:t>ISC-08</w:t>
                        </w:r>
                      </w:p>
                    </w:tc>
                    <w:tc>
                      <w:tcPr>
                        <w:tcW w:w="7485" w:type="dxa"/>
                      </w:tcPr>
                      <w:p>
                        <w:pPr>
                          <w:pStyle w:val="TableParagraph"/>
                          <w:spacing w:line="190" w:lineRule="exact"/>
                          <w:rPr>
                            <w:b/>
                            <w:i/>
                            <w:sz w:val="18"/>
                          </w:rPr>
                        </w:pPr>
                        <w:r>
                          <w:rPr>
                            <w:b/>
                            <w:i/>
                            <w:sz w:val="18"/>
                          </w:rPr>
                          <w:t>DE DESARROLLO DE MANTENIMIENTO DE SOFTWARE (DMS)</w:t>
                        </w:r>
                      </w:p>
                      <w:p>
                        <w:pPr>
                          <w:pStyle w:val="TableParagraph"/>
                          <w:spacing w:before="2"/>
                          <w:rPr>
                            <w:sz w:val="18"/>
                          </w:rPr>
                        </w:pPr>
                        <w:r>
                          <w:rPr>
                            <w:sz w:val="18"/>
                            <w:u w:val="single"/>
                          </w:rPr>
                          <w:t>L. S. Olalla Ocampo</w:t>
                        </w:r>
                        <w:r>
                          <w:rPr>
                            <w:sz w:val="18"/>
                          </w:rPr>
                          <w:t>,  A. I. de la Roca Chiapas, S. Martínez Moreno, L. Villavicencio</w:t>
                        </w:r>
                      </w:p>
                    </w:tc>
                    <w:tc>
                      <w:tcPr>
                        <w:tcW w:w="491" w:type="dxa"/>
                      </w:tcPr>
                      <w:p>
                        <w:pPr/>
                      </w:p>
                    </w:tc>
                  </w:tr>
                  <w:tr>
                    <w:trPr>
                      <w:trHeight w:val="312" w:hRule="exact"/>
                    </w:trPr>
                    <w:tc>
                      <w:tcPr>
                        <w:tcW w:w="729" w:type="dxa"/>
                      </w:tcPr>
                      <w:p>
                        <w:pPr/>
                      </w:p>
                    </w:tc>
                    <w:tc>
                      <w:tcPr>
                        <w:tcW w:w="7485" w:type="dxa"/>
                      </w:tcPr>
                      <w:p>
                        <w:pPr>
                          <w:pStyle w:val="TableParagraph"/>
                          <w:spacing w:line="197" w:lineRule="exact"/>
                          <w:rPr>
                            <w:sz w:val="18"/>
                          </w:rPr>
                        </w:pPr>
                        <w:r>
                          <w:rPr>
                            <w:sz w:val="18"/>
                          </w:rPr>
                          <w:t>Gómez y B. A. Aranda Benítez</w:t>
                        </w:r>
                      </w:p>
                    </w:tc>
                    <w:tc>
                      <w:tcPr>
                        <w:tcW w:w="491" w:type="dxa"/>
                      </w:tcPr>
                      <w:p>
                        <w:pPr/>
                      </w:p>
                    </w:tc>
                  </w:tr>
                  <w:tr>
                    <w:trPr>
                      <w:trHeight w:val="312" w:hRule="exact"/>
                    </w:trPr>
                    <w:tc>
                      <w:tcPr>
                        <w:tcW w:w="729" w:type="dxa"/>
                      </w:tcPr>
                      <w:p>
                        <w:pPr/>
                      </w:p>
                    </w:tc>
                    <w:tc>
                      <w:tcPr>
                        <w:tcW w:w="7485" w:type="dxa"/>
                      </w:tcPr>
                      <w:p>
                        <w:pPr>
                          <w:pStyle w:val="TableParagraph"/>
                          <w:spacing w:before="88"/>
                          <w:rPr>
                            <w:b/>
                            <w:i/>
                            <w:sz w:val="18"/>
                          </w:rPr>
                        </w:pPr>
                        <w:r>
                          <w:rPr>
                            <w:b/>
                            <w:i/>
                            <w:sz w:val="18"/>
                          </w:rPr>
                          <w:t>RECONOCIMIENTO DE PATRONES MEDIANTE LA RED NEURONAL  ARTIFICIAL DE</w:t>
                        </w:r>
                      </w:p>
                    </w:tc>
                    <w:tc>
                      <w:tcPr>
                        <w:tcW w:w="491" w:type="dxa"/>
                      </w:tcPr>
                      <w:p>
                        <w:pPr>
                          <w:pStyle w:val="TableParagraph"/>
                          <w:spacing w:before="88"/>
                          <w:ind w:left="134" w:right="16"/>
                          <w:jc w:val="center"/>
                          <w:rPr>
                            <w:b/>
                            <w:i/>
                            <w:sz w:val="18"/>
                          </w:rPr>
                        </w:pPr>
                        <w:r>
                          <w:rPr>
                            <w:b/>
                            <w:i/>
                            <w:sz w:val="18"/>
                          </w:rPr>
                          <w:t>177</w:t>
                        </w:r>
                      </w:p>
                    </w:tc>
                  </w:tr>
                  <w:tr>
                    <w:trPr>
                      <w:trHeight w:val="722" w:hRule="exact"/>
                    </w:trPr>
                    <w:tc>
                      <w:tcPr>
                        <w:tcW w:w="729" w:type="dxa"/>
                      </w:tcPr>
                      <w:p>
                        <w:pPr>
                          <w:pStyle w:val="TableParagraph"/>
                          <w:spacing w:before="5"/>
                          <w:ind w:left="0"/>
                          <w:rPr>
                            <w:b/>
                            <w:i/>
                            <w:sz w:val="16"/>
                          </w:rPr>
                        </w:pPr>
                      </w:p>
                      <w:p>
                        <w:pPr>
                          <w:pStyle w:val="TableParagraph"/>
                          <w:ind w:left="35"/>
                          <w:rPr>
                            <w:b/>
                            <w:sz w:val="18"/>
                          </w:rPr>
                        </w:pPr>
                        <w:r>
                          <w:rPr>
                            <w:b/>
                            <w:sz w:val="18"/>
                          </w:rPr>
                          <w:t>ISC-09</w:t>
                        </w:r>
                      </w:p>
                    </w:tc>
                    <w:tc>
                      <w:tcPr>
                        <w:tcW w:w="7485" w:type="dxa"/>
                      </w:tcPr>
                      <w:p>
                        <w:pPr>
                          <w:pStyle w:val="TableParagraph"/>
                          <w:spacing w:line="190" w:lineRule="exact"/>
                          <w:rPr>
                            <w:b/>
                            <w:i/>
                            <w:sz w:val="18"/>
                          </w:rPr>
                        </w:pPr>
                        <w:r>
                          <w:rPr>
                            <w:b/>
                            <w:i/>
                            <w:sz w:val="18"/>
                          </w:rPr>
                          <w:t>HAMMING</w:t>
                        </w:r>
                      </w:p>
                      <w:p>
                        <w:pPr>
                          <w:pStyle w:val="TableParagraph"/>
                          <w:spacing w:before="4"/>
                          <w:ind w:right="561"/>
                          <w:rPr>
                            <w:sz w:val="18"/>
                          </w:rPr>
                        </w:pPr>
                        <w:r>
                          <w:rPr>
                            <w:sz w:val="18"/>
                            <w:u w:val="single"/>
                          </w:rPr>
                          <w:t>J. A. Peña-Ramírez</w:t>
                        </w:r>
                        <w:r>
                          <w:rPr>
                            <w:sz w:val="18"/>
                          </w:rPr>
                          <w:t>, N. J. Ontiveros-Hernández, M. H. Tiburcio-Zúñiga, V. Bárcenas- Martínez, Y. Castrejón-Hernández, S. Espinoza-Salgado y J. P. Aragón-Hernández</w:t>
                        </w:r>
                      </w:p>
                    </w:tc>
                    <w:tc>
                      <w:tcPr>
                        <w:tcW w:w="491" w:type="dxa"/>
                      </w:tcPr>
                      <w:p>
                        <w:pPr/>
                      </w:p>
                    </w:tc>
                  </w:tr>
                  <w:tr>
                    <w:trPr>
                      <w:trHeight w:val="313" w:hRule="exact"/>
                    </w:trPr>
                    <w:tc>
                      <w:tcPr>
                        <w:tcW w:w="729" w:type="dxa"/>
                      </w:tcPr>
                      <w:p>
                        <w:pPr/>
                      </w:p>
                    </w:tc>
                    <w:tc>
                      <w:tcPr>
                        <w:tcW w:w="7485" w:type="dxa"/>
                      </w:tcPr>
                      <w:p>
                        <w:pPr>
                          <w:pStyle w:val="TableParagraph"/>
                          <w:spacing w:before="88"/>
                          <w:rPr>
                            <w:b/>
                            <w:i/>
                            <w:sz w:val="18"/>
                          </w:rPr>
                        </w:pPr>
                        <w:r>
                          <w:rPr>
                            <w:b/>
                            <w:i/>
                            <w:sz w:val="18"/>
                          </w:rPr>
                          <w:t>SEGURIDAD INFORMÁTICA A NIVEL DE SOFTWARE Y HARDWARE USANDO</w:t>
                        </w:r>
                      </w:p>
                    </w:tc>
                    <w:tc>
                      <w:tcPr>
                        <w:tcW w:w="491" w:type="dxa"/>
                      </w:tcPr>
                      <w:p>
                        <w:pPr>
                          <w:pStyle w:val="TableParagraph"/>
                          <w:spacing w:before="88"/>
                          <w:ind w:left="134" w:right="16"/>
                          <w:jc w:val="center"/>
                          <w:rPr>
                            <w:b/>
                            <w:i/>
                            <w:sz w:val="18"/>
                          </w:rPr>
                        </w:pPr>
                        <w:r>
                          <w:rPr>
                            <w:b/>
                            <w:i/>
                            <w:sz w:val="18"/>
                          </w:rPr>
                          <w:t>188</w:t>
                        </w:r>
                      </w:p>
                    </w:tc>
                  </w:tr>
                  <w:tr>
                    <w:trPr>
                      <w:trHeight w:val="722" w:hRule="exact"/>
                    </w:trPr>
                    <w:tc>
                      <w:tcPr>
                        <w:tcW w:w="729" w:type="dxa"/>
                      </w:tcPr>
                      <w:p>
                        <w:pPr>
                          <w:pStyle w:val="TableParagraph"/>
                          <w:spacing w:before="4"/>
                          <w:ind w:left="0"/>
                          <w:rPr>
                            <w:b/>
                            <w:i/>
                            <w:sz w:val="16"/>
                          </w:rPr>
                        </w:pPr>
                      </w:p>
                      <w:p>
                        <w:pPr>
                          <w:pStyle w:val="TableParagraph"/>
                          <w:ind w:left="35"/>
                          <w:rPr>
                            <w:b/>
                            <w:sz w:val="18"/>
                          </w:rPr>
                        </w:pPr>
                        <w:r>
                          <w:rPr>
                            <w:b/>
                            <w:sz w:val="18"/>
                          </w:rPr>
                          <w:t>ISC-10</w:t>
                        </w:r>
                      </w:p>
                    </w:tc>
                    <w:tc>
                      <w:tcPr>
                        <w:tcW w:w="7485" w:type="dxa"/>
                      </w:tcPr>
                      <w:p>
                        <w:pPr>
                          <w:pStyle w:val="TableParagraph"/>
                          <w:spacing w:line="191" w:lineRule="exact"/>
                          <w:rPr>
                            <w:b/>
                            <w:i/>
                            <w:sz w:val="18"/>
                          </w:rPr>
                        </w:pPr>
                        <w:r>
                          <w:rPr>
                            <w:b/>
                            <w:i/>
                            <w:sz w:val="18"/>
                          </w:rPr>
                          <w:t>ARDUINOS</w:t>
                        </w:r>
                      </w:p>
                      <w:p>
                        <w:pPr>
                          <w:pStyle w:val="TableParagraph"/>
                          <w:spacing w:before="2"/>
                          <w:ind w:right="461"/>
                          <w:rPr>
                            <w:sz w:val="18"/>
                          </w:rPr>
                        </w:pPr>
                        <w:r>
                          <w:rPr>
                            <w:sz w:val="18"/>
                            <w:u w:val="single"/>
                          </w:rPr>
                          <w:t>J. A. Peña-Ramírez</w:t>
                        </w:r>
                        <w:r>
                          <w:rPr>
                            <w:sz w:val="18"/>
                          </w:rPr>
                          <w:t>, N. J. Ontiveros-Hernández, V. Bárcenas-Martínez, M. H.Tiburcio- Zúñiga, Y. Castrejón-Hernández, S. Espinoza-Salgado y J.P. Aragón-Hernández</w:t>
                        </w:r>
                      </w:p>
                    </w:tc>
                    <w:tc>
                      <w:tcPr>
                        <w:tcW w:w="491" w:type="dxa"/>
                      </w:tcPr>
                      <w:p>
                        <w:pPr/>
                      </w:p>
                    </w:tc>
                  </w:tr>
                  <w:tr>
                    <w:trPr>
                      <w:trHeight w:val="300" w:hRule="exact"/>
                    </w:trPr>
                    <w:tc>
                      <w:tcPr>
                        <w:tcW w:w="729" w:type="dxa"/>
                      </w:tcPr>
                      <w:p>
                        <w:pPr/>
                      </w:p>
                    </w:tc>
                    <w:tc>
                      <w:tcPr>
                        <w:tcW w:w="7485" w:type="dxa"/>
                      </w:tcPr>
                      <w:p>
                        <w:pPr>
                          <w:pStyle w:val="TableParagraph"/>
                          <w:spacing w:before="89"/>
                          <w:rPr>
                            <w:b/>
                            <w:i/>
                            <w:sz w:val="18"/>
                          </w:rPr>
                        </w:pPr>
                        <w:r>
                          <w:rPr>
                            <w:b/>
                            <w:i/>
                            <w:sz w:val="18"/>
                          </w:rPr>
                          <w:t>SENSOR INTELIGENTE DE TEMPERATURA BASADO EN ARDUINO</w:t>
                        </w:r>
                      </w:p>
                    </w:tc>
                    <w:tc>
                      <w:tcPr>
                        <w:tcW w:w="491" w:type="dxa"/>
                      </w:tcPr>
                      <w:p>
                        <w:pPr>
                          <w:pStyle w:val="TableParagraph"/>
                          <w:spacing w:before="89"/>
                          <w:ind w:left="134" w:right="16"/>
                          <w:jc w:val="center"/>
                          <w:rPr>
                            <w:b/>
                            <w:i/>
                            <w:sz w:val="18"/>
                          </w:rPr>
                        </w:pPr>
                        <w:r>
                          <w:rPr>
                            <w:b/>
                            <w:i/>
                            <w:sz w:val="18"/>
                          </w:rPr>
                          <w:t>200</w:t>
                        </w:r>
                      </w:p>
                    </w:tc>
                  </w:tr>
                </w:tbl>
                <w:p>
                  <w:pPr>
                    <w:pStyle w:val="BodyText"/>
                  </w:pPr>
                </w:p>
              </w:txbxContent>
            </v:textbox>
            <w10:wrap type="none"/>
          </v:shape>
        </w:pict>
      </w:r>
      <w:r>
        <w:rPr>
          <w:b/>
          <w:sz w:val="18"/>
        </w:rPr>
        <w:t>ISC-07</w:t>
      </w:r>
    </w:p>
    <w:p>
      <w:pPr>
        <w:spacing w:before="70"/>
        <w:ind w:left="222" w:right="0" w:firstLine="0"/>
        <w:jc w:val="left"/>
        <w:rPr>
          <w:b/>
          <w:i/>
          <w:sz w:val="18"/>
        </w:rPr>
      </w:pPr>
      <w:r>
        <w:rPr/>
        <w:br w:type="column"/>
      </w:r>
      <w:r>
        <w:rPr>
          <w:b/>
          <w:i/>
          <w:sz w:val="18"/>
        </w:rPr>
        <w:t>MODELO DE SOFTWARE PARA EL ANÁLISIS DE RIESGO DE INUNDACIÓN </w:t>
      </w:r>
      <w:r>
        <w:rPr>
          <w:b/>
          <w:i/>
          <w:sz w:val="18"/>
        </w:rPr>
        <w:t>UTILIZANDO EL ENFOQUE SISTÉMICO, CASO: VALLE DE CHALCO</w:t>
      </w:r>
      <w:r>
        <w:rPr>
          <w:b/>
          <w:i/>
          <w:spacing w:val="-24"/>
          <w:sz w:val="18"/>
        </w:rPr>
        <w:t> </w:t>
      </w:r>
      <w:r>
        <w:rPr>
          <w:b/>
          <w:i/>
          <w:sz w:val="18"/>
        </w:rPr>
        <w:t>SOLIDARIDAD</w:t>
      </w:r>
    </w:p>
    <w:p>
      <w:pPr>
        <w:spacing w:before="70"/>
        <w:ind w:left="222" w:right="0" w:firstLine="0"/>
        <w:jc w:val="left"/>
        <w:rPr>
          <w:b/>
          <w:i/>
          <w:sz w:val="18"/>
        </w:rPr>
      </w:pPr>
      <w:r>
        <w:rPr/>
        <w:br w:type="column"/>
      </w:r>
      <w:r>
        <w:rPr>
          <w:b/>
          <w:i/>
          <w:sz w:val="18"/>
        </w:rPr>
        <w:t>162</w:t>
      </w:r>
    </w:p>
    <w:p>
      <w:pPr>
        <w:spacing w:after="0"/>
        <w:jc w:val="left"/>
        <w:rPr>
          <w:sz w:val="18"/>
        </w:rPr>
        <w:sectPr>
          <w:type w:val="continuous"/>
          <w:pgSz w:w="12240" w:h="15840"/>
          <w:pgMar w:top="460" w:bottom="0" w:left="1480" w:right="1500"/>
          <w:cols w:num="3" w:equalWidth="0">
            <w:col w:w="784" w:space="41"/>
            <w:col w:w="7309" w:space="198"/>
            <w:col w:w="928"/>
          </w:cols>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sz w:val="28"/>
        </w:rPr>
      </w:pPr>
    </w:p>
    <w:p>
      <w:pPr>
        <w:spacing w:after="0"/>
        <w:rPr>
          <w:sz w:val="28"/>
        </w:rPr>
        <w:sectPr>
          <w:type w:val="continuous"/>
          <w:pgSz w:w="12240" w:h="15840"/>
          <w:pgMar w:top="460" w:bottom="0" w:left="1480" w:right="1500"/>
        </w:sectPr>
      </w:pPr>
    </w:p>
    <w:p>
      <w:pPr>
        <w:pStyle w:val="BodyText"/>
        <w:spacing w:before="3"/>
        <w:rPr>
          <w:b/>
          <w:i/>
          <w:sz w:val="15"/>
        </w:rPr>
      </w:pPr>
    </w:p>
    <w:p>
      <w:pPr>
        <w:spacing w:before="1"/>
        <w:ind w:left="222" w:right="-19" w:firstLine="0"/>
        <w:jc w:val="left"/>
        <w:rPr>
          <w:b/>
          <w:sz w:val="18"/>
        </w:rPr>
      </w:pPr>
      <w:r>
        <w:rPr>
          <w:b/>
          <w:sz w:val="18"/>
        </w:rPr>
        <w:t>ISC-11</w:t>
      </w:r>
    </w:p>
    <w:p>
      <w:pPr>
        <w:spacing w:before="78"/>
        <w:ind w:left="222" w:right="1360" w:firstLine="0"/>
        <w:jc w:val="left"/>
        <w:rPr>
          <w:sz w:val="18"/>
        </w:rPr>
      </w:pPr>
      <w:r>
        <w:rPr/>
        <w:br w:type="column"/>
      </w:r>
      <w:r>
        <w:rPr>
          <w:sz w:val="18"/>
          <w:u w:val="single"/>
        </w:rPr>
        <w:t>S. Espinoza-Salgado</w:t>
      </w:r>
      <w:r>
        <w:rPr>
          <w:sz w:val="18"/>
        </w:rPr>
        <w:t>, V. Bárcenas-Martínez, Y. Castrejón-Hernández, M. H. Tiburcio- Zúñiga, N.J. Ontiveros-Hernández, R. Real-Palencia, J. A. Peña-Ramírez</w:t>
      </w:r>
    </w:p>
    <w:p>
      <w:pPr>
        <w:spacing w:after="0"/>
        <w:jc w:val="left"/>
        <w:rPr>
          <w:sz w:val="18"/>
        </w:rPr>
        <w:sectPr>
          <w:type w:val="continuous"/>
          <w:pgSz w:w="12240" w:h="15840"/>
          <w:pgMar w:top="460" w:bottom="0" w:left="1480" w:right="1500"/>
          <w:cols w:num="2" w:equalWidth="0">
            <w:col w:w="784" w:space="41"/>
            <w:col w:w="8435"/>
          </w:cols>
        </w:sectPr>
      </w:pPr>
    </w:p>
    <w:p>
      <w:pPr>
        <w:pStyle w:val="BodyText"/>
        <w:spacing w:before="9"/>
        <w:rPr>
          <w:sz w:val="11"/>
        </w:rPr>
      </w:pPr>
    </w:p>
    <w:p>
      <w:pPr>
        <w:spacing w:after="0"/>
        <w:rPr>
          <w:sz w:val="11"/>
        </w:rPr>
        <w:sectPr>
          <w:type w:val="continuous"/>
          <w:pgSz w:w="12240" w:h="15840"/>
          <w:pgMar w:top="460" w:bottom="0" w:left="1480" w:right="1500"/>
        </w:sectPr>
      </w:pPr>
    </w:p>
    <w:p>
      <w:pPr>
        <w:pStyle w:val="BodyText"/>
        <w:rPr>
          <w:sz w:val="18"/>
        </w:rPr>
      </w:pPr>
    </w:p>
    <w:p>
      <w:pPr>
        <w:pStyle w:val="BodyText"/>
        <w:spacing w:before="9"/>
        <w:rPr>
          <w:sz w:val="14"/>
        </w:rPr>
      </w:pPr>
    </w:p>
    <w:p>
      <w:pPr>
        <w:spacing w:before="0"/>
        <w:ind w:left="222" w:right="-19" w:firstLine="0"/>
        <w:jc w:val="left"/>
        <w:rPr>
          <w:b/>
          <w:sz w:val="18"/>
        </w:rPr>
      </w:pPr>
      <w:r>
        <w:rPr/>
        <w:pict>
          <v:shape style="position:absolute;margin-left:83.353996pt;margin-top:6.549057pt;width:435.25pt;height:96.95pt;mso-position-horizontal-relative:page;mso-position-vertical-relative:paragraph;z-index:11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29"/>
                    <w:gridCol w:w="7464"/>
                    <w:gridCol w:w="512"/>
                  </w:tblGrid>
                  <w:tr>
                    <w:trPr>
                      <w:trHeight w:val="613" w:hRule="exact"/>
                    </w:trPr>
                    <w:tc>
                      <w:tcPr>
                        <w:tcW w:w="729" w:type="dxa"/>
                      </w:tcPr>
                      <w:p>
                        <w:pPr/>
                      </w:p>
                    </w:tc>
                    <w:tc>
                      <w:tcPr>
                        <w:tcW w:w="7464" w:type="dxa"/>
                      </w:tcPr>
                      <w:p>
                        <w:pPr>
                          <w:pStyle w:val="TableParagraph"/>
                          <w:spacing w:line="184" w:lineRule="exact"/>
                          <w:rPr>
                            <w:sz w:val="18"/>
                          </w:rPr>
                        </w:pPr>
                        <w:r>
                          <w:rPr>
                            <w:sz w:val="18"/>
                          </w:rPr>
                          <w:t>Juárez, J. Rivas</w:t>
                        </w:r>
                      </w:p>
                      <w:p>
                        <w:pPr>
                          <w:pStyle w:val="TableParagraph"/>
                          <w:spacing w:before="10"/>
                          <w:ind w:left="0"/>
                          <w:rPr>
                            <w:b/>
                            <w:i/>
                            <w:sz w:val="17"/>
                          </w:rPr>
                        </w:pPr>
                      </w:p>
                      <w:p>
                        <w:pPr>
                          <w:pStyle w:val="TableParagraph"/>
                          <w:rPr>
                            <w:b/>
                            <w:i/>
                            <w:sz w:val="18"/>
                          </w:rPr>
                        </w:pPr>
                        <w:r>
                          <w:rPr>
                            <w:b/>
                            <w:i/>
                            <w:sz w:val="18"/>
                          </w:rPr>
                          <w:t>SISTEMA DE RECONOCIMIENTO DE MOVIMIENTO PARA LA PROMOCIÓN</w:t>
                        </w:r>
                      </w:p>
                    </w:tc>
                    <w:tc>
                      <w:tcPr>
                        <w:tcW w:w="512" w:type="dxa"/>
                      </w:tcPr>
                      <w:p>
                        <w:pPr>
                          <w:pStyle w:val="TableParagraph"/>
                          <w:ind w:left="0"/>
                          <w:rPr>
                            <w:b/>
                            <w:i/>
                            <w:sz w:val="18"/>
                          </w:rPr>
                        </w:pPr>
                      </w:p>
                      <w:p>
                        <w:pPr>
                          <w:pStyle w:val="TableParagraph"/>
                          <w:spacing w:before="10"/>
                          <w:ind w:left="0"/>
                          <w:rPr>
                            <w:b/>
                            <w:i/>
                            <w:sz w:val="15"/>
                          </w:rPr>
                        </w:pPr>
                      </w:p>
                      <w:p>
                        <w:pPr>
                          <w:pStyle w:val="TableParagraph"/>
                          <w:ind w:left="0" w:right="33"/>
                          <w:jc w:val="right"/>
                          <w:rPr>
                            <w:b/>
                            <w:i/>
                            <w:sz w:val="18"/>
                          </w:rPr>
                        </w:pPr>
                        <w:r>
                          <w:rPr>
                            <w:b/>
                            <w:i/>
                            <w:sz w:val="18"/>
                          </w:rPr>
                          <w:t>213</w:t>
                        </w:r>
                      </w:p>
                    </w:tc>
                  </w:tr>
                  <w:tr>
                    <w:trPr>
                      <w:trHeight w:val="721" w:hRule="exact"/>
                    </w:trPr>
                    <w:tc>
                      <w:tcPr>
                        <w:tcW w:w="729" w:type="dxa"/>
                      </w:tcPr>
                      <w:p>
                        <w:pPr>
                          <w:pStyle w:val="TableParagraph"/>
                          <w:spacing w:before="3"/>
                          <w:ind w:left="0"/>
                          <w:rPr>
                            <w:b/>
                            <w:i/>
                            <w:sz w:val="16"/>
                          </w:rPr>
                        </w:pPr>
                      </w:p>
                      <w:p>
                        <w:pPr>
                          <w:pStyle w:val="TableParagraph"/>
                          <w:ind w:left="35"/>
                          <w:rPr>
                            <w:b/>
                            <w:sz w:val="18"/>
                          </w:rPr>
                        </w:pPr>
                        <w:r>
                          <w:rPr>
                            <w:b/>
                            <w:sz w:val="18"/>
                          </w:rPr>
                          <w:t>ISC-13</w:t>
                        </w:r>
                      </w:p>
                    </w:tc>
                    <w:tc>
                      <w:tcPr>
                        <w:tcW w:w="7464" w:type="dxa"/>
                      </w:tcPr>
                      <w:p>
                        <w:pPr>
                          <w:pStyle w:val="TableParagraph"/>
                          <w:spacing w:line="190" w:lineRule="exact"/>
                          <w:rPr>
                            <w:b/>
                            <w:i/>
                            <w:sz w:val="18"/>
                          </w:rPr>
                        </w:pPr>
                        <w:r>
                          <w:rPr>
                            <w:b/>
                            <w:i/>
                            <w:sz w:val="18"/>
                          </w:rPr>
                          <w:t>INSTITUCIONAL CON ORIENTACIÓN VOCACIONAL</w:t>
                        </w:r>
                      </w:p>
                      <w:p>
                        <w:pPr>
                          <w:pStyle w:val="TableParagraph"/>
                          <w:spacing w:line="207" w:lineRule="exact" w:before="2"/>
                          <w:rPr>
                            <w:sz w:val="18"/>
                          </w:rPr>
                        </w:pPr>
                        <w:r>
                          <w:rPr>
                            <w:sz w:val="18"/>
                            <w:u w:val="single"/>
                          </w:rPr>
                          <w:t>L. Cuevas-Bracamontes</w:t>
                        </w:r>
                        <w:r>
                          <w:rPr>
                            <w:sz w:val="18"/>
                          </w:rPr>
                          <w:t>, S. Valle-Bahena, A. Dionicio-Abraján, D.I. Salgado-Guzmán y</w:t>
                        </w:r>
                      </w:p>
                      <w:p>
                        <w:pPr>
                          <w:pStyle w:val="TableParagraph"/>
                          <w:spacing w:line="207" w:lineRule="exact"/>
                          <w:rPr>
                            <w:sz w:val="18"/>
                          </w:rPr>
                        </w:pPr>
                        <w:r>
                          <w:rPr>
                            <w:sz w:val="18"/>
                          </w:rPr>
                          <w:t>J.U. García-Cervantes</w:t>
                        </w:r>
                      </w:p>
                    </w:tc>
                    <w:tc>
                      <w:tcPr>
                        <w:tcW w:w="512" w:type="dxa"/>
                      </w:tcPr>
                      <w:p>
                        <w:pPr/>
                      </w:p>
                    </w:tc>
                  </w:tr>
                  <w:tr>
                    <w:trPr>
                      <w:trHeight w:val="604" w:hRule="exact"/>
                    </w:trPr>
                    <w:tc>
                      <w:tcPr>
                        <w:tcW w:w="729" w:type="dxa"/>
                      </w:tcPr>
                      <w:p>
                        <w:pPr>
                          <w:pStyle w:val="TableParagraph"/>
                          <w:spacing w:before="6"/>
                          <w:ind w:left="0"/>
                          <w:rPr>
                            <w:b/>
                            <w:i/>
                            <w:sz w:val="25"/>
                          </w:rPr>
                        </w:pPr>
                      </w:p>
                      <w:p>
                        <w:pPr>
                          <w:pStyle w:val="TableParagraph"/>
                          <w:ind w:left="35"/>
                          <w:rPr>
                            <w:b/>
                            <w:sz w:val="18"/>
                          </w:rPr>
                        </w:pPr>
                        <w:r>
                          <w:rPr>
                            <w:b/>
                            <w:sz w:val="18"/>
                          </w:rPr>
                          <w:t>ISC-14</w:t>
                        </w:r>
                      </w:p>
                    </w:tc>
                    <w:tc>
                      <w:tcPr>
                        <w:tcW w:w="7464" w:type="dxa"/>
                      </w:tcPr>
                      <w:p>
                        <w:pPr>
                          <w:pStyle w:val="TableParagraph"/>
                          <w:spacing w:before="89"/>
                          <w:rPr>
                            <w:b/>
                            <w:i/>
                            <w:sz w:val="18"/>
                          </w:rPr>
                        </w:pPr>
                        <w:r>
                          <w:rPr>
                            <w:b/>
                            <w:i/>
                            <w:sz w:val="18"/>
                          </w:rPr>
                          <w:t>SISTEMA GRÁFICO PARA VISUALIZACIÓN DE LOTES DE SIEMBRA EN EL CIMMYT</w:t>
                        </w:r>
                      </w:p>
                      <w:p>
                        <w:pPr>
                          <w:pStyle w:val="TableParagraph"/>
                          <w:spacing w:before="2"/>
                          <w:rPr>
                            <w:sz w:val="18"/>
                          </w:rPr>
                        </w:pPr>
                        <w:r>
                          <w:rPr>
                            <w:sz w:val="18"/>
                          </w:rPr>
                          <w:t>B. A. Aranda Benítez, </w:t>
                        </w:r>
                        <w:r>
                          <w:rPr>
                            <w:sz w:val="18"/>
                            <w:u w:val="single"/>
                          </w:rPr>
                          <w:t>L.  Villavicencio Gómez, </w:t>
                        </w:r>
                        <w:r>
                          <w:rPr>
                            <w:sz w:val="18"/>
                          </w:rPr>
                          <w:t>E. Silva Colín, O. Bañuelos Tavares</w:t>
                        </w:r>
                      </w:p>
                    </w:tc>
                    <w:tc>
                      <w:tcPr>
                        <w:tcW w:w="512" w:type="dxa"/>
                      </w:tcPr>
                      <w:p>
                        <w:pPr>
                          <w:pStyle w:val="TableParagraph"/>
                          <w:spacing w:before="89"/>
                          <w:ind w:left="0" w:right="33"/>
                          <w:jc w:val="right"/>
                          <w:rPr>
                            <w:b/>
                            <w:i/>
                            <w:sz w:val="18"/>
                          </w:rPr>
                        </w:pPr>
                        <w:r>
                          <w:rPr>
                            <w:b/>
                            <w:i/>
                            <w:sz w:val="18"/>
                          </w:rPr>
                          <w:t>223</w:t>
                        </w:r>
                      </w:p>
                    </w:tc>
                  </w:tr>
                </w:tbl>
                <w:p>
                  <w:pPr>
                    <w:pStyle w:val="BodyText"/>
                  </w:pPr>
                </w:p>
              </w:txbxContent>
            </v:textbox>
            <w10:wrap type="none"/>
          </v:shape>
        </w:pict>
      </w:r>
      <w:r>
        <w:rPr>
          <w:b/>
          <w:sz w:val="18"/>
        </w:rPr>
        <w:t>ISC-12</w:t>
      </w:r>
    </w:p>
    <w:p>
      <w:pPr>
        <w:spacing w:before="70"/>
        <w:ind w:left="222" w:right="0" w:firstLine="0"/>
        <w:jc w:val="left"/>
        <w:rPr>
          <w:b/>
          <w:i/>
          <w:sz w:val="18"/>
        </w:rPr>
      </w:pPr>
      <w:r>
        <w:rPr/>
        <w:br w:type="column"/>
      </w:r>
      <w:r>
        <w:rPr>
          <w:b/>
          <w:i/>
          <w:sz w:val="18"/>
        </w:rPr>
        <w:t>SERVICIO PARA EMISIÓN DE DOCUMENTOS ELECTRÓNICOS (SEDE)</w:t>
      </w:r>
    </w:p>
    <w:p>
      <w:pPr>
        <w:spacing w:before="2"/>
        <w:ind w:left="222" w:right="0" w:firstLine="0"/>
        <w:jc w:val="left"/>
        <w:rPr>
          <w:sz w:val="18"/>
        </w:rPr>
      </w:pPr>
      <w:r>
        <w:rPr>
          <w:sz w:val="18"/>
        </w:rPr>
        <w:t>L. A. Gama-Moreno, C. Martínez H. , J. A. Torres R., J. L. Torres, A. Ramírez, M. A.</w:t>
      </w:r>
    </w:p>
    <w:p>
      <w:pPr>
        <w:spacing w:before="70"/>
        <w:ind w:left="222" w:right="0" w:firstLine="0"/>
        <w:jc w:val="left"/>
        <w:rPr>
          <w:b/>
          <w:i/>
          <w:sz w:val="18"/>
        </w:rPr>
      </w:pPr>
      <w:r>
        <w:rPr/>
        <w:br w:type="column"/>
      </w:r>
      <w:r>
        <w:rPr>
          <w:b/>
          <w:i/>
          <w:sz w:val="18"/>
        </w:rPr>
        <w:t>204</w:t>
      </w:r>
    </w:p>
    <w:p>
      <w:pPr>
        <w:spacing w:after="0"/>
        <w:jc w:val="left"/>
        <w:rPr>
          <w:sz w:val="18"/>
        </w:rPr>
        <w:sectPr>
          <w:type w:val="continuous"/>
          <w:pgSz w:w="12240" w:h="15840"/>
          <w:pgMar w:top="460" w:bottom="0" w:left="1480" w:right="1500"/>
          <w:cols w:num="3" w:equalWidth="0">
            <w:col w:w="784" w:space="41"/>
            <w:col w:w="6935" w:space="571"/>
            <w:col w:w="929"/>
          </w:cols>
        </w:sect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7"/>
        <w:rPr>
          <w:b/>
          <w:i/>
          <w:sz w:val="22"/>
        </w:rPr>
      </w:pPr>
    </w:p>
    <w:p>
      <w:pPr>
        <w:pStyle w:val="BodyText"/>
        <w:ind w:left="4562"/>
        <w:rPr>
          <w:sz w:val="20"/>
        </w:rPr>
      </w:pPr>
      <w:r>
        <w:rPr>
          <w:sz w:val="20"/>
        </w:rPr>
        <w:drawing>
          <wp:inline distT="0" distB="0" distL="0" distR="0">
            <wp:extent cx="198120" cy="193548"/>
            <wp:effectExtent l="0" t="0" r="0" b="0"/>
            <wp:docPr id="3" name="image4.png" descr=""/>
            <wp:cNvGraphicFramePr>
              <a:graphicFrameLocks noChangeAspect="1"/>
            </wp:cNvGraphicFramePr>
            <a:graphic>
              <a:graphicData uri="http://schemas.openxmlformats.org/drawingml/2006/picture">
                <pic:pic>
                  <pic:nvPicPr>
                    <pic:cNvPr id="4" name="image4.png"/>
                    <pic:cNvPicPr/>
                  </pic:nvPicPr>
                  <pic:blipFill>
                    <a:blip r:embed="rId9" cstate="print"/>
                    <a:stretch>
                      <a:fillRect/>
                    </a:stretch>
                  </pic:blipFill>
                  <pic:spPr>
                    <a:xfrm>
                      <a:off x="0" y="0"/>
                      <a:ext cx="198120" cy="193548"/>
                    </a:xfrm>
                    <a:prstGeom prst="rect">
                      <a:avLst/>
                    </a:prstGeom>
                  </pic:spPr>
                </pic:pic>
              </a:graphicData>
            </a:graphic>
          </wp:inline>
        </w:drawing>
      </w:r>
      <w:r>
        <w:rPr>
          <w:sz w:val="20"/>
        </w:rPr>
      </w:r>
    </w:p>
    <w:p>
      <w:pPr>
        <w:spacing w:after="0"/>
        <w:rPr>
          <w:sz w:val="20"/>
        </w:rPr>
        <w:sectPr>
          <w:type w:val="continuous"/>
          <w:pgSz w:w="12240" w:h="15840"/>
          <w:pgMar w:top="460" w:bottom="0" w:left="1480" w:right="1500"/>
        </w:sectPr>
      </w:pPr>
    </w:p>
    <w:p>
      <w:pPr>
        <w:pStyle w:val="BodyText"/>
        <w:rPr>
          <w:b/>
          <w:i/>
          <w:sz w:val="20"/>
        </w:rPr>
      </w:pPr>
    </w:p>
    <w:p>
      <w:pPr>
        <w:pStyle w:val="BodyText"/>
        <w:rPr>
          <w:b/>
          <w:i/>
          <w:sz w:val="20"/>
        </w:rPr>
      </w:pPr>
    </w:p>
    <w:p>
      <w:pPr>
        <w:pStyle w:val="BodyText"/>
        <w:spacing w:before="1"/>
        <w:rPr>
          <w:b/>
          <w:i/>
          <w:sz w:val="20"/>
        </w:rPr>
      </w:pPr>
    </w:p>
    <w:p>
      <w:pPr>
        <w:spacing w:line="240" w:lineRule="auto" w:before="53"/>
        <w:ind w:left="102" w:right="786" w:firstLine="0"/>
        <w:jc w:val="both"/>
        <w:rPr>
          <w:b/>
          <w:sz w:val="28"/>
        </w:rPr>
      </w:pPr>
      <w:r>
        <w:rPr>
          <w:b/>
          <w:sz w:val="28"/>
        </w:rPr>
        <w:t>MODELO DE SOFTWARE PARA EL ANÁLISIS DE RIESGO DE INUNDACIÓN UTILIZANDO EL ENFOQUE SISTÉMICO, CASO: VALLE DE CHALCO SOLIDARIDAD.</w:t>
      </w:r>
    </w:p>
    <w:p>
      <w:pPr>
        <w:spacing w:line="228" w:lineRule="exact" w:before="0"/>
        <w:ind w:left="757" w:right="0" w:firstLine="0"/>
        <w:jc w:val="left"/>
        <w:rPr>
          <w:b/>
          <w:sz w:val="13"/>
        </w:rPr>
      </w:pPr>
      <w:r>
        <w:rPr/>
        <w:pict>
          <v:line style="position:absolute;mso-position-horizontal-relative:page;mso-position-vertical-relative:paragraph;z-index:-12088" from="383.829987pt,10.893218pt" to="494.129987pt,10.893218pt" stroked="true" strokeweight="1.08pt" strokecolor="#000000">
            <w10:wrap type="none"/>
          </v:line>
        </w:pict>
      </w:r>
      <w:r>
        <w:rPr>
          <w:b/>
          <w:sz w:val="20"/>
        </w:rPr>
        <w:t>S. Olmos-Peña</w:t>
      </w:r>
      <w:r>
        <w:rPr>
          <w:b/>
          <w:position w:val="10"/>
          <w:sz w:val="13"/>
        </w:rPr>
        <w:t>1</w:t>
      </w:r>
      <w:r>
        <w:rPr>
          <w:b/>
          <w:sz w:val="20"/>
        </w:rPr>
        <w:t>, R. G. Cruz- Flores</w:t>
      </w:r>
      <w:r>
        <w:rPr>
          <w:b/>
          <w:position w:val="10"/>
          <w:sz w:val="13"/>
        </w:rPr>
        <w:t>1</w:t>
      </w:r>
      <w:r>
        <w:rPr>
          <w:b/>
          <w:sz w:val="20"/>
        </w:rPr>
        <w:t>, C. Juarez- Landín</w:t>
      </w:r>
      <w:r>
        <w:rPr>
          <w:b/>
          <w:position w:val="10"/>
          <w:sz w:val="13"/>
        </w:rPr>
        <w:t>1</w:t>
      </w:r>
      <w:r>
        <w:rPr>
          <w:b/>
          <w:sz w:val="20"/>
        </w:rPr>
        <w:t>, H. Delgado-Hernández</w:t>
      </w:r>
      <w:r>
        <w:rPr>
          <w:b/>
          <w:position w:val="10"/>
          <w:sz w:val="13"/>
        </w:rPr>
        <w:t>1</w:t>
      </w:r>
    </w:p>
    <w:p>
      <w:pPr>
        <w:spacing w:before="196"/>
        <w:ind w:left="219" w:right="238" w:firstLine="0"/>
        <w:jc w:val="center"/>
        <w:rPr>
          <w:i/>
          <w:sz w:val="20"/>
        </w:rPr>
      </w:pPr>
      <w:r>
        <w:rPr>
          <w:i/>
          <w:position w:val="10"/>
          <w:sz w:val="13"/>
        </w:rPr>
        <w:t>1 </w:t>
      </w:r>
      <w:r>
        <w:rPr>
          <w:i/>
          <w:sz w:val="20"/>
        </w:rPr>
        <w:t>Universidad Autónoma del Estado de México, Centro Universitario Valle de Chalco, Maestría en </w:t>
      </w:r>
      <w:r>
        <w:rPr>
          <w:i/>
          <w:sz w:val="20"/>
        </w:rPr>
        <w:t>Ciencias de la Computación, Av. Hermenegildo Galeana 3, Col. Ma. Isabel, Valle de Chalco Solidaridad, Estado de México. 56615 </w:t>
      </w:r>
      <w:hyperlink r:id="rId11">
        <w:r>
          <w:rPr>
            <w:i/>
            <w:color w:val="1155CC"/>
            <w:sz w:val="20"/>
            <w:u w:val="single" w:color="1155CC"/>
          </w:rPr>
          <w:t>http://cux.uaemex.mx/</w:t>
        </w:r>
      </w:hyperlink>
    </w:p>
    <w:p>
      <w:pPr>
        <w:spacing w:before="0"/>
        <w:ind w:left="133" w:right="0" w:firstLine="0"/>
        <w:jc w:val="both"/>
        <w:rPr>
          <w:i/>
          <w:sz w:val="20"/>
        </w:rPr>
      </w:pPr>
      <w:hyperlink r:id="rId12">
        <w:r>
          <w:rPr>
            <w:i/>
            <w:color w:val="0000FF"/>
            <w:sz w:val="20"/>
            <w:u w:val="single" w:color="0000FF"/>
          </w:rPr>
          <w:t>samuelop@gmail.com</w:t>
        </w:r>
        <w:r>
          <w:rPr>
            <w:i/>
            <w:sz w:val="20"/>
          </w:rPr>
          <w:t>;</w:t>
        </w:r>
      </w:hyperlink>
      <w:r>
        <w:rPr>
          <w:i/>
          <w:sz w:val="20"/>
        </w:rPr>
        <w:t> </w:t>
      </w:r>
      <w:hyperlink r:id="rId13">
        <w:r>
          <w:rPr>
            <w:i/>
            <w:color w:val="0000FF"/>
            <w:sz w:val="20"/>
            <w:u w:val="single" w:color="0000FF"/>
          </w:rPr>
          <w:t>rgcruzf@uaemex.mx</w:t>
        </w:r>
        <w:r>
          <w:rPr>
            <w:i/>
            <w:sz w:val="20"/>
          </w:rPr>
          <w:t>;</w:t>
        </w:r>
      </w:hyperlink>
      <w:r>
        <w:rPr>
          <w:i/>
          <w:sz w:val="20"/>
        </w:rPr>
        <w:t> </w:t>
      </w:r>
      <w:hyperlink r:id="rId14">
        <w:r>
          <w:rPr>
            <w:i/>
            <w:color w:val="0000FF"/>
            <w:sz w:val="20"/>
            <w:u w:val="single" w:color="0000FF"/>
          </w:rPr>
          <w:t>cjlandin@gmail.com</w:t>
        </w:r>
        <w:r>
          <w:rPr>
            <w:i/>
            <w:color w:val="777777"/>
            <w:sz w:val="20"/>
          </w:rPr>
          <w:t>;</w:t>
        </w:r>
      </w:hyperlink>
      <w:r>
        <w:rPr>
          <w:i/>
          <w:color w:val="777777"/>
          <w:sz w:val="20"/>
        </w:rPr>
        <w:t> </w:t>
      </w:r>
      <w:hyperlink r:id="rId15">
        <w:r>
          <w:rPr>
            <w:i/>
            <w:color w:val="0000FF"/>
            <w:sz w:val="20"/>
            <w:u w:val="single" w:color="0000FF"/>
          </w:rPr>
          <w:t>hector.delgado.hdz@gmail.com</w:t>
        </w:r>
      </w:hyperlink>
    </w:p>
    <w:p>
      <w:pPr>
        <w:pStyle w:val="BodyText"/>
        <w:spacing w:before="1"/>
        <w:rPr>
          <w:i/>
          <w:sz w:val="18"/>
        </w:rPr>
      </w:pPr>
    </w:p>
    <w:p>
      <w:pPr>
        <w:spacing w:before="70"/>
        <w:ind w:left="219" w:right="234" w:firstLine="0"/>
        <w:jc w:val="center"/>
        <w:rPr>
          <w:i/>
          <w:sz w:val="18"/>
        </w:rPr>
      </w:pPr>
      <w:r>
        <w:rPr>
          <w:b/>
          <w:i/>
          <w:sz w:val="18"/>
        </w:rPr>
        <w:t>Área de participación</w:t>
      </w:r>
      <w:r>
        <w:rPr>
          <w:i/>
          <w:sz w:val="18"/>
        </w:rPr>
        <w:t>: </w:t>
      </w:r>
      <w:r>
        <w:rPr>
          <w:i/>
          <w:color w:val="1F497D"/>
          <w:sz w:val="18"/>
        </w:rPr>
        <w:t>Ciencias de la Computación</w:t>
      </w:r>
    </w:p>
    <w:p>
      <w:pPr>
        <w:pStyle w:val="BodyText"/>
        <w:spacing w:before="9"/>
        <w:rPr>
          <w:i/>
          <w:sz w:val="23"/>
        </w:rPr>
      </w:pPr>
    </w:p>
    <w:p>
      <w:pPr>
        <w:spacing w:line="240" w:lineRule="auto" w:before="0"/>
        <w:ind w:left="102" w:right="117" w:firstLine="0"/>
        <w:jc w:val="both"/>
        <w:rPr>
          <w:sz w:val="20"/>
        </w:rPr>
      </w:pPr>
      <w:r>
        <w:rPr>
          <w:b/>
          <w:sz w:val="20"/>
        </w:rPr>
        <w:t>Resumen</w:t>
      </w:r>
      <w:r>
        <w:rPr>
          <w:sz w:val="20"/>
        </w:rPr>
        <w:t>: Se desarrolló desde un enfoque de sistemas, la obtención de un Modelo para el  Análisis de Riesgo de Inundación, posteriormente, con la ayuda del modelo conseguido, se logró también la obtención de un software; fue necesario primeramente; identificar los diferentes factores que influyeron en La Inundación de Valle de Chalco Solidaridad del 2010. Para después caracterizarlos y determinar cuáles factores debe analizar un modelo que intente evaluar el riesgo de inundación y finalmente se diseñó y desarrolló el software. En el citado municipio son frecuentes este tipo de desastres al menos en las últimas dos</w:t>
      </w:r>
      <w:r>
        <w:rPr>
          <w:spacing w:val="-36"/>
          <w:sz w:val="20"/>
        </w:rPr>
        <w:t> </w:t>
      </w:r>
      <w:r>
        <w:rPr>
          <w:sz w:val="20"/>
        </w:rPr>
        <w:t>décadas.</w:t>
      </w:r>
    </w:p>
    <w:p>
      <w:pPr>
        <w:pStyle w:val="BodyText"/>
        <w:rPr>
          <w:sz w:val="20"/>
        </w:rPr>
      </w:pPr>
    </w:p>
    <w:p>
      <w:pPr>
        <w:pStyle w:val="Heading1"/>
        <w:spacing w:before="165"/>
      </w:pPr>
      <w:r>
        <w:rPr/>
        <w:t>Introducción.</w:t>
      </w:r>
    </w:p>
    <w:p>
      <w:pPr>
        <w:pStyle w:val="BodyText"/>
        <w:spacing w:before="120"/>
        <w:ind w:left="102" w:right="117"/>
        <w:jc w:val="both"/>
      </w:pPr>
      <w:r>
        <w:rPr/>
        <w:t>La madrugada del 5 de febrero de 2010, se colapsó una de las paredes de contención del Canal de la Compañía en una extensión aproximada de 70 metros. De inmediato se generó una inundación de aguas negras de hasta 2 metros de altura, cortando la circulación en la autopista México-Puebla y cubriendo las zonas habitacionales aledañas. Se estima que este desastre afectó a 11 mil familias y 1,600 viviendas. En Valle de Chalco Solidaridad se vivió una catástrofe anunciada. Se tenía el antecedente del año 2000, cuando se reventó el Canal de la Compañía a la altura de Puente Rojo. En esa ocasión, aunque no afectó a la autopista, inundó varias colonias del municipio colindante de</w:t>
      </w:r>
      <w:r>
        <w:rPr>
          <w:spacing w:val="-31"/>
        </w:rPr>
        <w:t> </w:t>
      </w:r>
      <w:r>
        <w:rPr/>
        <w:t>Ixtapaluca.</w:t>
      </w:r>
    </w:p>
    <w:p>
      <w:pPr>
        <w:pStyle w:val="BodyText"/>
      </w:pPr>
    </w:p>
    <w:p>
      <w:pPr>
        <w:pStyle w:val="BodyText"/>
        <w:ind w:left="102" w:right="124"/>
        <w:jc w:val="both"/>
      </w:pPr>
      <w:r>
        <w:rPr/>
        <w:t>La mayoría de las investigaciones que se han llevado a cabo en el área de los desastres naturales han sido enfocados en proporcionar una respuesta inmediata al impacto de una contingencia, ejemplos como: sistemas de alerta temprana, pronósticos, vulnerabilidad, resiliencia, desarrollo, etcétera; ver por ejemplo, Mileti, et al. (1995, 1999); McEntire (2002, 2003, 2004); Weichselgartner (2001);   Burton,</w:t>
      </w:r>
    </w:p>
    <w:p>
      <w:pPr>
        <w:pStyle w:val="BodyText"/>
        <w:ind w:left="102"/>
        <w:jc w:val="both"/>
      </w:pPr>
      <w:r>
        <w:rPr/>
        <w:t>1993;  Granot  (1997);  Kouzmin,  et  al.  (1995);  Quarantelli  (1984);  Levin (1976);</w:t>
      </w:r>
    </w:p>
    <w:p>
      <w:pPr>
        <w:pStyle w:val="BodyText"/>
        <w:ind w:left="102" w:right="117"/>
        <w:jc w:val="both"/>
      </w:pPr>
      <w:r>
        <w:rPr/>
        <w:t>Wilson (2000); Cosgrave, (1996); Vroom, et al. (1973); Fisher (1998); Murai  (2006); Annan (2005); Egeland (2006), entre otros, dan cuenta de</w:t>
      </w:r>
      <w:r>
        <w:rPr>
          <w:spacing w:val="-32"/>
        </w:rPr>
        <w:t> </w:t>
      </w:r>
      <w:r>
        <w:rPr/>
        <w:t>esto.</w:t>
      </w:r>
    </w:p>
    <w:p>
      <w:pPr>
        <w:pStyle w:val="BodyText"/>
      </w:pPr>
    </w:p>
    <w:p>
      <w:pPr>
        <w:pStyle w:val="BodyText"/>
        <w:ind w:left="102" w:right="117"/>
        <w:jc w:val="both"/>
      </w:pPr>
      <w:r>
        <w:rPr/>
        <w:t>Y a pesar de los numerosos estudios e investigaciones que se han llevado a cabo sobre desastres naturales que tienen por objetivo satisfacer la imperiosa  necesidad de prevenirnos para salir lo menos afectados posible; sin embargo, no hay mucha evidencia de una investigación en el desarrollo de metodologías o modelos para el diagnóstico de desastres naturales y mucho menos de apoyo de software para analizar este tipo de desastres, particularmente en el caso de inundaciones  en  el  país,  ni  en  el  Estado  de  México  y  menos  aún  para  </w:t>
      </w:r>
      <w:r>
        <w:rPr>
          <w:spacing w:val="32"/>
        </w:rPr>
        <w:t> </w:t>
      </w:r>
      <w:r>
        <w:rPr/>
        <w:t>los</w:t>
      </w:r>
    </w:p>
    <w:p>
      <w:pPr>
        <w:spacing w:after="0"/>
        <w:jc w:val="both"/>
        <w:sectPr>
          <w:footerReference w:type="default" r:id="rId10"/>
          <w:pgSz w:w="12240" w:h="15840"/>
          <w:pgMar w:footer="1087" w:header="603" w:top="940" w:bottom="1280" w:left="1600" w:right="1580"/>
        </w:sectPr>
      </w:pPr>
    </w:p>
    <w:p>
      <w:pPr>
        <w:pStyle w:val="BodyText"/>
        <w:rPr>
          <w:sz w:val="20"/>
        </w:rPr>
      </w:pPr>
    </w:p>
    <w:p>
      <w:pPr>
        <w:pStyle w:val="BodyText"/>
        <w:spacing w:before="7"/>
        <w:rPr>
          <w:sz w:val="20"/>
        </w:rPr>
      </w:pPr>
    </w:p>
    <w:p>
      <w:pPr>
        <w:pStyle w:val="BodyText"/>
        <w:ind w:left="102" w:right="123"/>
        <w:jc w:val="both"/>
      </w:pPr>
      <w:r>
        <w:rPr/>
        <w:t>municipios susceptibles de sufrir este tipo de eventos, como es el caso de Valle de Chalco Solidaridad.</w:t>
      </w:r>
    </w:p>
    <w:p>
      <w:pPr>
        <w:pStyle w:val="BodyText"/>
      </w:pPr>
    </w:p>
    <w:p>
      <w:pPr>
        <w:pStyle w:val="Heading1"/>
      </w:pPr>
      <w:r>
        <w:rPr/>
        <w:t>Sección Experimental y/o Fundamento Teórico.</w:t>
      </w:r>
    </w:p>
    <w:p>
      <w:pPr>
        <w:pStyle w:val="BodyText"/>
        <w:spacing w:before="120"/>
        <w:ind w:left="102" w:right="115"/>
        <w:jc w:val="both"/>
      </w:pPr>
      <w:r>
        <w:rPr/>
        <w:t>De acuerdo a la revisión de la literatura, no hay una norma o estándar bien establecida que defina un sistema de gestión de riesgos de desastres; sin embargo, la Figura 1 muestra un arreglo típico que se usa en la gestión de  desastres o emergencias. (OPS; 2000).</w:t>
      </w:r>
    </w:p>
    <w:p>
      <w:pPr>
        <w:pStyle w:val="BodyText"/>
        <w:spacing w:before="10"/>
        <w:rPr>
          <w:sz w:val="20"/>
        </w:rPr>
      </w:pPr>
      <w:r>
        <w:rPr/>
        <w:drawing>
          <wp:anchor distT="0" distB="0" distL="0" distR="0" allowOverlap="1" layoutInCell="1" locked="0" behindDoc="0" simplePos="0" relativeHeight="1168">
            <wp:simplePos x="0" y="0"/>
            <wp:positionH relativeFrom="page">
              <wp:posOffset>2444750</wp:posOffset>
            </wp:positionH>
            <wp:positionV relativeFrom="paragraph">
              <wp:posOffset>177762</wp:posOffset>
            </wp:positionV>
            <wp:extent cx="2848546" cy="2740628"/>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16" cstate="print"/>
                    <a:stretch>
                      <a:fillRect/>
                    </a:stretch>
                  </pic:blipFill>
                  <pic:spPr>
                    <a:xfrm>
                      <a:off x="0" y="0"/>
                      <a:ext cx="2848546" cy="2740628"/>
                    </a:xfrm>
                    <a:prstGeom prst="rect">
                      <a:avLst/>
                    </a:prstGeom>
                  </pic:spPr>
                </pic:pic>
              </a:graphicData>
            </a:graphic>
          </wp:anchor>
        </w:drawing>
      </w:r>
    </w:p>
    <w:p>
      <w:pPr>
        <w:spacing w:before="19"/>
        <w:ind w:left="711" w:right="0" w:firstLine="0"/>
        <w:jc w:val="left"/>
        <w:rPr>
          <w:sz w:val="20"/>
        </w:rPr>
      </w:pPr>
      <w:r>
        <w:rPr>
          <w:b/>
          <w:sz w:val="20"/>
        </w:rPr>
        <w:t>Figura 1 </w:t>
      </w:r>
      <w:r>
        <w:rPr>
          <w:sz w:val="20"/>
        </w:rPr>
        <w:t>Etapas típicas del proceso de gestión de riesgos de desastres. (OPS; 2000).</w:t>
      </w:r>
    </w:p>
    <w:p>
      <w:pPr>
        <w:pStyle w:val="BodyText"/>
        <w:spacing w:before="1"/>
      </w:pPr>
    </w:p>
    <w:p>
      <w:pPr>
        <w:pStyle w:val="BodyText"/>
        <w:ind w:left="102"/>
        <w:jc w:val="both"/>
      </w:pPr>
      <w:r>
        <w:rPr/>
        <w:t>Enfoque sistémico</w:t>
      </w:r>
    </w:p>
    <w:p>
      <w:pPr>
        <w:pStyle w:val="BodyText"/>
      </w:pPr>
    </w:p>
    <w:p>
      <w:pPr>
        <w:pStyle w:val="BodyText"/>
        <w:ind w:left="102" w:right="115"/>
        <w:jc w:val="both"/>
      </w:pPr>
      <w:r>
        <w:rPr/>
        <w:t>El pensamiento sistémico ofrece una nueva y poderosa perspectiva para entender los problemas del mundo real. El pensamiento sistémico es una manera de comprender la realidad que enfatiza en las relaciones que forman parte de un "sistema", más que en las partes en sí mismas. La palabra “sistema” es empleada comúnmente, hablamos sobre sistemas sociales, ecosistemas, sistemas de control, sistemas informáticos, sistema solar, sistemas filosóficos, sistemas biológicos, entre otros. El hecho de que la palabra se usa en muy diferentes contextos indica la complejidad del concepto mismo. Pero sin que nos involucremos en lingüística o semántica se puede afirmar que un sistema es cualquier entidad abstracta o física que consiste de las partes interdependientes con un fin común y que enfoque sistémico significa ver las cosas como un “todo”, de manera holística o integral. (Emery, 1981; Bertalanffy, 1981; Forrester, 1961; Checkland, 1981; Checkland &amp; Scholes, 1990).</w:t>
      </w:r>
    </w:p>
    <w:p>
      <w:pPr>
        <w:spacing w:after="0"/>
        <w:jc w:val="both"/>
        <w:sectPr>
          <w:pgSz w:w="12240" w:h="15840"/>
          <w:pgMar w:header="603" w:footer="1087" w:top="940" w:bottom="1280" w:left="1600" w:right="1580"/>
        </w:sectPr>
      </w:pPr>
    </w:p>
    <w:p>
      <w:pPr>
        <w:pStyle w:val="BodyText"/>
        <w:rPr>
          <w:sz w:val="20"/>
        </w:rPr>
      </w:pPr>
    </w:p>
    <w:p>
      <w:pPr>
        <w:pStyle w:val="BodyText"/>
        <w:spacing w:before="7"/>
        <w:rPr>
          <w:sz w:val="20"/>
        </w:rPr>
      </w:pPr>
    </w:p>
    <w:p>
      <w:pPr>
        <w:pStyle w:val="BodyText"/>
        <w:ind w:left="102"/>
        <w:jc w:val="both"/>
      </w:pPr>
      <w:r>
        <w:rPr/>
        <w:t>El método MORT (Management Oversight &amp; Risk Tree)</w:t>
      </w:r>
    </w:p>
    <w:p>
      <w:pPr>
        <w:pStyle w:val="BodyText"/>
      </w:pPr>
    </w:p>
    <w:p>
      <w:pPr>
        <w:pStyle w:val="BodyText"/>
        <w:ind w:left="102" w:right="116"/>
        <w:jc w:val="both"/>
      </w:pPr>
      <w:r>
        <w:rPr/>
        <w:t>MORT es un método analítico para determinar las causas y factores que contribuyen a un accidente o incidente. En MORT, los accidentes se definen como eventos imprevistos que producen daños o perjuicios, es decir, pérdidas. Las pérdidas se producen cuando un agente nocivo entra en contacto con una persona, o bien, un material. Este contacto puede producirse ya sea por una falta de prevención o como un lamentable, pero aceptable, resultado de un riesgo que ha sido correctamente evaluado (el llamado "riesgo asumido"). El análisis del MORT siempre evalúa la ruta del "fracaso" antes de considerar la hipótesis "riesgo asumido".</w:t>
      </w:r>
    </w:p>
    <w:p>
      <w:pPr>
        <w:pStyle w:val="BodyText"/>
        <w:ind w:left="102" w:right="116"/>
        <w:jc w:val="both"/>
      </w:pPr>
      <w:r>
        <w:rPr/>
        <w:t>En el análisis MORT, la mayor parte del esfuerzo se dirige a la identificación de problemas en el control de un trabajo/proceso y en las deficiencias de las barreras de protección asociados con este. Estos problemas son luego analizados por sus orígenes en la planificación, diseño, la política, entre otros.</w:t>
      </w:r>
    </w:p>
    <w:p>
      <w:pPr>
        <w:pStyle w:val="BodyText"/>
        <w:ind w:left="102" w:right="117"/>
        <w:jc w:val="both"/>
      </w:pPr>
      <w:r>
        <w:rPr/>
        <w:t>La Figura 2 muestra la estructura básica del método MORT. El evento principal o superior en MORT es denominado "Pérdidas" por debajo del  cual están dos de sus posibles causas: {1} “Omisiones y Descuidos”, o {2} “Riesgos Asumidos”. Todos los factores que contribuyen a ello en la secuencia del accidente se tratan como “descuidos y omisiones” a menos que sean “riesgos asumidos”. La entrada al evento “Omisiones y Descuidos” es a través de una compuerta lógica “Y”  (AND). Esto significa que los problemas que se manifiestan en el control  específico de las actividades de trabajo, necesariamente implican cuestiones en la gestión de los procesos que los</w:t>
      </w:r>
      <w:r>
        <w:rPr>
          <w:spacing w:val="-17"/>
        </w:rPr>
        <w:t> </w:t>
      </w:r>
      <w:r>
        <w:rPr/>
        <w:t>gobiernan.</w:t>
      </w:r>
    </w:p>
    <w:p>
      <w:pPr>
        <w:pStyle w:val="BodyText"/>
        <w:spacing w:before="10"/>
        <w:rPr>
          <w:sz w:val="20"/>
        </w:rPr>
      </w:pPr>
      <w:r>
        <w:rPr/>
        <w:drawing>
          <wp:anchor distT="0" distB="0" distL="0" distR="0" allowOverlap="1" layoutInCell="1" locked="0" behindDoc="0" simplePos="0" relativeHeight="1192">
            <wp:simplePos x="0" y="0"/>
            <wp:positionH relativeFrom="page">
              <wp:posOffset>2286000</wp:posOffset>
            </wp:positionH>
            <wp:positionV relativeFrom="paragraph">
              <wp:posOffset>177381</wp:posOffset>
            </wp:positionV>
            <wp:extent cx="3170190" cy="3331845"/>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17" cstate="print"/>
                    <a:stretch>
                      <a:fillRect/>
                    </a:stretch>
                  </pic:blipFill>
                  <pic:spPr>
                    <a:xfrm>
                      <a:off x="0" y="0"/>
                      <a:ext cx="3170190" cy="3331845"/>
                    </a:xfrm>
                    <a:prstGeom prst="rect">
                      <a:avLst/>
                    </a:prstGeom>
                  </pic:spPr>
                </pic:pic>
              </a:graphicData>
            </a:graphic>
          </wp:anchor>
        </w:drawing>
      </w:r>
    </w:p>
    <w:p>
      <w:pPr>
        <w:spacing w:before="17"/>
        <w:ind w:left="2860" w:right="0" w:firstLine="0"/>
        <w:jc w:val="left"/>
        <w:rPr>
          <w:sz w:val="20"/>
        </w:rPr>
      </w:pPr>
      <w:r>
        <w:rPr>
          <w:b/>
          <w:sz w:val="20"/>
        </w:rPr>
        <w:t>Figura 2 </w:t>
      </w:r>
      <w:r>
        <w:rPr>
          <w:sz w:val="20"/>
        </w:rPr>
        <w:t>Estructura Básica de MORT</w:t>
      </w:r>
    </w:p>
    <w:p>
      <w:pPr>
        <w:spacing w:after="0"/>
        <w:jc w:val="left"/>
        <w:rPr>
          <w:sz w:val="20"/>
        </w:rPr>
        <w:sectPr>
          <w:pgSz w:w="12240" w:h="15840"/>
          <w:pgMar w:header="603" w:footer="1087" w:top="940" w:bottom="1280" w:left="1600" w:right="1580"/>
        </w:sectPr>
      </w:pPr>
    </w:p>
    <w:p>
      <w:pPr>
        <w:pStyle w:val="BodyText"/>
        <w:rPr>
          <w:sz w:val="20"/>
        </w:rPr>
      </w:pPr>
    </w:p>
    <w:p>
      <w:pPr>
        <w:pStyle w:val="BodyText"/>
        <w:spacing w:before="7"/>
        <w:rPr>
          <w:sz w:val="20"/>
        </w:rPr>
      </w:pPr>
    </w:p>
    <w:p>
      <w:pPr>
        <w:pStyle w:val="Heading1"/>
      </w:pPr>
      <w:r>
        <w:rPr/>
        <w:t>Resultados y Discusión.</w:t>
      </w:r>
    </w:p>
    <w:p>
      <w:pPr>
        <w:pStyle w:val="BodyText"/>
        <w:spacing w:before="120"/>
        <w:ind w:left="102" w:right="113"/>
        <w:jc w:val="both"/>
      </w:pPr>
      <w:r>
        <w:rPr/>
        <w:t>La Figura 3 muestra la metodología que se utilizó en este proyecto de investigación. Al igual que otras metodologías sistémicas, la metodología intenta examinar el "mundo real" con el fin de intervenir en él mediante las etapas de la abstracción y el modelado, la manipulación y la evaluación. En términos simples, la metodología toma al objeto de estudio del "mundo real" al "mundo conceptual" donde el pensamiento sistémico, modelos cualitativos y comparación proporcionan los medios por los cuales el entendimiento se puede lograr. Este entendimiento es llevado de vuelta al "mundo real", donde emerge como un conjunto de lecciones y el modelado para el análisis de riesgo de inundación (este proceso cíclico de análisis se ilustra en la Figura</w:t>
      </w:r>
      <w:r>
        <w:rPr>
          <w:spacing w:val="-15"/>
        </w:rPr>
        <w:t> </w:t>
      </w:r>
      <w:r>
        <w:rPr/>
        <w:t>3).</w:t>
      </w:r>
    </w:p>
    <w:p>
      <w:pPr>
        <w:pStyle w:val="BodyText"/>
        <w:spacing w:before="10"/>
        <w:rPr>
          <w:sz w:val="20"/>
        </w:rPr>
      </w:pPr>
      <w:r>
        <w:rPr/>
        <w:drawing>
          <wp:anchor distT="0" distB="0" distL="0" distR="0" allowOverlap="1" layoutInCell="1" locked="0" behindDoc="0" simplePos="0" relativeHeight="1216">
            <wp:simplePos x="0" y="0"/>
            <wp:positionH relativeFrom="page">
              <wp:posOffset>2461260</wp:posOffset>
            </wp:positionH>
            <wp:positionV relativeFrom="paragraph">
              <wp:posOffset>177762</wp:posOffset>
            </wp:positionV>
            <wp:extent cx="2850939" cy="2478690"/>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18" cstate="print"/>
                    <a:stretch>
                      <a:fillRect/>
                    </a:stretch>
                  </pic:blipFill>
                  <pic:spPr>
                    <a:xfrm>
                      <a:off x="0" y="0"/>
                      <a:ext cx="2850939" cy="2478690"/>
                    </a:xfrm>
                    <a:prstGeom prst="rect">
                      <a:avLst/>
                    </a:prstGeom>
                  </pic:spPr>
                </pic:pic>
              </a:graphicData>
            </a:graphic>
          </wp:anchor>
        </w:drawing>
      </w:r>
    </w:p>
    <w:p>
      <w:pPr>
        <w:pStyle w:val="BodyText"/>
        <w:spacing w:before="3"/>
        <w:rPr>
          <w:sz w:val="21"/>
        </w:rPr>
      </w:pPr>
    </w:p>
    <w:p>
      <w:pPr>
        <w:spacing w:before="0"/>
        <w:ind w:left="438" w:right="0" w:firstLine="0"/>
        <w:jc w:val="left"/>
        <w:rPr>
          <w:sz w:val="20"/>
        </w:rPr>
      </w:pPr>
      <w:r>
        <w:rPr>
          <w:b/>
          <w:sz w:val="20"/>
        </w:rPr>
        <w:t>Figura 3 </w:t>
      </w:r>
      <w:r>
        <w:rPr>
          <w:sz w:val="20"/>
        </w:rPr>
        <w:t>Metodología de Investigación-Diagnóstico de las inundaciones en Valle de Chalco.</w:t>
      </w:r>
    </w:p>
    <w:p>
      <w:pPr>
        <w:pStyle w:val="BodyText"/>
        <w:spacing w:before="1"/>
      </w:pPr>
    </w:p>
    <w:p>
      <w:pPr>
        <w:pStyle w:val="BodyText"/>
        <w:ind w:left="102" w:right="117"/>
        <w:jc w:val="both"/>
      </w:pPr>
      <w:r>
        <w:rPr/>
        <w:t>En la primera etapa de la metodología se recabo todo tipo de información relacionada a la inundación con consecuencias graves </w:t>
      </w:r>
      <w:r>
        <w:rPr>
          <w:spacing w:val="2"/>
        </w:rPr>
        <w:t>en </w:t>
      </w:r>
      <w:r>
        <w:rPr/>
        <w:t>el municipio de Valle de Chalco Solidaridad, esta información incluyó desde reportes de organismo  oficiales como CONAGUA, CENAPRED, etc. conjuntamente con reportes periodísticos, videos, fotografías y todo aquel material que no siendo “oficial” sirva para fundamentar el análisis. Es importante mencionar que en un segundo análisis se pretende obtener información primaria, esto mediante la realización de entrevistas y encuestas a los habitantes del</w:t>
      </w:r>
      <w:r>
        <w:rPr>
          <w:spacing w:val="-23"/>
        </w:rPr>
        <w:t> </w:t>
      </w:r>
      <w:r>
        <w:rPr/>
        <w:t>municipio.</w:t>
      </w:r>
    </w:p>
    <w:p>
      <w:pPr>
        <w:pStyle w:val="BodyText"/>
      </w:pPr>
    </w:p>
    <w:p>
      <w:pPr>
        <w:pStyle w:val="BodyText"/>
        <w:ind w:left="102" w:right="114"/>
        <w:jc w:val="both"/>
      </w:pPr>
      <w:r>
        <w:rPr/>
        <w:t>La etapa de conceptualización y modelado se desarrolló identificando dos flujos de energía en la inundacion. El primero es el rompimiento del canal de la compañía; el segundo es la anegación por aguas negras durante varios días de la autopista y colonias vecinas al lugar donde se fracturo el canal. Las pérdidas derivadas de este accidente fueron como ya se mencionó, la afectación de 11 mil familias y 1,600 viviendas en Valle de Chalco Solidaridad. Hasta este momento MORT nos permite determinar que este accidente se derivó de un riesgo asumido y omisiones y descuidos en el control y gestión del riesgo;  puesto que se tenía el </w:t>
      </w:r>
      <w:r>
        <w:rPr>
          <w:spacing w:val="12"/>
        </w:rPr>
        <w:t> </w:t>
      </w:r>
      <w:r>
        <w:rPr/>
        <w:t>antecedente</w:t>
      </w:r>
    </w:p>
    <w:p>
      <w:pPr>
        <w:spacing w:after="0"/>
        <w:jc w:val="both"/>
        <w:sectPr>
          <w:pgSz w:w="12240" w:h="15840"/>
          <w:pgMar w:header="603" w:footer="1087" w:top="940" w:bottom="1280" w:left="1600" w:right="1580"/>
        </w:sectPr>
      </w:pPr>
    </w:p>
    <w:p>
      <w:pPr>
        <w:pStyle w:val="BodyText"/>
        <w:rPr>
          <w:sz w:val="20"/>
        </w:rPr>
      </w:pPr>
    </w:p>
    <w:p>
      <w:pPr>
        <w:pStyle w:val="BodyText"/>
        <w:spacing w:before="7"/>
        <w:rPr>
          <w:sz w:val="20"/>
        </w:rPr>
      </w:pPr>
    </w:p>
    <w:p>
      <w:pPr>
        <w:pStyle w:val="BodyText"/>
        <w:ind w:left="102" w:right="124"/>
        <w:jc w:val="both"/>
      </w:pPr>
      <w:r>
        <w:rPr/>
        <w:t>del año 2000, cuando se reventó el Canal de la Compañía a la altura del Puente Rojo. En esa ocasión, aunque no afectó a la autopista, inundó varias colonias del municipio colindante de Ixtapaluca.</w:t>
      </w:r>
    </w:p>
    <w:p>
      <w:pPr>
        <w:pStyle w:val="BodyText"/>
      </w:pPr>
    </w:p>
    <w:p>
      <w:pPr>
        <w:pStyle w:val="BodyText"/>
        <w:ind w:left="102" w:right="126"/>
        <w:jc w:val="both"/>
      </w:pPr>
      <w:r>
        <w:rPr/>
        <w:t>Derivado de este análisis se puede decir que las barreras de protección asociadas a la planificación fueron deficientes puesto que como consecuencia de la emergencia del año 2000 se debió de reajustar el diseño de ese canal y evitar en la medida de lo posible una situación semejante.</w:t>
      </w:r>
    </w:p>
    <w:p>
      <w:pPr>
        <w:pStyle w:val="BodyText"/>
      </w:pPr>
    </w:p>
    <w:p>
      <w:pPr>
        <w:pStyle w:val="BodyText"/>
        <w:ind w:left="102" w:right="117"/>
        <w:jc w:val="both"/>
      </w:pPr>
      <w:r>
        <w:rPr/>
        <w:t>Otro aspecto relacionado, que hasta al momento ha mostrado el análisis, es que con las políticas públicas como tal, son tema de un análisis incluso más complejo que el propiamente relacionado con la planificación y el diseño, puesto que en nuestra sociedad las municipios se reinventan por así decirlo, cada tres años y repercute inclusive en aspectos culturales y socio-organizativos.</w:t>
      </w:r>
    </w:p>
    <w:p>
      <w:pPr>
        <w:pStyle w:val="BodyText"/>
      </w:pPr>
    </w:p>
    <w:p>
      <w:pPr>
        <w:pStyle w:val="BodyText"/>
        <w:ind w:left="102" w:right="126"/>
        <w:jc w:val="both"/>
      </w:pPr>
      <w:r>
        <w:rPr/>
        <w:t>Hasta este momento se ha avanzado en el análisis con MORT recabando información para determinar qué tipo de controles y barreras existían para evitar el incidente y evaluando el accidente con los diferentes flujos de energía que se vieron involucrados</w:t>
      </w:r>
    </w:p>
    <w:p>
      <w:pPr>
        <w:pStyle w:val="BodyText"/>
      </w:pPr>
    </w:p>
    <w:p>
      <w:pPr>
        <w:pStyle w:val="BodyText"/>
        <w:ind w:left="102" w:right="116"/>
        <w:jc w:val="both"/>
      </w:pPr>
      <w:r>
        <w:rPr/>
        <w:t>El siguiente paso dentro la misma etapa fue el desarrollo del prototipo de software, el paradigma a utilizar es el orientado a objetos, como resultado del análisis ya elaborado se planteó quitar algunas ramas del árbol de riesgos de MORT puesto que este modelo plantea soluciones para sistemas socio-técnicos, y dado que los sistemas que se tratan de analizar son sistemas meramente naturales que involucran sistemas sociales es necesario colocar otras ramas en donde se incluyan por ejemplos aspectos culturales, sociales e inclusive políticos que son determinantes en cómo se afrontan este tipo de desastres.</w:t>
      </w:r>
    </w:p>
    <w:p>
      <w:pPr>
        <w:pStyle w:val="BodyText"/>
      </w:pPr>
    </w:p>
    <w:p>
      <w:pPr>
        <w:pStyle w:val="BodyText"/>
        <w:ind w:left="102" w:right="116"/>
        <w:jc w:val="both"/>
      </w:pPr>
      <w:r>
        <w:rPr/>
        <w:t>Como ya se mencionó, hasta ahora, se ha analizado la situación del “mundo real”, todo este ciclo de análisis ha sido elaborado de manera documental, con  lo anterior se cumple con la etapa 1 y 2 del ciclo; para la etapa 2 también se ha determinado los flujos y accidentes que se deben analizar, finalmente hasta este momento se han concluido las etapa 3 y 4 donde se desarrolló el software que incluye los diferentes factores cualitativos y el nivel de riesgo que tiene una población de sufrir pérdidas frente a un desastre natural</w:t>
      </w:r>
    </w:p>
    <w:p>
      <w:pPr>
        <w:pStyle w:val="BodyText"/>
      </w:pPr>
    </w:p>
    <w:p>
      <w:pPr>
        <w:pStyle w:val="Heading1"/>
      </w:pPr>
      <w:r>
        <w:rPr/>
        <w:t>Conclusiones.</w:t>
      </w:r>
    </w:p>
    <w:p>
      <w:pPr>
        <w:pStyle w:val="BodyText"/>
        <w:spacing w:before="120"/>
        <w:ind w:left="102" w:right="118"/>
        <w:jc w:val="both"/>
      </w:pPr>
      <w:r>
        <w:rPr/>
        <w:t>Aunque el análisis de riesgo es un tema muy extenso y específicamente el de riesgo de inundación, para este caso la totalidad de la investigación y estudio fueron realizados en y para el municipio de Valle de Chalco Solidaridad, sin embargo se busca que el modelo de software que se obtuvo al término de este trabajo pueda también aplicarse a otros casos.</w:t>
      </w:r>
    </w:p>
    <w:p>
      <w:pPr>
        <w:spacing w:after="0"/>
        <w:jc w:val="both"/>
        <w:sectPr>
          <w:pgSz w:w="12240" w:h="15840"/>
          <w:pgMar w:header="603" w:footer="1087" w:top="940" w:bottom="1280" w:left="1600" w:right="1580"/>
        </w:sectPr>
      </w:pPr>
    </w:p>
    <w:p>
      <w:pPr>
        <w:pStyle w:val="BodyText"/>
        <w:rPr>
          <w:sz w:val="20"/>
        </w:rPr>
      </w:pPr>
    </w:p>
    <w:p>
      <w:pPr>
        <w:pStyle w:val="BodyText"/>
        <w:spacing w:before="7"/>
        <w:rPr>
          <w:sz w:val="20"/>
        </w:rPr>
      </w:pPr>
    </w:p>
    <w:p>
      <w:pPr>
        <w:pStyle w:val="Heading1"/>
        <w:jc w:val="left"/>
      </w:pPr>
      <w:r>
        <w:rPr/>
        <w:t>Agradecimientos.</w:t>
      </w:r>
    </w:p>
    <w:p>
      <w:pPr>
        <w:pStyle w:val="BodyText"/>
        <w:spacing w:before="120"/>
        <w:ind w:left="102" w:right="103"/>
        <w:jc w:val="both"/>
      </w:pPr>
      <w:r>
        <w:rPr/>
        <w:t>Los autores agradecen a: La Universidad Autónoma del Estado de México, el Centro Universitario UAEM Valle de Chalco, el Consejo Nacional de Ciencia y Tecnología y el Consejo Mexiquense de Ciencia y Tecnología.</w:t>
      </w:r>
    </w:p>
    <w:p>
      <w:pPr>
        <w:pStyle w:val="BodyText"/>
      </w:pPr>
    </w:p>
    <w:p>
      <w:pPr>
        <w:pStyle w:val="BodyText"/>
        <w:spacing w:before="10"/>
        <w:rPr>
          <w:sz w:val="20"/>
        </w:rPr>
      </w:pPr>
    </w:p>
    <w:p>
      <w:pPr>
        <w:pStyle w:val="Heading1"/>
        <w:jc w:val="left"/>
      </w:pPr>
      <w:r>
        <w:rPr/>
        <w:t>Referencias.</w:t>
      </w:r>
    </w:p>
    <w:p>
      <w:pPr>
        <w:pStyle w:val="ListParagraph"/>
        <w:numPr>
          <w:ilvl w:val="0"/>
          <w:numId w:val="1"/>
        </w:numPr>
        <w:tabs>
          <w:tab w:pos="462" w:val="left" w:leader="none"/>
        </w:tabs>
        <w:spacing w:line="240" w:lineRule="auto" w:before="117" w:after="0"/>
        <w:ind w:left="462" w:right="256" w:hanging="360"/>
        <w:jc w:val="left"/>
        <w:rPr>
          <w:sz w:val="24"/>
        </w:rPr>
      </w:pPr>
      <w:r>
        <w:rPr>
          <w:sz w:val="24"/>
        </w:rPr>
        <w:t>Mileti, D.S (1999) </w:t>
      </w:r>
      <w:r>
        <w:rPr>
          <w:i/>
          <w:sz w:val="24"/>
        </w:rPr>
        <w:t>Disasters by Design: A Reassessment of Natural Hazards</w:t>
      </w:r>
      <w:r>
        <w:rPr>
          <w:i/>
          <w:spacing w:val="-32"/>
          <w:sz w:val="24"/>
        </w:rPr>
        <w:t> </w:t>
      </w:r>
      <w:r>
        <w:rPr>
          <w:i/>
          <w:sz w:val="24"/>
        </w:rPr>
        <w:t>in </w:t>
      </w:r>
      <w:r>
        <w:rPr>
          <w:i/>
          <w:sz w:val="24"/>
        </w:rPr>
        <w:t>the United States</w:t>
      </w:r>
      <w:r>
        <w:rPr>
          <w:sz w:val="24"/>
        </w:rPr>
        <w:t>, Joseph Henry Press, Washington,</w:t>
      </w:r>
      <w:r>
        <w:rPr>
          <w:spacing w:val="-25"/>
          <w:sz w:val="24"/>
        </w:rPr>
        <w:t> </w:t>
      </w:r>
      <w:r>
        <w:rPr>
          <w:sz w:val="24"/>
        </w:rPr>
        <w:t>DC.</w:t>
      </w:r>
    </w:p>
    <w:p>
      <w:pPr>
        <w:pStyle w:val="ListParagraph"/>
        <w:numPr>
          <w:ilvl w:val="0"/>
          <w:numId w:val="1"/>
        </w:numPr>
        <w:tabs>
          <w:tab w:pos="462" w:val="left" w:leader="none"/>
        </w:tabs>
        <w:spacing w:line="240" w:lineRule="auto" w:before="2" w:after="0"/>
        <w:ind w:left="462" w:right="442" w:hanging="360"/>
        <w:jc w:val="left"/>
        <w:rPr>
          <w:sz w:val="24"/>
        </w:rPr>
      </w:pPr>
      <w:r>
        <w:rPr>
          <w:sz w:val="24"/>
        </w:rPr>
        <w:t>Mileti, D.S, Darlington, J.D, Passarini, E, Forest, B.C. and Myers, M.F</w:t>
      </w:r>
      <w:r>
        <w:rPr>
          <w:spacing w:val="-29"/>
          <w:sz w:val="24"/>
        </w:rPr>
        <w:t> </w:t>
      </w:r>
      <w:r>
        <w:rPr>
          <w:sz w:val="24"/>
        </w:rPr>
        <w:t>(1995) “Toward an integration of natural hazards and sustainability”, </w:t>
      </w:r>
      <w:r>
        <w:rPr>
          <w:i/>
          <w:sz w:val="24"/>
        </w:rPr>
        <w:t>Environmental </w:t>
      </w:r>
      <w:r>
        <w:rPr>
          <w:i/>
          <w:sz w:val="24"/>
        </w:rPr>
        <w:t>Professional</w:t>
      </w:r>
      <w:r>
        <w:rPr>
          <w:sz w:val="24"/>
        </w:rPr>
        <w:t>, Vol. 17 No. 2, pp.</w:t>
      </w:r>
      <w:r>
        <w:rPr>
          <w:spacing w:val="-12"/>
          <w:sz w:val="24"/>
        </w:rPr>
        <w:t> </w:t>
      </w:r>
      <w:r>
        <w:rPr>
          <w:sz w:val="24"/>
        </w:rPr>
        <w:t>117-26.</w:t>
      </w:r>
    </w:p>
    <w:p>
      <w:pPr>
        <w:pStyle w:val="ListParagraph"/>
        <w:numPr>
          <w:ilvl w:val="0"/>
          <w:numId w:val="1"/>
        </w:numPr>
        <w:tabs>
          <w:tab w:pos="462" w:val="left" w:leader="none"/>
        </w:tabs>
        <w:spacing w:line="240" w:lineRule="auto" w:before="3" w:after="0"/>
        <w:ind w:left="462" w:right="179" w:hanging="360"/>
        <w:jc w:val="left"/>
        <w:rPr>
          <w:sz w:val="24"/>
        </w:rPr>
      </w:pPr>
      <w:r>
        <w:rPr>
          <w:sz w:val="24"/>
        </w:rPr>
        <w:t>McEntire, D. A (2004) Development, disasters and vulnerability: a discussion</w:t>
      </w:r>
      <w:r>
        <w:rPr>
          <w:spacing w:val="-39"/>
          <w:sz w:val="24"/>
        </w:rPr>
        <w:t> </w:t>
      </w:r>
      <w:r>
        <w:rPr>
          <w:sz w:val="24"/>
        </w:rPr>
        <w:t>of divergent theories and the need for their integration. </w:t>
      </w:r>
      <w:r>
        <w:rPr>
          <w:i/>
          <w:sz w:val="24"/>
        </w:rPr>
        <w:t>Disaster prevention and </w:t>
      </w:r>
      <w:r>
        <w:rPr>
          <w:i/>
          <w:sz w:val="24"/>
        </w:rPr>
        <w:t>management</w:t>
      </w:r>
      <w:r>
        <w:rPr>
          <w:sz w:val="24"/>
        </w:rPr>
        <w:t>. Vol. 13, Number 3,</w:t>
      </w:r>
      <w:r>
        <w:rPr>
          <w:spacing w:val="-21"/>
          <w:sz w:val="24"/>
        </w:rPr>
        <w:t> </w:t>
      </w:r>
      <w:r>
        <w:rPr>
          <w:sz w:val="24"/>
        </w:rPr>
        <w:t>193-198.</w:t>
      </w:r>
    </w:p>
    <w:p>
      <w:pPr>
        <w:pStyle w:val="ListParagraph"/>
        <w:numPr>
          <w:ilvl w:val="0"/>
          <w:numId w:val="1"/>
        </w:numPr>
        <w:tabs>
          <w:tab w:pos="462" w:val="left" w:leader="none"/>
        </w:tabs>
        <w:spacing w:line="240" w:lineRule="auto" w:before="2" w:after="0"/>
        <w:ind w:left="462" w:right="317" w:hanging="360"/>
        <w:jc w:val="left"/>
        <w:rPr>
          <w:sz w:val="24"/>
        </w:rPr>
      </w:pPr>
      <w:r>
        <w:rPr>
          <w:sz w:val="24"/>
        </w:rPr>
        <w:t>McEntire, D. A., and Fuller, C (2002) The need for a holistic theoretical approach: an examination from El Niño disasters in Peru’. </w:t>
      </w:r>
      <w:r>
        <w:rPr>
          <w:i/>
          <w:sz w:val="24"/>
        </w:rPr>
        <w:t>Disaster prevention </w:t>
      </w:r>
      <w:r>
        <w:rPr>
          <w:i/>
          <w:sz w:val="24"/>
        </w:rPr>
        <w:t>and management</w:t>
      </w:r>
      <w:r>
        <w:rPr>
          <w:sz w:val="24"/>
        </w:rPr>
        <w:t>. Vol. 11, Number 2,</w:t>
      </w:r>
      <w:r>
        <w:rPr>
          <w:spacing w:val="-19"/>
          <w:sz w:val="24"/>
        </w:rPr>
        <w:t> </w:t>
      </w:r>
      <w:r>
        <w:rPr>
          <w:sz w:val="24"/>
        </w:rPr>
        <w:t>128-140.</w:t>
      </w:r>
    </w:p>
    <w:p>
      <w:pPr>
        <w:pStyle w:val="ListParagraph"/>
        <w:numPr>
          <w:ilvl w:val="0"/>
          <w:numId w:val="1"/>
        </w:numPr>
        <w:tabs>
          <w:tab w:pos="462" w:val="left" w:leader="none"/>
        </w:tabs>
        <w:spacing w:line="275" w:lineRule="exact" w:before="2" w:after="0"/>
        <w:ind w:left="462" w:right="0" w:hanging="360"/>
        <w:jc w:val="left"/>
        <w:rPr>
          <w:sz w:val="24"/>
        </w:rPr>
      </w:pPr>
      <w:r>
        <w:rPr>
          <w:sz w:val="24"/>
        </w:rPr>
        <w:t>McEntire, D.A (2003) Causation of catastrophe: lesson from Hurricane</w:t>
      </w:r>
      <w:r>
        <w:rPr>
          <w:spacing w:val="-26"/>
          <w:sz w:val="24"/>
        </w:rPr>
        <w:t> </w:t>
      </w:r>
      <w:r>
        <w:rPr>
          <w:sz w:val="24"/>
        </w:rPr>
        <w:t>George,</w:t>
      </w:r>
    </w:p>
    <w:p>
      <w:pPr>
        <w:spacing w:line="275" w:lineRule="exact" w:before="0"/>
        <w:ind w:left="461" w:right="0" w:firstLine="0"/>
        <w:jc w:val="left"/>
        <w:rPr>
          <w:sz w:val="24"/>
        </w:rPr>
      </w:pPr>
      <w:r>
        <w:rPr>
          <w:i/>
          <w:sz w:val="24"/>
        </w:rPr>
        <w:t>Journal of Emergency Management, </w:t>
      </w:r>
      <w:r>
        <w:rPr>
          <w:sz w:val="24"/>
        </w:rPr>
        <w:t>Vol. 1 No. 2, pp. 22-9.</w:t>
      </w:r>
    </w:p>
    <w:p>
      <w:pPr>
        <w:pStyle w:val="ListParagraph"/>
        <w:numPr>
          <w:ilvl w:val="0"/>
          <w:numId w:val="1"/>
        </w:numPr>
        <w:tabs>
          <w:tab w:pos="462" w:val="left" w:leader="none"/>
        </w:tabs>
        <w:spacing w:line="274" w:lineRule="exact" w:before="8" w:after="0"/>
        <w:ind w:left="462" w:right="778" w:hanging="360"/>
        <w:jc w:val="left"/>
        <w:rPr>
          <w:sz w:val="24"/>
        </w:rPr>
      </w:pPr>
      <w:r>
        <w:rPr>
          <w:sz w:val="24"/>
        </w:rPr>
        <w:t>Weichselgartner, J (2001) Disaster mitigation: the concept of vulnerability revisited, </w:t>
      </w:r>
      <w:r>
        <w:rPr>
          <w:i/>
          <w:sz w:val="24"/>
        </w:rPr>
        <w:t>Disaster Prevention and Management</w:t>
      </w:r>
      <w:r>
        <w:rPr>
          <w:sz w:val="24"/>
        </w:rPr>
        <w:t>, Vol. 10 No. 2, pp.</w:t>
      </w:r>
      <w:r>
        <w:rPr>
          <w:spacing w:val="-22"/>
          <w:sz w:val="24"/>
        </w:rPr>
        <w:t> </w:t>
      </w:r>
      <w:r>
        <w:rPr>
          <w:sz w:val="24"/>
        </w:rPr>
        <w:t>85-94.</w:t>
      </w:r>
    </w:p>
    <w:p>
      <w:pPr>
        <w:pStyle w:val="ListParagraph"/>
        <w:numPr>
          <w:ilvl w:val="0"/>
          <w:numId w:val="1"/>
        </w:numPr>
        <w:tabs>
          <w:tab w:pos="462" w:val="left" w:leader="none"/>
        </w:tabs>
        <w:spacing w:line="242" w:lineRule="auto" w:before="0" w:after="0"/>
        <w:ind w:left="462" w:right="411" w:hanging="360"/>
        <w:jc w:val="left"/>
        <w:rPr>
          <w:sz w:val="24"/>
        </w:rPr>
      </w:pPr>
      <w:r>
        <w:rPr>
          <w:sz w:val="24"/>
        </w:rPr>
        <w:t>Burton, I. Kates, </w:t>
      </w:r>
      <w:r>
        <w:rPr>
          <w:spacing w:val="-4"/>
          <w:sz w:val="24"/>
        </w:rPr>
        <w:t>RW </w:t>
      </w:r>
      <w:r>
        <w:rPr>
          <w:sz w:val="24"/>
        </w:rPr>
        <w:t>and White, GF (1993) </w:t>
      </w:r>
      <w:r>
        <w:rPr>
          <w:i/>
          <w:sz w:val="24"/>
        </w:rPr>
        <w:t>The Environment as Hazard</w:t>
      </w:r>
      <w:r>
        <w:rPr>
          <w:sz w:val="24"/>
        </w:rPr>
        <w:t>, The Guilford Press, New York,</w:t>
      </w:r>
      <w:r>
        <w:rPr>
          <w:spacing w:val="-10"/>
          <w:sz w:val="24"/>
        </w:rPr>
        <w:t> </w:t>
      </w:r>
      <w:r>
        <w:rPr>
          <w:sz w:val="24"/>
        </w:rPr>
        <w:t>NY.</w:t>
      </w:r>
    </w:p>
    <w:p>
      <w:pPr>
        <w:pStyle w:val="ListParagraph"/>
        <w:numPr>
          <w:ilvl w:val="0"/>
          <w:numId w:val="1"/>
        </w:numPr>
        <w:tabs>
          <w:tab w:pos="462" w:val="left" w:leader="none"/>
        </w:tabs>
        <w:spacing w:line="240" w:lineRule="auto" w:before="0" w:after="0"/>
        <w:ind w:left="462" w:right="1076" w:hanging="360"/>
        <w:jc w:val="left"/>
        <w:rPr>
          <w:sz w:val="24"/>
        </w:rPr>
      </w:pPr>
      <w:r>
        <w:rPr>
          <w:sz w:val="24"/>
        </w:rPr>
        <w:t>Granot, H (1997) Emergency inter-organizational relationship. </w:t>
      </w:r>
      <w:r>
        <w:rPr>
          <w:i/>
          <w:sz w:val="24"/>
        </w:rPr>
        <w:t>Disaster </w:t>
      </w:r>
      <w:r>
        <w:rPr>
          <w:i/>
          <w:sz w:val="24"/>
        </w:rPr>
        <w:t>Prevention and management</w:t>
      </w:r>
      <w:r>
        <w:rPr>
          <w:sz w:val="24"/>
        </w:rPr>
        <w:t>, Volume 6, Number 5, pp.</w:t>
      </w:r>
      <w:r>
        <w:rPr>
          <w:spacing w:val="-21"/>
          <w:sz w:val="24"/>
        </w:rPr>
        <w:t> </w:t>
      </w:r>
      <w:r>
        <w:rPr>
          <w:sz w:val="24"/>
        </w:rPr>
        <w:t>305-310.</w:t>
      </w:r>
    </w:p>
    <w:p>
      <w:pPr>
        <w:pStyle w:val="ListParagraph"/>
        <w:numPr>
          <w:ilvl w:val="0"/>
          <w:numId w:val="1"/>
        </w:numPr>
        <w:tabs>
          <w:tab w:pos="462" w:val="left" w:leader="none"/>
        </w:tabs>
        <w:spacing w:line="240" w:lineRule="auto" w:before="2" w:after="0"/>
        <w:ind w:left="462" w:right="462" w:hanging="360"/>
        <w:jc w:val="left"/>
        <w:rPr>
          <w:sz w:val="24"/>
        </w:rPr>
      </w:pPr>
      <w:r>
        <w:rPr>
          <w:sz w:val="24"/>
        </w:rPr>
        <w:t>Kouzmin, A., Jarman, A. M. G., and Rosenthal, U (1995) Inter-organizational policy processes in disaster management. </w:t>
      </w:r>
      <w:r>
        <w:rPr>
          <w:i/>
          <w:sz w:val="24"/>
        </w:rPr>
        <w:t>Disaster Prevention and </w:t>
      </w:r>
      <w:r>
        <w:rPr>
          <w:i/>
          <w:sz w:val="24"/>
        </w:rPr>
        <w:t>management</w:t>
      </w:r>
      <w:r>
        <w:rPr>
          <w:sz w:val="24"/>
        </w:rPr>
        <w:t>, Volume 4, Number 2, 1995, pp.</w:t>
      </w:r>
      <w:r>
        <w:rPr>
          <w:spacing w:val="-22"/>
          <w:sz w:val="24"/>
        </w:rPr>
        <w:t> </w:t>
      </w:r>
      <w:r>
        <w:rPr>
          <w:sz w:val="24"/>
        </w:rPr>
        <w:t>20-37.</w:t>
      </w:r>
    </w:p>
    <w:p>
      <w:pPr>
        <w:pStyle w:val="ListParagraph"/>
        <w:numPr>
          <w:ilvl w:val="0"/>
          <w:numId w:val="1"/>
        </w:numPr>
        <w:tabs>
          <w:tab w:pos="462" w:val="left" w:leader="none"/>
        </w:tabs>
        <w:spacing w:line="240" w:lineRule="auto" w:before="2" w:after="0"/>
        <w:ind w:left="462" w:right="183" w:hanging="360"/>
        <w:jc w:val="left"/>
        <w:rPr>
          <w:sz w:val="24"/>
        </w:rPr>
      </w:pPr>
      <w:r>
        <w:rPr>
          <w:sz w:val="24"/>
        </w:rPr>
        <w:t>Quarantelli, E.L (1984) “Organizational behavior in disasters and implications for disaster planning”, Monographs of the National Emergency Training Center, Vol. 1 No. 2, pp.</w:t>
      </w:r>
      <w:r>
        <w:rPr>
          <w:spacing w:val="-8"/>
          <w:sz w:val="24"/>
        </w:rPr>
        <w:t> </w:t>
      </w:r>
      <w:r>
        <w:rPr>
          <w:sz w:val="24"/>
        </w:rPr>
        <w:t>1-31.</w:t>
      </w:r>
    </w:p>
    <w:p>
      <w:pPr>
        <w:pStyle w:val="ListParagraph"/>
        <w:numPr>
          <w:ilvl w:val="0"/>
          <w:numId w:val="1"/>
        </w:numPr>
        <w:tabs>
          <w:tab w:pos="462" w:val="left" w:leader="none"/>
        </w:tabs>
        <w:spacing w:line="240" w:lineRule="auto" w:before="0" w:after="0"/>
        <w:ind w:left="462" w:right="166" w:hanging="360"/>
        <w:jc w:val="left"/>
        <w:rPr>
          <w:sz w:val="24"/>
        </w:rPr>
      </w:pPr>
      <w:r>
        <w:rPr>
          <w:sz w:val="24"/>
        </w:rPr>
        <w:t>Levin, H (1976) Educational reform: its meaning, in Camoy, M. and Levin, H. (Eds), </w:t>
      </w:r>
      <w:r>
        <w:rPr>
          <w:i/>
          <w:sz w:val="24"/>
        </w:rPr>
        <w:t>The Limits of Educational Reform</w:t>
      </w:r>
      <w:r>
        <w:rPr>
          <w:sz w:val="24"/>
        </w:rPr>
        <w:t>, McKay, New York, NY, pp. 23-51. Library (2009) </w:t>
      </w:r>
      <w:hyperlink r:id="rId19">
        <w:r>
          <w:rPr>
            <w:spacing w:val="-1"/>
            <w:sz w:val="24"/>
          </w:rPr>
          <w:t>http://libraryphoto.cr.usgs.gov/cgibin/search.cgi?search_mode=exact&amp;selection</w:t>
        </w:r>
      </w:hyperlink>
    </w:p>
    <w:p>
      <w:pPr>
        <w:pStyle w:val="BodyText"/>
        <w:ind w:left="461"/>
      </w:pPr>
      <w:r>
        <w:rPr/>
        <w:t>=Mexico+City+Earthquake+1985%7CMexico+ City%7CEarthquake%7C1985</w:t>
      </w:r>
    </w:p>
    <w:p>
      <w:pPr>
        <w:pStyle w:val="ListParagraph"/>
        <w:numPr>
          <w:ilvl w:val="0"/>
          <w:numId w:val="1"/>
        </w:numPr>
        <w:tabs>
          <w:tab w:pos="462" w:val="left" w:leader="none"/>
        </w:tabs>
        <w:spacing w:line="240" w:lineRule="auto" w:before="0" w:after="0"/>
        <w:ind w:left="462" w:right="303" w:hanging="360"/>
        <w:jc w:val="left"/>
        <w:rPr>
          <w:sz w:val="24"/>
        </w:rPr>
      </w:pPr>
      <w:r>
        <w:rPr>
          <w:sz w:val="24"/>
        </w:rPr>
        <w:t>Wilson, H. C (2000) Emergency response preparedness: small group training- Part I- training and learning styles. </w:t>
      </w:r>
      <w:r>
        <w:rPr>
          <w:i/>
          <w:sz w:val="24"/>
        </w:rPr>
        <w:t>Disaster Prevention and management</w:t>
      </w:r>
      <w:r>
        <w:rPr>
          <w:sz w:val="24"/>
        </w:rPr>
        <w:t>, Volume 9, Number 2, pp.</w:t>
      </w:r>
      <w:r>
        <w:rPr>
          <w:spacing w:val="-11"/>
          <w:sz w:val="24"/>
        </w:rPr>
        <w:t> </w:t>
      </w:r>
      <w:r>
        <w:rPr>
          <w:sz w:val="24"/>
        </w:rPr>
        <w:t>105-116.</w:t>
      </w:r>
    </w:p>
    <w:p>
      <w:pPr>
        <w:pStyle w:val="ListParagraph"/>
        <w:numPr>
          <w:ilvl w:val="0"/>
          <w:numId w:val="1"/>
        </w:numPr>
        <w:tabs>
          <w:tab w:pos="462" w:val="left" w:leader="none"/>
        </w:tabs>
        <w:spacing w:line="240" w:lineRule="auto" w:before="0" w:after="0"/>
        <w:ind w:left="462" w:right="317" w:hanging="360"/>
        <w:jc w:val="left"/>
        <w:rPr>
          <w:sz w:val="24"/>
        </w:rPr>
      </w:pPr>
      <w:r>
        <w:rPr>
          <w:sz w:val="24"/>
        </w:rPr>
        <w:t>Cosgrave, J (1996) Decision making in emergencies. </w:t>
      </w:r>
      <w:r>
        <w:rPr>
          <w:i/>
          <w:sz w:val="24"/>
        </w:rPr>
        <w:t>Disaster Prevention and </w:t>
      </w:r>
      <w:r>
        <w:rPr>
          <w:i/>
          <w:sz w:val="24"/>
        </w:rPr>
        <w:t>management</w:t>
      </w:r>
      <w:r>
        <w:rPr>
          <w:sz w:val="24"/>
        </w:rPr>
        <w:t>, Volume 5, Number 4, pp.</w:t>
      </w:r>
      <w:r>
        <w:rPr>
          <w:spacing w:val="-20"/>
          <w:sz w:val="24"/>
        </w:rPr>
        <w:t> </w:t>
      </w:r>
      <w:r>
        <w:rPr>
          <w:sz w:val="24"/>
        </w:rPr>
        <w:t>28-35.</w:t>
      </w:r>
    </w:p>
    <w:p>
      <w:pPr>
        <w:pStyle w:val="ListParagraph"/>
        <w:numPr>
          <w:ilvl w:val="0"/>
          <w:numId w:val="1"/>
        </w:numPr>
        <w:tabs>
          <w:tab w:pos="462" w:val="left" w:leader="none"/>
        </w:tabs>
        <w:spacing w:line="242" w:lineRule="auto" w:before="0" w:after="0"/>
        <w:ind w:left="462" w:right="1074" w:hanging="360"/>
        <w:jc w:val="left"/>
        <w:rPr>
          <w:sz w:val="24"/>
        </w:rPr>
      </w:pPr>
      <w:r>
        <w:rPr>
          <w:sz w:val="24"/>
        </w:rPr>
        <w:t>Vroom, V.H. and Yetton, </w:t>
      </w:r>
      <w:r>
        <w:rPr>
          <w:spacing w:val="-3"/>
          <w:sz w:val="24"/>
        </w:rPr>
        <w:t>P.W </w:t>
      </w:r>
      <w:r>
        <w:rPr>
          <w:sz w:val="24"/>
        </w:rPr>
        <w:t>(1973) </w:t>
      </w:r>
      <w:r>
        <w:rPr>
          <w:i/>
          <w:sz w:val="24"/>
        </w:rPr>
        <w:t>Leadership and Decision Making</w:t>
      </w:r>
      <w:r>
        <w:rPr>
          <w:sz w:val="24"/>
        </w:rPr>
        <w:t>, University of Pittsburgh Press, Pittsburgh,</w:t>
      </w:r>
      <w:r>
        <w:rPr>
          <w:spacing w:val="-24"/>
          <w:sz w:val="24"/>
        </w:rPr>
        <w:t> </w:t>
      </w:r>
      <w:r>
        <w:rPr>
          <w:sz w:val="24"/>
        </w:rPr>
        <w:t>PA.</w:t>
      </w:r>
    </w:p>
    <w:p>
      <w:pPr>
        <w:spacing w:after="0" w:line="242" w:lineRule="auto"/>
        <w:jc w:val="left"/>
        <w:rPr>
          <w:sz w:val="24"/>
        </w:rPr>
        <w:sectPr>
          <w:pgSz w:w="12240" w:h="15840"/>
          <w:pgMar w:header="603" w:footer="1087" w:top="940" w:bottom="1280" w:left="1600" w:right="1600"/>
        </w:sectPr>
      </w:pPr>
    </w:p>
    <w:p>
      <w:pPr>
        <w:pStyle w:val="BodyText"/>
        <w:rPr>
          <w:sz w:val="20"/>
        </w:rPr>
      </w:pPr>
    </w:p>
    <w:p>
      <w:pPr>
        <w:pStyle w:val="BodyText"/>
        <w:spacing w:before="7"/>
        <w:rPr>
          <w:sz w:val="20"/>
        </w:rPr>
      </w:pPr>
    </w:p>
    <w:p>
      <w:pPr>
        <w:pStyle w:val="ListParagraph"/>
        <w:numPr>
          <w:ilvl w:val="0"/>
          <w:numId w:val="1"/>
        </w:numPr>
        <w:tabs>
          <w:tab w:pos="462" w:val="left" w:leader="none"/>
        </w:tabs>
        <w:spacing w:line="240" w:lineRule="auto" w:before="0" w:after="0"/>
        <w:ind w:left="462" w:right="470" w:hanging="360"/>
        <w:jc w:val="left"/>
        <w:rPr>
          <w:sz w:val="24"/>
        </w:rPr>
      </w:pPr>
      <w:r>
        <w:rPr>
          <w:sz w:val="24"/>
        </w:rPr>
        <w:t>Fisher, H. </w:t>
      </w:r>
      <w:r>
        <w:rPr>
          <w:spacing w:val="3"/>
          <w:sz w:val="24"/>
        </w:rPr>
        <w:t>W. </w:t>
      </w:r>
      <w:r>
        <w:rPr>
          <w:sz w:val="24"/>
        </w:rPr>
        <w:t>III (1998) The role of the new information technologies in emergency mitigation, planning, response and recovery. </w:t>
      </w:r>
      <w:r>
        <w:rPr>
          <w:i/>
          <w:sz w:val="24"/>
        </w:rPr>
        <w:t>Disaster Prevention </w:t>
      </w:r>
      <w:r>
        <w:rPr>
          <w:i/>
          <w:sz w:val="24"/>
        </w:rPr>
        <w:t>and management</w:t>
      </w:r>
      <w:r>
        <w:rPr>
          <w:sz w:val="24"/>
        </w:rPr>
        <w:t>, Volume 7, Number 1, pp.</w:t>
      </w:r>
      <w:r>
        <w:rPr>
          <w:spacing w:val="-18"/>
          <w:sz w:val="24"/>
        </w:rPr>
        <w:t> </w:t>
      </w:r>
      <w:r>
        <w:rPr>
          <w:sz w:val="24"/>
        </w:rPr>
        <w:t>28-37.</w:t>
      </w:r>
    </w:p>
    <w:p>
      <w:pPr>
        <w:pStyle w:val="ListParagraph"/>
        <w:numPr>
          <w:ilvl w:val="0"/>
          <w:numId w:val="1"/>
        </w:numPr>
        <w:tabs>
          <w:tab w:pos="462" w:val="left" w:leader="none"/>
        </w:tabs>
        <w:spacing w:line="240" w:lineRule="auto" w:before="2" w:after="0"/>
        <w:ind w:left="462" w:right="254" w:hanging="360"/>
        <w:jc w:val="left"/>
        <w:rPr>
          <w:sz w:val="24"/>
        </w:rPr>
      </w:pPr>
      <w:r>
        <w:rPr>
          <w:sz w:val="24"/>
        </w:rPr>
        <w:t>Murai, S (2006) Monitoring of disasters using remote sensing GIS and GPS. In </w:t>
      </w:r>
      <w:r>
        <w:rPr>
          <w:i/>
          <w:sz w:val="24"/>
        </w:rPr>
        <w:t>Proceedings of the International symposium on management System for </w:t>
      </w:r>
      <w:r>
        <w:rPr>
          <w:i/>
          <w:sz w:val="24"/>
        </w:rPr>
        <w:t>disaster prevention</w:t>
      </w:r>
      <w:r>
        <w:rPr>
          <w:sz w:val="24"/>
        </w:rPr>
        <w:t>, 9-11 march 2006, Kochi,</w:t>
      </w:r>
      <w:r>
        <w:rPr>
          <w:spacing w:val="-27"/>
          <w:sz w:val="24"/>
        </w:rPr>
        <w:t> </w:t>
      </w:r>
      <w:r>
        <w:rPr>
          <w:sz w:val="24"/>
        </w:rPr>
        <w:t>Japan.</w:t>
      </w:r>
    </w:p>
    <w:p>
      <w:pPr>
        <w:pStyle w:val="ListParagraph"/>
        <w:numPr>
          <w:ilvl w:val="0"/>
          <w:numId w:val="1"/>
        </w:numPr>
        <w:tabs>
          <w:tab w:pos="462" w:val="left" w:leader="none"/>
        </w:tabs>
        <w:spacing w:line="242" w:lineRule="auto" w:before="0" w:after="0"/>
        <w:ind w:left="462" w:right="297" w:hanging="360"/>
        <w:jc w:val="left"/>
        <w:rPr>
          <w:sz w:val="24"/>
        </w:rPr>
      </w:pPr>
      <w:r>
        <w:rPr>
          <w:sz w:val="24"/>
        </w:rPr>
        <w:t>Annan, K (2005) </w:t>
      </w:r>
      <w:r>
        <w:rPr>
          <w:i/>
          <w:sz w:val="24"/>
        </w:rPr>
        <w:t>In the Secretary-General’s report “In larger Freedom”. </w:t>
      </w:r>
      <w:r>
        <w:rPr>
          <w:sz w:val="24"/>
        </w:rPr>
        <w:t>Report A/59/2005, paragraph</w:t>
      </w:r>
      <w:r>
        <w:rPr>
          <w:spacing w:val="-11"/>
          <w:sz w:val="24"/>
        </w:rPr>
        <w:t> </w:t>
      </w:r>
      <w:r>
        <w:rPr>
          <w:sz w:val="24"/>
        </w:rPr>
        <w:t>66.</w:t>
      </w:r>
    </w:p>
    <w:p>
      <w:pPr>
        <w:pStyle w:val="ListParagraph"/>
        <w:numPr>
          <w:ilvl w:val="0"/>
          <w:numId w:val="1"/>
        </w:numPr>
        <w:tabs>
          <w:tab w:pos="462" w:val="left" w:leader="none"/>
        </w:tabs>
        <w:spacing w:line="240" w:lineRule="auto" w:before="0" w:after="0"/>
        <w:ind w:left="462" w:right="149" w:hanging="360"/>
        <w:jc w:val="left"/>
        <w:rPr>
          <w:sz w:val="24"/>
        </w:rPr>
      </w:pPr>
      <w:r>
        <w:rPr>
          <w:sz w:val="24"/>
        </w:rPr>
        <w:t>Egeland, J (2006) Opening Address, United Nations under- Secretary General. </w:t>
      </w:r>
      <w:r>
        <w:rPr>
          <w:i/>
          <w:sz w:val="24"/>
        </w:rPr>
        <w:t>Third International Conference on Early Warning</w:t>
      </w:r>
      <w:r>
        <w:rPr>
          <w:sz w:val="24"/>
        </w:rPr>
        <w:t>, Bonn, Germany, 27-29 march 2006.</w:t>
      </w:r>
    </w:p>
    <w:p>
      <w:pPr>
        <w:pStyle w:val="ListParagraph"/>
        <w:numPr>
          <w:ilvl w:val="0"/>
          <w:numId w:val="1"/>
        </w:numPr>
        <w:tabs>
          <w:tab w:pos="462" w:val="left" w:leader="none"/>
        </w:tabs>
        <w:spacing w:line="240" w:lineRule="auto" w:before="0" w:after="0"/>
        <w:ind w:left="462" w:right="256" w:hanging="360"/>
        <w:jc w:val="left"/>
        <w:rPr>
          <w:sz w:val="24"/>
        </w:rPr>
      </w:pPr>
      <w:r>
        <w:rPr>
          <w:sz w:val="24"/>
        </w:rPr>
        <w:t>OPS (Organización Panamericana de Salud) (2000) </w:t>
      </w:r>
      <w:r>
        <w:rPr>
          <w:i/>
          <w:sz w:val="24"/>
        </w:rPr>
        <w:t>Los desastres naturales y </w:t>
      </w:r>
      <w:r>
        <w:rPr>
          <w:i/>
          <w:sz w:val="24"/>
        </w:rPr>
        <w:t>la protección de la salud</w:t>
      </w:r>
      <w:r>
        <w:rPr>
          <w:sz w:val="24"/>
        </w:rPr>
        <w:t>. Publicación científica No. 575. OPS,</w:t>
      </w:r>
      <w:r>
        <w:rPr>
          <w:spacing w:val="-28"/>
          <w:sz w:val="24"/>
        </w:rPr>
        <w:t> </w:t>
      </w:r>
      <w:r>
        <w:rPr>
          <w:sz w:val="24"/>
        </w:rPr>
        <w:t>Washington,</w:t>
      </w:r>
    </w:p>
    <w:p>
      <w:pPr>
        <w:pStyle w:val="BodyText"/>
        <w:spacing w:line="275" w:lineRule="exact" w:before="3"/>
        <w:ind w:left="461"/>
      </w:pPr>
      <w:r>
        <w:rPr/>
        <w:t>D.C. EUA.</w:t>
      </w:r>
    </w:p>
    <w:p>
      <w:pPr>
        <w:pStyle w:val="ListParagraph"/>
        <w:numPr>
          <w:ilvl w:val="0"/>
          <w:numId w:val="1"/>
        </w:numPr>
        <w:tabs>
          <w:tab w:pos="462" w:val="left" w:leader="none"/>
        </w:tabs>
        <w:spacing w:line="240" w:lineRule="auto" w:before="0" w:after="0"/>
        <w:ind w:left="462" w:right="845" w:hanging="360"/>
        <w:jc w:val="left"/>
        <w:rPr>
          <w:sz w:val="24"/>
        </w:rPr>
      </w:pPr>
      <w:r>
        <w:rPr>
          <w:sz w:val="24"/>
        </w:rPr>
        <w:t>Emery, F. E (1981) </w:t>
      </w:r>
      <w:r>
        <w:rPr>
          <w:i/>
          <w:sz w:val="24"/>
        </w:rPr>
        <w:t>Systems Thinking (2 vols)</w:t>
      </w:r>
      <w:r>
        <w:rPr>
          <w:sz w:val="24"/>
        </w:rPr>
        <w:t>. Harmondsworth: Penguin. Enciclopedia de los Municipios de México (2009) Tabasco </w:t>
      </w:r>
      <w:hyperlink r:id="rId20">
        <w:r>
          <w:rPr>
            <w:sz w:val="24"/>
          </w:rPr>
          <w:t>http://www.elocal.gob.mx/work/templates/.</w:t>
        </w:r>
      </w:hyperlink>
    </w:p>
    <w:p>
      <w:pPr>
        <w:pStyle w:val="ListParagraph"/>
        <w:numPr>
          <w:ilvl w:val="0"/>
          <w:numId w:val="1"/>
        </w:numPr>
        <w:tabs>
          <w:tab w:pos="462" w:val="left" w:leader="none"/>
        </w:tabs>
        <w:spacing w:line="242" w:lineRule="auto" w:before="0" w:after="0"/>
        <w:ind w:left="462" w:right="320" w:hanging="360"/>
        <w:jc w:val="left"/>
        <w:rPr>
          <w:sz w:val="24"/>
        </w:rPr>
      </w:pPr>
      <w:r>
        <w:rPr>
          <w:sz w:val="24"/>
        </w:rPr>
        <w:t>Bertalanffy, I V (1981) </w:t>
      </w:r>
      <w:r>
        <w:rPr>
          <w:i/>
          <w:sz w:val="24"/>
        </w:rPr>
        <w:t>A systems view of man: collected essays</w:t>
      </w:r>
      <w:r>
        <w:rPr>
          <w:sz w:val="24"/>
        </w:rPr>
        <w:t>. Violette, P.A. (ed). Boulder, Co:Westview Press,</w:t>
      </w:r>
      <w:r>
        <w:rPr>
          <w:spacing w:val="-13"/>
          <w:sz w:val="24"/>
        </w:rPr>
        <w:t> </w:t>
      </w:r>
      <w:r>
        <w:rPr>
          <w:sz w:val="24"/>
        </w:rPr>
        <w:t>1981</w:t>
      </w:r>
    </w:p>
    <w:p>
      <w:pPr>
        <w:pStyle w:val="ListParagraph"/>
        <w:numPr>
          <w:ilvl w:val="0"/>
          <w:numId w:val="1"/>
        </w:numPr>
        <w:tabs>
          <w:tab w:pos="462" w:val="left" w:leader="none"/>
        </w:tabs>
        <w:spacing w:line="271" w:lineRule="exact" w:before="0" w:after="0"/>
        <w:ind w:left="462" w:right="0" w:hanging="360"/>
        <w:jc w:val="left"/>
        <w:rPr>
          <w:sz w:val="24"/>
        </w:rPr>
      </w:pPr>
      <w:r>
        <w:rPr>
          <w:sz w:val="24"/>
        </w:rPr>
        <w:t>Forrester, </w:t>
      </w:r>
      <w:r>
        <w:rPr>
          <w:spacing w:val="-3"/>
          <w:sz w:val="24"/>
        </w:rPr>
        <w:t>J.W </w:t>
      </w:r>
      <w:r>
        <w:rPr>
          <w:sz w:val="24"/>
        </w:rPr>
        <w:t>(1961) </w:t>
      </w:r>
      <w:r>
        <w:rPr>
          <w:i/>
          <w:sz w:val="24"/>
        </w:rPr>
        <w:t>Industrial Dynamics</w:t>
      </w:r>
      <w:r>
        <w:rPr>
          <w:sz w:val="24"/>
        </w:rPr>
        <w:t>. Cambridge, MA:MIT Press.</w:t>
      </w:r>
      <w:r>
        <w:rPr>
          <w:spacing w:val="-11"/>
          <w:sz w:val="24"/>
        </w:rPr>
        <w:t> </w:t>
      </w:r>
      <w:r>
        <w:rPr>
          <w:sz w:val="24"/>
        </w:rPr>
        <w:t>USA.</w:t>
      </w:r>
    </w:p>
    <w:p>
      <w:pPr>
        <w:pStyle w:val="ListParagraph"/>
        <w:numPr>
          <w:ilvl w:val="0"/>
          <w:numId w:val="1"/>
        </w:numPr>
        <w:tabs>
          <w:tab w:pos="462" w:val="left" w:leader="none"/>
        </w:tabs>
        <w:spacing w:line="242" w:lineRule="auto" w:before="0" w:after="0"/>
        <w:ind w:left="462" w:right="746" w:hanging="360"/>
        <w:jc w:val="left"/>
        <w:rPr>
          <w:sz w:val="24"/>
        </w:rPr>
      </w:pPr>
      <w:r>
        <w:rPr>
          <w:sz w:val="24"/>
        </w:rPr>
        <w:t>Checkland, P. B. (1981) </w:t>
      </w:r>
      <w:r>
        <w:rPr>
          <w:i/>
          <w:sz w:val="24"/>
        </w:rPr>
        <w:t>Systems Thinking, Systems Practice</w:t>
      </w:r>
      <w:r>
        <w:rPr>
          <w:sz w:val="24"/>
        </w:rPr>
        <w:t>. Chichester, Wiley.</w:t>
      </w:r>
    </w:p>
    <w:p>
      <w:pPr>
        <w:pStyle w:val="ListParagraph"/>
        <w:numPr>
          <w:ilvl w:val="0"/>
          <w:numId w:val="1"/>
        </w:numPr>
        <w:tabs>
          <w:tab w:pos="462" w:val="left" w:leader="none"/>
        </w:tabs>
        <w:spacing w:line="242" w:lineRule="auto" w:before="0" w:after="0"/>
        <w:ind w:left="462" w:right="360" w:hanging="360"/>
        <w:jc w:val="left"/>
        <w:rPr>
          <w:sz w:val="24"/>
        </w:rPr>
      </w:pPr>
      <w:r>
        <w:rPr>
          <w:sz w:val="24"/>
        </w:rPr>
        <w:t>Checkland, P. B. and Scholes, J. (1990) </w:t>
      </w:r>
      <w:r>
        <w:rPr>
          <w:i/>
          <w:sz w:val="24"/>
        </w:rPr>
        <w:t>Soft Systems Methodology in Action</w:t>
      </w:r>
      <w:r>
        <w:rPr>
          <w:sz w:val="24"/>
        </w:rPr>
        <w:t>. Chichester,</w:t>
      </w:r>
      <w:r>
        <w:rPr>
          <w:spacing w:val="-9"/>
          <w:sz w:val="24"/>
        </w:rPr>
        <w:t> </w:t>
      </w:r>
      <w:r>
        <w:rPr>
          <w:sz w:val="24"/>
        </w:rPr>
        <w:t>Wiley.</w:t>
      </w:r>
    </w:p>
    <w:p>
      <w:pPr>
        <w:pStyle w:val="ListParagraph"/>
        <w:numPr>
          <w:ilvl w:val="0"/>
          <w:numId w:val="1"/>
        </w:numPr>
        <w:tabs>
          <w:tab w:pos="462" w:val="left" w:leader="none"/>
        </w:tabs>
        <w:spacing w:line="208" w:lineRule="auto" w:before="24" w:after="0"/>
        <w:ind w:left="462" w:right="115" w:hanging="360"/>
        <w:jc w:val="left"/>
        <w:rPr>
          <w:sz w:val="24"/>
        </w:rPr>
      </w:pPr>
      <w:r>
        <w:rPr>
          <w:sz w:val="24"/>
        </w:rPr>
        <w:t>Kingston, J., Koornef, F. van den Ruit, J., Frei, R. &amp; Schallier, P. (2009) </w:t>
      </w:r>
      <w:r>
        <w:rPr>
          <w:i/>
          <w:sz w:val="24"/>
        </w:rPr>
        <w:t>NRI </w:t>
      </w:r>
      <w:r>
        <w:rPr>
          <w:i/>
          <w:sz w:val="24"/>
        </w:rPr>
        <w:t>MORT User´s Manual 2</w:t>
      </w:r>
      <w:r>
        <w:rPr>
          <w:i/>
          <w:position w:val="11"/>
          <w:sz w:val="16"/>
        </w:rPr>
        <w:t>nd </w:t>
      </w:r>
      <w:r>
        <w:rPr>
          <w:i/>
          <w:sz w:val="24"/>
        </w:rPr>
        <w:t>Edition </w:t>
      </w:r>
      <w:r>
        <w:rPr>
          <w:sz w:val="24"/>
        </w:rPr>
        <w:t>Noordwijk Risk Initiative</w:t>
      </w:r>
      <w:r>
        <w:rPr>
          <w:spacing w:val="-10"/>
          <w:sz w:val="24"/>
        </w:rPr>
        <w:t> </w:t>
      </w:r>
      <w:r>
        <w:rPr>
          <w:sz w:val="24"/>
        </w:rPr>
        <w:t>Foundation.</w:t>
      </w:r>
    </w:p>
    <w:sectPr>
      <w:pgSz w:w="12240" w:h="15840"/>
      <w:pgMar w:header="603" w:footer="1087" w:top="940" w:bottom="1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23295">
          <wp:simplePos x="0" y="0"/>
          <wp:positionH relativeFrom="page">
            <wp:posOffset>3749928</wp:posOffset>
          </wp:positionH>
          <wp:positionV relativeFrom="page">
            <wp:posOffset>9241231</wp:posOffset>
          </wp:positionV>
          <wp:extent cx="363727" cy="176783"/>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1" cstate="print"/>
                  <a:stretch>
                    <a:fillRect/>
                  </a:stretch>
                </pic:blipFill>
                <pic:spPr>
                  <a:xfrm>
                    <a:off x="0" y="0"/>
                    <a:ext cx="363727" cy="176783"/>
                  </a:xfrm>
                  <a:prstGeom prst="rect">
                    <a:avLst/>
                  </a:prstGeom>
                </pic:spPr>
              </pic:pic>
            </a:graphicData>
          </a:graphic>
        </wp:anchor>
      </w:drawing>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8.424004pt;margin-top:29.18195pt;width:222.5pt;height:12pt;mso-position-horizontal-relative:page;mso-position-vertical-relative:page;z-index:-12208" type="#_x0000_t202" filled="false" stroked="false">
          <v:textbox inset="0,0,0,0">
            <w:txbxContent>
              <w:p>
                <w:pPr>
                  <w:spacing w:line="200" w:lineRule="exact" w:before="0"/>
                  <w:ind w:left="20" w:right="0" w:firstLine="0"/>
                  <w:jc w:val="left"/>
                  <w:rPr>
                    <w:rFonts w:ascii="Times New Roman" w:hAnsi="Times New Roman"/>
                    <w:i/>
                    <w:sz w:val="18"/>
                  </w:rPr>
                </w:pPr>
                <w:r>
                  <w:rPr>
                    <w:b/>
                    <w:i/>
                    <w:spacing w:val="1"/>
                    <w:w w:val="137"/>
                    <w:sz w:val="20"/>
                  </w:rPr>
                  <w:t>N</w:t>
                </w:r>
                <w:r>
                  <w:rPr>
                    <w:b/>
                    <w:i/>
                    <w:spacing w:val="1"/>
                    <w:w w:val="67"/>
                    <w:sz w:val="20"/>
                  </w:rPr>
                  <w:t>o</w:t>
                </w:r>
                <w:r>
                  <w:rPr>
                    <w:b/>
                    <w:i/>
                    <w:w w:val="75"/>
                    <w:sz w:val="20"/>
                  </w:rPr>
                  <w:t>us</w:t>
                </w:r>
                <w:r>
                  <w:rPr>
                    <w:b/>
                    <w:i/>
                    <w:spacing w:val="-2"/>
                    <w:w w:val="75"/>
                    <w:sz w:val="20"/>
                  </w:rPr>
                  <w:t>i</w:t>
                </w:r>
                <w:r>
                  <w:rPr>
                    <w:b/>
                    <w:i/>
                    <w:spacing w:val="2"/>
                    <w:w w:val="89"/>
                    <w:sz w:val="20"/>
                  </w:rPr>
                  <w:t>t</w:t>
                </w:r>
                <w:r>
                  <w:rPr>
                    <w:b/>
                    <w:i/>
                    <w:w w:val="77"/>
                    <w:sz w:val="20"/>
                  </w:rPr>
                  <w:t>z</w:t>
                </w:r>
                <w:r>
                  <w:rPr>
                    <w:b/>
                    <w:i/>
                    <w:spacing w:val="-8"/>
                    <w:sz w:val="20"/>
                  </w:rPr>
                  <w:t> </w:t>
                </w:r>
                <w:r>
                  <w:rPr>
                    <w:rFonts w:ascii="Times New Roman" w:hAnsi="Times New Roman"/>
                    <w:i/>
                    <w:color w:val="231F20"/>
                    <w:sz w:val="18"/>
                  </w:rPr>
                  <w:t>: </w:t>
                </w:r>
                <w:r>
                  <w:rPr>
                    <w:rFonts w:ascii="Times New Roman" w:hAnsi="Times New Roman"/>
                    <w:i/>
                    <w:color w:val="231F20"/>
                    <w:spacing w:val="-2"/>
                    <w:sz w:val="18"/>
                  </w:rPr>
                  <w:t> </w:t>
                </w:r>
                <w:r>
                  <w:rPr>
                    <w:rFonts w:ascii="Times New Roman" w:hAnsi="Times New Roman"/>
                    <w:i/>
                    <w:color w:val="231F20"/>
                    <w:sz w:val="18"/>
                  </w:rPr>
                  <w:t>Re</w:t>
                </w:r>
                <w:r>
                  <w:rPr>
                    <w:rFonts w:ascii="Times New Roman" w:hAnsi="Times New Roman"/>
                    <w:i/>
                    <w:color w:val="231F20"/>
                    <w:spacing w:val="-2"/>
                    <w:sz w:val="18"/>
                  </w:rPr>
                  <w:t>v</w:t>
                </w:r>
                <w:r>
                  <w:rPr>
                    <w:rFonts w:ascii="Times New Roman" w:hAnsi="Times New Roman"/>
                    <w:i/>
                    <w:color w:val="231F20"/>
                    <w:sz w:val="18"/>
                  </w:rPr>
                  <w:t>ista</w:t>
                </w:r>
                <w:r>
                  <w:rPr>
                    <w:rFonts w:ascii="Times New Roman" w:hAnsi="Times New Roman"/>
                    <w:i/>
                    <w:color w:val="231F20"/>
                    <w:spacing w:val="-1"/>
                    <w:sz w:val="18"/>
                  </w:rPr>
                  <w:t> </w:t>
                </w:r>
                <w:r>
                  <w:rPr>
                    <w:rFonts w:ascii="Times New Roman" w:hAnsi="Times New Roman"/>
                    <w:i/>
                    <w:color w:val="231F20"/>
                    <w:spacing w:val="1"/>
                    <w:sz w:val="18"/>
                  </w:rPr>
                  <w:t>d</w:t>
                </w:r>
                <w:r>
                  <w:rPr>
                    <w:rFonts w:ascii="Times New Roman" w:hAnsi="Times New Roman"/>
                    <w:i/>
                    <w:color w:val="231F20"/>
                    <w:sz w:val="18"/>
                  </w:rPr>
                  <w:t>e</w:t>
                </w:r>
                <w:r>
                  <w:rPr>
                    <w:rFonts w:ascii="Times New Roman" w:hAnsi="Times New Roman"/>
                    <w:i/>
                    <w:color w:val="231F20"/>
                    <w:spacing w:val="-1"/>
                    <w:sz w:val="18"/>
                  </w:rPr>
                  <w:t> </w:t>
                </w:r>
                <w:r>
                  <w:rPr>
                    <w:rFonts w:ascii="Times New Roman" w:hAnsi="Times New Roman"/>
                    <w:i/>
                    <w:color w:val="231F20"/>
                    <w:sz w:val="18"/>
                  </w:rPr>
                  <w:t>I</w:t>
                </w:r>
                <w:r>
                  <w:rPr>
                    <w:rFonts w:ascii="Times New Roman" w:hAnsi="Times New Roman"/>
                    <w:i/>
                    <w:color w:val="231F20"/>
                    <w:spacing w:val="1"/>
                    <w:sz w:val="18"/>
                  </w:rPr>
                  <w:t>n</w:t>
                </w:r>
                <w:r>
                  <w:rPr>
                    <w:rFonts w:ascii="Times New Roman" w:hAnsi="Times New Roman"/>
                    <w:i/>
                    <w:color w:val="231F20"/>
                    <w:spacing w:val="-1"/>
                    <w:sz w:val="18"/>
                  </w:rPr>
                  <w:t>vestig</w:t>
                </w:r>
                <w:r>
                  <w:rPr>
                    <w:rFonts w:ascii="Times New Roman" w:hAnsi="Times New Roman"/>
                    <w:i/>
                    <w:color w:val="231F20"/>
                    <w:spacing w:val="1"/>
                    <w:sz w:val="18"/>
                  </w:rPr>
                  <w:t>a</w:t>
                </w:r>
                <w:r>
                  <w:rPr>
                    <w:rFonts w:ascii="Times New Roman" w:hAnsi="Times New Roman"/>
                    <w:i/>
                    <w:color w:val="231F20"/>
                    <w:spacing w:val="-1"/>
                    <w:sz w:val="18"/>
                  </w:rPr>
                  <w:t>c</w:t>
                </w:r>
                <w:r>
                  <w:rPr>
                    <w:rFonts w:ascii="Times New Roman" w:hAnsi="Times New Roman"/>
                    <w:i/>
                    <w:color w:val="231F20"/>
                    <w:spacing w:val="-2"/>
                    <w:sz w:val="18"/>
                  </w:rPr>
                  <w:t>i</w:t>
                </w:r>
                <w:r>
                  <w:rPr>
                    <w:rFonts w:ascii="Times New Roman" w:hAnsi="Times New Roman"/>
                    <w:i/>
                    <w:color w:val="231F20"/>
                    <w:spacing w:val="1"/>
                    <w:sz w:val="18"/>
                  </w:rPr>
                  <w:t>ó</w:t>
                </w:r>
                <w:r>
                  <w:rPr>
                    <w:rFonts w:ascii="Times New Roman" w:hAnsi="Times New Roman"/>
                    <w:i/>
                    <w:color w:val="231F20"/>
                    <w:sz w:val="18"/>
                  </w:rPr>
                  <w:t>n</w:t>
                </w:r>
                <w:r>
                  <w:rPr>
                    <w:rFonts w:ascii="Times New Roman" w:hAnsi="Times New Roman"/>
                    <w:i/>
                    <w:color w:val="231F20"/>
                    <w:spacing w:val="1"/>
                    <w:sz w:val="18"/>
                  </w:rPr>
                  <w:t> </w:t>
                </w:r>
                <w:r>
                  <w:rPr>
                    <w:rFonts w:ascii="Times New Roman" w:hAnsi="Times New Roman"/>
                    <w:i/>
                    <w:color w:val="231F20"/>
                    <w:spacing w:val="2"/>
                    <w:sz w:val="18"/>
                  </w:rPr>
                  <w:t>C</w:t>
                </w:r>
                <w:r>
                  <w:rPr>
                    <w:rFonts w:ascii="Times New Roman" w:hAnsi="Times New Roman"/>
                    <w:i/>
                    <w:color w:val="231F20"/>
                    <w:sz w:val="18"/>
                  </w:rPr>
                  <w:t>i</w:t>
                </w:r>
                <w:r>
                  <w:rPr>
                    <w:rFonts w:ascii="Times New Roman" w:hAnsi="Times New Roman"/>
                    <w:i/>
                    <w:color w:val="231F20"/>
                    <w:spacing w:val="-3"/>
                    <w:sz w:val="18"/>
                  </w:rPr>
                  <w:t>e</w:t>
                </w:r>
                <w:r>
                  <w:rPr>
                    <w:rFonts w:ascii="Times New Roman" w:hAnsi="Times New Roman"/>
                    <w:i/>
                    <w:color w:val="231F20"/>
                    <w:spacing w:val="1"/>
                    <w:sz w:val="18"/>
                  </w:rPr>
                  <w:t>n</w:t>
                </w:r>
                <w:r>
                  <w:rPr>
                    <w:rFonts w:ascii="Times New Roman" w:hAnsi="Times New Roman"/>
                    <w:i/>
                    <w:color w:val="231F20"/>
                    <w:sz w:val="18"/>
                  </w:rPr>
                  <w:t>tífi</w:t>
                </w:r>
                <w:r>
                  <w:rPr>
                    <w:rFonts w:ascii="Times New Roman" w:hAnsi="Times New Roman"/>
                    <w:i/>
                    <w:color w:val="231F20"/>
                    <w:spacing w:val="-1"/>
                    <w:sz w:val="18"/>
                  </w:rPr>
                  <w:t>c</w:t>
                </w:r>
                <w:r>
                  <w:rPr>
                    <w:rFonts w:ascii="Times New Roman" w:hAnsi="Times New Roman"/>
                    <w:i/>
                    <w:color w:val="231F20"/>
                    <w:sz w:val="18"/>
                  </w:rPr>
                  <w:t>a</w:t>
                </w:r>
                <w:r>
                  <w:rPr>
                    <w:rFonts w:ascii="Times New Roman" w:hAnsi="Times New Roman"/>
                    <w:i/>
                    <w:color w:val="231F20"/>
                    <w:spacing w:val="-1"/>
                    <w:sz w:val="18"/>
                  </w:rPr>
                  <w:t> </w:t>
                </w:r>
                <w:r>
                  <w:rPr>
                    <w:rFonts w:ascii="Times New Roman" w:hAnsi="Times New Roman"/>
                    <w:i/>
                    <w:color w:val="231F20"/>
                    <w:sz w:val="18"/>
                  </w:rPr>
                  <w:t>y</w:t>
                </w:r>
                <w:r>
                  <w:rPr>
                    <w:rFonts w:ascii="Times New Roman" w:hAnsi="Times New Roman"/>
                    <w:i/>
                    <w:color w:val="231F20"/>
                    <w:spacing w:val="-1"/>
                    <w:sz w:val="18"/>
                  </w:rPr>
                  <w:t> </w:t>
                </w:r>
                <w:r>
                  <w:rPr>
                    <w:rFonts w:ascii="Times New Roman" w:hAnsi="Times New Roman"/>
                    <w:i/>
                    <w:color w:val="231F20"/>
                    <w:sz w:val="18"/>
                  </w:rPr>
                  <w:t>T</w:t>
                </w:r>
                <w:r>
                  <w:rPr>
                    <w:rFonts w:ascii="Times New Roman" w:hAnsi="Times New Roman"/>
                    <w:i/>
                    <w:color w:val="231F20"/>
                    <w:spacing w:val="-1"/>
                    <w:sz w:val="18"/>
                  </w:rPr>
                  <w:t>ec</w:t>
                </w:r>
                <w:r>
                  <w:rPr>
                    <w:rFonts w:ascii="Times New Roman" w:hAnsi="Times New Roman"/>
                    <w:i/>
                    <w:color w:val="231F20"/>
                    <w:spacing w:val="1"/>
                    <w:sz w:val="18"/>
                  </w:rPr>
                  <w:t>no</w:t>
                </w:r>
                <w:r>
                  <w:rPr>
                    <w:rFonts w:ascii="Times New Roman" w:hAnsi="Times New Roman"/>
                    <w:i/>
                    <w:color w:val="231F20"/>
                    <w:spacing w:val="-2"/>
                    <w:sz w:val="18"/>
                  </w:rPr>
                  <w:t>l</w:t>
                </w:r>
                <w:r>
                  <w:rPr>
                    <w:rFonts w:ascii="Times New Roman" w:hAnsi="Times New Roman"/>
                    <w:i/>
                    <w:color w:val="231F20"/>
                    <w:spacing w:val="1"/>
                    <w:sz w:val="18"/>
                  </w:rPr>
                  <w:t>ó</w:t>
                </w:r>
                <w:r>
                  <w:rPr>
                    <w:rFonts w:ascii="Times New Roman" w:hAnsi="Times New Roman"/>
                    <w:i/>
                    <w:color w:val="231F20"/>
                    <w:spacing w:val="-2"/>
                    <w:sz w:val="18"/>
                  </w:rPr>
                  <w:t>g</w:t>
                </w:r>
                <w:r>
                  <w:rPr>
                    <w:rFonts w:ascii="Times New Roman" w:hAnsi="Times New Roman"/>
                    <w:i/>
                    <w:color w:val="231F20"/>
                    <w:sz w:val="18"/>
                  </w:rPr>
                  <w:t>ica</w:t>
                </w:r>
              </w:p>
            </w:txbxContent>
          </v:textbox>
          <w10:wrap type="none"/>
        </v:shape>
      </w:pict>
    </w:r>
    <w:r>
      <w:rPr/>
      <w:pict>
        <v:shape style="position:absolute;margin-left:385.589996pt;margin-top:29.33pt;width:138.1pt;height:11pt;mso-position-horizontal-relative:page;mso-position-vertical-relative:page;z-index:-12184" type="#_x0000_t202" filled="false" stroked="false">
          <v:textbox inset="0,0,0,0">
            <w:txbxContent>
              <w:p>
                <w:pPr>
                  <w:spacing w:line="194" w:lineRule="exact" w:before="0"/>
                  <w:ind w:left="20" w:right="-3" w:firstLine="0"/>
                  <w:jc w:val="left"/>
                  <w:rPr>
                    <w:rFonts w:ascii="Times New Roman"/>
                    <w:i/>
                    <w:sz w:val="18"/>
                  </w:rPr>
                </w:pPr>
                <w:r>
                  <w:rPr>
                    <w:rFonts w:ascii="Times New Roman"/>
                    <w:i/>
                    <w:color w:val="231F20"/>
                    <w:sz w:val="18"/>
                  </w:rPr>
                  <w:t>Volumen 61 (2015)  ISSN: 1405-9967</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6"/>
      <w:numFmt w:val="decimal"/>
      <w:lvlText w:val="%1."/>
      <w:lvlJc w:val="left"/>
      <w:pPr>
        <w:ind w:left="462" w:hanging="360"/>
        <w:jc w:val="left"/>
      </w:pPr>
      <w:rPr>
        <w:rFonts w:hint="default" w:ascii="Arial" w:hAnsi="Arial" w:eastAsia="Arial" w:cs="Arial"/>
        <w:w w:val="100"/>
        <w:sz w:val="24"/>
        <w:szCs w:val="24"/>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ListParagraph" w:type="paragraph">
    <w:name w:val="List Paragraph"/>
    <w:basedOn w:val="Normal"/>
    <w:uiPriority w:val="1"/>
    <w:qFormat/>
    <w:pPr>
      <w:ind w:left="462" w:hanging="360"/>
    </w:pPr>
    <w:rPr>
      <w:rFonts w:ascii="Arial" w:hAnsi="Arial" w:eastAsia="Arial" w:cs="Arial"/>
    </w:rPr>
  </w:style>
  <w:style w:styleId="TableParagraph" w:type="paragraph">
    <w:name w:val="Table Paragraph"/>
    <w:basedOn w:val="Normal"/>
    <w:uiPriority w:val="1"/>
    <w:qFormat/>
    <w:pPr>
      <w:ind w:left="13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header" Target="header1.xml"/><Relationship Id="rId9" Type="http://schemas.openxmlformats.org/officeDocument/2006/relationships/image" Target="media/image4.png"/><Relationship Id="rId10" Type="http://schemas.openxmlformats.org/officeDocument/2006/relationships/footer" Target="footer1.xml"/><Relationship Id="rId11" Type="http://schemas.openxmlformats.org/officeDocument/2006/relationships/hyperlink" Target="http://cux.uaemex.mx/" TargetMode="External"/><Relationship Id="rId12" Type="http://schemas.openxmlformats.org/officeDocument/2006/relationships/hyperlink" Target="mailto:samuelop@gmail.com" TargetMode="External"/><Relationship Id="rId13" Type="http://schemas.openxmlformats.org/officeDocument/2006/relationships/hyperlink" Target="mailto:rgcruzf@uaemex.mx" TargetMode="External"/><Relationship Id="rId14" Type="http://schemas.openxmlformats.org/officeDocument/2006/relationships/hyperlink" Target="mailto:cjlandin@gmail.com" TargetMode="External"/><Relationship Id="rId15" Type="http://schemas.openxmlformats.org/officeDocument/2006/relationships/hyperlink" Target="mailto:hector.delgado.hdz@gmail.com" TargetMode="External"/><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jpeg"/><Relationship Id="rId19" Type="http://schemas.openxmlformats.org/officeDocument/2006/relationships/hyperlink" Target="http://libraryphoto.cr.usgs.gov/cgibin/search.cgi?search_mode=exact&amp;amp;selection" TargetMode="External"/><Relationship Id="rId20" Type="http://schemas.openxmlformats.org/officeDocument/2006/relationships/hyperlink" Target="http://www.elocal.gob.mx/work/templates/" TargetMode="External"/><Relationship Id="rId21"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2017-05-31T18:19:47Z</dcterms:created>
  <dcterms:modified xsi:type="dcterms:W3CDTF">2017-05-31T18:19:47Z</dcterms:modified>
</cp:coreProperties>
</file>