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362" w:lineRule="auto" w:before="54"/>
        <w:ind w:left="405" w:right="397"/>
      </w:pPr>
      <w:r>
        <w:rPr/>
        <w:drawing>
          <wp:anchor distT="0" distB="0" distL="0" distR="0" allowOverlap="1" layoutInCell="1" locked="0" behindDoc="1" simplePos="0" relativeHeight="268428887">
            <wp:simplePos x="0" y="0"/>
            <wp:positionH relativeFrom="page">
              <wp:posOffset>1301496</wp:posOffset>
            </wp:positionH>
            <wp:positionV relativeFrom="page">
              <wp:posOffset>9154668</wp:posOffset>
            </wp:positionV>
            <wp:extent cx="292608" cy="283463"/>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292608" cy="283463"/>
                    </a:xfrm>
                    <a:prstGeom prst="rect">
                      <a:avLst/>
                    </a:prstGeom>
                  </pic:spPr>
                </pic:pic>
              </a:graphicData>
            </a:graphic>
          </wp:anchor>
        </w:drawing>
      </w:r>
      <w:r>
        <w:rPr/>
        <w:t>“Propuesta metodológica para el estudio de los lácteos a través de Social- Análisis de Ciclo de Vida (S-ACV)”</w:t>
      </w:r>
    </w:p>
    <w:p>
      <w:pPr>
        <w:spacing w:line="276" w:lineRule="exact" w:before="0"/>
        <w:ind w:left="3794" w:right="0" w:hanging="3459"/>
        <w:jc w:val="left"/>
        <w:rPr>
          <w:sz w:val="24"/>
        </w:rPr>
      </w:pPr>
      <w:r>
        <w:rPr/>
        <w:pict>
          <v:line style="position:absolute;mso-position-horizontal-relative:page;mso-position-vertical-relative:paragraph;z-index:-6544" from="89.783997pt,12.999853pt" to="188.543997pt,12.999853pt" stroked="true" strokeweight=".84pt" strokecolor="#000000">
            <w10:wrap type="none"/>
          </v:line>
        </w:pict>
      </w:r>
      <w:r>
        <w:rPr>
          <w:sz w:val="24"/>
        </w:rPr>
        <w:t>Luis Brunett Pérez</w:t>
      </w:r>
      <w:r>
        <w:rPr>
          <w:position w:val="11"/>
          <w:sz w:val="16"/>
        </w:rPr>
        <w:t>1</w:t>
      </w:r>
      <w:r>
        <w:rPr>
          <w:sz w:val="24"/>
        </w:rPr>
        <w:t>, Carlos Galdino Martínez</w:t>
      </w:r>
      <w:r>
        <w:rPr>
          <w:position w:val="11"/>
          <w:sz w:val="16"/>
        </w:rPr>
        <w:t>2</w:t>
      </w:r>
      <w:r>
        <w:rPr>
          <w:sz w:val="24"/>
        </w:rPr>
        <w:t>, Valentín Espinosa Ortíz</w:t>
      </w:r>
      <w:r>
        <w:rPr>
          <w:position w:val="11"/>
          <w:sz w:val="16"/>
        </w:rPr>
        <w:t>3 </w:t>
      </w:r>
      <w:r>
        <w:rPr>
          <w:sz w:val="24"/>
        </w:rPr>
        <w:t>y Ramón</w:t>
      </w:r>
    </w:p>
    <w:p>
      <w:pPr>
        <w:spacing w:before="104"/>
        <w:ind w:left="397" w:right="397" w:firstLine="0"/>
        <w:jc w:val="center"/>
        <w:rPr>
          <w:sz w:val="16"/>
        </w:rPr>
      </w:pPr>
      <w:r>
        <w:rPr>
          <w:sz w:val="24"/>
        </w:rPr>
        <w:t>Soriano Robles</w:t>
      </w:r>
      <w:r>
        <w:rPr>
          <w:position w:val="11"/>
          <w:sz w:val="16"/>
        </w:rPr>
        <w:t>4</w:t>
      </w:r>
    </w:p>
    <w:p>
      <w:pPr>
        <w:pStyle w:val="BodyText"/>
        <w:spacing w:before="4"/>
        <w:rPr>
          <w:sz w:val="29"/>
        </w:rPr>
      </w:pPr>
    </w:p>
    <w:p>
      <w:pPr>
        <w:spacing w:before="1"/>
        <w:ind w:left="242" w:right="0" w:firstLine="0"/>
        <w:jc w:val="both"/>
        <w:rPr>
          <w:b/>
          <w:sz w:val="24"/>
        </w:rPr>
      </w:pPr>
      <w:r>
        <w:rPr>
          <w:b/>
          <w:sz w:val="24"/>
        </w:rPr>
        <w:t>Introducción</w:t>
      </w:r>
    </w:p>
    <w:p>
      <w:pPr>
        <w:pStyle w:val="BodyText"/>
        <w:spacing w:before="1"/>
        <w:rPr>
          <w:b/>
          <w:sz w:val="29"/>
        </w:rPr>
      </w:pPr>
    </w:p>
    <w:p>
      <w:pPr>
        <w:pStyle w:val="BodyText"/>
        <w:spacing w:line="362" w:lineRule="auto"/>
        <w:ind w:left="242" w:right="239"/>
        <w:jc w:val="both"/>
      </w:pPr>
      <w:r>
        <w:rPr/>
        <w:t>El análisis del ciclo de vida, ACV, también es conocido como LCA </w:t>
      </w:r>
      <w:r>
        <w:rPr>
          <w:i/>
        </w:rPr>
        <w:t>Life cycle assessment </w:t>
      </w:r>
      <w:r>
        <w:rPr/>
        <w:t>por sus siglas en inglés. Es una propuesta que intenta identificar, cuantificar y caracterizar los diferentes impactos ambientales potenciales asociados a cada una de las etapas del ciclo de vida de un producto, actividad o servicio.</w:t>
      </w:r>
    </w:p>
    <w:p>
      <w:pPr>
        <w:pStyle w:val="BodyText"/>
        <w:spacing w:before="3"/>
        <w:rPr>
          <w:sz w:val="17"/>
        </w:rPr>
      </w:pPr>
    </w:p>
    <w:p>
      <w:pPr>
        <w:pStyle w:val="BodyText"/>
        <w:spacing w:line="360" w:lineRule="auto"/>
        <w:ind w:left="242" w:right="235"/>
        <w:jc w:val="both"/>
      </w:pPr>
      <w:r>
        <w:rPr/>
        <w:t>En este sentido se considera que el ciclo de vida de un producto, es todo la "historia" del producto, desde su origen como materia prima hasta su final como residuo. Para este tipo de estudios se tiene que tomar en cuenta las fases intermedias como son: transporte, preparación de materias primas, manufactura, transporte a mercados, distribución, uso, etc. Dicho de otra manera, el ACV aborda la extracción de materias primas hasta la disposición final. Esta cadena que va “desde la cuna hasta la tumba”, aunque existen también una versión más corta conocida como “de la cuna a la puerta“.</w:t>
      </w:r>
    </w:p>
    <w:p>
      <w:pPr>
        <w:pStyle w:val="BodyText"/>
        <w:spacing w:before="7"/>
        <w:rPr>
          <w:sz w:val="17"/>
        </w:rPr>
      </w:pPr>
    </w:p>
    <w:p>
      <w:pPr>
        <w:pStyle w:val="BodyText"/>
        <w:ind w:left="242"/>
        <w:jc w:val="both"/>
      </w:pPr>
      <w:r>
        <w:rPr/>
        <w:t>La definición de ACV dada por SETAC, (1993) es la siguiente:</w:t>
      </w:r>
    </w:p>
    <w:p>
      <w:pPr>
        <w:pStyle w:val="BodyText"/>
        <w:spacing w:before="2"/>
        <w:rPr>
          <w:sz w:val="27"/>
        </w:rPr>
      </w:pPr>
    </w:p>
    <w:p>
      <w:pPr>
        <w:pStyle w:val="BodyText"/>
        <w:spacing w:line="360" w:lineRule="auto"/>
        <w:ind w:left="242" w:right="243"/>
        <w:jc w:val="both"/>
      </w:pPr>
      <w:r>
        <w:rPr/>
        <w:t>“Es un procedimiento objetivo de evaluación de cargas energéticas y ambientales correspondientes a un proceso o a una actividad, que se efectúa identificando los materiales y la energía utilizada y los descartes liberados en el ambiente natural. La evaluación se realiza en el ciclo de  vida completo del proceso o actividad, incluyendo la extracción y tratamiento de la materia prima, la fabricación, el transporte, la distribución, el uso, el reciclado, la reutilización y el despacho final”.</w:t>
      </w:r>
    </w:p>
    <w:p>
      <w:pPr>
        <w:pStyle w:val="BodyText"/>
        <w:spacing w:before="5"/>
        <w:rPr>
          <w:sz w:val="17"/>
        </w:rPr>
      </w:pPr>
    </w:p>
    <w:p>
      <w:pPr>
        <w:pStyle w:val="BodyText"/>
        <w:spacing w:line="360" w:lineRule="auto"/>
        <w:ind w:left="242" w:right="239"/>
        <w:jc w:val="both"/>
      </w:pPr>
      <w:r>
        <w:rPr/>
        <w:t>Una de las fortalezas del ACV radica en la habilidad de proporcionar una evaluación clara sobre procesos productivos, el enfoque también proporciona un marco para identificar estrategias efectivas para reducir el impacto ambiental. Teniendo la ventaja de ser un método que permite tomar decisiones sobre productos, o técnicas y poder contrastar la viabilidad y conocer el impacto directo que se genera en la ruta de producción. La metodología de ACV, cuenta con el reconocimiento del Programa de Naciones Unidas para el Medio Ambiente, como una herramienta para realizar reportes de sustentabilidad ecológica.</w:t>
      </w:r>
    </w:p>
    <w:p>
      <w:pPr>
        <w:pStyle w:val="BodyText"/>
        <w:spacing w:before="1"/>
        <w:rPr>
          <w:sz w:val="24"/>
        </w:rPr>
      </w:pPr>
      <w:r>
        <w:rPr/>
        <w:pict>
          <v:line style="position:absolute;mso-position-horizontal-relative:page;mso-position-vertical-relative:paragraph;z-index:0;mso-wrap-distance-left:0;mso-wrap-distance-right:0" from="85.103996pt,16.174913pt" to="229.123996pt,16.174913pt" stroked="true" strokeweight=".72003pt" strokecolor="#000000">
            <w10:wrap type="topAndBottom"/>
          </v:line>
        </w:pict>
      </w:r>
    </w:p>
    <w:p>
      <w:pPr>
        <w:pStyle w:val="BodyText"/>
        <w:spacing w:line="261" w:lineRule="exact" w:before="37"/>
        <w:ind w:left="242"/>
        <w:jc w:val="both"/>
        <w:rPr>
          <w:rFonts w:ascii="Calibri" w:hAnsi="Calibri"/>
        </w:rPr>
      </w:pPr>
      <w:r>
        <w:rPr>
          <w:rFonts w:ascii="Calibri" w:hAnsi="Calibri"/>
          <w:position w:val="10"/>
          <w:sz w:val="13"/>
        </w:rPr>
        <w:t>1 </w:t>
      </w:r>
      <w:r>
        <w:rPr>
          <w:rFonts w:ascii="Calibri" w:hAnsi="Calibri"/>
        </w:rPr>
        <w:t>Instituto de Ciencias Agropecuarias y Rurales. Correo electrónico </w:t>
      </w:r>
      <w:hyperlink r:id="rId7">
        <w:r>
          <w:rPr>
            <w:rFonts w:ascii="Calibri" w:hAnsi="Calibri"/>
            <w:color w:val="0000FF"/>
            <w:u w:val="single" w:color="0000FF"/>
          </w:rPr>
          <w:t>lbrunett@hotmail.com</w:t>
        </w:r>
        <w:r>
          <w:rPr>
            <w:rFonts w:ascii="Calibri" w:hAnsi="Calibri"/>
          </w:rPr>
          <w:t>.</w:t>
        </w:r>
      </w:hyperlink>
    </w:p>
    <w:p>
      <w:pPr>
        <w:pStyle w:val="BodyText"/>
        <w:spacing w:line="244" w:lineRule="exact" w:before="12"/>
        <w:ind w:left="242" w:right="1554"/>
        <w:jc w:val="both"/>
        <w:rPr>
          <w:rFonts w:ascii="Calibri" w:hAnsi="Calibri"/>
        </w:rPr>
      </w:pPr>
      <w:r>
        <w:rPr>
          <w:rFonts w:ascii="Calibri" w:hAnsi="Calibri"/>
          <w:position w:val="10"/>
          <w:sz w:val="13"/>
        </w:rPr>
        <w:t>2 </w:t>
      </w:r>
      <w:r>
        <w:rPr>
          <w:rFonts w:ascii="Calibri" w:hAnsi="Calibri"/>
        </w:rPr>
        <w:t>Instituto de Ciencias Agropecuarias y Rurales. Correo electrónico </w:t>
      </w:r>
      <w:hyperlink r:id="rId8">
        <w:r>
          <w:rPr>
            <w:rFonts w:ascii="Calibri" w:hAnsi="Calibri"/>
            <w:color w:val="0000FF"/>
            <w:u w:val="single" w:color="0000FF"/>
          </w:rPr>
          <w:t>cgmartinezg@uaemex.mx</w:t>
        </w:r>
      </w:hyperlink>
      <w:r>
        <w:rPr>
          <w:rFonts w:ascii="Calibri" w:hAnsi="Calibri"/>
          <w:color w:val="0000FF"/>
          <w:u w:val="single" w:color="0000FF"/>
        </w:rPr>
        <w:t> </w:t>
      </w:r>
      <w:r>
        <w:rPr>
          <w:rFonts w:ascii="Calibri" w:hAnsi="Calibri"/>
          <w:position w:val="10"/>
          <w:sz w:val="13"/>
        </w:rPr>
        <w:t>3 </w:t>
      </w:r>
      <w:r>
        <w:rPr>
          <w:rFonts w:ascii="Calibri" w:hAnsi="Calibri"/>
        </w:rPr>
        <w:t>Depto. de Economía, Administración y Desarrollo Rural. FMVZ de la UNAM. </w:t>
      </w:r>
      <w:hyperlink r:id="rId9">
        <w:r>
          <w:rPr>
            <w:rFonts w:ascii="Calibri" w:hAnsi="Calibri"/>
          </w:rPr>
          <w:t>veo@unam.mx</w:t>
        </w:r>
      </w:hyperlink>
      <w:r>
        <w:rPr>
          <w:rFonts w:ascii="Calibri" w:hAnsi="Calibri"/>
        </w:rPr>
        <w:t> </w:t>
      </w:r>
      <w:r>
        <w:rPr>
          <w:rFonts w:ascii="Calibri" w:hAnsi="Calibri"/>
          <w:position w:val="10"/>
          <w:sz w:val="13"/>
        </w:rPr>
        <w:t>4 </w:t>
      </w:r>
      <w:r>
        <w:rPr>
          <w:rFonts w:ascii="Calibri" w:hAnsi="Calibri"/>
        </w:rPr>
        <w:t>Depto. Biología de la Reproducción. UAM I </w:t>
      </w:r>
      <w:hyperlink r:id="rId10">
        <w:r>
          <w:rPr>
            <w:rFonts w:ascii="Calibri" w:hAnsi="Calibri"/>
          </w:rPr>
          <w:t>ramonaki@hotmail.com</w:t>
        </w:r>
      </w:hyperlink>
    </w:p>
    <w:p>
      <w:pPr>
        <w:spacing w:after="0" w:line="244" w:lineRule="exact"/>
        <w:jc w:val="both"/>
        <w:rPr>
          <w:rFonts w:ascii="Calibri" w:hAnsi="Calibri"/>
        </w:rPr>
        <w:sectPr>
          <w:footerReference w:type="default" r:id="rId5"/>
          <w:type w:val="continuous"/>
          <w:pgSz w:w="12240" w:h="15840"/>
          <w:pgMar w:footer="1210" w:top="1360" w:bottom="1400" w:left="1460" w:right="1460"/>
          <w:pgNumType w:start="1"/>
        </w:sectPr>
      </w:pPr>
    </w:p>
    <w:p>
      <w:pPr>
        <w:pStyle w:val="BodyText"/>
        <w:spacing w:line="360" w:lineRule="auto" w:before="53"/>
        <w:ind w:left="242" w:right="240"/>
        <w:jc w:val="both"/>
      </w:pPr>
      <w:r>
        <w:rPr/>
        <w:drawing>
          <wp:anchor distT="0" distB="0" distL="0" distR="0" allowOverlap="1" layoutInCell="1" locked="0" behindDoc="0" simplePos="0" relativeHeight="1096">
            <wp:simplePos x="0" y="0"/>
            <wp:positionH relativeFrom="page">
              <wp:posOffset>1301496</wp:posOffset>
            </wp:positionH>
            <wp:positionV relativeFrom="page">
              <wp:posOffset>9154668</wp:posOffset>
            </wp:positionV>
            <wp:extent cx="292608" cy="283463"/>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1" cstate="print"/>
                    <a:stretch>
                      <a:fillRect/>
                    </a:stretch>
                  </pic:blipFill>
                  <pic:spPr>
                    <a:xfrm>
                      <a:off x="0" y="0"/>
                      <a:ext cx="292608" cy="283463"/>
                    </a:xfrm>
                    <a:prstGeom prst="rect">
                      <a:avLst/>
                    </a:prstGeom>
                  </pic:spPr>
                </pic:pic>
              </a:graphicData>
            </a:graphic>
          </wp:anchor>
        </w:drawing>
      </w:r>
      <w:r>
        <w:rPr/>
        <w:t>Es en este contexto donde el Análisis del Ciclo de Vida y los servicios derivados de su implementación (Declaraciones Ambientales de Producto, Ecodiseño, Huella de Carbono, Huella Hídrica, análisis y mejora de procesos industriales, entre otras) por lo que se considera como una herramienta de gran valor para aumentar la competitividad de las empresas mediante la mejora de su desempeño ambiental.</w:t>
      </w:r>
    </w:p>
    <w:p>
      <w:pPr>
        <w:pStyle w:val="BodyText"/>
        <w:spacing w:before="5"/>
        <w:rPr>
          <w:sz w:val="17"/>
        </w:rPr>
      </w:pPr>
    </w:p>
    <w:p>
      <w:pPr>
        <w:pStyle w:val="BodyText"/>
        <w:spacing w:line="360" w:lineRule="auto"/>
        <w:ind w:left="242" w:right="237"/>
        <w:jc w:val="both"/>
      </w:pPr>
      <w:r>
        <w:rPr/>
        <w:t>Para poder identificar las fases que integran al ACV, la Organización Internacional de Normalización (</w:t>
      </w:r>
      <w:r>
        <w:rPr>
          <w:i/>
        </w:rPr>
        <w:t>International Standards Organisation </w:t>
      </w:r>
      <w:r>
        <w:rPr/>
        <w:t>ISO), plantea un grupo de Normas ISO 14000 para la gestión ambiental y contempla el ACV en su serie 14040; lo que la ISO 14040 hace es elaborar un tipo de norma que sirva para evaluar los impactos ambientales a lo largo de toda la vida de un producto (Curran,</w:t>
      </w:r>
      <w:r>
        <w:rPr>
          <w:spacing w:val="-16"/>
        </w:rPr>
        <w:t> </w:t>
      </w:r>
      <w:r>
        <w:rPr/>
        <w:t>2004).</w:t>
      </w:r>
    </w:p>
    <w:p>
      <w:pPr>
        <w:pStyle w:val="BodyText"/>
        <w:spacing w:before="5"/>
        <w:rPr>
          <w:sz w:val="17"/>
        </w:rPr>
      </w:pPr>
    </w:p>
    <w:p>
      <w:pPr>
        <w:pStyle w:val="BodyText"/>
        <w:spacing w:line="360" w:lineRule="auto" w:before="1"/>
        <w:ind w:left="242" w:right="234"/>
        <w:jc w:val="both"/>
      </w:pPr>
      <w:r>
        <w:rPr/>
        <w:t>Las metodologías para la evaluación del ciclo de vida (ACV) se ha desarrollado durante las últimas tres décadas, como consecuencia de que los consumidores exigen productos con menor impacto  al medio ambiente, lo anterior ha traído consigo que las empresas se vean obligadas a estudiar sus procesos de producción, así mismo, generar modelos y marcos de análisis que aporte información para la toma de decisiones. Una constante en el desarrollo de marcos de análisis ha sido generar no solo estudios de impacto ambiental sino, incorporar aspectos sociales en los estudios. En este sentido, Baitz, et., al. 2013, plantea que los ACV deben generar conocimientos necesarios para  que se haga las preguntas correctas, identificando los conocimientos y modelos relacionados, a las lagunas de conocimiento, y, por otra parte, definir programas de investigación para llenar estos vacíos. Por lo que el ACV se está convirtiendo en un marco de integración</w:t>
      </w:r>
      <w:r>
        <w:rPr>
          <w:spacing w:val="-22"/>
        </w:rPr>
        <w:t> </w:t>
      </w:r>
      <w:r>
        <w:rPr/>
        <w:t>transdisciplinaria.</w:t>
      </w:r>
    </w:p>
    <w:p>
      <w:pPr>
        <w:pStyle w:val="BodyText"/>
        <w:spacing w:before="5"/>
        <w:rPr>
          <w:sz w:val="17"/>
        </w:rPr>
      </w:pPr>
    </w:p>
    <w:p>
      <w:pPr>
        <w:pStyle w:val="BodyText"/>
        <w:spacing w:line="362" w:lineRule="auto"/>
        <w:ind w:left="242" w:right="237"/>
        <w:jc w:val="both"/>
      </w:pPr>
      <w:r>
        <w:rPr/>
        <w:t>Bajo esta premisa, existe una propuesta metodológica desde finales de la década de los noventa, que se le denominó S-LCA (</w:t>
      </w:r>
      <w:r>
        <w:rPr>
          <w:i/>
        </w:rPr>
        <w:t>Social- Life Cycle Assessement</w:t>
      </w:r>
      <w:r>
        <w:rPr/>
        <w:t>), la cual ha sido un intento para establecer la cuantificación de los efectos sociales en los ACV (UNEP/SETAC, 2009).</w:t>
      </w:r>
    </w:p>
    <w:p>
      <w:pPr>
        <w:pStyle w:val="BodyText"/>
        <w:spacing w:before="3"/>
        <w:rPr>
          <w:sz w:val="17"/>
        </w:rPr>
      </w:pPr>
    </w:p>
    <w:p>
      <w:pPr>
        <w:pStyle w:val="BodyText"/>
        <w:spacing w:line="360" w:lineRule="auto"/>
        <w:ind w:left="242" w:right="239"/>
        <w:jc w:val="both"/>
      </w:pPr>
      <w:r>
        <w:rPr/>
        <w:t>A pesar del tiempo transcurrido, aún son escasos los avances en los aspectos sociales, ya que como se apunta en un reciente libro Muthu, Subramanian (2015) “las consecuencias sociales de la producción de un producto están llegando a tomar una nueva importancia, el concepto de evaluación del ciclo de vida social se ha desarrollado recientemente y es cada </w:t>
      </w:r>
      <w:r>
        <w:rPr>
          <w:spacing w:val="3"/>
        </w:rPr>
        <w:t>vez </w:t>
      </w:r>
      <w:r>
        <w:rPr/>
        <w:t>más notorio. Sin embargo, S-LCA se encuentra aún en etapas iniciales, en consecuencia, aún se requiere de realizar estudios para muchos segmentos de las diferentes industrias</w:t>
      </w:r>
      <w:r>
        <w:rPr>
          <w:spacing w:val="-15"/>
        </w:rPr>
        <w:t> </w:t>
      </w:r>
      <w:r>
        <w:rPr/>
        <w:t>“</w:t>
      </w:r>
    </w:p>
    <w:p>
      <w:pPr>
        <w:pStyle w:val="BodyText"/>
        <w:spacing w:before="5"/>
        <w:rPr>
          <w:sz w:val="17"/>
        </w:rPr>
      </w:pPr>
    </w:p>
    <w:p>
      <w:pPr>
        <w:pStyle w:val="BodyText"/>
        <w:spacing w:line="360" w:lineRule="auto"/>
        <w:ind w:left="242" w:right="237"/>
        <w:jc w:val="both"/>
      </w:pPr>
      <w:r>
        <w:rPr/>
        <w:t>En cuanto al desarrollo de programas computacionales (software) que realizan ACV, se puede encontrar al menos 10, mismos que facilitan el cálculo de las cargas ambientales (Brunett, </w:t>
      </w:r>
      <w:r>
        <w:rPr>
          <w:i/>
        </w:rPr>
        <w:t>et al, </w:t>
      </w:r>
      <w:r>
        <w:rPr/>
        <w:t>2013). La mayoría de estos programas incluyen bases de datos que pueden variar en extensión y calidad de dichos datos. En ellos se introducen los datos que configuran el inventario para posteriormente realizar los cálculos propios de la fase del análisis del inventario del ciclo de vida,</w:t>
      </w:r>
    </w:p>
    <w:p>
      <w:pPr>
        <w:spacing w:after="0" w:line="360" w:lineRule="auto"/>
        <w:jc w:val="both"/>
        <w:sectPr>
          <w:pgSz w:w="12240" w:h="15840"/>
          <w:pgMar w:header="0" w:footer="1210" w:top="1360" w:bottom="1420" w:left="1460" w:right="1460"/>
        </w:sectPr>
      </w:pPr>
    </w:p>
    <w:p>
      <w:pPr>
        <w:pStyle w:val="BodyText"/>
        <w:spacing w:line="362" w:lineRule="auto" w:before="53"/>
        <w:ind w:left="242" w:right="246"/>
        <w:jc w:val="both"/>
      </w:pPr>
      <w:r>
        <w:rPr/>
        <w:drawing>
          <wp:anchor distT="0" distB="0" distL="0" distR="0" allowOverlap="1" layoutInCell="1" locked="0" behindDoc="0" simplePos="0" relativeHeight="1120">
            <wp:simplePos x="0" y="0"/>
            <wp:positionH relativeFrom="page">
              <wp:posOffset>1301496</wp:posOffset>
            </wp:positionH>
            <wp:positionV relativeFrom="page">
              <wp:posOffset>9154668</wp:posOffset>
            </wp:positionV>
            <wp:extent cx="292608" cy="283463"/>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12" cstate="print"/>
                    <a:stretch>
                      <a:fillRect/>
                    </a:stretch>
                  </pic:blipFill>
                  <pic:spPr>
                    <a:xfrm>
                      <a:off x="0" y="0"/>
                      <a:ext cx="292608" cy="283463"/>
                    </a:xfrm>
                    <a:prstGeom prst="rect">
                      <a:avLst/>
                    </a:prstGeom>
                  </pic:spPr>
                </pic:pic>
              </a:graphicData>
            </a:graphic>
          </wp:anchor>
        </w:drawing>
      </w:r>
      <w:r>
        <w:rPr/>
        <w:t>obteniéndose los resultados para las diferentes categorías de impacto propios de la fase del análisis del ciclo de vida</w:t>
      </w:r>
      <w:r>
        <w:rPr>
          <w:color w:val="FF0000"/>
        </w:rPr>
        <w:t>.</w:t>
      </w:r>
    </w:p>
    <w:p>
      <w:pPr>
        <w:pStyle w:val="BodyText"/>
        <w:spacing w:before="5"/>
        <w:rPr>
          <w:sz w:val="17"/>
        </w:rPr>
      </w:pPr>
    </w:p>
    <w:p>
      <w:pPr>
        <w:pStyle w:val="BodyText"/>
        <w:ind w:left="242"/>
        <w:jc w:val="both"/>
      </w:pPr>
      <w:r>
        <w:rPr/>
        <w:t>En materia de ACV en lácteos se ha identificado los siguientes trabajos:</w:t>
      </w:r>
    </w:p>
    <w:p>
      <w:pPr>
        <w:pStyle w:val="BodyText"/>
        <w:spacing w:before="11"/>
        <w:rPr>
          <w:sz w:val="26"/>
        </w:rPr>
      </w:pPr>
    </w:p>
    <w:p>
      <w:pPr>
        <w:pStyle w:val="Heading2"/>
        <w:spacing w:line="362" w:lineRule="auto"/>
        <w:ind w:right="246"/>
      </w:pPr>
      <w:r>
        <w:rPr/>
        <w:t>Environmental assessment of yield improvements obtained by the use of the enzyme phospholipase in mozzarella cheese production. En International Journal of Life Cycle Assessment pp 137-143</w:t>
      </w:r>
    </w:p>
    <w:p>
      <w:pPr>
        <w:pStyle w:val="BodyText"/>
        <w:spacing w:before="5"/>
        <w:rPr>
          <w:b/>
          <w:sz w:val="17"/>
        </w:rPr>
      </w:pPr>
    </w:p>
    <w:p>
      <w:pPr>
        <w:spacing w:before="0"/>
        <w:ind w:left="242" w:right="0" w:firstLine="0"/>
        <w:jc w:val="both"/>
        <w:rPr>
          <w:b/>
          <w:sz w:val="20"/>
        </w:rPr>
      </w:pPr>
      <w:r>
        <w:rPr>
          <w:b/>
          <w:sz w:val="20"/>
        </w:rPr>
        <w:t>Nielsen, Per H. Høier, Erik, 2009</w:t>
      </w:r>
    </w:p>
    <w:p>
      <w:pPr>
        <w:pStyle w:val="BodyText"/>
        <w:spacing w:before="4"/>
        <w:rPr>
          <w:b/>
          <w:sz w:val="27"/>
        </w:rPr>
      </w:pPr>
    </w:p>
    <w:p>
      <w:pPr>
        <w:pStyle w:val="BodyText"/>
        <w:spacing w:line="360" w:lineRule="auto"/>
        <w:ind w:left="242" w:right="237"/>
        <w:jc w:val="both"/>
      </w:pPr>
      <w:r>
        <w:rPr/>
        <w:t>El trabajo se desarrolló en Dinamarca. El objetivo fue evaluar los impactos ambientales que surgen con el uso de la fosfolipasa industrial en la producción de mozzarella. El estudio aborda la contribución al calentamiento global, la acidificación, el enriquecimiento de nutrientes, la formación de smog fotoquímico, el consumo de energía y la utilización de las tierras agrícolas. Estimación del potencial impacto ambiental se basa en la base de datos conocida como Eco-indicador 95 v.2.1. Utiliza como herramienta de análisis y modelado medioambiental el SimaPro 7. software de LCA. Concluyen que el uso de fosfolipasa como un factor de mejora de rendimiento es un medio de reducir el impacto medioambiental de la producción de queso mozzarella.</w:t>
      </w:r>
    </w:p>
    <w:p>
      <w:pPr>
        <w:pStyle w:val="BodyText"/>
        <w:spacing w:before="5"/>
        <w:rPr>
          <w:sz w:val="17"/>
        </w:rPr>
      </w:pPr>
    </w:p>
    <w:p>
      <w:pPr>
        <w:pStyle w:val="Heading2"/>
      </w:pPr>
      <w:r>
        <w:rPr/>
        <w:t>Invited review: Environmental impacts of dairy processing and products: A review</w:t>
      </w:r>
    </w:p>
    <w:p>
      <w:pPr>
        <w:pStyle w:val="BodyText"/>
        <w:spacing w:before="1"/>
        <w:rPr>
          <w:b/>
          <w:sz w:val="27"/>
        </w:rPr>
      </w:pPr>
    </w:p>
    <w:p>
      <w:pPr>
        <w:spacing w:line="360" w:lineRule="auto" w:before="1"/>
        <w:ind w:left="242" w:right="237" w:firstLine="0"/>
        <w:jc w:val="both"/>
        <w:rPr>
          <w:b/>
          <w:sz w:val="20"/>
        </w:rPr>
      </w:pPr>
      <w:r>
        <w:rPr>
          <w:b/>
          <w:sz w:val="20"/>
        </w:rPr>
        <w:t>F. X. Milani ,*1 D. Nutter ,† and G. Thoma ‡ * Department of Food Science, University of Wisconsin, Madison 53706 † Department of Mechanical Engineering, and ‡ Department of Chemical Engineering, University of Arkansas, Fayetteville 72701. En J. Dairy Sci. 94 :4243– 4254.</w:t>
      </w:r>
    </w:p>
    <w:p>
      <w:pPr>
        <w:pStyle w:val="BodyText"/>
        <w:spacing w:before="10"/>
        <w:rPr>
          <w:b/>
          <w:sz w:val="17"/>
        </w:rPr>
      </w:pPr>
    </w:p>
    <w:p>
      <w:pPr>
        <w:pStyle w:val="BodyText"/>
        <w:spacing w:line="360" w:lineRule="auto"/>
        <w:ind w:left="242" w:right="237"/>
        <w:jc w:val="both"/>
      </w:pPr>
      <w:r>
        <w:rPr/>
        <w:t>El objetivo de esta revisión fue resumir los esfuerzos de investigación y estudios de caso, hasta la fecha, de los impactos ambientales de la elaboración de productos lácteos. Se hace hincapié en la emisión de gases de efecto invernadero, el uso de agua, residuos, consumo y otros impactos ambientales de los lácteos. El método de elección, es la evaluación del ciclo de vida, para llevar a cabo la investigación y decidir la asignación apropiada de los impactos para cada co-producto. Resalta cómo el producto final (queso) está asociado con impactos ambientales al aire, agua y tierra. La conclusión principal del estudio fue la utilidad de la metodología de evaluación del ciclo  de vida y la necesidad de más investigación, debido a la escasez de estudios, datos variables, y la magnitud del impacto</w:t>
      </w:r>
      <w:r>
        <w:rPr>
          <w:spacing w:val="-8"/>
        </w:rPr>
        <w:t> </w:t>
      </w:r>
      <w:r>
        <w:rPr/>
        <w:t>ambiental.</w:t>
      </w:r>
    </w:p>
    <w:p>
      <w:pPr>
        <w:spacing w:after="0" w:line="360" w:lineRule="auto"/>
        <w:jc w:val="both"/>
        <w:sectPr>
          <w:pgSz w:w="12240" w:h="15840"/>
          <w:pgMar w:header="0" w:footer="1210" w:top="1360" w:bottom="1420" w:left="1460" w:right="1460"/>
        </w:sectPr>
      </w:pPr>
    </w:p>
    <w:p>
      <w:pPr>
        <w:pStyle w:val="Heading2"/>
        <w:spacing w:line="362" w:lineRule="auto" w:before="51"/>
        <w:ind w:right="235"/>
      </w:pPr>
      <w:r>
        <w:rPr/>
        <w:drawing>
          <wp:anchor distT="0" distB="0" distL="0" distR="0" allowOverlap="1" layoutInCell="1" locked="0" behindDoc="0" simplePos="0" relativeHeight="1144">
            <wp:simplePos x="0" y="0"/>
            <wp:positionH relativeFrom="page">
              <wp:posOffset>1301496</wp:posOffset>
            </wp:positionH>
            <wp:positionV relativeFrom="page">
              <wp:posOffset>9154668</wp:posOffset>
            </wp:positionV>
            <wp:extent cx="292608" cy="283463"/>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13" cstate="print"/>
                    <a:stretch>
                      <a:fillRect/>
                    </a:stretch>
                  </pic:blipFill>
                  <pic:spPr>
                    <a:xfrm>
                      <a:off x="0" y="0"/>
                      <a:ext cx="292608" cy="283463"/>
                    </a:xfrm>
                    <a:prstGeom prst="rect">
                      <a:avLst/>
                    </a:prstGeom>
                  </pic:spPr>
                </pic:pic>
              </a:graphicData>
            </a:graphic>
          </wp:anchor>
        </w:drawing>
      </w:r>
      <w:r>
        <w:rPr/>
        <w:t>Green cheese: Partial life cycle assessment of greenhouse gas emissions and energy intensity of integrated dairy production and bioenergy systems</w:t>
      </w:r>
    </w:p>
    <w:p>
      <w:pPr>
        <w:pStyle w:val="BodyText"/>
        <w:spacing w:before="3"/>
        <w:rPr>
          <w:b/>
          <w:sz w:val="17"/>
        </w:rPr>
      </w:pPr>
    </w:p>
    <w:p>
      <w:pPr>
        <w:pStyle w:val="ListParagraph"/>
        <w:numPr>
          <w:ilvl w:val="0"/>
          <w:numId w:val="1"/>
        </w:numPr>
        <w:tabs>
          <w:tab w:pos="504" w:val="left" w:leader="none"/>
        </w:tabs>
        <w:spacing w:line="360" w:lineRule="auto" w:before="0" w:after="0"/>
        <w:ind w:left="242" w:right="243" w:firstLine="0"/>
        <w:jc w:val="both"/>
        <w:rPr>
          <w:b/>
          <w:sz w:val="20"/>
        </w:rPr>
      </w:pPr>
      <w:r>
        <w:rPr>
          <w:b/>
          <w:spacing w:val="-3"/>
          <w:sz w:val="20"/>
        </w:rPr>
        <w:t>A. </w:t>
      </w:r>
      <w:r>
        <w:rPr>
          <w:b/>
          <w:sz w:val="20"/>
        </w:rPr>
        <w:t>Aguirre-Villegas,*1 T. H. Passos-Fonseca ,† D. J. Reinemann ,* L. E. Armentano ,‡ M. </w:t>
      </w:r>
      <w:r>
        <w:rPr>
          <w:b/>
          <w:spacing w:val="-4"/>
          <w:sz w:val="20"/>
        </w:rPr>
        <w:t>A. </w:t>
      </w:r>
      <w:r>
        <w:rPr>
          <w:b/>
          <w:sz w:val="20"/>
        </w:rPr>
        <w:t>Wattiaux ,‡ V. E. Cabrera ,‡ J. M. Norman ,§ and R. Larson * * Department of Biological Systems Engineering, † Agroecology Program, ‡ Department of Dairy Science, and § Department of Soil Sciences, University of Wisconsin, Madison</w:t>
      </w:r>
      <w:r>
        <w:rPr>
          <w:b/>
          <w:spacing w:val="-14"/>
          <w:sz w:val="20"/>
        </w:rPr>
        <w:t> </w:t>
      </w:r>
      <w:r>
        <w:rPr>
          <w:b/>
          <w:sz w:val="20"/>
        </w:rPr>
        <w:t>53706</w:t>
      </w:r>
    </w:p>
    <w:p>
      <w:pPr>
        <w:pStyle w:val="BodyText"/>
        <w:spacing w:before="10"/>
        <w:rPr>
          <w:b/>
          <w:sz w:val="17"/>
        </w:rPr>
      </w:pPr>
    </w:p>
    <w:p>
      <w:pPr>
        <w:pStyle w:val="BodyText"/>
        <w:spacing w:line="360" w:lineRule="auto"/>
        <w:ind w:left="242" w:right="239"/>
        <w:jc w:val="both"/>
      </w:pPr>
      <w:r>
        <w:rPr/>
        <w:t>El objetivo de este estudio fue evaluar el efecto de la integración de productos lácteos y los sistemas bioenergéticos sobre uso de la tierra, la intensidad de la energía neta (NEI), y las emisiones de gases de efecto invernadero (GEI). Los escenarios de gestión del estiércol incluye la aplicación de la tierra, que es el método más común de eliminación de estiércol en Wisconsin, y la digestión anaeróbica del estiércol (AD) para producir biogás. Un parcial de la evaluación del ciclo de vida, desde la cuna hasta la puerta de la finca, donde se realizó el sistema de límites se ampliaron para incluir la producción de biocombustibles en el análisis y las cargas ambientales entre la leche y los productos lácteos, utilizando bioenergía derivada de fermentación de estiércol. La leche fue considerada el producto primario y la unidad funcional, con etanol, biodiesel y biogás considerado como co-productos a los</w:t>
      </w:r>
      <w:r>
        <w:rPr>
          <w:spacing w:val="-10"/>
        </w:rPr>
        <w:t> </w:t>
      </w:r>
      <w:r>
        <w:rPr/>
        <w:t>lácteos.</w:t>
      </w:r>
    </w:p>
    <w:p>
      <w:pPr>
        <w:pStyle w:val="BodyText"/>
        <w:spacing w:before="2"/>
        <w:rPr>
          <w:sz w:val="17"/>
        </w:rPr>
      </w:pPr>
    </w:p>
    <w:p>
      <w:pPr>
        <w:pStyle w:val="Heading2"/>
        <w:spacing w:line="362" w:lineRule="auto" w:before="1"/>
        <w:ind w:right="249"/>
      </w:pPr>
      <w:r>
        <w:rPr/>
        <w:t>Cheese; Dairy sector; Environmental analysis; Life cycle assessment (LCA); Life cycle inventory analysis (LCI); Milk; Portugal</w:t>
      </w:r>
    </w:p>
    <w:p>
      <w:pPr>
        <w:pStyle w:val="BodyText"/>
        <w:spacing w:before="3"/>
        <w:rPr>
          <w:b/>
          <w:sz w:val="17"/>
        </w:rPr>
      </w:pPr>
    </w:p>
    <w:p>
      <w:pPr>
        <w:spacing w:line="362" w:lineRule="auto" w:before="0"/>
        <w:ind w:left="242" w:right="237" w:firstLine="0"/>
        <w:jc w:val="both"/>
        <w:rPr>
          <w:b/>
          <w:sz w:val="20"/>
        </w:rPr>
      </w:pPr>
      <w:r>
        <w:rPr>
          <w:b/>
          <w:sz w:val="20"/>
        </w:rPr>
        <w:t>González-García, Sara. Castanheira, Érica G. Dias, Ana Cláudia y Arroja, Luis. En Journal of Cleaner Production, 2013 pp 65-73.</w:t>
      </w:r>
    </w:p>
    <w:p>
      <w:pPr>
        <w:pStyle w:val="BodyText"/>
        <w:spacing w:before="5"/>
        <w:rPr>
          <w:b/>
          <w:sz w:val="17"/>
        </w:rPr>
      </w:pPr>
    </w:p>
    <w:p>
      <w:pPr>
        <w:pStyle w:val="BodyText"/>
        <w:spacing w:line="360" w:lineRule="auto"/>
        <w:ind w:left="242" w:right="234"/>
        <w:jc w:val="both"/>
      </w:pPr>
      <w:r>
        <w:rPr/>
        <w:t>El objetivo de este trabajo fue cuantificar las consecuencias ambientales del ciclo de vida de la producción de quesos maduros. Para ello, se estudió una fábrica de quesos ubicada en Portugal fue evaluada en detalle, a través de datos de inventario de las diferentes etapas de producción (producción de leche en la granja de productos lácteos, quesos y suero de fabricación industrial de transformación en fábrica de productos lácteos) fueron tomadas en el lugar. La línea de producción en la fábrica de productos lácteos industriales presenta dos productos principales: el queso maduro y suero en polvo. Las cargas ambientales fueron asignadas entre ambos productos basados en un enfoque de asignación económica como línea de base. Alternativas de mejora para el medio ambiente factores clave dentro de los límites de la fábrica de productos lácteos se proponen sobre la base de una reducción del consumo de energía, el uso de combustibles más respetuosos con el medio ambiente en las calderas y la utilización de camiones nuevos con menores emisiones de escape. Según los resultados, se ha demostrado que debería ser posible reducir ligeramente el perfil  medioambiental  en  algunas  categorías  de  impacto  (la  acidificación,  la  eutrofización,   el</w:t>
      </w:r>
    </w:p>
    <w:p>
      <w:pPr>
        <w:spacing w:after="0" w:line="360" w:lineRule="auto"/>
        <w:jc w:val="both"/>
        <w:sectPr>
          <w:pgSz w:w="12240" w:h="15840"/>
          <w:pgMar w:header="0" w:footer="1210" w:top="1360" w:bottom="1420" w:left="1460" w:right="1460"/>
        </w:sectPr>
      </w:pPr>
    </w:p>
    <w:p>
      <w:pPr>
        <w:pStyle w:val="BodyText"/>
        <w:spacing w:line="362" w:lineRule="auto" w:before="53"/>
        <w:ind w:left="242" w:right="238"/>
        <w:jc w:val="both"/>
      </w:pPr>
      <w:r>
        <w:rPr/>
        <w:drawing>
          <wp:anchor distT="0" distB="0" distL="0" distR="0" allowOverlap="1" layoutInCell="1" locked="0" behindDoc="0" simplePos="0" relativeHeight="1168">
            <wp:simplePos x="0" y="0"/>
            <wp:positionH relativeFrom="page">
              <wp:posOffset>1301496</wp:posOffset>
            </wp:positionH>
            <wp:positionV relativeFrom="page">
              <wp:posOffset>9154668</wp:posOffset>
            </wp:positionV>
            <wp:extent cx="292608" cy="283463"/>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14" cstate="print"/>
                    <a:stretch>
                      <a:fillRect/>
                    </a:stretch>
                  </pic:blipFill>
                  <pic:spPr>
                    <a:xfrm>
                      <a:off x="0" y="0"/>
                      <a:ext cx="292608" cy="283463"/>
                    </a:xfrm>
                    <a:prstGeom prst="rect">
                      <a:avLst/>
                    </a:prstGeom>
                  </pic:spPr>
                </pic:pic>
              </a:graphicData>
            </a:graphic>
          </wp:anchor>
        </w:drawing>
      </w:r>
      <w:r>
        <w:rPr/>
        <w:t>calentamiento global y la foto-oxidantes formación) sin la participación significativa de la inversión económica.</w:t>
      </w:r>
    </w:p>
    <w:p>
      <w:pPr>
        <w:pStyle w:val="BodyText"/>
        <w:spacing w:before="3"/>
        <w:rPr>
          <w:sz w:val="17"/>
        </w:rPr>
      </w:pPr>
    </w:p>
    <w:p>
      <w:pPr>
        <w:pStyle w:val="Heading2"/>
      </w:pPr>
      <w:r>
        <w:rPr/>
        <w:t>REPORTE: U.S. DAIRY’S ENVIRONMENTAL FOOTPRINT A summary of findings, 2008-2013</w:t>
      </w:r>
    </w:p>
    <w:p>
      <w:pPr>
        <w:pStyle w:val="BodyText"/>
        <w:spacing w:before="4"/>
        <w:rPr>
          <w:b/>
          <w:sz w:val="27"/>
        </w:rPr>
      </w:pPr>
    </w:p>
    <w:p>
      <w:pPr>
        <w:pStyle w:val="BodyText"/>
        <w:spacing w:line="360" w:lineRule="auto"/>
        <w:ind w:left="242" w:right="237"/>
        <w:jc w:val="both"/>
      </w:pPr>
      <w:r>
        <w:rPr/>
        <w:t>Este es un programa encargado al Centro de Innovación de Productos Lácteos de EE.UU. Los estudios inicialmente se centraron en las emisiones de gases de efecto invernadero asociadas con la producción de leche líquida. El ámbito del posterior ACV ampliado para evaluar otros problemas ambientales y productos lácteos, tales como queso y suero. El motivo es ayudar a la industria a comprender las oportunidades clave para reducir su impacto sobre el medio ambiente de una manera económicamente viable. A la propuesta se le conoce como “del pasto al vaso”. Dentro de las principales conclusiones se encuentran: Las emisiones de gases de efecto invernadero y la reducción de las emisiones de GEI (gases de efecto invernadero) fue identificada como una prioridad para la industria de productos lácteos. Los GEI de ACV para leche y queso estableció una base precisa para las emisiones de gases de efecto invernadero a lo largo de la cadena de valor e los lácteos. El grupo de investigadores han establecido que la producción de todos los productos lácteos en los Estados Unidos representa aproximadamente el 2 por ciento del total de las emisiones de gases de efecto invernadero de EE.UU.</w:t>
      </w:r>
    </w:p>
    <w:p>
      <w:pPr>
        <w:pStyle w:val="BodyText"/>
        <w:spacing w:before="7"/>
        <w:rPr>
          <w:sz w:val="17"/>
        </w:rPr>
      </w:pPr>
    </w:p>
    <w:p>
      <w:pPr>
        <w:pStyle w:val="BodyText"/>
        <w:ind w:left="242"/>
        <w:jc w:val="both"/>
      </w:pPr>
      <w:r>
        <w:rPr/>
        <w:t>El grupo menciona que los principales desafíos de ACV en los lácteos son:</w:t>
      </w:r>
    </w:p>
    <w:p>
      <w:pPr>
        <w:pStyle w:val="BodyText"/>
        <w:spacing w:before="1"/>
        <w:rPr>
          <w:sz w:val="27"/>
        </w:rPr>
      </w:pPr>
    </w:p>
    <w:p>
      <w:pPr>
        <w:pStyle w:val="BodyText"/>
        <w:spacing w:line="362" w:lineRule="auto" w:before="1"/>
        <w:ind w:left="242" w:right="235"/>
        <w:jc w:val="both"/>
      </w:pPr>
      <w:r>
        <w:rPr/>
        <w:t>1.- Que no existen datos en los Inventarios de Ciclo de Vida para lácteos, 2.- Que los productores lecheros son reacios a compartir su información, 3.- Que los beneficios del estudio son difícil de explicar a los tomadores de decisiones, y 4.- Que un ACV es intrínsecamente interdisciplinario, por lo que se requiere de equipos de expertos.</w:t>
      </w:r>
    </w:p>
    <w:p>
      <w:pPr>
        <w:pStyle w:val="BodyText"/>
        <w:spacing w:before="3"/>
        <w:rPr>
          <w:sz w:val="17"/>
        </w:rPr>
      </w:pPr>
    </w:p>
    <w:p>
      <w:pPr>
        <w:pStyle w:val="Heading2"/>
      </w:pPr>
      <w:r>
        <w:rPr/>
        <w:t>Revisión sobre aspectos metodológicos de la parte Social-ACV</w:t>
      </w:r>
    </w:p>
    <w:p>
      <w:pPr>
        <w:pStyle w:val="BodyText"/>
        <w:spacing w:before="4"/>
        <w:rPr>
          <w:b/>
          <w:sz w:val="27"/>
        </w:rPr>
      </w:pPr>
    </w:p>
    <w:p>
      <w:pPr>
        <w:pStyle w:val="BodyText"/>
        <w:spacing w:line="360" w:lineRule="auto"/>
        <w:ind w:left="242" w:right="237"/>
        <w:jc w:val="both"/>
      </w:pPr>
      <w:r>
        <w:rPr/>
        <w:t>La literatura científica reporta una serie de trabajos relativos a la parte social en el ACV, los cuales parten de la propuesta realizada UNEP/SETAC, 2009, del marco de las ISO 14040 y 14044 que marcan de forma general las directrices para un ACV Social, otro documento que es constantemente referido es UNEP/SETAC, 2011, el cual se introduce el concepto de “análisis de la sostenibilidad en el ciclo de vida” (ASCV), en donde se reconocen los fundamentos aportados por previos trabajos. El fundamento principal es que el ACV queda incompleto, sino se consideran los impactos de la producción y el consumo en todos los actores de la cadena de valor (trabajadores, comunidad local, consumidores y sociedad).</w:t>
      </w:r>
    </w:p>
    <w:p>
      <w:pPr>
        <w:pStyle w:val="BodyText"/>
        <w:spacing w:before="5"/>
        <w:rPr>
          <w:sz w:val="17"/>
        </w:rPr>
      </w:pPr>
    </w:p>
    <w:p>
      <w:pPr>
        <w:pStyle w:val="BodyText"/>
        <w:spacing w:line="360" w:lineRule="auto"/>
        <w:ind w:left="242" w:right="243" w:firstLine="55"/>
        <w:jc w:val="both"/>
      </w:pPr>
      <w:r>
        <w:rPr/>
        <w:t>De ahí que se afirme en el mencionado documento que “Las diferentes técnicas de evaluación permiten a los individuos y a las empresas medir los impactos de sus decisiones de consumo y de sus métodos de producción en las diferentes etapas de la cadena de valor. Así, el análisis de  ciclo</w:t>
      </w:r>
    </w:p>
    <w:p>
      <w:pPr>
        <w:spacing w:after="0" w:line="360" w:lineRule="auto"/>
        <w:jc w:val="both"/>
        <w:sectPr>
          <w:pgSz w:w="12240" w:h="15840"/>
          <w:pgMar w:header="0" w:footer="1210" w:top="1360" w:bottom="1420" w:left="1460" w:right="1460"/>
        </w:sectPr>
      </w:pPr>
    </w:p>
    <w:p>
      <w:pPr>
        <w:pStyle w:val="BodyText"/>
        <w:spacing w:line="362" w:lineRule="auto" w:before="53"/>
        <w:ind w:left="242" w:right="239"/>
        <w:jc w:val="both"/>
      </w:pPr>
      <w:r>
        <w:rPr/>
        <w:drawing>
          <wp:anchor distT="0" distB="0" distL="0" distR="0" allowOverlap="1" layoutInCell="1" locked="0" behindDoc="0" simplePos="0" relativeHeight="1192">
            <wp:simplePos x="0" y="0"/>
            <wp:positionH relativeFrom="page">
              <wp:posOffset>1301496</wp:posOffset>
            </wp:positionH>
            <wp:positionV relativeFrom="page">
              <wp:posOffset>9154668</wp:posOffset>
            </wp:positionV>
            <wp:extent cx="292608" cy="283463"/>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5" cstate="print"/>
                    <a:stretch>
                      <a:fillRect/>
                    </a:stretch>
                  </pic:blipFill>
                  <pic:spPr>
                    <a:xfrm>
                      <a:off x="0" y="0"/>
                      <a:ext cx="292608" cy="283463"/>
                    </a:xfrm>
                    <a:prstGeom prst="rect">
                      <a:avLst/>
                    </a:prstGeom>
                  </pic:spPr>
                </pic:pic>
              </a:graphicData>
            </a:graphic>
          </wp:anchor>
        </w:drawing>
      </w:r>
      <w:r>
        <w:rPr/>
        <w:t>de vida ambiental (ACV ambiental) observa los impactos potenciales de la extracción de recursos, transporte, producción, reciclaje, uso y desecho de productos, en el ambiente; el costo de ciclo de vida (CCV) es utilizado para evaluar los costos de dicho ciclo; y el análisis social de ciclo de vida (ACV social) examina las consecuencias sociales de todo este proceso” (UNEP/SETAC, 2011).</w:t>
      </w:r>
    </w:p>
    <w:p>
      <w:pPr>
        <w:pStyle w:val="BodyText"/>
        <w:spacing w:before="3"/>
        <w:rPr>
          <w:sz w:val="17"/>
        </w:rPr>
      </w:pPr>
    </w:p>
    <w:p>
      <w:pPr>
        <w:pStyle w:val="BodyText"/>
        <w:spacing w:line="360" w:lineRule="auto"/>
        <w:ind w:left="242" w:right="241"/>
        <w:jc w:val="both"/>
      </w:pPr>
      <w:r>
        <w:rPr/>
        <w:t>Sin embargo, S-LCA es un campo muy nuevo con pocos estudios realizados y algunos papeles debatir las posibles metodologías y la compatibilidad con los programas computacionales que software que corren los ACV.</w:t>
      </w:r>
    </w:p>
    <w:p>
      <w:pPr>
        <w:pStyle w:val="BodyText"/>
        <w:spacing w:before="5"/>
        <w:rPr>
          <w:sz w:val="17"/>
        </w:rPr>
      </w:pPr>
    </w:p>
    <w:p>
      <w:pPr>
        <w:pStyle w:val="BodyText"/>
        <w:spacing w:line="360" w:lineRule="auto"/>
        <w:ind w:left="242" w:right="237"/>
        <w:jc w:val="both"/>
      </w:pPr>
      <w:r>
        <w:rPr/>
        <w:t>Un acercamiento a la bibliografía reciente sobre S-ACV, se pueden obtener las siguientes conclusiones: para Chhipi-Shrestha, Gyan Kumar, Hewage, Kasun Sadiq,  Rehan  (2014) establecen que una línea de investigación para futuros estudios de S-ACV podría ser el perfeccionamiento de la base de datos de puntos de conexión social y el método de cálculo del índice social.</w:t>
      </w:r>
    </w:p>
    <w:p>
      <w:pPr>
        <w:pStyle w:val="BodyText"/>
        <w:spacing w:before="5"/>
        <w:rPr>
          <w:sz w:val="17"/>
        </w:rPr>
      </w:pPr>
    </w:p>
    <w:p>
      <w:pPr>
        <w:pStyle w:val="BodyText"/>
        <w:spacing w:line="360" w:lineRule="auto"/>
        <w:ind w:left="242" w:right="243"/>
        <w:jc w:val="both"/>
      </w:pPr>
      <w:r>
        <w:rPr/>
        <w:t>Otros investigadores dejan claro que </w:t>
      </w:r>
      <w:r>
        <w:rPr>
          <w:spacing w:val="3"/>
        </w:rPr>
        <w:t>el </w:t>
      </w:r>
      <w:r>
        <w:rPr/>
        <w:t>propósito de los aspectos sociales de la evaluación del  ciclo de vida (LCA) método es predecir los efectos sociales sobre las personas causadas por los cambios en el funcionamiento de la cadena de un producto durante su ciclo de vida. Los cambios en el estado de salud son muy importantes experiencias para las personas. Feschet, et al</w:t>
      </w:r>
      <w:r>
        <w:rPr>
          <w:spacing w:val="-20"/>
        </w:rPr>
        <w:t> </w:t>
      </w:r>
      <w:r>
        <w:rPr/>
        <w:t>2013.</w:t>
      </w:r>
    </w:p>
    <w:p>
      <w:pPr>
        <w:pStyle w:val="BodyText"/>
        <w:spacing w:before="7"/>
        <w:rPr>
          <w:sz w:val="17"/>
        </w:rPr>
      </w:pPr>
    </w:p>
    <w:p>
      <w:pPr>
        <w:pStyle w:val="BodyText"/>
        <w:spacing w:line="360" w:lineRule="auto"/>
        <w:ind w:left="242" w:right="242"/>
        <w:jc w:val="both"/>
      </w:pPr>
      <w:r>
        <w:rPr/>
        <w:t>Por su parte, Arushanyan et. al 2014, plantean “efectos consecuenciales” como una forma de reconocer qué sucede cuando se instala una fábrica en una comunidad y las repercusiones en las demás pequeñas empresas locales.</w:t>
      </w:r>
    </w:p>
    <w:p>
      <w:pPr>
        <w:pStyle w:val="BodyText"/>
        <w:spacing w:before="5"/>
        <w:rPr>
          <w:sz w:val="17"/>
        </w:rPr>
      </w:pPr>
    </w:p>
    <w:p>
      <w:pPr>
        <w:pStyle w:val="Heading2"/>
      </w:pPr>
      <w:r>
        <w:rPr/>
        <w:t>Estudios de caso que utilizan S- ACV en los lácteos</w:t>
      </w:r>
    </w:p>
    <w:p>
      <w:pPr>
        <w:pStyle w:val="BodyText"/>
        <w:spacing w:before="4"/>
        <w:rPr>
          <w:b/>
          <w:sz w:val="27"/>
        </w:rPr>
      </w:pPr>
    </w:p>
    <w:p>
      <w:pPr>
        <w:pStyle w:val="BodyText"/>
        <w:spacing w:line="362" w:lineRule="auto"/>
        <w:ind w:left="242" w:right="238"/>
        <w:jc w:val="both"/>
      </w:pPr>
      <w:r>
        <w:rPr/>
        <w:t>Reporte: Social Life Cycle Analysis (S-LCA): Some Methodological Issues and Potential Application to Cheese Production in New Zealand 2009</w:t>
      </w:r>
    </w:p>
    <w:p>
      <w:pPr>
        <w:pStyle w:val="BodyText"/>
        <w:spacing w:before="3"/>
        <w:rPr>
          <w:sz w:val="17"/>
        </w:rPr>
      </w:pPr>
    </w:p>
    <w:p>
      <w:pPr>
        <w:pStyle w:val="BodyText"/>
        <w:spacing w:line="360" w:lineRule="auto"/>
        <w:ind w:left="242" w:right="241"/>
        <w:jc w:val="both"/>
      </w:pPr>
      <w:r>
        <w:rPr/>
        <w:t>Este es un trabajo que fue financiada por AgResearch. El objetivo del proyecto era desarrollar la capacidad AgResearch en la evaluación del ciclo de vida social (S-LCA) a través de un estudio de caso de la producción de queso de Nueva Zelanda. Este informe presenta el marco en el que se desarrolló y se analiza su aplicación al caso de estudio.</w:t>
      </w:r>
    </w:p>
    <w:p>
      <w:pPr>
        <w:pStyle w:val="BodyText"/>
        <w:spacing w:before="5"/>
        <w:rPr>
          <w:sz w:val="17"/>
        </w:rPr>
      </w:pPr>
    </w:p>
    <w:p>
      <w:pPr>
        <w:pStyle w:val="BodyText"/>
        <w:spacing w:line="360" w:lineRule="auto" w:before="1"/>
        <w:ind w:left="242" w:right="238"/>
        <w:jc w:val="both"/>
      </w:pPr>
      <w:r>
        <w:rPr/>
        <w:t>Concluyen que el S-LCA es doble: en primer lugar, llevar el pensamiento del ciclo de vida para el análisis de los impactos sociales de la producción, el consumo y la comercialización de los productos, procesos y servicios, y, en segundo lugar, desarrollar el pensamiento del ciclo de vida para que pueda ser más útil en la consecución del objetivo del desarrollo sostenible y el consumo. Tradicionalmente, la evaluación del ciclo de vida (LCA) se refería principalmente a los impactos ambientales. Sin embargo, el pensamiento de sostenibilidad es generalmente considerado para incluir también al menos otras dos dimensiones: la económica y la social. En el pensamiento del</w:t>
      </w:r>
    </w:p>
    <w:p>
      <w:pPr>
        <w:spacing w:after="0" w:line="360" w:lineRule="auto"/>
        <w:jc w:val="both"/>
        <w:sectPr>
          <w:pgSz w:w="12240" w:h="15840"/>
          <w:pgMar w:header="0" w:footer="1210" w:top="1360" w:bottom="1420" w:left="1460" w:right="1460"/>
        </w:sectPr>
      </w:pPr>
    </w:p>
    <w:p>
      <w:pPr>
        <w:pStyle w:val="BodyText"/>
        <w:spacing w:line="360" w:lineRule="auto" w:before="53"/>
        <w:ind w:left="242" w:right="236"/>
        <w:jc w:val="both"/>
      </w:pPr>
      <w:r>
        <w:rPr/>
        <w:drawing>
          <wp:anchor distT="0" distB="0" distL="0" distR="0" allowOverlap="1" layoutInCell="1" locked="0" behindDoc="0" simplePos="0" relativeHeight="1216">
            <wp:simplePos x="0" y="0"/>
            <wp:positionH relativeFrom="page">
              <wp:posOffset>1301496</wp:posOffset>
            </wp:positionH>
            <wp:positionV relativeFrom="page">
              <wp:posOffset>9154668</wp:posOffset>
            </wp:positionV>
            <wp:extent cx="292608" cy="283463"/>
            <wp:effectExtent l="0" t="0" r="0" b="0"/>
            <wp:wrapNone/>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6" cstate="print"/>
                    <a:stretch>
                      <a:fillRect/>
                    </a:stretch>
                  </pic:blipFill>
                  <pic:spPr>
                    <a:xfrm>
                      <a:off x="0" y="0"/>
                      <a:ext cx="292608" cy="283463"/>
                    </a:xfrm>
                    <a:prstGeom prst="rect">
                      <a:avLst/>
                    </a:prstGeom>
                  </pic:spPr>
                </pic:pic>
              </a:graphicData>
            </a:graphic>
          </wp:anchor>
        </w:drawing>
      </w:r>
      <w:r>
        <w:rPr/>
        <w:t>ciclo de vida, costo de ciclo de vida (LCC) ha sido desarrollado para examinar los impactos económicos y S-LCA está actualmente en desarrollo para incluir la dimensión social. No existe procedimiento normalizado para realizar una S-LCA, ni directrices, por lo que es necesario, desarrollar metodologías. Aún con ello, el S-LCA tiene el potencial para contribuir significativamente a la eficiencia ecológica y la producción y el consumo sostenibles de productos desde una perspectiva</w:t>
      </w:r>
      <w:r>
        <w:rPr>
          <w:spacing w:val="-10"/>
        </w:rPr>
        <w:t> </w:t>
      </w:r>
      <w:r>
        <w:rPr/>
        <w:t>social.</w:t>
      </w:r>
    </w:p>
    <w:p>
      <w:pPr>
        <w:pStyle w:val="BodyText"/>
        <w:spacing w:before="5"/>
        <w:rPr>
          <w:sz w:val="17"/>
        </w:rPr>
      </w:pPr>
    </w:p>
    <w:p>
      <w:pPr>
        <w:pStyle w:val="BodyText"/>
        <w:spacing w:line="360" w:lineRule="auto"/>
        <w:ind w:left="242" w:right="240"/>
        <w:jc w:val="both"/>
      </w:pPr>
      <w:r>
        <w:rPr/>
        <w:t>Derivado de la búsqueda de información relativa a los lácteos y el ACV se puede establecer que no existen en México estudios para la producción de quesos, de ahí la importancia de iniciar trabajos de investigación que permitan contar con información ambiental sobre el proceso de producción de un queso típico de la región central de México, como es el queso Oaxaca. Además, se pretende la incorporación de los aspectos sociales para entender mejor la cadena agroalimentaria de los lácteos.</w:t>
      </w:r>
    </w:p>
    <w:p>
      <w:pPr>
        <w:pStyle w:val="BodyText"/>
        <w:spacing w:before="5"/>
        <w:rPr>
          <w:sz w:val="17"/>
        </w:rPr>
      </w:pPr>
    </w:p>
    <w:p>
      <w:pPr>
        <w:pStyle w:val="BodyText"/>
        <w:spacing w:line="360" w:lineRule="auto"/>
        <w:ind w:left="242" w:right="242"/>
        <w:jc w:val="both"/>
      </w:pPr>
      <w:r>
        <w:rPr/>
        <w:t>Esta última parte, es una demanda actual para la generación de conocimiento, tal como lo establece la </w:t>
      </w:r>
      <w:r>
        <w:rPr>
          <w:i/>
        </w:rPr>
        <w:t>International Journal of life cycle assessment</w:t>
      </w:r>
      <w:r>
        <w:rPr/>
        <w:t>. En este sentido, se considera que esta investigación es transformadora, ya que no existen antecedentes de trabajos de ACV en los  lácteos en México y tampoco se cuenta con “análisis de inventarios” para alimentar el software Simapro 8, en la parte social del proceso de producción de los</w:t>
      </w:r>
      <w:r>
        <w:rPr>
          <w:spacing w:val="-26"/>
        </w:rPr>
        <w:t> </w:t>
      </w:r>
      <w:r>
        <w:rPr/>
        <w:t>lácteos.</w:t>
      </w:r>
    </w:p>
    <w:p>
      <w:pPr>
        <w:pStyle w:val="BodyText"/>
        <w:spacing w:before="5"/>
        <w:rPr>
          <w:sz w:val="17"/>
        </w:rPr>
      </w:pPr>
    </w:p>
    <w:p>
      <w:pPr>
        <w:pStyle w:val="Heading2"/>
      </w:pPr>
      <w:r>
        <w:rPr/>
        <w:t>Propuesta de investigación dentro del proyecto de investigación de la UNAM</w:t>
      </w:r>
    </w:p>
    <w:p>
      <w:pPr>
        <w:pStyle w:val="BodyText"/>
        <w:spacing w:before="4"/>
        <w:rPr>
          <w:b/>
          <w:sz w:val="27"/>
        </w:rPr>
      </w:pPr>
    </w:p>
    <w:p>
      <w:pPr>
        <w:pStyle w:val="BodyText"/>
        <w:spacing w:line="360" w:lineRule="auto"/>
        <w:ind w:left="242" w:right="239"/>
        <w:jc w:val="both"/>
      </w:pPr>
      <w:r>
        <w:rPr/>
        <w:t>El presente proyecto pretende identificar y analizar las estrategias de las organizaciones en la sustentabilidad de la cadena agroalimentaria de los lácteos ante los cambios estructurales en un entorno globalizado por medio de diferentes enfoques teórico metodológicos: estudios de caso, análisis de redes sociales, territorialidad, evaluación de la sustentabilidad y Social - ACV.</w:t>
      </w:r>
    </w:p>
    <w:p>
      <w:pPr>
        <w:pStyle w:val="BodyText"/>
        <w:spacing w:before="5"/>
        <w:rPr>
          <w:sz w:val="17"/>
        </w:rPr>
      </w:pPr>
    </w:p>
    <w:p>
      <w:pPr>
        <w:pStyle w:val="BodyText"/>
        <w:spacing w:line="360" w:lineRule="auto"/>
        <w:ind w:left="242" w:right="245"/>
        <w:jc w:val="both"/>
      </w:pPr>
      <w:r>
        <w:rPr/>
        <w:t>Lo anterior se debido a las particularidades de cada eslabón y a la heterogeneidad de los sistemas de producción de las cadenas agroalimentarias de los lácteos en México, para ello se propone realizar estudios de caso de eslabones y sistemas que nos den acceso para ello en al menos los siguientes lugares: Maravatío Michoacán, San José de Gracia Michoacán, Complejo lechero de Tizayuca Hidalgo y Aculco, Estado de México.</w:t>
      </w:r>
    </w:p>
    <w:p>
      <w:pPr>
        <w:pStyle w:val="BodyText"/>
        <w:spacing w:before="5"/>
        <w:rPr>
          <w:sz w:val="17"/>
        </w:rPr>
      </w:pPr>
    </w:p>
    <w:p>
      <w:pPr>
        <w:pStyle w:val="BodyText"/>
        <w:spacing w:line="360" w:lineRule="auto" w:before="1"/>
        <w:ind w:left="242" w:right="238"/>
        <w:jc w:val="both"/>
      </w:pPr>
      <w:r>
        <w:rPr/>
        <w:t>El grupo de investigación trabajará de manera integrada con una visión interdisciplinaria e interinstitucional, ya que participan la Facultad de Medicina Veterinaria y Zootecnia de la UNAM, a través del Departamento de Economía, Administración y Desarrollo Rural, el Departamento de Biología de la Reproducción de la Universidad Autónoma Metropolitana unidad Ixtapalapa y el Instituto de Ciencias Agropecuarias y Rurales de la Universidad Autónoma del Estado de México, así como estudiantes de Maestría y Doctorado de diferentes programas.</w:t>
      </w:r>
    </w:p>
    <w:p>
      <w:pPr>
        <w:spacing w:after="0" w:line="360" w:lineRule="auto"/>
        <w:jc w:val="both"/>
        <w:sectPr>
          <w:pgSz w:w="12240" w:h="15840"/>
          <w:pgMar w:header="0" w:footer="1210" w:top="1360" w:bottom="1420" w:left="1460" w:right="1460"/>
        </w:sectPr>
      </w:pPr>
    </w:p>
    <w:p>
      <w:pPr>
        <w:pStyle w:val="BodyText"/>
        <w:spacing w:line="362" w:lineRule="auto" w:before="53"/>
        <w:ind w:left="242" w:right="237"/>
        <w:jc w:val="both"/>
      </w:pPr>
      <w:r>
        <w:rPr/>
        <w:drawing>
          <wp:anchor distT="0" distB="0" distL="0" distR="0" allowOverlap="1" layoutInCell="1" locked="0" behindDoc="0" simplePos="0" relativeHeight="1264">
            <wp:simplePos x="0" y="0"/>
            <wp:positionH relativeFrom="page">
              <wp:posOffset>1301496</wp:posOffset>
            </wp:positionH>
            <wp:positionV relativeFrom="page">
              <wp:posOffset>9154668</wp:posOffset>
            </wp:positionV>
            <wp:extent cx="292608" cy="283463"/>
            <wp:effectExtent l="0" t="0" r="0" b="0"/>
            <wp:wrapNone/>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7" cstate="print"/>
                    <a:stretch>
                      <a:fillRect/>
                    </a:stretch>
                  </pic:blipFill>
                  <pic:spPr>
                    <a:xfrm>
                      <a:off x="0" y="0"/>
                      <a:ext cx="292608" cy="283463"/>
                    </a:xfrm>
                    <a:prstGeom prst="rect">
                      <a:avLst/>
                    </a:prstGeom>
                  </pic:spPr>
                </pic:pic>
              </a:graphicData>
            </a:graphic>
          </wp:anchor>
        </w:drawing>
      </w:r>
      <w:r>
        <w:rPr/>
        <w:t>El proyecto se denominó: “Las organizaciones en la sustentabilidad de la cadena agroalimentaria de los lácteos” y se encuentra en la fase de evaluación en la convocatoria 2017 del Programa de Apoyo a Proyectos de Investigación e Innovación Tecnológica, de la</w:t>
      </w:r>
      <w:r>
        <w:rPr>
          <w:spacing w:val="-19"/>
        </w:rPr>
        <w:t> </w:t>
      </w:r>
      <w:r>
        <w:rPr/>
        <w:t>UNAM</w:t>
      </w:r>
    </w:p>
    <w:p>
      <w:pPr>
        <w:pStyle w:val="BodyText"/>
        <w:spacing w:before="3"/>
        <w:rPr>
          <w:sz w:val="17"/>
        </w:rPr>
      </w:pPr>
    </w:p>
    <w:p>
      <w:pPr>
        <w:pStyle w:val="BodyText"/>
        <w:spacing w:line="360" w:lineRule="auto"/>
        <w:ind w:left="242" w:right="235"/>
        <w:jc w:val="both"/>
      </w:pPr>
      <w:r>
        <w:rPr/>
        <w:t>En especial para la parte de S-ACV del estudio, se han propuesto la siguiente hipótesis y objetivos, así mismo, se iniciará con la propuesta metodológica para los aspectos sociales de Bodo, et al 2011.</w:t>
      </w:r>
    </w:p>
    <w:p>
      <w:pPr>
        <w:pStyle w:val="BodyText"/>
        <w:spacing w:before="10"/>
        <w:rPr>
          <w:sz w:val="17"/>
        </w:rPr>
      </w:pPr>
    </w:p>
    <w:p>
      <w:pPr>
        <w:pStyle w:val="BodyText"/>
        <w:ind w:left="242"/>
        <w:jc w:val="both"/>
      </w:pPr>
      <w:r>
        <w:rPr/>
        <w:t>HIPÓTESIS</w:t>
      </w:r>
    </w:p>
    <w:p>
      <w:pPr>
        <w:pStyle w:val="BodyText"/>
        <w:spacing w:before="1"/>
        <w:rPr>
          <w:sz w:val="27"/>
        </w:rPr>
      </w:pPr>
    </w:p>
    <w:p>
      <w:pPr>
        <w:pStyle w:val="BodyText"/>
        <w:spacing w:line="348" w:lineRule="auto" w:before="1"/>
        <w:ind w:left="242" w:right="236"/>
        <w:jc w:val="both"/>
      </w:pPr>
      <w:r>
        <w:rPr/>
        <w:t>La integración de los aspectos sociales en el ACV de los quesos de Aculco, permitirán aportar conocimientos para el diseño y construcción de base de datos específicos que alimentaran al software Simapro 8</w:t>
      </w:r>
      <w:r>
        <w:rPr>
          <w:position w:val="10"/>
          <w:sz w:val="13"/>
        </w:rPr>
        <w:t>5</w:t>
      </w:r>
      <w:r>
        <w:rPr/>
        <w:t>, y de esta manera se obtendrá una evaluación holística del proceso de producción  y  se  aportaran  los  elementos  para  crear  una  empresa  ambiental  y   </w:t>
      </w:r>
      <w:r>
        <w:rPr>
          <w:spacing w:val="53"/>
        </w:rPr>
        <w:t> </w:t>
      </w:r>
      <w:r>
        <w:rPr/>
        <w:t>socialmente</w:t>
      </w:r>
    </w:p>
    <w:p>
      <w:pPr>
        <w:pStyle w:val="BodyText"/>
        <w:spacing w:before="17"/>
        <w:ind w:left="242"/>
        <w:jc w:val="both"/>
      </w:pPr>
      <w:r>
        <w:rPr/>
        <w:t>responsable en la cadena de los lácteos.</w:t>
      </w:r>
    </w:p>
    <w:p>
      <w:pPr>
        <w:pStyle w:val="BodyText"/>
      </w:pPr>
    </w:p>
    <w:p>
      <w:pPr>
        <w:pStyle w:val="BodyText"/>
      </w:pPr>
    </w:p>
    <w:p>
      <w:pPr>
        <w:pStyle w:val="BodyText"/>
      </w:pPr>
    </w:p>
    <w:p>
      <w:pPr>
        <w:pStyle w:val="BodyText"/>
      </w:pPr>
    </w:p>
    <w:p>
      <w:pPr>
        <w:pStyle w:val="BodyText"/>
      </w:pPr>
    </w:p>
    <w:p>
      <w:pPr>
        <w:pStyle w:val="BodyText"/>
        <w:spacing w:before="1"/>
        <w:rPr>
          <w:sz w:val="22"/>
        </w:rPr>
      </w:pPr>
    </w:p>
    <w:p>
      <w:pPr>
        <w:pStyle w:val="BodyText"/>
        <w:ind w:left="242"/>
        <w:jc w:val="both"/>
      </w:pPr>
      <w:r>
        <w:rPr/>
        <w:t>OBJETIVO GENERAL</w:t>
      </w:r>
    </w:p>
    <w:p>
      <w:pPr>
        <w:pStyle w:val="BodyText"/>
        <w:spacing w:before="1"/>
        <w:rPr>
          <w:sz w:val="27"/>
        </w:rPr>
      </w:pPr>
    </w:p>
    <w:p>
      <w:pPr>
        <w:pStyle w:val="BodyText"/>
        <w:spacing w:line="360" w:lineRule="auto" w:before="1"/>
        <w:ind w:left="242" w:right="236"/>
        <w:jc w:val="both"/>
      </w:pPr>
      <w:r>
        <w:rPr/>
        <w:t>Construir los inventarios y base de datos para identificar las cargas ambientales e incorporar aspectos sociales del proceso de producción en los queseros de la región de Aculco, Estado de México.</w:t>
      </w:r>
    </w:p>
    <w:p>
      <w:pPr>
        <w:pStyle w:val="BodyText"/>
        <w:spacing w:before="7"/>
        <w:rPr>
          <w:sz w:val="17"/>
        </w:rPr>
      </w:pPr>
    </w:p>
    <w:p>
      <w:pPr>
        <w:pStyle w:val="BodyText"/>
        <w:ind w:left="297"/>
        <w:jc w:val="both"/>
      </w:pPr>
      <w:r>
        <w:rPr/>
        <w:t>OBJETIVO ESPECÍFICO</w:t>
      </w:r>
    </w:p>
    <w:p>
      <w:pPr>
        <w:pStyle w:val="BodyText"/>
        <w:spacing w:before="1"/>
        <w:rPr>
          <w:sz w:val="27"/>
        </w:rPr>
      </w:pPr>
    </w:p>
    <w:p>
      <w:pPr>
        <w:pStyle w:val="ListParagraph"/>
        <w:numPr>
          <w:ilvl w:val="1"/>
          <w:numId w:val="1"/>
        </w:numPr>
        <w:tabs>
          <w:tab w:pos="962" w:val="left" w:leader="none"/>
        </w:tabs>
        <w:spacing w:line="360" w:lineRule="auto" w:before="1" w:after="0"/>
        <w:ind w:left="962" w:right="245" w:hanging="360"/>
        <w:jc w:val="both"/>
        <w:rPr>
          <w:sz w:val="20"/>
        </w:rPr>
      </w:pPr>
      <w:r>
        <w:rPr>
          <w:sz w:val="20"/>
        </w:rPr>
        <w:t>Acopio, organización y análisis exhaustivo de la bibliografía y bases de datos disponibles de los estudios de ACV con el componente social y económico, los cuales serán a nivel internacional.</w:t>
      </w:r>
    </w:p>
    <w:p>
      <w:pPr>
        <w:pStyle w:val="ListParagraph"/>
        <w:numPr>
          <w:ilvl w:val="1"/>
          <w:numId w:val="1"/>
        </w:numPr>
        <w:tabs>
          <w:tab w:pos="962" w:val="left" w:leader="none"/>
        </w:tabs>
        <w:spacing w:line="357" w:lineRule="auto" w:before="4" w:after="0"/>
        <w:ind w:left="962" w:right="242" w:hanging="360"/>
        <w:jc w:val="both"/>
        <w:rPr>
          <w:sz w:val="20"/>
        </w:rPr>
      </w:pPr>
      <w:r>
        <w:rPr>
          <w:sz w:val="20"/>
        </w:rPr>
        <w:t>Proponer modificaciones al software Simapro 8, con la inclusión </w:t>
      </w:r>
      <w:r>
        <w:rPr>
          <w:spacing w:val="3"/>
          <w:sz w:val="20"/>
        </w:rPr>
        <w:t>de </w:t>
      </w:r>
      <w:r>
        <w:rPr>
          <w:sz w:val="20"/>
        </w:rPr>
        <w:t>aspectos sociales en el proceso productivo de los</w:t>
      </w:r>
      <w:r>
        <w:rPr>
          <w:spacing w:val="-7"/>
          <w:sz w:val="20"/>
        </w:rPr>
        <w:t> </w:t>
      </w:r>
      <w:r>
        <w:rPr>
          <w:sz w:val="20"/>
        </w:rPr>
        <w:t>quesos.</w:t>
      </w:r>
    </w:p>
    <w:p>
      <w:pPr>
        <w:pStyle w:val="ListParagraph"/>
        <w:numPr>
          <w:ilvl w:val="1"/>
          <w:numId w:val="1"/>
        </w:numPr>
        <w:tabs>
          <w:tab w:pos="962" w:val="left" w:leader="none"/>
        </w:tabs>
        <w:spacing w:line="364" w:lineRule="auto" w:before="6" w:after="0"/>
        <w:ind w:left="962" w:right="244" w:hanging="360"/>
        <w:jc w:val="both"/>
        <w:rPr>
          <w:sz w:val="20"/>
        </w:rPr>
      </w:pPr>
      <w:r>
        <w:rPr>
          <w:sz w:val="20"/>
        </w:rPr>
        <w:t>Proporcionar a la industria quesera de la región los elementos para crear una empresa ambiental y socialmente</w:t>
      </w:r>
      <w:r>
        <w:rPr>
          <w:spacing w:val="-12"/>
          <w:sz w:val="20"/>
        </w:rPr>
        <w:t> </w:t>
      </w:r>
      <w:r>
        <w:rPr>
          <w:sz w:val="20"/>
        </w:rPr>
        <w:t>responsable.</w:t>
      </w:r>
    </w:p>
    <w:p>
      <w:pPr>
        <w:pStyle w:val="BodyText"/>
        <w:spacing w:before="3"/>
        <w:rPr>
          <w:sz w:val="17"/>
        </w:rPr>
      </w:pPr>
    </w:p>
    <w:p>
      <w:pPr>
        <w:pStyle w:val="BodyText"/>
        <w:ind w:left="242"/>
        <w:jc w:val="both"/>
      </w:pPr>
      <w:r>
        <w:rPr/>
        <w:t>BIBLIOGRAFIA</w:t>
      </w:r>
    </w:p>
    <w:p>
      <w:pPr>
        <w:pStyle w:val="BodyText"/>
        <w:spacing w:before="1"/>
        <w:rPr>
          <w:sz w:val="27"/>
        </w:rPr>
      </w:pPr>
    </w:p>
    <w:p>
      <w:pPr>
        <w:pStyle w:val="BodyText"/>
        <w:spacing w:line="362" w:lineRule="auto" w:before="1"/>
        <w:ind w:left="242" w:right="234"/>
        <w:jc w:val="both"/>
      </w:pPr>
      <w:r>
        <w:rPr/>
        <w:t>Arushanyan, Yevgeniya, Ekener-Petersen, Elisabeth Finnveden, Göran (2014) Lessons learned – Review of LCAs for ICT products and services. En journal Computers in Industry pp 211-234</w:t>
      </w:r>
    </w:p>
    <w:p>
      <w:pPr>
        <w:pStyle w:val="BodyText"/>
        <w:spacing w:before="3"/>
        <w:rPr>
          <w:sz w:val="9"/>
        </w:rPr>
      </w:pPr>
      <w:r>
        <w:rPr/>
        <w:pict>
          <v:line style="position:absolute;mso-position-horizontal-relative:page;mso-position-vertical-relative:paragraph;z-index:1240;mso-wrap-distance-left:0;mso-wrap-distance-right:0" from="85.103996pt,7.663185pt" to="229.123996pt,7.663185pt" stroked="true" strokeweight=".72003pt" strokecolor="#000000">
            <w10:wrap type="topAndBottom"/>
          </v:line>
        </w:pict>
      </w:r>
    </w:p>
    <w:p>
      <w:pPr>
        <w:pStyle w:val="BodyText"/>
        <w:spacing w:before="39"/>
        <w:ind w:left="242" w:right="518"/>
        <w:rPr>
          <w:rFonts w:ascii="Calibri" w:hAnsi="Calibri"/>
        </w:rPr>
      </w:pPr>
      <w:r>
        <w:rPr>
          <w:rFonts w:ascii="Calibri" w:hAnsi="Calibri"/>
          <w:position w:val="10"/>
          <w:sz w:val="13"/>
        </w:rPr>
        <w:t>5 </w:t>
      </w:r>
      <w:r>
        <w:rPr>
          <w:rFonts w:ascii="Calibri" w:hAnsi="Calibri"/>
        </w:rPr>
        <w:t>SimaPro es un programa desarrollado por la empresa holandesa PRé Consultants, y permite modelar los productos y sistemas desde una perspectiva de ACV; viene totalmente integrado con la base de datos.</w:t>
      </w:r>
    </w:p>
    <w:p>
      <w:pPr>
        <w:spacing w:after="0"/>
        <w:rPr>
          <w:rFonts w:ascii="Calibri" w:hAnsi="Calibri"/>
        </w:rPr>
        <w:sectPr>
          <w:pgSz w:w="12240" w:h="15840"/>
          <w:pgMar w:header="0" w:footer="1210" w:top="1360" w:bottom="1400" w:left="1460" w:right="1460"/>
        </w:sectPr>
      </w:pPr>
    </w:p>
    <w:p>
      <w:pPr>
        <w:pStyle w:val="BodyText"/>
        <w:spacing w:line="362" w:lineRule="auto" w:before="53"/>
        <w:ind w:left="242" w:right="247"/>
        <w:jc w:val="both"/>
      </w:pPr>
      <w:r>
        <w:rPr/>
        <w:drawing>
          <wp:anchor distT="0" distB="0" distL="0" distR="0" allowOverlap="1" layoutInCell="1" locked="0" behindDoc="0" simplePos="0" relativeHeight="1288">
            <wp:simplePos x="0" y="0"/>
            <wp:positionH relativeFrom="page">
              <wp:posOffset>1301496</wp:posOffset>
            </wp:positionH>
            <wp:positionV relativeFrom="page">
              <wp:posOffset>9154668</wp:posOffset>
            </wp:positionV>
            <wp:extent cx="292608" cy="283463"/>
            <wp:effectExtent l="0" t="0" r="0" b="0"/>
            <wp:wrapNone/>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8" cstate="print"/>
                    <a:stretch>
                      <a:fillRect/>
                    </a:stretch>
                  </pic:blipFill>
                  <pic:spPr>
                    <a:xfrm>
                      <a:off x="0" y="0"/>
                      <a:ext cx="292608" cy="283463"/>
                    </a:xfrm>
                    <a:prstGeom prst="rect">
                      <a:avLst/>
                    </a:prstGeom>
                  </pic:spPr>
                </pic:pic>
              </a:graphicData>
            </a:graphic>
          </wp:anchor>
        </w:drawing>
      </w:r>
      <w:r>
        <w:rPr/>
        <w:t>Baitz, M. Albrecht, S. Brauner, E. Broadbent, C. (2013) LCA theory and practice: like ebony and ivory living in perfect harmony?. En life cycle assess 18 5-13.</w:t>
      </w:r>
    </w:p>
    <w:p>
      <w:pPr>
        <w:pStyle w:val="BodyText"/>
        <w:spacing w:before="3"/>
        <w:rPr>
          <w:sz w:val="17"/>
        </w:rPr>
      </w:pPr>
    </w:p>
    <w:p>
      <w:pPr>
        <w:pStyle w:val="BodyText"/>
        <w:spacing w:line="362" w:lineRule="auto"/>
        <w:ind w:left="242" w:right="245"/>
        <w:jc w:val="both"/>
      </w:pPr>
      <w:r>
        <w:rPr/>
        <w:t>Bodo Müller, Peter Saling (2011) Social impacts evaluated with the SEEBALANCE method. Documento de BASF, Chemical Industry. Alemania.</w:t>
      </w:r>
    </w:p>
    <w:p>
      <w:pPr>
        <w:pStyle w:val="BodyText"/>
        <w:spacing w:before="3"/>
        <w:rPr>
          <w:sz w:val="17"/>
        </w:rPr>
      </w:pPr>
    </w:p>
    <w:p>
      <w:pPr>
        <w:pStyle w:val="BodyText"/>
        <w:spacing w:line="360" w:lineRule="auto"/>
        <w:ind w:left="242" w:right="243"/>
        <w:jc w:val="both"/>
      </w:pPr>
      <w:r>
        <w:rPr/>
        <w:t>Brunett, L., Puente, J., Márquez O., y Terán, O. (2013) El Análisis de ciclo de vida: una revisión bibliográfica del método, construcción teórica y un estudio de caso. En libro Comunidades y recursos naturales. Gestión del desarrollo Rural. Comp. Orozco Hernández M. Esthela. Editado por UAEM-Conacyt. Pp 96-111.</w:t>
      </w:r>
    </w:p>
    <w:p>
      <w:pPr>
        <w:pStyle w:val="BodyText"/>
        <w:spacing w:before="5"/>
        <w:rPr>
          <w:sz w:val="17"/>
        </w:rPr>
      </w:pPr>
    </w:p>
    <w:p>
      <w:pPr>
        <w:pStyle w:val="BodyText"/>
        <w:spacing w:line="362" w:lineRule="auto"/>
        <w:ind w:left="242" w:right="239"/>
        <w:jc w:val="both"/>
      </w:pPr>
      <w:r>
        <w:rPr/>
        <w:t>Chhipi-Shrestha, Gyan Kumar, Hewage, Kasun Sadiq, Rehan (2014) 'Socializing' sustainability: a critical review on current development status of social life cycle impact assessment method. En Clean Technologies and Environmental Policy pp 579-596</w:t>
      </w:r>
    </w:p>
    <w:p>
      <w:pPr>
        <w:pStyle w:val="BodyText"/>
        <w:spacing w:before="3"/>
        <w:rPr>
          <w:sz w:val="17"/>
        </w:rPr>
      </w:pPr>
    </w:p>
    <w:p>
      <w:pPr>
        <w:pStyle w:val="BodyText"/>
        <w:spacing w:line="362" w:lineRule="auto"/>
        <w:ind w:left="242" w:right="247"/>
        <w:jc w:val="both"/>
      </w:pPr>
      <w:r>
        <w:rPr/>
        <w:t>Curran M. (2004): The status of Life Cycle Assessment as an Environmental Management Tool. Environmental Progress. 23(4):277-283.</w:t>
      </w:r>
    </w:p>
    <w:p>
      <w:pPr>
        <w:pStyle w:val="BodyText"/>
        <w:spacing w:before="3"/>
        <w:rPr>
          <w:sz w:val="17"/>
        </w:rPr>
      </w:pPr>
    </w:p>
    <w:p>
      <w:pPr>
        <w:pStyle w:val="BodyText"/>
        <w:spacing w:line="360" w:lineRule="auto"/>
        <w:ind w:left="242" w:right="239"/>
        <w:jc w:val="both"/>
      </w:pPr>
      <w:r>
        <w:rPr/>
        <w:t>Feschet, Pauline, MacOmbe, Catherine, Garrabé, Michel, Loeillet, Denis, Saez, Adolfo Rolo, Benhmad, François (2013) Social impact assessment in LCA using the Preston pathway: The case of banana industry in Cameroon. En International Journal of Life Cycle Assessment pp 490-503.</w:t>
      </w:r>
    </w:p>
    <w:p>
      <w:pPr>
        <w:pStyle w:val="BodyText"/>
        <w:spacing w:before="5"/>
        <w:rPr>
          <w:sz w:val="17"/>
        </w:rPr>
      </w:pPr>
    </w:p>
    <w:p>
      <w:pPr>
        <w:pStyle w:val="BodyText"/>
        <w:spacing w:line="362" w:lineRule="auto"/>
        <w:ind w:left="242" w:right="246"/>
        <w:jc w:val="both"/>
      </w:pPr>
      <w:r>
        <w:rPr/>
        <w:t>González S., Hospido A. Moreira M. Feijoo G., Arroja L. (2013) Enviromental Life  Cycle Assessment of a Galician Cheese: San Simón da Costa. J. of Cleaner Production 52 253-262.</w:t>
      </w:r>
    </w:p>
    <w:p>
      <w:pPr>
        <w:pStyle w:val="BodyText"/>
        <w:spacing w:before="5"/>
        <w:rPr>
          <w:sz w:val="17"/>
        </w:rPr>
      </w:pPr>
    </w:p>
    <w:p>
      <w:pPr>
        <w:pStyle w:val="BodyText"/>
        <w:ind w:left="242"/>
        <w:jc w:val="both"/>
      </w:pPr>
      <w:r>
        <w:rPr/>
        <w:t>Muthu, Subramanian (2015) Social Life Cycle Assessment An Insight. Springer</w:t>
      </w:r>
    </w:p>
    <w:p>
      <w:pPr>
        <w:pStyle w:val="BodyText"/>
        <w:spacing w:before="1"/>
        <w:rPr>
          <w:sz w:val="27"/>
        </w:rPr>
      </w:pPr>
    </w:p>
    <w:p>
      <w:pPr>
        <w:pStyle w:val="BodyText"/>
        <w:spacing w:line="362" w:lineRule="auto" w:before="1"/>
        <w:ind w:left="242" w:right="246"/>
        <w:jc w:val="both"/>
      </w:pPr>
      <w:r>
        <w:rPr/>
        <w:t>Nielsen H. Hoier E. (2009) Enviromental assessment of yield improvements obtained by the use of the enzyme phospholipase in mozzarella cheese production. J. life cycle assess 14 137-143.</w:t>
      </w:r>
    </w:p>
    <w:p>
      <w:pPr>
        <w:pStyle w:val="BodyText"/>
        <w:spacing w:before="3"/>
        <w:rPr>
          <w:sz w:val="17"/>
        </w:rPr>
      </w:pPr>
    </w:p>
    <w:p>
      <w:pPr>
        <w:pStyle w:val="BodyText"/>
        <w:spacing w:line="362" w:lineRule="auto"/>
        <w:ind w:left="242" w:right="238"/>
        <w:jc w:val="both"/>
      </w:pPr>
      <w:r>
        <w:rPr/>
        <w:t>UNEP/SETAC, Programa de Naciones Unidas para Medio Ambiente (2009) Guidelines For Social Life Cycle Assessment Of Products. Document.</w:t>
      </w:r>
    </w:p>
    <w:p>
      <w:pPr>
        <w:pStyle w:val="BodyText"/>
        <w:spacing w:before="5"/>
        <w:rPr>
          <w:sz w:val="17"/>
        </w:rPr>
      </w:pPr>
    </w:p>
    <w:p>
      <w:pPr>
        <w:pStyle w:val="BodyText"/>
        <w:ind w:left="242"/>
        <w:jc w:val="both"/>
      </w:pPr>
      <w:r>
        <w:rPr/>
        <w:t>UNEP/SETAC Life Cycle Initiative 2011 Towards a Life Cycle sustainability assessment. Document.</w:t>
      </w:r>
    </w:p>
    <w:sectPr>
      <w:pgSz w:w="12240" w:h="15840"/>
      <w:pgMar w:header="0" w:footer="1210" w:top="1360" w:bottom="1420" w:left="1460" w:right="14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group style="position:absolute;margin-left:78.624001pt;margin-top:717.575989pt;width:455pt;height:26.8pt;mso-position-horizontal-relative:page;mso-position-vertical-relative:page;z-index:-6592" coordorigin="1572,14352" coordsize="9100,536">
          <v:line style="position:absolute" from="1594,14395" to="2511,14395" stroked="true" strokeweight="2.16pt" strokecolor="#808080"/>
          <v:line style="position:absolute" from="2554,14395" to="10651,14395" stroked="true" strokeweight="2.16pt" strokecolor="#808080"/>
          <v:line style="position:absolute" from="2532,14373" to="2532,14865" stroked="true" strokeweight="2.16pt" strokecolor="#808080"/>
          <w10:wrap type="none"/>
        </v:group>
      </w:pict>
    </w:r>
    <w:r>
      <w:rPr/>
      <w:pict>
        <v:shapetype id="_x0000_t202" o:spt="202" coordsize="21600,21600" path="m,l,21600r21600,l21600,xe">
          <v:stroke joinstyle="miter"/>
          <v:path gradientshapeok="t" o:connecttype="rect"/>
        </v:shapetype>
        <v:shape style="position:absolute;margin-left:111.059998pt;margin-top:723.80603pt;width:12.1pt;height:18pt;mso-position-horizontal-relative:page;mso-position-vertical-relative:page;z-index:-6568" type="#_x0000_t202" filled="false" stroked="false">
          <v:textbox inset="0,0,0,0">
            <w:txbxContent>
              <w:p>
                <w:pPr>
                  <w:spacing w:line="345" w:lineRule="exact" w:before="0"/>
                  <w:ind w:left="40" w:right="0" w:firstLine="0"/>
                  <w:jc w:val="left"/>
                  <w:rPr>
                    <w:rFonts w:ascii="Calibri"/>
                    <w:b/>
                    <w:sz w:val="32"/>
                  </w:rPr>
                </w:pPr>
                <w:r>
                  <w:rPr/>
                  <w:fldChar w:fldCharType="begin"/>
                </w:r>
                <w:r>
                  <w:rPr>
                    <w:rFonts w:ascii="Calibri"/>
                    <w:b/>
                    <w:color w:val="4F81BC"/>
                    <w:w w:val="99"/>
                    <w:sz w:val="32"/>
                  </w:rPr>
                  <w:instrText> PAGE </w:instrText>
                </w:r>
                <w:r>
                  <w:rPr/>
                  <w:fldChar w:fldCharType="separate"/>
                </w:r>
                <w:r>
                  <w:rPr/>
                  <w:t>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8"/>
      <w:numFmt w:val="upperLetter"/>
      <w:lvlText w:val="%1."/>
      <w:lvlJc w:val="left"/>
      <w:pPr>
        <w:ind w:left="242" w:hanging="262"/>
        <w:jc w:val="left"/>
      </w:pPr>
      <w:rPr>
        <w:rFonts w:hint="default" w:ascii="Arial" w:hAnsi="Arial" w:eastAsia="Arial" w:cs="Arial"/>
        <w:b/>
        <w:bCs/>
        <w:w w:val="99"/>
        <w:sz w:val="20"/>
        <w:szCs w:val="20"/>
      </w:rPr>
    </w:lvl>
    <w:lvl w:ilvl="1">
      <w:start w:val="1"/>
      <w:numFmt w:val="decimal"/>
      <w:lvlText w:val="%2."/>
      <w:lvlJc w:val="left"/>
      <w:pPr>
        <w:ind w:left="962" w:hanging="360"/>
        <w:jc w:val="left"/>
      </w:pPr>
      <w:rPr>
        <w:rFonts w:hint="default" w:ascii="Arial" w:hAnsi="Arial" w:eastAsia="Arial" w:cs="Arial"/>
        <w:spacing w:val="-1"/>
        <w:w w:val="99"/>
        <w:sz w:val="20"/>
        <w:szCs w:val="20"/>
      </w:rPr>
    </w:lvl>
    <w:lvl w:ilvl="2">
      <w:start w:val="1"/>
      <w:numFmt w:val="bullet"/>
      <w:lvlText w:val="•"/>
      <w:lvlJc w:val="left"/>
      <w:pPr>
        <w:ind w:left="1888" w:hanging="360"/>
      </w:pPr>
      <w:rPr>
        <w:rFonts w:hint="default"/>
      </w:rPr>
    </w:lvl>
    <w:lvl w:ilvl="3">
      <w:start w:val="1"/>
      <w:numFmt w:val="bullet"/>
      <w:lvlText w:val="•"/>
      <w:lvlJc w:val="left"/>
      <w:pPr>
        <w:ind w:left="2817" w:hanging="360"/>
      </w:pPr>
      <w:rPr>
        <w:rFonts w:hint="default"/>
      </w:rPr>
    </w:lvl>
    <w:lvl w:ilvl="4">
      <w:start w:val="1"/>
      <w:numFmt w:val="bullet"/>
      <w:lvlText w:val="•"/>
      <w:lvlJc w:val="left"/>
      <w:pPr>
        <w:ind w:left="3746" w:hanging="360"/>
      </w:pPr>
      <w:rPr>
        <w:rFonts w:hint="default"/>
      </w:rPr>
    </w:lvl>
    <w:lvl w:ilvl="5">
      <w:start w:val="1"/>
      <w:numFmt w:val="bullet"/>
      <w:lvlText w:val="•"/>
      <w:lvlJc w:val="left"/>
      <w:pPr>
        <w:ind w:left="4675" w:hanging="360"/>
      </w:pPr>
      <w:rPr>
        <w:rFonts w:hint="default"/>
      </w:rPr>
    </w:lvl>
    <w:lvl w:ilvl="6">
      <w:start w:val="1"/>
      <w:numFmt w:val="bullet"/>
      <w:lvlText w:val="•"/>
      <w:lvlJc w:val="left"/>
      <w:pPr>
        <w:ind w:left="5604" w:hanging="360"/>
      </w:pPr>
      <w:rPr>
        <w:rFonts w:hint="default"/>
      </w:rPr>
    </w:lvl>
    <w:lvl w:ilvl="7">
      <w:start w:val="1"/>
      <w:numFmt w:val="bullet"/>
      <w:lvlText w:val="•"/>
      <w:lvlJc w:val="left"/>
      <w:pPr>
        <w:ind w:left="6533" w:hanging="360"/>
      </w:pPr>
      <w:rPr>
        <w:rFonts w:hint="default"/>
      </w:rPr>
    </w:lvl>
    <w:lvl w:ilvl="8">
      <w:start w:val="1"/>
      <w:numFmt w:val="bullet"/>
      <w:lvlText w:val="•"/>
      <w:lvlJc w:val="left"/>
      <w:pPr>
        <w:ind w:left="7462"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spacing w:before="1"/>
      <w:ind w:left="242"/>
      <w:jc w:val="center"/>
      <w:outlineLvl w:val="1"/>
    </w:pPr>
    <w:rPr>
      <w:rFonts w:ascii="Arial" w:hAnsi="Arial" w:eastAsia="Arial" w:cs="Arial"/>
      <w:b/>
      <w:bCs/>
      <w:sz w:val="24"/>
      <w:szCs w:val="24"/>
    </w:rPr>
  </w:style>
  <w:style w:styleId="Heading2" w:type="paragraph">
    <w:name w:val="Heading 2"/>
    <w:basedOn w:val="Normal"/>
    <w:uiPriority w:val="1"/>
    <w:qFormat/>
    <w:pPr>
      <w:ind w:left="242"/>
      <w:jc w:val="both"/>
      <w:outlineLvl w:val="2"/>
    </w:pPr>
    <w:rPr>
      <w:rFonts w:ascii="Arial" w:hAnsi="Arial" w:eastAsia="Arial" w:cs="Arial"/>
      <w:b/>
      <w:bCs/>
      <w:sz w:val="20"/>
      <w:szCs w:val="20"/>
    </w:rPr>
  </w:style>
  <w:style w:styleId="ListParagraph" w:type="paragraph">
    <w:name w:val="List Paragraph"/>
    <w:basedOn w:val="Normal"/>
    <w:uiPriority w:val="1"/>
    <w:qFormat/>
    <w:pPr>
      <w:ind w:left="962" w:right="242"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hyperlink" Target="mailto:lbrunett@hotmail.com" TargetMode="External"/><Relationship Id="rId8" Type="http://schemas.openxmlformats.org/officeDocument/2006/relationships/hyperlink" Target="mailto:cgmartinezg@uaemex.mx" TargetMode="External"/><Relationship Id="rId9" Type="http://schemas.openxmlformats.org/officeDocument/2006/relationships/hyperlink" Target="mailto:veo@unam.mx" TargetMode="External"/><Relationship Id="rId10" Type="http://schemas.openxmlformats.org/officeDocument/2006/relationships/hyperlink" Target="mailto:ramonaki@hotmail.com" TargetMode="External"/><Relationship Id="rId11" Type="http://schemas.openxmlformats.org/officeDocument/2006/relationships/image" Target="media/image2.png"/><Relationship Id="rId12" Type="http://schemas.openxmlformats.org/officeDocument/2006/relationships/image" Target="media/image3.pn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icar</dc:creator>
  <dcterms:created xsi:type="dcterms:W3CDTF">2017-06-01T17:56:02Z</dcterms:created>
  <dcterms:modified xsi:type="dcterms:W3CDTF">2017-06-01T17:56:02Z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2017-03-07T00:00:00Z</vt:filetime>
  </property>
  <property fmtid="{D5CDD505-2E9C-101B-9397-08002B2CF9AE}" pid="3" name="Creator">
    <vt:lpwstr>Microsoft® Word 2010</vt:lpwstr>
  </property>
  <property fmtid="{D5CDD505-2E9C-101B-9397-08002B2CF9AE}" pid="4" name="LastSaved">
    <vt:filetime>2017-06-01T00:00:00Z</vt:filetime>
  </property>
</Properties>
</file>